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000000" w:themeColor="text1"/>
          <w:sz w:val="84"/>
          <w:highlight w:val="none"/>
          <w14:textFill>
            <w14:solidFill>
              <w14:schemeClr w14:val="tx1"/>
            </w14:solidFill>
          </w14:textFill>
        </w:rPr>
      </w:pPr>
    </w:p>
    <w:p>
      <w:pPr>
        <w:ind w:right="105"/>
        <w:jc w:val="right"/>
        <w:rPr>
          <w:rFonts w:hint="eastAsia" w:eastAsia="黑体"/>
          <w:b/>
          <w:color w:val="000000" w:themeColor="text1"/>
          <w:spacing w:val="40"/>
          <w:w w:val="66"/>
          <w:sz w:val="60"/>
          <w:szCs w:val="60"/>
          <w:highlight w:val="none"/>
          <w:lang w:eastAsia="zh-CN"/>
          <w14:textFill>
            <w14:solidFill>
              <w14:schemeClr w14:val="tx1"/>
            </w14:solidFill>
          </w14:textFill>
        </w:rPr>
      </w:pPr>
      <w:r>
        <w:rPr>
          <w:rFonts w:eastAsia="黑体"/>
          <w:b/>
          <w:color w:val="000000" w:themeColor="text1"/>
          <w:spacing w:val="40"/>
          <w:w w:val="66"/>
          <w:sz w:val="60"/>
          <w:szCs w:val="60"/>
          <w:highlight w:val="none"/>
          <w14:textFill>
            <w14:solidFill>
              <w14:schemeClr w14:val="tx1"/>
            </w14:solidFill>
          </w14:textFill>
        </w:rPr>
        <w:t xml:space="preserve">  </w:t>
      </w:r>
      <w:r>
        <w:rPr>
          <w:rFonts w:hint="eastAsia" w:eastAsia="黑体"/>
          <w:b/>
          <w:color w:val="000000" w:themeColor="text1"/>
          <w:spacing w:val="40"/>
          <w:w w:val="66"/>
          <w:sz w:val="60"/>
          <w:szCs w:val="60"/>
          <w:highlight w:val="none"/>
          <w:lang w:eastAsia="zh-CN"/>
          <w14:textFill>
            <w14:solidFill>
              <w14:schemeClr w14:val="tx1"/>
            </w14:solidFill>
          </w14:textFill>
        </w:rPr>
        <w:t>国家税务总局天津市东丽区税务局办公用房外窗</w:t>
      </w:r>
      <w:r>
        <w:rPr>
          <w:rFonts w:hint="eastAsia" w:eastAsia="黑体"/>
          <w:b/>
          <w:color w:val="000000" w:themeColor="text1"/>
          <w:spacing w:val="40"/>
          <w:w w:val="66"/>
          <w:sz w:val="60"/>
          <w:szCs w:val="60"/>
          <w:highlight w:val="none"/>
          <w:lang w:val="en-US" w:eastAsia="zh-CN"/>
          <w14:textFill>
            <w14:solidFill>
              <w14:schemeClr w14:val="tx1"/>
            </w14:solidFill>
          </w14:textFill>
        </w:rPr>
        <w:t>改造</w:t>
      </w:r>
      <w:r>
        <w:rPr>
          <w:rFonts w:hint="eastAsia" w:eastAsia="黑体"/>
          <w:b/>
          <w:color w:val="000000" w:themeColor="text1"/>
          <w:spacing w:val="40"/>
          <w:w w:val="66"/>
          <w:sz w:val="60"/>
          <w:szCs w:val="60"/>
          <w:highlight w:val="none"/>
          <w:lang w:eastAsia="zh-CN"/>
          <w14:textFill>
            <w14:solidFill>
              <w14:schemeClr w14:val="tx1"/>
            </w14:solidFill>
          </w14:textFill>
        </w:rPr>
        <w:t>工程项目</w:t>
      </w:r>
    </w:p>
    <w:p>
      <w:pPr>
        <w:ind w:right="105"/>
        <w:jc w:val="right"/>
        <w:rPr>
          <w:rFonts w:eastAsia="黑体"/>
          <w:b/>
          <w:color w:val="000000" w:themeColor="text1"/>
          <w:spacing w:val="40"/>
          <w:w w:val="66"/>
          <w:sz w:val="60"/>
          <w:szCs w:val="60"/>
          <w:highlight w:val="none"/>
          <w14:textFill>
            <w14:solidFill>
              <w14:schemeClr w14:val="tx1"/>
            </w14:solidFill>
          </w14:textFill>
        </w:rPr>
      </w:pPr>
      <w:r>
        <w:rPr>
          <w:rFonts w:eastAsia="黑体"/>
          <w:b/>
          <w:color w:val="000000" w:themeColor="text1"/>
          <w:spacing w:val="40"/>
          <w:sz w:val="60"/>
          <w:szCs w:val="60"/>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highlight w:val="none"/>
          <w14:textFill>
            <w14:solidFill>
              <w14:schemeClr w14:val="tx1"/>
            </w14:solidFill>
          </w14:textFill>
        </w:rPr>
        <w:t>竞争性磋商文件</w:t>
      </w:r>
    </w:p>
    <w:p>
      <w:pPr>
        <w:ind w:right="1025"/>
        <w:jc w:val="center"/>
        <w:rPr>
          <w:rFonts w:eastAsia="黑体"/>
          <w:b/>
          <w:color w:val="000000" w:themeColor="text1"/>
          <w:spacing w:val="40"/>
          <w:w w:val="66"/>
          <w:sz w:val="60"/>
          <w:szCs w:val="60"/>
          <w:highlight w:val="none"/>
          <w14:textFill>
            <w14:solidFill>
              <w14:schemeClr w14:val="tx1"/>
            </w14:solidFill>
          </w14:textFill>
        </w:rPr>
      </w:pPr>
    </w:p>
    <w:p>
      <w:pPr>
        <w:jc w:val="center"/>
        <w:rPr>
          <w:rFonts w:eastAsia="黑体"/>
          <w:b/>
          <w:color w:val="000000" w:themeColor="text1"/>
          <w:spacing w:val="40"/>
          <w:w w:val="66"/>
          <w:sz w:val="15"/>
          <w:szCs w:val="15"/>
          <w:highlight w:val="none"/>
          <w14:textFill>
            <w14:solidFill>
              <w14:schemeClr w14:val="tx1"/>
            </w14:solidFill>
          </w14:textFill>
        </w:rPr>
      </w:pPr>
      <w:r>
        <w:rPr>
          <w:rFonts w:eastAsia="黑体"/>
          <w:b/>
          <w:color w:val="000000" w:themeColor="text1"/>
          <w:spacing w:val="40"/>
          <w:w w:val="66"/>
          <w:sz w:val="56"/>
          <w:szCs w:val="56"/>
          <w:highlight w:val="none"/>
          <w14:textFill>
            <w14:solidFill>
              <w14:schemeClr w14:val="tx1"/>
            </w14:solidFill>
          </w14:textFill>
        </w:rPr>
        <w:t xml:space="preserve">            </w:t>
      </w:r>
    </w:p>
    <w:p>
      <w:pPr>
        <w:jc w:val="center"/>
        <w:rPr>
          <w:rFonts w:eastAsia="黑体"/>
          <w:color w:val="000000" w:themeColor="text1"/>
          <w:spacing w:val="40"/>
          <w:w w:val="66"/>
          <w:sz w:val="32"/>
          <w:szCs w:val="32"/>
          <w:highlight w:val="none"/>
          <w14:textFill>
            <w14:solidFill>
              <w14:schemeClr w14:val="tx1"/>
            </w14:solidFill>
          </w14:textFill>
        </w:rPr>
      </w:pPr>
      <w:r>
        <w:rPr>
          <w:rFonts w:eastAsia="黑体"/>
          <w:color w:val="000000" w:themeColor="text1"/>
          <w:spacing w:val="40"/>
          <w:w w:val="66"/>
          <w:sz w:val="32"/>
          <w:szCs w:val="32"/>
          <w:highlight w:val="none"/>
          <w14:textFill>
            <w14:solidFill>
              <w14:schemeClr w14:val="tx1"/>
            </w14:solidFill>
          </w14:textFill>
        </w:rPr>
        <w:t>（项目编号：</w:t>
      </w:r>
      <w:r>
        <w:rPr>
          <w:rFonts w:hint="eastAsia" w:eastAsia="黑体"/>
          <w:color w:val="000000" w:themeColor="text1"/>
          <w:spacing w:val="40"/>
          <w:w w:val="66"/>
          <w:sz w:val="32"/>
          <w:szCs w:val="32"/>
          <w:highlight w:val="none"/>
          <w14:textFill>
            <w14:solidFill>
              <w14:schemeClr w14:val="tx1"/>
            </w14:solidFill>
          </w14:textFill>
        </w:rPr>
        <w:t>TGPC-2024-C-0050</w:t>
      </w:r>
      <w:r>
        <w:rPr>
          <w:rFonts w:eastAsia="黑体"/>
          <w:color w:val="000000" w:themeColor="text1"/>
          <w:spacing w:val="40"/>
          <w:w w:val="66"/>
          <w:sz w:val="32"/>
          <w:szCs w:val="32"/>
          <w:highlight w:val="none"/>
          <w14:textFill>
            <w14:solidFill>
              <w14:schemeClr w14:val="tx1"/>
            </w14:solidFill>
          </w14:textFill>
        </w:rPr>
        <w:t>）</w:t>
      </w:r>
    </w:p>
    <w:p>
      <w:pPr>
        <w:rPr>
          <w:color w:val="000000" w:themeColor="text1"/>
          <w:sz w:val="40"/>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ind w:firstLine="2897" w:firstLineChars="1493"/>
        <w:rPr>
          <w:rFonts w:eastAsia="黑体"/>
          <w:color w:val="000000" w:themeColor="text1"/>
          <w:spacing w:val="20"/>
          <w:w w:val="66"/>
          <w:sz w:val="44"/>
          <w:szCs w:val="4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highlight w:val="none"/>
          <w14:textFill>
            <w14:solidFill>
              <w14:schemeClr w14:val="tx1"/>
            </w14:solidFill>
          </w14:textFill>
        </w:rPr>
        <w:t>天津市政府采购中心</w:t>
      </w:r>
    </w:p>
    <w:p>
      <w:pPr>
        <w:tabs>
          <w:tab w:val="left" w:pos="3281"/>
          <w:tab w:val="center" w:pos="4711"/>
        </w:tabs>
        <w:jc w:val="center"/>
        <w:rPr>
          <w:rFonts w:hint="default" w:eastAsia="仿宋_GB2312"/>
          <w:b/>
          <w:bCs/>
          <w:color w:val="000000" w:themeColor="text1"/>
          <w:kern w:val="0"/>
          <w:sz w:val="44"/>
          <w:szCs w:val="44"/>
          <w:highlight w:val="none"/>
          <w:lang w:val="en-US" w:eastAsia="zh-CN"/>
          <w14:textFill>
            <w14:solidFill>
              <w14:schemeClr w14:val="tx1"/>
            </w14:solidFill>
          </w14:textFill>
        </w:rPr>
      </w:pPr>
      <w:r>
        <w:rPr>
          <w:rFonts w:eastAsia="仿宋_GB2312"/>
          <w:b/>
          <w:bCs/>
          <w:color w:val="000000" w:themeColor="text1"/>
          <w:kern w:val="0"/>
          <w:sz w:val="44"/>
          <w:szCs w:val="44"/>
          <w:highlight w:val="none"/>
          <w14:textFill>
            <w14:solidFill>
              <w14:schemeClr w14:val="tx1"/>
            </w14:solidFill>
          </w14:textFill>
        </w:rPr>
        <w:t>2024.</w:t>
      </w:r>
      <w:r>
        <w:rPr>
          <w:rFonts w:hint="eastAsia" w:eastAsia="仿宋_GB2312"/>
          <w:b/>
          <w:bCs/>
          <w:color w:val="000000" w:themeColor="text1"/>
          <w:kern w:val="0"/>
          <w:sz w:val="44"/>
          <w:szCs w:val="44"/>
          <w:highlight w:val="none"/>
          <w:lang w:val="en-US" w:eastAsia="zh-CN"/>
          <w14:textFill>
            <w14:solidFill>
              <w14:schemeClr w14:val="tx1"/>
            </w14:solidFill>
          </w14:textFill>
        </w:rPr>
        <w:t>11</w:t>
      </w:r>
    </w:p>
    <w:p>
      <w:pPr>
        <w:tabs>
          <w:tab w:val="left" w:pos="3281"/>
          <w:tab w:val="center" w:pos="4711"/>
        </w:tabs>
        <w:jc w:val="center"/>
        <w:rPr>
          <w:rFonts w:eastAsia="仿宋_GB2312"/>
          <w:b/>
          <w:bCs/>
          <w:color w:val="000000" w:themeColor="text1"/>
          <w:kern w:val="0"/>
          <w:sz w:val="44"/>
          <w:szCs w:val="44"/>
          <w:highlight w:val="none"/>
          <w14:textFill>
            <w14:solidFill>
              <w14:schemeClr w14:val="tx1"/>
            </w14:solidFill>
          </w14:textFill>
        </w:rPr>
      </w:pPr>
    </w:p>
    <w:p>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sectPr>
          <w:headerReference r:id="rId3" w:type="default"/>
          <w:pgSz w:w="11906" w:h="16838"/>
          <w:pgMar w:top="1440" w:right="1797" w:bottom="1440" w:left="1797" w:header="851" w:footer="992" w:gutter="0"/>
          <w:cols w:space="720" w:num="1"/>
          <w:docGrid w:type="linesAndChars" w:linePitch="285" w:charSpace="-3449"/>
        </w:sectPr>
      </w:pPr>
    </w:p>
    <w:p>
      <w:pPr>
        <w:tabs>
          <w:tab w:val="left" w:pos="3281"/>
          <w:tab w:val="center" w:pos="4711"/>
        </w:tabs>
        <w:jc w:val="center"/>
        <w:rPr>
          <w:b/>
          <w:bCs/>
          <w:color w:val="000000" w:themeColor="text1"/>
          <w:spacing w:val="20"/>
          <w:w w:val="66"/>
          <w:sz w:val="36"/>
          <w:szCs w:val="32"/>
          <w:highlight w:val="none"/>
          <w14:textFill>
            <w14:solidFill>
              <w14:schemeClr w14:val="tx1"/>
            </w14:solidFill>
          </w14:textFill>
        </w:rPr>
      </w:pPr>
      <w:r>
        <w:rPr>
          <w:b/>
          <w:bCs/>
          <w:color w:val="000000" w:themeColor="text1"/>
          <w:spacing w:val="20"/>
          <w:w w:val="66"/>
          <w:sz w:val="36"/>
          <w:szCs w:val="32"/>
          <w:highlight w:val="none"/>
          <w14:textFill>
            <w14:solidFill>
              <w14:schemeClr w14:val="tx1"/>
            </w14:solidFill>
          </w14:textFill>
        </w:rPr>
        <w:t>目  录</w:t>
      </w:r>
    </w:p>
    <w:p>
      <w:pPr>
        <w:tabs>
          <w:tab w:val="left" w:pos="3281"/>
          <w:tab w:val="center" w:pos="4711"/>
        </w:tabs>
        <w:spacing w:line="360" w:lineRule="auto"/>
        <w:jc w:val="center"/>
        <w:rPr>
          <w:rFonts w:eastAsia="仿宋_GB2312"/>
          <w:b/>
          <w:bCs/>
          <w:color w:val="000000" w:themeColor="text1"/>
          <w:spacing w:val="20"/>
          <w:w w:val="66"/>
          <w:sz w:val="28"/>
          <w:szCs w:val="28"/>
          <w:highlight w:val="none"/>
          <w14:textFill>
            <w14:solidFill>
              <w14:schemeClr w14:val="tx1"/>
            </w14:solidFill>
          </w14:textFill>
        </w:rPr>
      </w:pPr>
    </w:p>
    <w:p>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第一部分  磋商邀请函</w:t>
      </w:r>
    </w:p>
    <w:p>
      <w:pPr>
        <w:rPr>
          <w:color w:val="000000" w:themeColor="text1"/>
          <w:highlight w:val="none"/>
          <w14:textFill>
            <w14:solidFill>
              <w14:schemeClr w14:val="tx1"/>
            </w14:solidFill>
          </w14:textFill>
        </w:rPr>
      </w:pPr>
    </w:p>
    <w:p>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第二部分  磋商项目要求</w:t>
      </w:r>
    </w:p>
    <w:p>
      <w:pPr>
        <w:rPr>
          <w:color w:val="000000" w:themeColor="text1"/>
          <w:highlight w:val="none"/>
          <w14:textFill>
            <w14:solidFill>
              <w14:schemeClr w14:val="tx1"/>
            </w14:solidFill>
          </w14:textFill>
        </w:rPr>
      </w:pPr>
    </w:p>
    <w:p>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第三部分  供应商须知</w:t>
      </w:r>
    </w:p>
    <w:p>
      <w:pPr>
        <w:rPr>
          <w:color w:val="000000" w:themeColor="text1"/>
          <w:highlight w:val="none"/>
          <w14:textFill>
            <w14:solidFill>
              <w14:schemeClr w14:val="tx1"/>
            </w14:solidFill>
          </w14:textFill>
        </w:rPr>
      </w:pPr>
    </w:p>
    <w:p>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第四部分  合同草案</w:t>
      </w:r>
    </w:p>
    <w:p>
      <w:pPr>
        <w:rPr>
          <w:color w:val="000000" w:themeColor="text1"/>
          <w:highlight w:val="none"/>
          <w14:textFill>
            <w14:solidFill>
              <w14:schemeClr w14:val="tx1"/>
            </w14:solidFill>
          </w14:textFill>
        </w:rPr>
      </w:pPr>
    </w:p>
    <w:p>
      <w:pPr>
        <w:pStyle w:val="11"/>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第五部分  响应文件格式</w:t>
      </w:r>
    </w:p>
    <w:p>
      <w:pPr>
        <w:tabs>
          <w:tab w:val="left" w:pos="3281"/>
          <w:tab w:val="center" w:pos="4711"/>
        </w:tabs>
        <w:spacing w:line="360" w:lineRule="auto"/>
        <w:jc w:val="center"/>
        <w:rPr>
          <w:rFonts w:eastAsia="仿宋_GB2312"/>
          <w:b/>
          <w:bCs/>
          <w:color w:val="000000" w:themeColor="text1"/>
          <w:spacing w:val="20"/>
          <w:w w:val="66"/>
          <w:sz w:val="28"/>
          <w:szCs w:val="28"/>
          <w:highlight w:val="none"/>
          <w14:textFill>
            <w14:solidFill>
              <w14:schemeClr w14:val="tx1"/>
            </w14:solidFill>
          </w14:textFill>
        </w:rPr>
      </w:pPr>
    </w:p>
    <w:p>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pPr>
    </w:p>
    <w:p>
      <w:pPr>
        <w:tabs>
          <w:tab w:val="left" w:pos="3281"/>
          <w:tab w:val="center" w:pos="4711"/>
        </w:tabs>
        <w:jc w:val="center"/>
        <w:rPr>
          <w:rFonts w:eastAsia="仿宋_GB2312"/>
          <w:b/>
          <w:bCs/>
          <w:color w:val="000000" w:themeColor="text1"/>
          <w:spacing w:val="20"/>
          <w:w w:val="66"/>
          <w:sz w:val="44"/>
          <w:szCs w:val="44"/>
          <w:highlight w:val="none"/>
          <w14:textFill>
            <w14:solidFill>
              <w14:schemeClr w14:val="tx1"/>
            </w14:solidFill>
          </w14:textFill>
        </w:rPr>
        <w:sectPr>
          <w:pgSz w:w="11906" w:h="16838"/>
          <w:pgMar w:top="1440" w:right="1797" w:bottom="1440" w:left="1797" w:header="851" w:footer="992" w:gutter="0"/>
          <w:cols w:space="720" w:num="1"/>
          <w:docGrid w:type="linesAndChars" w:linePitch="285" w:charSpace="-3449"/>
        </w:sectPr>
      </w:pPr>
    </w:p>
    <w:p>
      <w:pPr>
        <w:pStyle w:val="12"/>
        <w:rPr>
          <w:rFonts w:ascii="Times New Roman" w:hAnsi="Times New Roman"/>
          <w:color w:val="000000" w:themeColor="text1"/>
          <w:highlight w:val="none"/>
          <w14:textFill>
            <w14:solidFill>
              <w14:schemeClr w14:val="tx1"/>
            </w14:solidFill>
          </w14:textFill>
        </w:rPr>
      </w:pPr>
      <w:bookmarkStart w:id="0" w:name="_Toc411426748"/>
      <w:bookmarkStart w:id="1" w:name="_Toc411426750"/>
      <w:r>
        <w:rPr>
          <w:rFonts w:ascii="Times New Roman" w:hAnsi="Times New Roman"/>
          <w:color w:val="000000" w:themeColor="text1"/>
          <w:highlight w:val="none"/>
          <w14:textFill>
            <w14:solidFill>
              <w14:schemeClr w14:val="tx1"/>
            </w14:solidFill>
          </w14:textFill>
        </w:rPr>
        <w:t>第一部分  磋商邀请函</w:t>
      </w:r>
      <w:bookmarkEnd w:id="0"/>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bookmarkStart w:id="2" w:name="_Toc411426749"/>
      <w:r>
        <w:rPr>
          <w:rFonts w:ascii="Times New Roman" w:hAnsi="Times New Roman" w:eastAsia="宋体" w:cs="Times New Roman"/>
          <w:color w:val="000000" w:themeColor="text1"/>
          <w:kern w:val="2"/>
          <w:highlight w:val="none"/>
          <w14:textFill>
            <w14:solidFill>
              <w14:schemeClr w14:val="tx1"/>
            </w14:solidFill>
          </w14:textFill>
        </w:rPr>
        <w:t>受</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国家税务总局天津市东丽区税务局</w:t>
      </w:r>
      <w:r>
        <w:rPr>
          <w:rFonts w:ascii="Times New Roman" w:hAnsi="Times New Roman" w:eastAsia="宋体" w:cs="Times New Roman"/>
          <w:color w:val="000000" w:themeColor="text1"/>
          <w:kern w:val="2"/>
          <w:highlight w:val="none"/>
          <w14:textFill>
            <w14:solidFill>
              <w14:schemeClr w14:val="tx1"/>
            </w14:solidFill>
          </w14:textFill>
        </w:rPr>
        <w:t>委托，天津市政府采购中心将以竞争性磋商方式，对</w:t>
      </w:r>
      <w:r>
        <w:rPr>
          <w:rFonts w:hint="eastAsia" w:ascii="Times New Roman" w:hAnsi="Times New Roman" w:eastAsia="宋体" w:cs="Times New Roman"/>
          <w:color w:val="000000" w:themeColor="text1"/>
          <w:kern w:val="2"/>
          <w:highlight w:val="none"/>
          <w:lang w:eastAsia="zh-CN"/>
          <w14:textFill>
            <w14:solidFill>
              <w14:schemeClr w14:val="tx1"/>
            </w14:solidFill>
          </w14:textFill>
        </w:rPr>
        <w:t>国家税务总局天津市东丽区税务局办公用房外窗改造工程项目</w:t>
      </w:r>
      <w:r>
        <w:rPr>
          <w:rFonts w:ascii="Times New Roman" w:hAnsi="Times New Roman" w:eastAsia="宋体" w:cs="Times New Roman"/>
          <w:color w:val="000000" w:themeColor="text1"/>
          <w:kern w:val="2"/>
          <w:highlight w:val="none"/>
          <w14:textFill>
            <w14:solidFill>
              <w14:schemeClr w14:val="tx1"/>
            </w14:solidFill>
          </w14:textFill>
        </w:rPr>
        <w:t>实施政府采购。现欢迎合格的供应商参加磋商。</w:t>
      </w:r>
    </w:p>
    <w:p>
      <w:pPr>
        <w:pStyle w:val="28"/>
        <w:spacing w:line="360" w:lineRule="auto"/>
        <w:ind w:firstLine="480" w:firstLineChars="200"/>
        <w:jc w:val="both"/>
        <w:rPr>
          <w:rFonts w:ascii="Times New Roman" w:hAnsi="Times New Roman" w:eastAsia="宋体" w:cs="Times New Roman"/>
          <w:color w:val="000000" w:themeColor="text1"/>
          <w:szCs w:val="32"/>
          <w:highlight w:val="none"/>
          <w14:textFill>
            <w14:solidFill>
              <w14:schemeClr w14:val="tx1"/>
            </w14:solidFill>
          </w14:textFill>
        </w:rPr>
      </w:pPr>
      <w:r>
        <w:rPr>
          <w:rFonts w:ascii="Times New Roman" w:hAnsi="Times New Roman" w:eastAsia="宋体" w:cs="Times New Roman"/>
          <w:color w:val="000000" w:themeColor="text1"/>
          <w:szCs w:val="32"/>
          <w:highlight w:val="none"/>
          <w14:textFill>
            <w14:solidFill>
              <w14:schemeClr w14:val="tx1"/>
            </w14:solidFill>
          </w14:textFill>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一、项目名称和编号</w:t>
      </w:r>
    </w:p>
    <w:p>
      <w:pPr>
        <w:pStyle w:val="28"/>
        <w:spacing w:line="360" w:lineRule="auto"/>
        <w:ind w:firstLine="480" w:firstLineChars="200"/>
        <w:jc w:val="both"/>
        <w:rPr>
          <w:rFonts w:hint="eastAsia" w:ascii="Times New Roman" w:hAnsi="Times New Roman" w:eastAsia="宋体" w:cs="Times New Roman"/>
          <w:color w:val="000000" w:themeColor="text1"/>
          <w:szCs w:val="32"/>
          <w:highlight w:val="none"/>
          <w:lang w:eastAsia="zh-CN"/>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（一）项目名称：</w:t>
      </w:r>
      <w:r>
        <w:rPr>
          <w:rFonts w:hint="eastAsia" w:ascii="Times New Roman" w:hAnsi="Times New Roman" w:cs="Times New Roman" w:eastAsiaTheme="minorEastAsia"/>
          <w:color w:val="000000" w:themeColor="text1"/>
          <w:szCs w:val="32"/>
          <w:highlight w:val="none"/>
          <w:lang w:eastAsia="zh-CN"/>
          <w14:textFill>
            <w14:solidFill>
              <w14:schemeClr w14:val="tx1"/>
            </w14:solidFill>
          </w14:textFill>
        </w:rPr>
        <w:t>国家税务总局天津市东丽区税务局办公用房外窗改造工程项目</w:t>
      </w:r>
    </w:p>
    <w:p>
      <w:pPr>
        <w:pStyle w:val="28"/>
        <w:spacing w:line="360" w:lineRule="auto"/>
        <w:ind w:firstLine="480" w:firstLineChars="200"/>
        <w:jc w:val="both"/>
        <w:rPr>
          <w:rFonts w:hint="default" w:ascii="Times New Roman" w:hAnsi="Times New Roman" w:eastAsia="宋体" w:cs="Times New Roman"/>
          <w:color w:val="000000" w:themeColor="text1"/>
          <w:kern w:val="2"/>
          <w:highlight w:val="none"/>
          <w:lang w:val="en-US" w:eastAsia="zh-CN"/>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（二）项目编号：</w:t>
      </w:r>
      <w:r>
        <w:rPr>
          <w:rFonts w:hint="eastAsia" w:ascii="Times New Roman" w:hAnsi="Times New Roman" w:eastAsia="宋体" w:cs="Times New Roman"/>
          <w:color w:val="000000" w:themeColor="text1"/>
          <w:kern w:val="2"/>
          <w:highlight w:val="none"/>
          <w14:textFill>
            <w14:solidFill>
              <w14:schemeClr w14:val="tx1"/>
            </w14:solidFill>
          </w14:textFill>
        </w:rPr>
        <w:t>TGPC-2024-C-0050</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二、项目内容</w:t>
      </w:r>
    </w:p>
    <w:p>
      <w:pPr>
        <w:pStyle w:val="28"/>
        <w:spacing w:line="360" w:lineRule="auto"/>
        <w:ind w:firstLine="480"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办公用房外窗改造工程</w:t>
      </w:r>
      <w:r>
        <w:rPr>
          <w:rFonts w:ascii="Times New Roman" w:hAnsi="Times New Roman" w:eastAsia="宋体" w:cs="Times New Roman"/>
          <w:color w:val="000000" w:themeColor="text1"/>
          <w:highlight w:val="none"/>
          <w14:textFill>
            <w14:solidFill>
              <w14:schemeClr w14:val="tx1"/>
            </w14:solidFill>
          </w14:textFill>
        </w:rPr>
        <w:t>，具体详见项目需求书。合同履行期限</w:t>
      </w:r>
      <w:r>
        <w:rPr>
          <w:rFonts w:hint="eastAsia" w:ascii="Times New Roman" w:hAnsi="Times New Roman" w:eastAsia="宋体" w:cs="Times New Roman"/>
          <w:color w:val="000000" w:themeColor="text1"/>
          <w:highlight w:val="none"/>
          <w:lang w:eastAsia="zh-CN"/>
          <w14:textFill>
            <w14:solidFill>
              <w14:schemeClr w14:val="tx1"/>
            </w14:solidFill>
          </w14:textFill>
        </w:rPr>
        <w:t>：合同签订后40天内完工。</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三、项目预算</w:t>
      </w:r>
    </w:p>
    <w:p>
      <w:pPr>
        <w:pStyle w:val="28"/>
        <w:spacing w:line="360" w:lineRule="auto"/>
        <w:ind w:firstLine="480"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1107575</w:t>
      </w:r>
      <w:r>
        <w:rPr>
          <w:rFonts w:ascii="Times New Roman" w:hAnsi="Times New Roman" w:eastAsia="宋体" w:cs="Times New Roman"/>
          <w:color w:val="000000" w:themeColor="text1"/>
          <w:highlight w:val="none"/>
          <w14:textFill>
            <w14:solidFill>
              <w14:schemeClr w14:val="tx1"/>
            </w14:solidFill>
          </w14:textFill>
        </w:rPr>
        <w:t>元</w:t>
      </w:r>
      <w:r>
        <w:rPr>
          <w:rFonts w:hint="eastAsia" w:ascii="Times New Roman" w:hAnsi="Times New Roman" w:eastAsia="宋体" w:cs="Times New Roman"/>
          <w:color w:val="000000" w:themeColor="text1"/>
          <w:highlight w:val="none"/>
          <w:lang w:eastAsia="zh-CN"/>
          <w14:textFill>
            <w14:solidFill>
              <w14:schemeClr w14:val="tx1"/>
            </w14:solidFill>
          </w14:textFill>
        </w:rPr>
        <w:t>。</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四、供应商资格要求（实质性要求）</w:t>
      </w:r>
    </w:p>
    <w:p>
      <w:pPr>
        <w:pStyle w:val="28"/>
        <w:spacing w:line="360" w:lineRule="auto"/>
        <w:ind w:firstLine="480"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供应商应具备房屋建筑工程施工总承包三级及以上资质</w:t>
      </w:r>
      <w:r>
        <w:rPr>
          <w:rFonts w:hint="eastAsia" w:ascii="Times New Roman" w:hAnsi="Times New Roman" w:eastAsia="宋体" w:cs="Times New Roman"/>
          <w:color w:val="000000" w:themeColor="text1"/>
          <w:highlight w:val="none"/>
          <w:lang w:val="en-US" w:eastAsia="zh-CN"/>
          <w14:textFill>
            <w14:solidFill>
              <w14:schemeClr w14:val="tx1"/>
            </w14:solidFill>
          </w14:textFill>
        </w:rPr>
        <w:t>或建筑装修装饰工程专业承包二级及以上资质</w:t>
      </w:r>
      <w:r>
        <w:rPr>
          <w:rFonts w:hint="eastAsia" w:ascii="Times New Roman" w:hAnsi="Times New Roman" w:eastAsia="宋体" w:cs="Times New Roman"/>
          <w:color w:val="000000" w:themeColor="text1"/>
          <w:highlight w:val="none"/>
          <w14:textFill>
            <w14:solidFill>
              <w14:schemeClr w14:val="tx1"/>
            </w14:solidFill>
          </w14:textFill>
        </w:rPr>
        <w:t>，提供资质证书原件扫描件</w:t>
      </w:r>
      <w:r>
        <w:rPr>
          <w:rFonts w:hint="eastAsia" w:ascii="Times New Roman" w:hAnsi="Times New Roman" w:eastAsia="宋体" w:cs="Times New Roman"/>
          <w:color w:val="000000" w:themeColor="text1"/>
          <w:highlight w:val="none"/>
          <w:lang w:eastAsia="zh-CN"/>
          <w14:textFill>
            <w14:solidFill>
              <w14:schemeClr w14:val="tx1"/>
            </w14:solidFill>
          </w14:textFill>
        </w:rPr>
        <w:t>；</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二</w:t>
      </w:r>
      <w:r>
        <w:rPr>
          <w:rFonts w:ascii="Times New Roman" w:hAnsi="Times New Roman" w:eastAsia="宋体" w:cs="Times New Roman"/>
          <w:color w:val="000000" w:themeColor="text1"/>
          <w:highlight w:val="none"/>
          <w14:textFill>
            <w14:solidFill>
              <w14:schemeClr w14:val="tx1"/>
            </w14:solidFill>
          </w14:textFill>
        </w:rPr>
        <w:t>）供应商应具备有效期内的《安全生产许可证》，提供资质证书原件扫描件。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负责本工程施工的项目经理应具备建设管理部门颁发的</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建筑工程专业</w:t>
      </w:r>
      <w:r>
        <w:rPr>
          <w:rFonts w:hint="eastAsia" w:ascii="Times New Roman" w:hAnsi="Times New Roman" w:eastAsia="宋体" w:cs="Times New Roman"/>
          <w:color w:val="000000" w:themeColor="text1"/>
          <w:highlight w:val="none"/>
          <w14:textFill>
            <w14:solidFill>
              <w14:schemeClr w14:val="tx1"/>
            </w14:solidFill>
          </w14:textFill>
        </w:rPr>
        <w:t>二级及以上建造师资质证书，提供资质证书原件扫描件。</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）供应商应具备《中华人民共和国政府采购法》第二十二条第一款规定的条件，提供以下材料：</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营业执照副本或事业单位法人证书或民办非企业单位登记证书或社会团体法人登记证书或基金会法人登记证书扫描件或自然人的身份证明扫描件。</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财务状况报告等相关材料：</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A.经第三方会计师事务所审计的2023</w:t>
      </w:r>
      <w:r>
        <w:rPr>
          <w:rFonts w:hint="eastAsia" w:ascii="Times New Roman" w:hAnsi="Times New Roman" w:eastAsia="宋体" w:cs="Times New Roman"/>
          <w:color w:val="000000" w:themeColor="text1"/>
          <w:highlight w:val="none"/>
          <w14:textFill>
            <w14:solidFill>
              <w14:schemeClr w14:val="tx1"/>
            </w14:solidFill>
          </w14:textFill>
        </w:rPr>
        <w:t>年度</w:t>
      </w:r>
      <w:r>
        <w:rPr>
          <w:rFonts w:ascii="Times New Roman" w:hAnsi="Times New Roman" w:eastAsia="宋体" w:cs="Times New Roman"/>
          <w:color w:val="000000" w:themeColor="text1"/>
          <w:highlight w:val="none"/>
          <w14:textFill>
            <w14:solidFill>
              <w14:schemeClr w14:val="tx1"/>
            </w14:solidFill>
          </w14:textFill>
        </w:rPr>
        <w:t>财务报告扫描件。</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具有良好的商业信誉和健全的财务会计制度的书面声明。</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注：A、B两项提供任意一项均可。</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依法缴纳税收和社会保障资金的书面声明。</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提交响应文件截止日前3年在经营活动中没有重大违法记录的书面声明（截至提交响应文件截止日成立不足3年的供应商可提供自成立以来无重大违法记录的书面声明）。</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提交具备履行合同所必需的设备和专业技术能力证明材料。</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五</w:t>
      </w:r>
      <w:r>
        <w:rPr>
          <w:rFonts w:ascii="Times New Roman" w:hAnsi="Times New Roman" w:eastAsia="宋体" w:cs="Times New Roman"/>
          <w:color w:val="000000" w:themeColor="text1"/>
          <w:highlight w:val="none"/>
          <w14:textFill>
            <w14:solidFill>
              <w14:schemeClr w14:val="tx1"/>
            </w14:solidFill>
          </w14:textFill>
        </w:rPr>
        <w:t>）本项目不接受联合体参与磋商。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cs="Times New Roman" w:eastAsiaTheme="minorEastAsia"/>
          <w:color w:val="000000" w:themeColor="text1"/>
          <w:highlight w:val="none"/>
          <w14:textFill>
            <w14:solidFill>
              <w14:schemeClr w14:val="tx1"/>
            </w14:solidFill>
          </w14:textFill>
        </w:rPr>
        <w:t>（</w:t>
      </w:r>
      <w:r>
        <w:rPr>
          <w:rFonts w:hint="eastAsia" w:ascii="Times New Roman" w:hAnsi="Times New Roman" w:cs="Times New Roman" w:eastAsiaTheme="minorEastAsia"/>
          <w:color w:val="000000" w:themeColor="text1"/>
          <w:highlight w:val="none"/>
          <w:lang w:val="en-US" w:eastAsia="zh-CN"/>
          <w14:textFill>
            <w14:solidFill>
              <w14:schemeClr w14:val="tx1"/>
            </w14:solidFill>
          </w14:textFill>
        </w:rPr>
        <w:t>六</w:t>
      </w:r>
      <w:r>
        <w:rPr>
          <w:rFonts w:ascii="Times New Roman" w:hAnsi="Times New Roman" w:cs="Times New Roman" w:eastAsiaTheme="minorEastAsia"/>
          <w:color w:val="000000" w:themeColor="text1"/>
          <w:highlight w:val="none"/>
          <w14:textFill>
            <w14:solidFill>
              <w14:schemeClr w14:val="tx1"/>
            </w14:solidFill>
          </w14:textFill>
        </w:rPr>
        <w:t>）本项目专门面向中小企业采购，提供《中小企业声明函》。</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五、项目需要落实的政府采购政策</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bookmarkStart w:id="3" w:name="OLE_LINK4"/>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本项目专门面向中小企业采购</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（二）根据财政部发布的《关于政府采购支持监狱企业发展有关问题的通知》规定，监狱企业视同小微企业。</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（三）根据财政部、民政部、中国残疾人联合会发布的《关于促进残疾人就业政府采购政策的通知》规定，残疾人福利性单位视同小微企业。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六、获取竞争性磋商文件时间、方式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（一）获取竞争性磋商文件的时间：2024年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21</w:t>
      </w:r>
      <w:r>
        <w:rPr>
          <w:rFonts w:ascii="Times New Roman" w:hAnsi="Times New Roman" w:eastAsia="宋体" w:cs="Times New Roman"/>
          <w:color w:val="000000" w:themeColor="text1"/>
          <w:highlight w:val="none"/>
          <w14:textFill>
            <w14:solidFill>
              <w14:schemeClr w14:val="tx1"/>
            </w14:solidFill>
          </w14:textFill>
        </w:rPr>
        <w:t>日至2024年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28</w:t>
      </w:r>
      <w:r>
        <w:rPr>
          <w:rFonts w:ascii="Times New Roman" w:hAnsi="Times New Roman" w:eastAsia="宋体" w:cs="Times New Roman"/>
          <w:color w:val="000000" w:themeColor="text1"/>
          <w:highlight w:val="none"/>
          <w14:textFill>
            <w14:solidFill>
              <w14:schemeClr w14:val="tx1"/>
            </w14:solidFill>
          </w14:textFill>
        </w:rPr>
        <w:t>日，每日9:00至17:00（北京时间，法定节假日除外）。</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（二）获取竞争性磋商文件的方式：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获取竞争性磋商文件网址：使用天津数字认证有限公司发出的CA数字证书（原天津市电子认证中心发出尚在有效期内的CA数字证书仍可使用）登录天津市政府采购中心网（网址：http://tjgpc.zwfwb.tj.gov.cn）-”网上招投标”-“供应商登录”-“市级集采机构入口”下载竞争性磋商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供应商注册、CA数字证书（USBKey）领取、电子签章办理办法：</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（1）天津市政府采购中心网注册：登录天津市政府采购中心网（http://tjgpc.zwfwb.tj.gov.cn）首页点击“</w:t>
      </w:r>
      <w:r>
        <w:rPr>
          <w:rFonts w:hint="eastAsia" w:ascii="Times New Roman" w:hAnsi="Times New Roman" w:eastAsia="宋体" w:cs="Times New Roman"/>
          <w:color w:val="000000" w:themeColor="text1"/>
          <w:highlight w:val="none"/>
          <w14:textFill>
            <w14:solidFill>
              <w14:schemeClr w14:val="tx1"/>
            </w14:solidFill>
          </w14:textFill>
        </w:rPr>
        <w:t>用户注册维护</w:t>
      </w:r>
      <w:r>
        <w:rPr>
          <w:rFonts w:ascii="Times New Roman" w:hAnsi="Times New Roman" w:eastAsia="宋体" w:cs="Times New Roman"/>
          <w:color w:val="000000" w:themeColor="text1"/>
          <w:highlight w:val="none"/>
          <w14:textFill>
            <w14:solidFill>
              <w14:schemeClr w14:val="tx1"/>
            </w14:solidFill>
          </w14:textFill>
        </w:rPr>
        <w:t>”，填写相关内容。天津市政府采购中心注册窗口联系电话：022-24538167。</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）CA数字证书（USBKey）领取及电子签章办理：参见天津市政府采购中心网（http://tjgpc.zwfwb.tj.gov.cn）--服务指南--供应商注册、领取CA数字证书（USBKey）及电子签章制章的流程。</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CA数字证书办理联系电话：400-0566-110或022-24538059。</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电子签章办理联系电话：022-24538</w:t>
      </w:r>
      <w:r>
        <w:rPr>
          <w:rFonts w:hint="eastAsia" w:ascii="Times New Roman" w:hAnsi="Times New Roman" w:eastAsia="宋体" w:cs="Times New Roman"/>
          <w:color w:val="000000" w:themeColor="text1"/>
          <w:highlight w:val="none"/>
          <w14:textFill>
            <w14:solidFill>
              <w14:schemeClr w14:val="tx1"/>
            </w14:solidFill>
          </w14:textFill>
        </w:rPr>
        <w:t>059</w:t>
      </w:r>
      <w:r>
        <w:rPr>
          <w:rFonts w:ascii="Times New Roman" w:hAnsi="Times New Roman" w:eastAsia="宋体" w:cs="Times New Roman"/>
          <w:color w:val="000000" w:themeColor="text1"/>
          <w:highlight w:val="none"/>
          <w14:textFill>
            <w14:solidFill>
              <w14:schemeClr w14:val="tx1"/>
            </w14:solidFill>
          </w14:textFill>
        </w:rPr>
        <w:t>。</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lang w:eastAsia="zh-CN"/>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本项目</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不</w:t>
      </w:r>
      <w:r>
        <w:rPr>
          <w:rFonts w:ascii="Times New Roman" w:hAnsi="Times New Roman" w:eastAsia="宋体" w:cs="Times New Roman"/>
          <w:color w:val="000000" w:themeColor="text1"/>
          <w:highlight w:val="none"/>
          <w14:textFill>
            <w14:solidFill>
              <w14:schemeClr w14:val="tx1"/>
            </w14:solidFill>
          </w14:textFill>
        </w:rPr>
        <w:t>组织踏勘现场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和</w:t>
      </w:r>
      <w:r>
        <w:rPr>
          <w:rFonts w:ascii="Times New Roman" w:hAnsi="Times New Roman" w:eastAsia="宋体" w:cs="Times New Roman"/>
          <w:color w:val="000000" w:themeColor="text1"/>
          <w:highlight w:val="none"/>
          <w14:textFill>
            <w14:solidFill>
              <w14:schemeClr w14:val="tx1"/>
            </w14:solidFill>
          </w14:textFill>
        </w:rPr>
        <w:t>标前答疑会。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七、网上应答时间</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21</w:t>
      </w:r>
      <w:r>
        <w:rPr>
          <w:rFonts w:ascii="Times New Roman" w:hAnsi="Times New Roman" w:eastAsia="宋体" w:cs="Times New Roman"/>
          <w:color w:val="000000" w:themeColor="text1"/>
          <w:highlight w:val="none"/>
          <w14:textFill>
            <w14:solidFill>
              <w14:schemeClr w14:val="tx1"/>
            </w14:solidFill>
          </w14:textFill>
        </w:rPr>
        <w:t>日9:00至2024年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13</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w:t>
      </w:r>
      <w:r>
        <w:rPr>
          <w:rFonts w:ascii="Times New Roman" w:hAnsi="Times New Roman" w:eastAsia="宋体" w:cs="Times New Roman"/>
          <w:color w:val="000000" w:themeColor="text1"/>
          <w:highlight w:val="none"/>
          <w14:textFill>
            <w14:solidFill>
              <w14:schemeClr w14:val="tx1"/>
            </w14:solidFill>
          </w14:textFill>
        </w:rPr>
        <w:t>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网上应答帮助链接：http://tjgpc.zwfwb.tj.gov.cn/webInfo/getWebInfoListForwebInfoClass.do?fkWebInfoclassId=W008</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八、提交电子响应文件截止时间及方式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（一）提交电子响应文件截止时间：2024年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13</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w:t>
      </w:r>
      <w:r>
        <w:rPr>
          <w:rFonts w:ascii="Times New Roman" w:hAnsi="Times New Roman" w:eastAsia="宋体" w:cs="Times New Roman"/>
          <w:color w:val="000000" w:themeColor="text1"/>
          <w:highlight w:val="none"/>
          <w14:textFill>
            <w14:solidFill>
              <w14:schemeClr w14:val="tx1"/>
            </w14:solidFill>
          </w14:textFill>
        </w:rPr>
        <w:t>0。提交电子响应文件截止时间前提交网上应答并分别上传加盖电子签章的第一、第二阶段电子响应文件（以通过天津公共资源电子签章客户端正确读取签章信息为准）方为有效响应。</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九、解密时间、方式及磋商地点</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（一）第一阶段解密时间：2024年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ascii="Times New Roman" w:hAnsi="Times New Roman" w:eastAsia="宋体" w:cs="Times New Roman"/>
          <w:color w:val="000000" w:themeColor="text1"/>
          <w:highlight w:val="none"/>
          <w14:textFill>
            <w14:solidFill>
              <w14:schemeClr w14:val="tx1"/>
            </w14:solidFill>
          </w14:textFill>
        </w:rPr>
        <w:t>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13</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w:t>
      </w:r>
      <w:r>
        <w:rPr>
          <w:rFonts w:ascii="Times New Roman" w:hAnsi="Times New Roman" w:eastAsia="宋体" w:cs="Times New Roman"/>
          <w:color w:val="000000" w:themeColor="text1"/>
          <w:highlight w:val="none"/>
          <w14:textFill>
            <w14:solidFill>
              <w14:schemeClr w14:val="tx1"/>
            </w14:solidFill>
          </w14:textFill>
        </w:rPr>
        <w:t>0至</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14</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w:t>
      </w:r>
      <w:r>
        <w:rPr>
          <w:rFonts w:ascii="Times New Roman" w:hAnsi="Times New Roman" w:eastAsia="宋体" w:cs="Times New Roman"/>
          <w:color w:val="000000" w:themeColor="text1"/>
          <w:highlight w:val="none"/>
          <w14:textFill>
            <w14:solidFill>
              <w14:schemeClr w14:val="tx1"/>
            </w14:solidFill>
          </w14:textFill>
        </w:rPr>
        <w:t>0完成第一阶段解密的方为有效响应。</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（二）第二阶段解密时间：通过第一阶段磋商的供应商在磋商小组要求的时间内（一般是磋商当日）完成第二阶段解密，否则视为放弃磋商。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解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（四）磋商地点：第一阶段解密后，磋商代表人须于天津市河东区红星路79号二楼天津市政府采购中心评审现场等候磋商。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十、采购代理机构名称、地址、联系人及联系方式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（一）采购代理机构名称：天津市政府采购中心</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（二）采购代理机构地址：天津市河东区红星路79号二楼（邮编：300161）</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（三）联系人：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郭晓刚、杨光、鲁志强</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（四）网址：http://tjgpc.zwfwb.tj.gov.cn</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（五）对外办公时间：法定工作日9:00～12:00，14:00～17:00</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（六）咨询服务电话：</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供应商注册咨询</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022-24538167</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CA证书和</w:t>
      </w:r>
      <w:r>
        <w:rPr>
          <w:rFonts w:ascii="Times New Roman" w:hAnsi="Times New Roman" w:eastAsia="宋体" w:cs="Times New Roman"/>
          <w:color w:val="000000" w:themeColor="text1"/>
          <w:highlight w:val="none"/>
          <w14:textFill>
            <w14:solidFill>
              <w14:schemeClr w14:val="tx1"/>
            </w14:solidFill>
          </w14:textFill>
        </w:rPr>
        <w:t>电子签章办理咨询：</w:t>
      </w:r>
      <w:r>
        <w:rPr>
          <w:rFonts w:hint="eastAsia" w:ascii="Times New Roman" w:hAnsi="Times New Roman" w:eastAsia="宋体" w:cs="Times New Roman"/>
          <w:color w:val="000000" w:themeColor="text1"/>
          <w:highlight w:val="none"/>
          <w14:textFill>
            <w14:solidFill>
              <w14:schemeClr w14:val="tx1"/>
            </w14:solidFill>
          </w14:textFill>
        </w:rPr>
        <w:t>022-24538059</w:t>
      </w:r>
    </w:p>
    <w:p>
      <w:pPr>
        <w:pStyle w:val="28"/>
        <w:spacing w:line="360" w:lineRule="auto"/>
        <w:ind w:firstLine="480" w:firstLineChars="200"/>
        <w:jc w:val="both"/>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采购文件咨询：022-2453</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8176</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网上应答</w:t>
      </w:r>
      <w:r>
        <w:rPr>
          <w:rFonts w:hint="eastAsia" w:ascii="Times New Roman" w:hAnsi="Times New Roman" w:eastAsia="宋体" w:cs="Times New Roman"/>
          <w:color w:val="000000" w:themeColor="text1"/>
          <w:highlight w:val="none"/>
          <w14:textFill>
            <w14:solidFill>
              <w14:schemeClr w14:val="tx1"/>
            </w14:solidFill>
          </w14:textFill>
        </w:rPr>
        <w:t>及</w:t>
      </w:r>
      <w:r>
        <w:rPr>
          <w:rFonts w:ascii="Times New Roman" w:hAnsi="Times New Roman" w:eastAsia="宋体" w:cs="Times New Roman"/>
          <w:color w:val="000000" w:themeColor="text1"/>
          <w:highlight w:val="none"/>
          <w14:textFill>
            <w14:solidFill>
              <w14:schemeClr w14:val="tx1"/>
            </w14:solidFill>
          </w14:textFill>
        </w:rPr>
        <w:t>解密操作咨询：022-24538309</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十一、采购人的名称、地址和联系方式</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（一）采购人名称：</w:t>
      </w:r>
      <w:r>
        <w:rPr>
          <w:rFonts w:hint="eastAsia" w:ascii="Times New Roman" w:hAnsi="Times New Roman" w:eastAsia="宋体" w:cs="Times New Roman"/>
          <w:color w:val="000000" w:themeColor="text1"/>
          <w:highlight w:val="none"/>
          <w14:textFill>
            <w14:solidFill>
              <w14:schemeClr w14:val="tx1"/>
            </w14:solidFill>
          </w14:textFill>
        </w:rPr>
        <w:t xml:space="preserve">国家税务总局天津市东丽区税务局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（二）采购人地址：</w:t>
      </w:r>
      <w:r>
        <w:rPr>
          <w:rFonts w:hint="eastAsia" w:ascii="Times New Roman" w:hAnsi="Times New Roman" w:eastAsia="宋体" w:cs="Times New Roman"/>
          <w:color w:val="000000" w:themeColor="text1"/>
          <w:highlight w:val="none"/>
          <w14:textFill>
            <w14:solidFill>
              <w14:schemeClr w14:val="tx1"/>
            </w14:solidFill>
          </w14:textFill>
        </w:rPr>
        <w:t>天津市东丽区跃进路与先锋路交口</w:t>
      </w:r>
      <w:r>
        <w:rPr>
          <w:rFonts w:hint="eastAsia" w:ascii="Times New Roman" w:hAnsi="Times New Roman" w:eastAsia="宋体" w:cs="Times New Roman"/>
          <w:color w:val="000000" w:themeColor="text1"/>
          <w:highlight w:val="non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highlight w:val="none"/>
          <w14:textFill>
            <w14:solidFill>
              <w14:schemeClr w14:val="tx1"/>
            </w14:solidFill>
          </w14:textFill>
        </w:rPr>
        <w:t xml:space="preserve">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（三）采购人联系人：</w:t>
      </w:r>
      <w:r>
        <w:rPr>
          <w:rFonts w:hint="eastAsia" w:ascii="Times New Roman" w:hAnsi="Times New Roman" w:eastAsia="宋体" w:cs="Times New Roman"/>
          <w:color w:val="000000" w:themeColor="text1"/>
          <w:highlight w:val="none"/>
          <w14:textFill>
            <w14:solidFill>
              <w14:schemeClr w14:val="tx1"/>
            </w14:solidFill>
          </w14:textFill>
        </w:rPr>
        <w:t xml:space="preserve">孙文强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（四）采购人联系电话：</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w:t>
      </w:r>
      <w:r>
        <w:rPr>
          <w:rFonts w:hint="eastAsia" w:ascii="Times New Roman" w:hAnsi="Times New Roman" w:eastAsia="宋体" w:cs="Times New Roman"/>
          <w:color w:val="000000" w:themeColor="text1"/>
          <w:highlight w:val="none"/>
          <w14:textFill>
            <w14:solidFill>
              <w14:schemeClr w14:val="tx1"/>
            </w14:solidFill>
          </w14:textFill>
        </w:rPr>
        <w:t xml:space="preserve">84375887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十二、质疑方式</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（一）供应商认为采购文件、采购过程和采购结果使自己的权益受到损害的，可以在知道或者应知其权益受到损害之日起七个工作日内，按照本项目采购文件第三部分《供应商须知》“8. 询问与质疑”的相关规定，以书面原件形式针对同一采购程序环节一次性提出质疑，否则不予受理。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采购人质疑受理：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联系部门：</w:t>
      </w:r>
      <w:r>
        <w:rPr>
          <w:rFonts w:hint="eastAsia" w:ascii="Times New Roman" w:hAnsi="Times New Roman" w:eastAsia="宋体" w:cs="Times New Roman"/>
          <w:color w:val="000000" w:themeColor="text1"/>
          <w:highlight w:val="none"/>
          <w14:textFill>
            <w14:solidFill>
              <w14:schemeClr w14:val="tx1"/>
            </w14:solidFill>
          </w14:textFill>
        </w:rPr>
        <w:t>国家税务总局天津市东丽区税务局</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联系地址：</w:t>
      </w:r>
      <w:r>
        <w:rPr>
          <w:rFonts w:hint="eastAsia" w:ascii="Times New Roman" w:hAnsi="Times New Roman" w:eastAsia="宋体" w:cs="Times New Roman"/>
          <w:color w:val="000000" w:themeColor="text1"/>
          <w:highlight w:val="none"/>
          <w14:textFill>
            <w14:solidFill>
              <w14:schemeClr w14:val="tx1"/>
            </w14:solidFill>
          </w14:textFill>
        </w:rPr>
        <w:t>天津市东丽区跃进路与先锋路交口</w:t>
      </w:r>
      <w:r>
        <w:rPr>
          <w:rFonts w:hint="eastAsia" w:ascii="Times New Roman" w:hAnsi="Times New Roman" w:eastAsia="宋体" w:cs="Times New Roman"/>
          <w:color w:val="000000" w:themeColor="text1"/>
          <w:highlight w:val="non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联 系 人：</w:t>
      </w:r>
      <w:r>
        <w:rPr>
          <w:rFonts w:hint="eastAsia" w:ascii="Times New Roman" w:hAnsi="Times New Roman" w:eastAsia="宋体" w:cs="Times New Roman"/>
          <w:color w:val="000000" w:themeColor="text1"/>
          <w:highlight w:val="none"/>
          <w14:textFill>
            <w14:solidFill>
              <w14:schemeClr w14:val="tx1"/>
            </w14:solidFill>
          </w14:textFill>
        </w:rPr>
        <w:t xml:space="preserve">孙文强  </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联系方式：</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022-84375887</w:t>
      </w:r>
      <w:r>
        <w:rPr>
          <w:rFonts w:hint="eastAsia" w:ascii="Times New Roman" w:hAnsi="Times New Roman" w:eastAsia="宋体" w:cs="Times New Roman"/>
          <w:color w:val="000000" w:themeColor="text1"/>
          <w:highlight w:val="none"/>
          <w14:textFill>
            <w14:solidFill>
              <w14:schemeClr w14:val="tx1"/>
            </w14:solidFill>
          </w14:textFill>
        </w:rPr>
        <w:t xml:space="preserve"> </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（二）供应商对质疑答复不满意的，或者采购人、天津市政府采购中心未在规定期限内作出答复的，供应商可以在质疑答复期满后15个工作日内，向采购人同级财政部门提出投诉，逾期不予受理。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十三、公告期限</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磋商公告的公告期限为3个工作日。</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十四、招标代理服务费</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本项目按以下比例向成交供应商收取招标代理服务费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成交金额（万元）</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100以下</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100-500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500-1000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1000-5000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5000-10000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10000-100000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0.05%</w:t>
            </w:r>
          </w:p>
        </w:tc>
      </w:tr>
    </w:tbl>
    <w:p>
      <w:pPr>
        <w:tabs>
          <w:tab w:val="left" w:pos="700"/>
        </w:tabs>
        <w:autoSpaceDE w:val="0"/>
        <w:autoSpaceDN w:val="0"/>
        <w:adjustRightInd w:val="0"/>
        <w:spacing w:line="360" w:lineRule="auto"/>
        <w:ind w:firstLine="480" w:firstLineChars="200"/>
        <w:rPr>
          <w:color w:val="000000" w:themeColor="text1"/>
          <w:sz w:val="24"/>
          <w:highlight w:val="none"/>
          <w:lang w:val="zh-CN"/>
          <w14:textFill>
            <w14:solidFill>
              <w14:schemeClr w14:val="tx1"/>
            </w14:solidFill>
          </w14:textFill>
        </w:rPr>
      </w:pPr>
      <w:r>
        <w:rPr>
          <w:color w:val="000000" w:themeColor="text1"/>
          <w:sz w:val="24"/>
          <w:highlight w:val="none"/>
          <w:lang w:val="zh-CN"/>
          <w14:textFill>
            <w14:solidFill>
              <w14:schemeClr w14:val="tx1"/>
            </w14:solidFill>
          </w14:textFill>
        </w:rPr>
        <w:t>服务费按差额定率累进法计算，向下取整，精确到元。例如</w:t>
      </w:r>
      <w:r>
        <w:rPr>
          <w:color w:val="000000" w:themeColor="text1"/>
          <w:sz w:val="24"/>
          <w:highlight w:val="none"/>
          <w14:textFill>
            <w14:solidFill>
              <w14:schemeClr w14:val="tx1"/>
            </w14:solidFill>
          </w14:textFill>
        </w:rPr>
        <w:t>成交</w:t>
      </w:r>
      <w:r>
        <w:rPr>
          <w:color w:val="000000" w:themeColor="text1"/>
          <w:sz w:val="24"/>
          <w:highlight w:val="none"/>
          <w:lang w:val="zh-CN"/>
          <w14:textFill>
            <w14:solidFill>
              <w14:schemeClr w14:val="tx1"/>
            </w14:solidFill>
          </w14:textFill>
        </w:rPr>
        <w:t>金额为6805000元，服务费=1000000×1%+（5000000-1000000）×0.7%+（6805000-5000000）×0.55%=47927.5元，服务费缴纳47927元。其中成交金额以《成交通知书》为准。</w:t>
      </w:r>
    </w:p>
    <w:p>
      <w:pPr>
        <w:tabs>
          <w:tab w:val="left" w:pos="700"/>
        </w:tabs>
        <w:autoSpaceDE w:val="0"/>
        <w:autoSpaceDN w:val="0"/>
        <w:adjustRightInd w:val="0"/>
        <w:spacing w:line="360" w:lineRule="auto"/>
        <w:ind w:firstLine="480" w:firstLineChars="200"/>
        <w:rPr>
          <w:color w:val="000000" w:themeColor="text1"/>
          <w:sz w:val="24"/>
          <w:szCs w:val="24"/>
          <w:highlight w:val="none"/>
          <w:lang w:val="zh-CN"/>
          <w14:textFill>
            <w14:solidFill>
              <w14:schemeClr w14:val="tx1"/>
            </w14:solidFill>
          </w14:textFill>
        </w:rPr>
      </w:pPr>
      <w:r>
        <w:rPr>
          <w:color w:val="000000" w:themeColor="text1"/>
          <w:sz w:val="24"/>
          <w:szCs w:val="24"/>
          <w:highlight w:val="none"/>
          <w14:textFill>
            <w14:solidFill>
              <w14:schemeClr w14:val="tx1"/>
            </w14:solidFill>
          </w14:textFill>
        </w:rPr>
        <w:t>成交供应商应于成交公告发布之日起5个工作日内缴纳</w:t>
      </w:r>
      <w:r>
        <w:rPr>
          <w:color w:val="000000" w:themeColor="text1"/>
          <w:sz w:val="24"/>
          <w:szCs w:val="24"/>
          <w:highlight w:val="none"/>
          <w:lang w:val="zh-CN"/>
          <w14:textFill>
            <w14:solidFill>
              <w14:schemeClr w14:val="tx1"/>
            </w14:solidFill>
          </w14:textFill>
        </w:rPr>
        <w:t>招标代理服务费，缴费单位名称须与投标单位名称一致，缴费时请注明项目编号及成交包号。</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名        称：天津市公共资源交易中心</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开户行及账号：中国建设银行股份有限公司天津明华支行 </w:t>
      </w:r>
    </w:p>
    <w:p>
      <w:pPr>
        <w:pStyle w:val="28"/>
        <w:spacing w:line="360" w:lineRule="auto"/>
        <w:ind w:firstLine="2152" w:firstLineChars="897"/>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1205 0162 4900 0000 0675</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银行联行号：105110039436</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纳税人识别号：1212 0000 MB1E 44809C</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地址：天津市河东区红星路79号</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缴费及申请开票系统：http://pay.tjggzy.cn/</w:t>
      </w:r>
    </w:p>
    <w:p>
      <w:pPr>
        <w:pStyle w:val="28"/>
        <w:spacing w:line="360" w:lineRule="auto"/>
        <w:ind w:firstLine="480" w:firstLineChars="200"/>
        <w:jc w:val="both"/>
        <w:rPr>
          <w:rFonts w:ascii="Times New Roman" w:hAnsi="Times New Roman" w:eastAsia="宋体" w:cs="Times New Roman"/>
          <w:color w:val="000000" w:themeColor="text1"/>
          <w:kern w:val="2"/>
          <w:highlight w:val="none"/>
          <w:lang w:val="zh-CN"/>
          <w14:textFill>
            <w14:solidFill>
              <w14:schemeClr w14:val="tx1"/>
            </w14:solidFill>
          </w14:textFill>
        </w:rPr>
      </w:pPr>
      <w:r>
        <w:rPr>
          <w:rFonts w:ascii="Times New Roman" w:hAnsi="Times New Roman" w:eastAsia="宋体" w:cs="Times New Roman"/>
          <w:color w:val="000000" w:themeColor="text1"/>
          <w:kern w:val="2"/>
          <w:highlight w:val="none"/>
          <w:lang w:val="zh-CN"/>
          <w14:textFill>
            <w14:solidFill>
              <w14:schemeClr w14:val="tx1"/>
            </w14:solidFill>
          </w14:textFill>
        </w:rPr>
        <w:t>缴费及开票咨询电话：022-24532012</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6480" w:firstLineChars="27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2024年</w:t>
      </w:r>
      <w:r>
        <w:rPr>
          <w:rFonts w:hint="eastAsia" w:ascii="Times New Roman" w:hAnsi="Times New Roman" w:eastAsia="宋体" w:cs="Times New Roman"/>
          <w:color w:val="000000" w:themeColor="text1"/>
          <w:kern w:val="2"/>
          <w:highlight w:val="none"/>
          <w:lang w:val="en-US" w:eastAsia="zh-CN"/>
          <w14:textFill>
            <w14:solidFill>
              <w14:schemeClr w14:val="tx1"/>
            </w14:solidFill>
          </w14:textFill>
        </w:rPr>
        <w:t>11</w:t>
      </w:r>
      <w:r>
        <w:rPr>
          <w:rFonts w:ascii="Times New Roman" w:hAnsi="Times New Roman" w:eastAsia="宋体" w:cs="Times New Roman"/>
          <w:color w:val="000000" w:themeColor="text1"/>
          <w:kern w:val="2"/>
          <w:highlight w:val="none"/>
          <w14:textFill>
            <w14:solidFill>
              <w14:schemeClr w14:val="tx1"/>
            </w14:solidFill>
          </w14:textFill>
        </w:rPr>
        <w:t>月</w:t>
      </w:r>
      <w:r>
        <w:rPr>
          <w:rFonts w:hint="eastAsia" w:ascii="Times New Roman" w:hAnsi="Times New Roman" w:eastAsia="宋体" w:cs="Times New Roman"/>
          <w:color w:val="000000" w:themeColor="text1"/>
          <w:kern w:val="2"/>
          <w:highlight w:val="none"/>
          <w:lang w:val="en-US" w:eastAsia="zh-CN"/>
          <w14:textFill>
            <w14:solidFill>
              <w14:schemeClr w14:val="tx1"/>
            </w14:solidFill>
          </w14:textFill>
        </w:rPr>
        <w:t>21</w:t>
      </w:r>
      <w:r>
        <w:rPr>
          <w:rFonts w:ascii="Times New Roman" w:hAnsi="Times New Roman" w:eastAsia="宋体" w:cs="Times New Roman"/>
          <w:color w:val="000000" w:themeColor="text1"/>
          <w:kern w:val="2"/>
          <w:highlight w:val="none"/>
          <w14:textFill>
            <w14:solidFill>
              <w14:schemeClr w14:val="tx1"/>
            </w14:solidFill>
          </w14:textFill>
        </w:rPr>
        <w:t>日</w:t>
      </w:r>
    </w:p>
    <w:p>
      <w:pPr>
        <w:pStyle w:val="28"/>
        <w:spacing w:line="360" w:lineRule="auto"/>
        <w:jc w:val="both"/>
        <w:rPr>
          <w:rFonts w:ascii="Times New Roman" w:hAnsi="Times New Roman" w:eastAsia="宋体" w:cs="Times New Roman"/>
          <w:color w:val="000000" w:themeColor="text1"/>
          <w:kern w:val="2"/>
          <w:highlight w:val="none"/>
          <w14:textFill>
            <w14:solidFill>
              <w14:schemeClr w14:val="tx1"/>
            </w14:solidFill>
          </w14:textFill>
        </w:rPr>
      </w:pPr>
    </w:p>
    <w:p>
      <w:pPr>
        <w:pStyle w:val="28"/>
        <w:spacing w:line="360" w:lineRule="auto"/>
        <w:jc w:val="both"/>
        <w:rPr>
          <w:rFonts w:ascii="Times New Roman" w:hAnsi="Times New Roman" w:eastAsia="宋体" w:cs="Times New Roman"/>
          <w:color w:val="000000" w:themeColor="text1"/>
          <w:kern w:val="2"/>
          <w:highlight w:val="none"/>
          <w14:textFill>
            <w14:solidFill>
              <w14:schemeClr w14:val="tx1"/>
            </w14:solidFill>
          </w14:textFill>
        </w:rPr>
      </w:pPr>
    </w:p>
    <w:p>
      <w:pPr>
        <w:widowControl/>
        <w:jc w:val="left"/>
        <w:rPr>
          <w:color w:val="000000" w:themeColor="text1"/>
          <w:sz w:val="24"/>
          <w:szCs w:val="24"/>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28"/>
        <w:spacing w:line="360" w:lineRule="auto"/>
        <w:ind w:firstLine="5520" w:firstLineChars="2300"/>
        <w:jc w:val="center"/>
        <w:rPr>
          <w:rFonts w:ascii="Times New Roman" w:hAnsi="Times New Roman" w:eastAsia="宋体" w:cs="Times New Roman"/>
          <w:color w:val="000000" w:themeColor="text1"/>
          <w:kern w:val="2"/>
          <w:highlight w:val="none"/>
          <w14:textFill>
            <w14:solidFill>
              <w14:schemeClr w14:val="tx1"/>
            </w14:solidFill>
          </w14:textFill>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第二部分  磋商项目要求</w:t>
      </w:r>
      <w:bookmarkEnd w:id="2"/>
    </w:p>
    <w:p>
      <w:pPr>
        <w:tabs>
          <w:tab w:val="left" w:pos="210"/>
        </w:tabs>
        <w:autoSpaceDE w:val="0"/>
        <w:autoSpaceDN w:val="0"/>
        <w:adjustRightInd w:val="0"/>
        <w:spacing w:line="360" w:lineRule="auto"/>
        <w:ind w:firstLine="480"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一、商务要求</w:t>
      </w:r>
    </w:p>
    <w:p>
      <w:pPr>
        <w:autoSpaceDE w:val="0"/>
        <w:autoSpaceDN w:val="0"/>
        <w:adjustRightIn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（一）报价要求</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磋商报价以人民币填列。</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响应文件中工程量清单报价需由工程量清单报价编制人员加盖造价工程师章并由审核人员加盖造价工程师章（注：编制和审核不可为同一人）。</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磋商价格：</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具有标价的磋商书和报价汇总表，以及组成工程报价分专业的工程预算应包括施工设备、劳务、管理、材料、安装、维护、保险、利润、税金、政策性文件规定及合同包含的所有风险、责任等各项应有费用。</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（2）投标人应根据采购人提供的项目需求书、工程量清单，填写报价，进行磋商。</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工程磋商报价执行天津市相关定额（2020年《天津市建设工程计价办法》和《天津市建筑工程预算基价》、《天津市装饰装修工程预算基价》《天津市房屋修缮工程预算基价》等）和现行取费标准及市场价格。</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磋商价格采用形式：本工程磋商报价采用综合单价方式。</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5. 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合价内。 </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磋商报价均不包括施工过程中因施工图的重大设计变更（指结构、标准、规模）所发生的费用，不包括施工过程中遇到地下障碍物处理或地基处理所发生的费用。</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验收及相关费用由成交供应商负责。</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（二）质量要求：</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达到现行国家施工验收规范合格标准</w:t>
      </w:r>
      <w:r>
        <w:rPr>
          <w:color w:val="000000" w:themeColor="text1"/>
          <w:sz w:val="24"/>
          <w:highlight w:val="none"/>
          <w14:textFill>
            <w14:solidFill>
              <w14:schemeClr w14:val="tx1"/>
            </w14:solidFill>
          </w14:textFill>
        </w:rPr>
        <w:t>。</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（三）服务要求：</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 工程免费保修期限为两年，自验收合格起开始计算，若因施工过失造成的质量事故，其损失和延长工期均由成交供应商负责。其中设备质保期不得低于品牌官方售后标准，质保期内应由承包方会同品牌官方提供售后服务，质保期外，设备厂商应具备完善的售后服务体系，并承诺在设备出现故障时，能在24小时内响应并提供有效的解决方案。承包方购入的设备应从品牌官方购入，承包方及品牌官方应负责设备的售后服务及指导。</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 工程施工验收合格后，承包方协助采购人及物业管理进行工程的运行管理及交接。设备交付时应提供完整的技术资料，包括操作手册、安装说明书、维护手册及电气接线图等。设备到场后应由供货方负责进行安装指导和调试工作，并对操作人员进行必要的培训，确保设备的正确使用和维护。</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 在保修期外，品牌官方需要提供有偿维保服务。</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（四）承包方式：</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本工程采取包工包料方式，按磋商最终报价确定合同价格，工程结算以采购人指定的审计部门做出的审计结果为结算依据。</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w:t>
      </w:r>
      <w:r>
        <w:rPr>
          <w:color w:val="000000" w:themeColor="text1"/>
          <w:sz w:val="24"/>
          <w:highlight w:val="none"/>
          <w14:textFill>
            <w14:solidFill>
              <w14:schemeClr w14:val="tx1"/>
            </w14:solidFill>
          </w14:textFill>
        </w:rPr>
        <w:t>. 变更由采购人签字认可，其增减量按实结算，人工费、材料差价不予调整。因投标方踏勘现场有误造成工程增项、增量，采购人不予认可。</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w:t>
      </w:r>
      <w:r>
        <w:rPr>
          <w:color w:val="000000" w:themeColor="text1"/>
          <w:sz w:val="24"/>
          <w:highlight w:val="none"/>
          <w14:textFill>
            <w14:solidFill>
              <w14:schemeClr w14:val="tx1"/>
            </w14:solidFill>
          </w14:textFill>
        </w:rPr>
        <w:t>. 该工程涉及的一切手续</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消防、公安、市容、规划、占道、城管、环卫等</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，均由施工方负责办理，所发生的费用由磋商方承担，采购人只负责确认盖章等一般手续。</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（五）工期、施工地点要求：</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工期要求：</w:t>
      </w:r>
      <w:r>
        <w:rPr>
          <w:rFonts w:hint="eastAsia"/>
          <w:color w:val="000000" w:themeColor="text1"/>
          <w:sz w:val="24"/>
          <w:highlight w:val="none"/>
          <w14:textFill>
            <w14:solidFill>
              <w14:schemeClr w14:val="tx1"/>
            </w14:solidFill>
          </w14:textFill>
        </w:rPr>
        <w:t>合同签订后40天内完工</w:t>
      </w:r>
      <w:r>
        <w:rPr>
          <w:color w:val="000000" w:themeColor="text1"/>
          <w:sz w:val="24"/>
          <w:highlight w:val="none"/>
          <w14:textFill>
            <w14:solidFill>
              <w14:schemeClr w14:val="tx1"/>
            </w14:solidFill>
          </w14:textFill>
        </w:rPr>
        <w:t>（特殊情况以合同为准）。</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施工地点：</w:t>
      </w:r>
      <w:r>
        <w:rPr>
          <w:rFonts w:hint="eastAsia"/>
          <w:color w:val="000000" w:themeColor="text1"/>
          <w:sz w:val="24"/>
          <w:highlight w:val="none"/>
          <w14:textFill>
            <w14:solidFill>
              <w14:schemeClr w14:val="tx1"/>
            </w14:solidFill>
          </w14:textFill>
        </w:rPr>
        <w:t>天津市东丽区跃进路与先锋路交口</w:t>
      </w:r>
      <w:r>
        <w:rPr>
          <w:color w:val="000000" w:themeColor="text1"/>
          <w:sz w:val="24"/>
          <w:highlight w:val="none"/>
          <w14:textFill>
            <w14:solidFill>
              <w14:schemeClr w14:val="tx1"/>
            </w14:solidFill>
          </w14:textFill>
        </w:rPr>
        <w:t>（特殊情况以合同为准）。</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（六）付款方式：</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签订合同后15天内支付合同金额30%的工程预付款</w:t>
      </w:r>
      <w:r>
        <w:rPr>
          <w:rFonts w:hint="eastAsia"/>
          <w:color w:val="000000" w:themeColor="text1"/>
          <w:sz w:val="24"/>
          <w:highlight w:val="none"/>
          <w:lang w:eastAsia="zh-CN"/>
          <w14:textFill>
            <w14:solidFill>
              <w14:schemeClr w14:val="tx1"/>
            </w14:solidFill>
          </w14:textFill>
        </w:rPr>
        <w:t>，</w:t>
      </w:r>
      <w:r>
        <w:rPr>
          <w:rFonts w:hint="eastAsia"/>
          <w:color w:val="000000" w:themeColor="text1"/>
          <w:sz w:val="24"/>
          <w:highlight w:val="none"/>
          <w14:textFill>
            <w14:solidFill>
              <w14:schemeClr w14:val="tx1"/>
            </w14:solidFill>
          </w14:textFill>
        </w:rPr>
        <w:t>全部工程竣工验收合格后，支付至工程审计及各方确认后结算价格的97%，工程审计后的结算价的3%作为本项目质保金，待工程交付使用缺陷责任期满后清算</w:t>
      </w:r>
      <w:r>
        <w:rPr>
          <w:color w:val="000000" w:themeColor="text1"/>
          <w:sz w:val="24"/>
          <w:highlight w:val="none"/>
          <w14:textFill>
            <w14:solidFill>
              <w14:schemeClr w14:val="tx1"/>
            </w14:solidFill>
          </w14:textFill>
        </w:rPr>
        <w:t>（特殊情况以合同为准）。</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按照《建设工程质量保证金管理办法》预留建设工程质量保证金。</w:t>
      </w:r>
    </w:p>
    <w:p>
      <w:pPr>
        <w:numPr>
          <w:ilvl w:val="0"/>
          <w:numId w:val="1"/>
        </w:num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根据审核确认的竣工结算报告,预留工程价款结算总额3%的工程质量保证金，待工程交付使用缺陷责任期满后清算。</w:t>
      </w:r>
    </w:p>
    <w:p>
      <w:pPr>
        <w:numPr>
          <w:ilvl w:val="0"/>
          <w:numId w:val="0"/>
        </w:num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2.缺陷责任期内不计利息。</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缺陷责任期内，因成交供应商原因造成的缺陷，由成交供应商负责维修并承担鉴定及维修费用。如成交供应商不维修也不承担费用，采购人可从保证金中扣除，费用超出保证金额的，采购人按合同约定向成交供应商进行索赔。成交供应商维修并承担相应费用后，不免除对工程的损失赔偿责任。</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5.缺陷责任期内，成交供应商认真履行合同约定的责任，到期后，向采购人申请返还保证金。采购人收到申请后，于14天内会同成交供应商按照合同约定的内容进行核实。如无异议，按照约定返还保证金。逾期未返还的，按照同期银行存款利率支付利息。</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6.保证金预留、返还及工程维修质量、费用等争议，由双方本着协商的原则解决，协商不成时，可向所在地人民法院起诉。</w:t>
      </w:r>
    </w:p>
    <w:p>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7.特殊情况以合同为准。</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（七）磋商有效期：本项目磋商有效期为60天。</w:t>
      </w:r>
    </w:p>
    <w:p>
      <w:pPr>
        <w:pStyle w:val="28"/>
        <w:spacing w:line="360" w:lineRule="auto"/>
        <w:ind w:firstLine="480" w:firstLineChars="200"/>
        <w:jc w:val="both"/>
        <w:rPr>
          <w:rFonts w:hint="eastAsia"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（八）磋商保证金及履约保证金:本项目不收取投标保证金和履约保证金。</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（九）其他要求：</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1. 投标人须整包进行磋商，不得拆包分项磋商。</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2. 未经采购人同意，成交供应商不得转让合同，不得转包、分包。若出现上述情形时，将按照相关法律法规执行。</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3. 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4. 本项目不接受赠品或者与采购无关的其他商品、服务，投标人亦不得以采购人要求实施前述馈赠、回扣等行为。</w:t>
      </w:r>
    </w:p>
    <w:p>
      <w:pPr>
        <w:autoSpaceDE w:val="0"/>
        <w:autoSpaceDN w:val="0"/>
        <w:adjustRightInd w:val="0"/>
        <w:spacing w:line="360" w:lineRule="auto"/>
        <w:ind w:firstLine="480" w:firstLineChars="200"/>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二、技术要求</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（一）以采购人提供的工程量清单为准，工程结算需经审计并以审定值为准进行结算。</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（二）采购范围：采购人提供的工程量清单中指定的内容。</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（三）质量标准：达到国家施工验收规范合格标准。</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（六）主要材料设备在采购前，其材料质量、规格、品牌、性能必须经采购人确认后方可采购。工程施工中如发生因材料质量不合格，影响工程的施工进度和工程质量，所造成的一切损失由成交供应商负责。</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（八）本项目的工程建设必须达到现行国家、省、自治区、直辖市或行业的工程建设标准、规范及强制性条文的要求。</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（九）施工前，需要按照国家规定进行二次复测的材料设备，必须经复测达到国家环保标准后方可使用，否则，由此所造成的损失则由施工单位负责。复测费用由施工单位承担。</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（十）施工中应严格遵守有关环境保护的法律法规，并应采用有效措施控制施工现场各种粉尘、废气、废弃物噪声、振动等对周围环境造成的污染和危害。</w:t>
      </w:r>
    </w:p>
    <w:p>
      <w:pPr>
        <w:spacing w:line="360" w:lineRule="auto"/>
        <w:ind w:firstLine="480" w:firstLineChars="2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（十一）</w:t>
      </w:r>
      <w:r>
        <w:rPr>
          <w:color w:val="000000" w:themeColor="text1"/>
          <w:sz w:val="24"/>
          <w:highlight w:val="none"/>
          <w14:textFill>
            <w14:solidFill>
              <w14:schemeClr w14:val="tx1"/>
            </w14:solidFill>
          </w14:textFill>
        </w:rPr>
        <w:t>投标人</w:t>
      </w:r>
      <w:r>
        <w:rPr>
          <w:color w:val="000000" w:themeColor="text1"/>
          <w:sz w:val="24"/>
          <w:szCs w:val="24"/>
          <w:highlight w:val="none"/>
          <w14:textFill>
            <w14:solidFill>
              <w14:schemeClr w14:val="tx1"/>
            </w14:solidFill>
          </w14:textFill>
        </w:rPr>
        <w:t>必须具有良好的资信和售后服务，服从采购人的管理，自觉接受监理机构的监理，并能密切配合其它配套施工项目。</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（十</w:t>
      </w: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）本工程所涉的节能产品、节水产品及环境标志产品</w:t>
      </w:r>
      <w:r>
        <w:rPr>
          <w:color w:val="000000" w:themeColor="text1"/>
          <w:kern w:val="0"/>
          <w:sz w:val="24"/>
          <w:szCs w:val="21"/>
          <w:highlight w:val="none"/>
          <w14:textFill>
            <w14:solidFill>
              <w14:schemeClr w14:val="tx1"/>
            </w14:solidFill>
          </w14:textFill>
        </w:rPr>
        <w:t>须</w:t>
      </w:r>
      <w:r>
        <w:rPr>
          <w:color w:val="000000" w:themeColor="text1"/>
          <w:sz w:val="24"/>
          <w:highlight w:val="none"/>
          <w14:textFill>
            <w14:solidFill>
              <w14:schemeClr w14:val="tx1"/>
            </w14:solidFill>
          </w14:textFill>
        </w:rPr>
        <w:t>按照《关于调整优化节能产品、环境标志产品政府采购执行机制的通知》（财库〔2019〕9号）文件要求，对政府采购节能、环境标志品目清单内的产品实施优先采购和强制采购。</w:t>
      </w:r>
    </w:p>
    <w:p>
      <w:pPr>
        <w:autoSpaceDE w:val="0"/>
        <w:autoSpaceDN w:val="0"/>
        <w:adjustRightInd w:val="0"/>
        <w:spacing w:line="360" w:lineRule="auto"/>
        <w:ind w:firstLine="480" w:firstLineChars="200"/>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三、评</w:t>
      </w:r>
      <w:r>
        <w:rPr>
          <w:rFonts w:hint="eastAsia"/>
          <w:bCs/>
          <w:color w:val="000000" w:themeColor="text1"/>
          <w:sz w:val="24"/>
          <w:highlight w:val="none"/>
          <w14:textFill>
            <w14:solidFill>
              <w14:schemeClr w14:val="tx1"/>
            </w14:solidFill>
          </w14:textFill>
        </w:rPr>
        <w:t>分</w:t>
      </w:r>
      <w:r>
        <w:rPr>
          <w:bCs/>
          <w:color w:val="000000" w:themeColor="text1"/>
          <w:sz w:val="24"/>
          <w:highlight w:val="none"/>
          <w14:textFill>
            <w14:solidFill>
              <w14:schemeClr w14:val="tx1"/>
            </w14:solidFill>
          </w14:textFill>
        </w:rPr>
        <w:t>因素及评标标准</w:t>
      </w:r>
    </w:p>
    <w:tbl>
      <w:tblPr>
        <w:tblStyle w:val="16"/>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第一部分 价格（</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价格</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（2）投标报价得分=（评标基准价/投标报价）×</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注：满足</w:t>
            </w:r>
            <w:r>
              <w:rPr>
                <w:rFonts w:hint="eastAsia"/>
                <w:color w:val="000000" w:themeColor="text1"/>
                <w:kern w:val="0"/>
                <w:sz w:val="24"/>
                <w:szCs w:val="24"/>
                <w:highlight w:val="none"/>
                <w:lang w:val="en-US" w:eastAsia="zh-CN"/>
                <w14:textFill>
                  <w14:solidFill>
                    <w14:schemeClr w14:val="tx1"/>
                  </w14:solidFill>
                </w14:textFill>
              </w:rPr>
              <w:t>磋商</w:t>
            </w:r>
            <w:r>
              <w:rPr>
                <w:color w:val="000000" w:themeColor="text1"/>
                <w:kern w:val="0"/>
                <w:sz w:val="24"/>
                <w:szCs w:val="24"/>
                <w:highlight w:val="none"/>
                <w14:textFill>
                  <w14:solidFill>
                    <w14:schemeClr w14:val="tx1"/>
                  </w14:solidFill>
                </w14:textFill>
              </w:rPr>
              <w:t>文件要求且投标报价最低的投标报价为评标基准价。</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第二部分 客观分（</w:t>
            </w:r>
            <w:r>
              <w:rPr>
                <w:rFonts w:hint="eastAsia"/>
                <w:color w:val="000000" w:themeColor="text1"/>
                <w:kern w:val="0"/>
                <w:sz w:val="24"/>
                <w:szCs w:val="24"/>
                <w:highlight w:val="none"/>
                <w:lang w:val="en-US" w:eastAsia="zh-CN"/>
                <w14:textFill>
                  <w14:solidFill>
                    <w14:schemeClr w14:val="tx1"/>
                  </w14:solidFill>
                </w14:textFill>
              </w:rPr>
              <w:t>2</w:t>
            </w:r>
            <w:r>
              <w:rPr>
                <w:rFonts w:hint="eastAsia"/>
                <w:color w:val="000000" w:themeColor="text1"/>
                <w:kern w:val="0"/>
                <w:sz w:val="24"/>
                <w:szCs w:val="24"/>
                <w:highlight w:val="none"/>
                <w14:textFill>
                  <w14:solidFill>
                    <w14:schemeClr w14:val="tx1"/>
                  </w14:solidFill>
                </w14:textFill>
              </w:rPr>
              <w:t>9</w:t>
            </w:r>
            <w:r>
              <w:rPr>
                <w:color w:val="000000" w:themeColor="text1"/>
                <w:kern w:val="0"/>
                <w:sz w:val="24"/>
                <w:szCs w:val="24"/>
                <w:highlight w:val="none"/>
                <w14:textFill>
                  <w14:solidFill>
                    <w14:schemeClr w14:val="tx1"/>
                  </w14:solidFill>
                </w14:textFill>
              </w:rPr>
              <w:t>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投标人业绩</w:t>
            </w:r>
          </w:p>
        </w:tc>
        <w:tc>
          <w:tcPr>
            <w:tcW w:w="7311" w:type="dxa"/>
            <w:vAlign w:val="center"/>
          </w:tcPr>
          <w:p>
            <w:pPr>
              <w:widowControl/>
              <w:adjustRightInd w:val="0"/>
              <w:snapToGrid w:val="0"/>
              <w:rPr>
                <w:rFonts w:hint="eastAsia"/>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完全按照以下要求提供投标人曾实施的</w:t>
            </w:r>
            <w:r>
              <w:rPr>
                <w:rFonts w:hint="eastAsia"/>
                <w:color w:val="000000" w:themeColor="text1"/>
                <w:kern w:val="0"/>
                <w:sz w:val="24"/>
                <w:szCs w:val="24"/>
                <w:highlight w:val="none"/>
                <w:lang w:val="en-US" w:eastAsia="zh-CN"/>
                <w14:textFill>
                  <w14:solidFill>
                    <w14:schemeClr w14:val="tx1"/>
                  </w14:solidFill>
                </w14:textFill>
              </w:rPr>
              <w:t>包含外窗改造工程</w:t>
            </w:r>
            <w:r>
              <w:rPr>
                <w:rFonts w:hint="eastAsia"/>
                <w:color w:val="000000" w:themeColor="text1"/>
                <w:kern w:val="0"/>
                <w:sz w:val="24"/>
                <w:szCs w:val="24"/>
                <w:highlight w:val="none"/>
                <w14:textFill>
                  <w14:solidFill>
                    <w14:schemeClr w14:val="tx1"/>
                  </w14:solidFill>
                </w14:textFill>
              </w:rPr>
              <w:t>业绩，提供的证明材料均不得遮挡涂黑，否则不予认定加分。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A. 合同原件扫描件。包括买卖双方名称及盖章、工程内容、合同签订日期（应为2021年1月1日或以后）。</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B. 加盖合同甲方单位公章的合同履行良好的相关证明材料原件扫描件。</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每个业绩</w:t>
            </w:r>
            <w:r>
              <w:rPr>
                <w:rFonts w:hint="eastAsia"/>
                <w:color w:val="000000" w:themeColor="text1"/>
                <w:kern w:val="0"/>
                <w:sz w:val="24"/>
                <w:szCs w:val="24"/>
                <w:highlight w:val="none"/>
                <w:lang w:val="en-US" w:eastAsia="zh-CN"/>
                <w14:textFill>
                  <w14:solidFill>
                    <w14:schemeClr w14:val="tx1"/>
                  </w14:solidFill>
                </w14:textFill>
              </w:rPr>
              <w:t>1</w:t>
            </w:r>
            <w:r>
              <w:rPr>
                <w:rFonts w:hint="eastAsia"/>
                <w:color w:val="000000" w:themeColor="text1"/>
                <w:kern w:val="0"/>
                <w:sz w:val="24"/>
                <w:szCs w:val="24"/>
                <w:highlight w:val="none"/>
                <w14:textFill>
                  <w14:solidFill>
                    <w14:schemeClr w14:val="tx1"/>
                  </w14:solidFill>
                </w14:textFill>
              </w:rPr>
              <w:t>分，最多</w:t>
            </w:r>
            <w:r>
              <w:rPr>
                <w:rFonts w:hint="eastAsia"/>
                <w:color w:val="000000" w:themeColor="text1"/>
                <w:kern w:val="0"/>
                <w:sz w:val="24"/>
                <w:szCs w:val="24"/>
                <w:highlight w:val="none"/>
                <w:lang w:val="en-US" w:eastAsia="zh-CN"/>
                <w14:textFill>
                  <w14:solidFill>
                    <w14:schemeClr w14:val="tx1"/>
                  </w14:solidFill>
                </w14:textFill>
              </w:rPr>
              <w:t>4</w:t>
            </w:r>
            <w:r>
              <w:rPr>
                <w:rFonts w:hint="eastAsia"/>
                <w:color w:val="000000" w:themeColor="text1"/>
                <w:kern w:val="0"/>
                <w:sz w:val="24"/>
                <w:szCs w:val="24"/>
                <w:highlight w:val="none"/>
                <w14:textFill>
                  <w14:solidFill>
                    <w14:schemeClr w14:val="tx1"/>
                  </w14:solidFill>
                </w14:textFill>
              </w:rPr>
              <w:t>分。</w:t>
            </w:r>
          </w:p>
        </w:tc>
        <w:tc>
          <w:tcPr>
            <w:tcW w:w="1143" w:type="dxa"/>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投标人相关证书</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投标人相关证书评价</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投标人具备质量管理体系认证、环境管理体系认证、职业健康安全管理体系认证，提供证书扫描件。</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具备1个证书得2分，最高6分。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工程质量目标承诺</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工程质量目标承诺满足竞争性磋商文件要求标准：</w:t>
            </w:r>
            <w:r>
              <w:rPr>
                <w:rFonts w:hint="eastAsia"/>
                <w:color w:val="000000" w:themeColor="text1"/>
                <w:kern w:val="0"/>
                <w:sz w:val="24"/>
                <w:szCs w:val="24"/>
                <w:highlight w:val="none"/>
                <w:lang w:val="en-US" w:eastAsia="zh-CN"/>
                <w14:textFill>
                  <w14:solidFill>
                    <w14:schemeClr w14:val="tx1"/>
                  </w14:solidFill>
                </w14:textFill>
              </w:rPr>
              <w:t>10</w:t>
            </w:r>
            <w:r>
              <w:rPr>
                <w:rFonts w:hint="eastAsia"/>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其他：0分。</w:t>
            </w:r>
          </w:p>
        </w:tc>
        <w:tc>
          <w:tcPr>
            <w:tcW w:w="1143" w:type="dxa"/>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4</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施工工期承诺</w:t>
            </w:r>
          </w:p>
        </w:tc>
        <w:tc>
          <w:tcPr>
            <w:tcW w:w="7311" w:type="dxa"/>
            <w:vAlign w:val="center"/>
          </w:tcPr>
          <w:p>
            <w:pPr>
              <w:widowControl/>
              <w:adjustRightInd w:val="0"/>
              <w:snapToGrid w:val="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施工工期承诺满足磋商文件要求：</w:t>
            </w:r>
            <w:r>
              <w:rPr>
                <w:rFonts w:hint="eastAsia"/>
                <w:color w:val="000000" w:themeColor="text1"/>
                <w:sz w:val="24"/>
                <w:szCs w:val="24"/>
                <w:highlight w:val="none"/>
                <w:lang w:val="en-US" w:eastAsia="zh-CN"/>
                <w14:textFill>
                  <w14:solidFill>
                    <w14:schemeClr w14:val="tx1"/>
                  </w14:solidFill>
                </w14:textFill>
              </w:rPr>
              <w:t>9</w:t>
            </w:r>
            <w:r>
              <w:rPr>
                <w:rFonts w:hint="eastAsia"/>
                <w:color w:val="000000" w:themeColor="text1"/>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其他：0分。</w:t>
            </w:r>
          </w:p>
        </w:tc>
        <w:tc>
          <w:tcPr>
            <w:tcW w:w="1143" w:type="dxa"/>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第三部分 主观分（</w:t>
            </w:r>
            <w:r>
              <w:rPr>
                <w:rFonts w:hint="eastAsia"/>
                <w:color w:val="000000" w:themeColor="text1"/>
                <w:kern w:val="0"/>
                <w:sz w:val="24"/>
                <w:szCs w:val="24"/>
                <w:highlight w:val="none"/>
                <w14:textFill>
                  <w14:solidFill>
                    <w14:schemeClr w14:val="tx1"/>
                  </w14:solidFill>
                </w14:textFill>
              </w:rPr>
              <w:t>51</w:t>
            </w:r>
            <w:r>
              <w:rPr>
                <w:color w:val="000000" w:themeColor="text1"/>
                <w:kern w:val="0"/>
                <w:sz w:val="24"/>
                <w:szCs w:val="24"/>
                <w:highlight w:val="none"/>
                <w14:textFill>
                  <w14:solidFill>
                    <w14:schemeClr w14:val="tx1"/>
                  </w14:solidFill>
                </w14:textFill>
              </w:rPr>
              <w:t>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总体概述</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对本项目的内容总体有深入认识及了解，总体概述表述清晰、完整、严谨、合理、可行性高，内容全面，优于采购需求：5分；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对本项目的内容总体较为深入认识及了解，总体概述表述较为清晰、完整、严谨、合理、可行性较高，内容较全面，完全满足采购需求：3分；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对本项目的内容总体有一定得认识及了解，总体概述表述一般、可行性一般，内容基本齐全，基本满足采购需求：1分；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总体概述不能满足采购需求：0分。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施工平面布置和临时设施布置</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总体布置针对性强、非常合理，最大限度的满足施工需要，特别符合安全、文明生产需要，优于采购需求：3分；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总体布置针对性较强、较为合理，满足施工需要，符合安全、文明生产需要，完全满足采购需求：2分；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总体布置针对性一般、合理性一般，基本满足施工需要，基本符合安全、文明生产需要，基本满足采购需求：1分；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施工平面布置和临时设施布置方案不能满足采购需求：0分。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3</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劳动力和材料投入计划及其保证措施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投入计划与进度计划呼应，满足施工需要，调配投入计划合理、准确，优于采购需求：3分；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投入计划与进度计划较为呼应，满足施工需要，调配投入计划较为合理、准确，完全满足采购需求：2分；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投入计划与进度计划呼应性一般，基本满足施工需要，调配投入计划基本合理、准确，基本满足采购需求：1分；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劳动力和材料投入计划及其保证措施不能满足采购需求：0分。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4</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施工进度计划和各阶段进度的保证措施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关键线路清晰、准确、完整、计划编制合理、可行；关键节点的控制措施有力、合理、可行，优于采购需求：3分；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关键线路较为清晰、准确、完整；计划编制较为合理、可行；关键节点的控制措施较为有力、合理、可行，完全满足采购需求：2分；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关键线路一般；计划编制一般；关键节点的控制措施一般，基本满足采购需求：1分；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施工进度计划和各阶段进度的保证措施不能满足采购需求：0分。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机械设备投入计划方案</w:t>
            </w:r>
          </w:p>
        </w:tc>
        <w:tc>
          <w:tcPr>
            <w:tcW w:w="7311" w:type="dxa"/>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投入计划与进度计划呼应，满足施工需要，全部采用先进机械设备，方案优于采购需求：3分；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投入计划与进度计划较为呼应，满足施工需要，部分采用先进机械设备，方案完全满足采购需求：2分；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投入计划与进度计划呼应性一般，基本满足施工需要，未采用先进机械设备，方案基本满足采购需求：1分；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机械设备投入计划方案不能满足采购需求：0分。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关键工序的施工技术、工艺以及质量保证的措施、工程实施的重点、难点分析和解决方案</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对关键工序的关键技术、工艺有深入的表述，对重点、难点有先进、合理的建议，解决方案完整、经济、安全、质量保证切实可行，措施得力，方案优于采购人需求：5分；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对关键工序的关键技术、工艺有较为深入的表述，对重点、难点有较为先进、合理的建议，解决方案较为完整、经济、安全，质量保证较为切实可行，措施较为得力，方案完全满足采购需求：3分；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对关键工序的关键技术、工艺有的表述一般，对重点、难点有建议，解决方案一般，质量保证基本切实可行，措施基本得力，方案基本满足采购需求：1分；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关键工序的施工技术、工艺以及质量保证的措施、工程实施的重点、难点分析和解决方案不能满足采购需求：0分。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7</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新技术、新工艺、专利技术的应用和违约责任承诺</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针对项目实际，未提出采用新技术、新工艺、专利技术的具体措施，对采用的新技术、新工艺、专利技术可能产生的风险有预见性一般，违约承诺一般，经济赔偿较小，方案基本满足采购需求：1分；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新技术、新工艺、专利技术的应用和违约责任承诺不能满足采购需求：0分。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8</w:t>
            </w:r>
          </w:p>
        </w:tc>
        <w:tc>
          <w:tcPr>
            <w:tcW w:w="1419" w:type="dxa"/>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安全保证措施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针对项目实际情况，有先进、具体、完整、可行的实施方案和措施，措施优于采购需求：5分；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针对项目实际情况，有较为先进、具体、完整、可行的实施方案和措施，措施完全满足采购需求：3分；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针对项目实际情况，实施方案和措施表述一般，措施基本满足采购需求：1分；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安全保证措施不能满足采购需求：0分。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9</w:t>
            </w:r>
          </w:p>
        </w:tc>
        <w:tc>
          <w:tcPr>
            <w:tcW w:w="1419" w:type="dxa"/>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各工序的协调措施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针对各工序的协调措施实际情况，有先进、具体、完整、可行的实施方案和措施，采用的协调方法正确、清晰，措施优于采购需求：3分；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针对各工序的协调措施实际情况，有较为先进、具体、完整、可行的实施方案和措施，采用的协调方法较为正确、清晰，措施完全满足采购需求：2分；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针对各工序的协调措施实际情况，实施方案和措施表述一般，协调方法一般，措施基本满足采购需求：1分；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各工序的协调措施不能满足采购需求：0分。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10</w:t>
            </w:r>
          </w:p>
        </w:tc>
        <w:tc>
          <w:tcPr>
            <w:tcW w:w="1419"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冬、雨季施工措施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针对冬、雨季施工措施实际情况，有先进、具体、完整、可行的实施方案和措施，措施优于采购需求：3分；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针对冬、雨季施工措施实际情况，有较为先进、具体、完整、可行的实施方案和措施，措施完全满足采购需求：2分；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针对冬、雨季施工措施实际情况，实施方案和措施表述一般，措施基本满足采购需求：1分；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冬、雨季施工措施不能满足采购需求：0分。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11</w:t>
            </w:r>
          </w:p>
        </w:tc>
        <w:tc>
          <w:tcPr>
            <w:tcW w:w="1419" w:type="dxa"/>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文明施工措施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针对施工现场文明施工措施实际情况，有先进、具体、完整、可行的实施措施，措施优于采购需求：3分；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针对施工现场文明施工措施实际情况，有较为先进、具体、完整、可行的实施措施，措施完全满足采购需求：2分；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针对施工现场文明施工措施实际情况，实施措施表述一般，措施基本满足采购需求：1分；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文明施工措施不能满足采购需求：0分。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12</w:t>
            </w:r>
          </w:p>
        </w:tc>
        <w:tc>
          <w:tcPr>
            <w:tcW w:w="1419" w:type="dxa"/>
            <w:vAlign w:val="center"/>
          </w:tcPr>
          <w:p>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施工现场环保措施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针对施工现场环保措施实际情况，有先进、具体、完整、可行的实施措施，措施优于采购需求：3分；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针对施工现场环保措施实际情况，有较为先进、具体、完整、可行的实施措施，措施完全满足采购需求：2分；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针对施工现场环保措施实际情况，实施措施表述一般，措施基本满足采购需求：1分；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工现场环保措施不能满足采购需求：0分。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13</w:t>
            </w:r>
          </w:p>
        </w:tc>
        <w:tc>
          <w:tcPr>
            <w:tcW w:w="1419" w:type="dxa"/>
            <w:vAlign w:val="center"/>
          </w:tcPr>
          <w:p>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施工现场维护措施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针对施工现场维护措施实际情况，有先进、具体、完整、可行的实施措施，措施优于采购需求：3分；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针对施工现场维护措施实际情况，有较为先进、具体、完整、可行的实施措施，措施完全满足采购需求：2分；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针对施工现场维护措施实际情况，实施措施表述一般，措施基本满足采购需求：1分；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施工现场维护措施不能满足采购需求：0分。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14</w:t>
            </w:r>
          </w:p>
        </w:tc>
        <w:tc>
          <w:tcPr>
            <w:tcW w:w="1419" w:type="dxa"/>
            <w:vAlign w:val="center"/>
          </w:tcPr>
          <w:p>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应急预案</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针对本工程应急救援实际情况，有先进、具体、完整、可行的实施方案和措施，方案优于采购需求：3分；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针对本工程应急救援实际情况，有较为先进、具体、完整、可行的实施方案和措施，方案完全满足采购需求：2分；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针对本工程应急救援实际情况，实施方案和措施表述一般，方案基本满足采购需求：1分；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应急预案不能满足采购需求：0分。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15</w:t>
            </w:r>
          </w:p>
        </w:tc>
        <w:tc>
          <w:tcPr>
            <w:tcW w:w="1419" w:type="dxa"/>
            <w:vAlign w:val="center"/>
          </w:tcPr>
          <w:p>
            <w:pPr>
              <w:widowControl/>
              <w:adjustRightInd w:val="0"/>
              <w:snapToGrid w:val="0"/>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工程交验后服务措施</w:t>
            </w:r>
          </w:p>
        </w:tc>
        <w:tc>
          <w:tcPr>
            <w:tcW w:w="7311" w:type="dxa"/>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针对工程交验后服务实际情况，有先进、具体、完整、可行的实施方案和措施，能够最大程度达到用户满意，措施优于采购需求：3分；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针对工程交验后服务实际情况，有较为先进、具体、完整、可行的实施方案和措施，能够较大程度达到用户满意，措施完全满足采购需求：2分；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针对工程交验后服务实际情况，实施方案和措施表述一般，能够基本达到用户满意，措施基本满足采购需求：1分；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工程交验后服务措施不能满足采购需求：0分。</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noWrap/>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1143" w:type="dxa"/>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100</w:t>
            </w:r>
          </w:p>
        </w:tc>
      </w:tr>
    </w:tbl>
    <w:p>
      <w:pPr>
        <w:spacing w:line="360" w:lineRule="auto"/>
        <w:ind w:firstLine="480" w:firstLineChars="200"/>
        <w:outlineLvl w:val="0"/>
        <w:rPr>
          <w:color w:val="000000" w:themeColor="text1"/>
          <w:sz w:val="24"/>
          <w:highlight w:val="none"/>
          <w:lang w:val="zh-CN"/>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360" w:lineRule="auto"/>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项目需求书</w:t>
      </w:r>
    </w:p>
    <w:p>
      <w:pPr>
        <w:spacing w:line="360" w:lineRule="auto"/>
        <w:ind w:firstLine="480"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一、项目背景</w:t>
      </w:r>
    </w:p>
    <w:p>
      <w:pPr>
        <w:spacing w:line="360" w:lineRule="auto"/>
        <w:ind w:firstLine="480" w:firstLineChars="200"/>
        <w:outlineLvl w:val="0"/>
        <w:rPr>
          <w:rFonts w:hint="eastAsia"/>
          <w:color w:val="000000" w:themeColor="text1"/>
          <w:kern w:val="0"/>
          <w:sz w:val="24"/>
          <w:highlight w:val="none"/>
          <w14:textFill>
            <w14:solidFill>
              <w14:schemeClr w14:val="tx1"/>
            </w14:solidFill>
          </w14:textFill>
        </w:rPr>
      </w:pPr>
      <w:r>
        <w:rPr>
          <w:rFonts w:hint="eastAsia"/>
          <w:color w:val="000000" w:themeColor="text1"/>
          <w:kern w:val="0"/>
          <w:sz w:val="24"/>
          <w:highlight w:val="none"/>
          <w14:textFill>
            <w14:solidFill>
              <w14:schemeClr w14:val="tx1"/>
            </w14:solidFill>
          </w14:textFill>
        </w:rPr>
        <w:t>该工程施工主体为东丽区税务局机关办公楼，该楼位于天津市东丽区跃进路与先锋路交口，于2002年10月投入使用，共7层，房屋结构为钢筋混凝土结构，建筑面积为8264.38平方米。该房最近一次立项维修改造为屋顶防水工程，竣工验收时间为2019年12月。该房使用至今，办公楼窗户为单层老式铝合金推拉窗，老化变形。因封闭不严，导致冬天漏风、夏天漏雨问题突出。以上问题存在安全隐患，严重影响税收中心工作开展。为改善办公环境，提高能源利用效率和舒适度， 现计划对国家税务总局天津市东丽区机关办公楼的外窗系统进行全面的维修改造。</w:t>
      </w:r>
    </w:p>
    <w:p>
      <w:pPr>
        <w:spacing w:line="360" w:lineRule="auto"/>
        <w:ind w:firstLine="480" w:firstLineChars="200"/>
        <w:outlineLvl w:val="0"/>
        <w:rPr>
          <w:rFonts w:hint="eastAsia" w:eastAsia="宋体"/>
          <w:color w:val="000000" w:themeColor="text1"/>
          <w:kern w:val="0"/>
          <w:sz w:val="24"/>
          <w:highlight w:val="none"/>
          <w:lang w:eastAsia="zh-CN"/>
          <w14:textFill>
            <w14:solidFill>
              <w14:schemeClr w14:val="tx1"/>
            </w14:solidFill>
          </w14:textFill>
        </w:rPr>
      </w:pPr>
      <w:r>
        <w:rPr>
          <w:color w:val="000000" w:themeColor="text1"/>
          <w:kern w:val="0"/>
          <w:sz w:val="24"/>
          <w:highlight w:val="none"/>
          <w14:textFill>
            <w14:solidFill>
              <w14:schemeClr w14:val="tx1"/>
            </w14:solidFill>
          </w14:textFill>
        </w:rPr>
        <w:t>本项目属于建筑业</w:t>
      </w:r>
      <w:r>
        <w:rPr>
          <w:rFonts w:hint="eastAsia"/>
          <w:color w:val="000000" w:themeColor="text1"/>
          <w:kern w:val="0"/>
          <w:sz w:val="24"/>
          <w:highlight w:val="none"/>
          <w:lang w:eastAsia="zh-CN"/>
          <w14:textFill>
            <w14:solidFill>
              <w14:schemeClr w14:val="tx1"/>
            </w14:solidFill>
          </w14:textFill>
        </w:rPr>
        <w:t>。</w:t>
      </w:r>
    </w:p>
    <w:p>
      <w:pPr>
        <w:numPr>
          <w:ilvl w:val="0"/>
          <w:numId w:val="0"/>
        </w:numPr>
        <w:spacing w:line="360" w:lineRule="auto"/>
        <w:ind w:firstLine="480" w:firstLineChars="200"/>
        <w:outlineLvl w:val="0"/>
        <w:rPr>
          <w:color w:val="000000" w:themeColor="text1"/>
          <w:kern w:val="0"/>
          <w:sz w:val="24"/>
          <w:highlight w:val="none"/>
          <w14:textFill>
            <w14:solidFill>
              <w14:schemeClr w14:val="tx1"/>
            </w14:solidFill>
          </w14:textFill>
        </w:rPr>
      </w:pPr>
      <w:r>
        <w:rPr>
          <w:rFonts w:hint="eastAsia"/>
          <w:color w:val="000000" w:themeColor="text1"/>
          <w:kern w:val="0"/>
          <w:sz w:val="24"/>
          <w:highlight w:val="none"/>
          <w:lang w:val="en-US" w:eastAsia="zh-CN"/>
          <w14:textFill>
            <w14:solidFill>
              <w14:schemeClr w14:val="tx1"/>
            </w14:solidFill>
          </w14:textFill>
        </w:rPr>
        <w:t>二、</w:t>
      </w:r>
      <w:r>
        <w:rPr>
          <w:color w:val="000000" w:themeColor="text1"/>
          <w:kern w:val="0"/>
          <w:sz w:val="24"/>
          <w:highlight w:val="none"/>
          <w14:textFill>
            <w14:solidFill>
              <w14:schemeClr w14:val="tx1"/>
            </w14:solidFill>
          </w14:textFill>
        </w:rPr>
        <w:t>具体内容详见工程量清单</w:t>
      </w:r>
      <w:r>
        <w:rPr>
          <w:rFonts w:hint="eastAsia"/>
          <w:color w:val="000000" w:themeColor="text1"/>
          <w:kern w:val="0"/>
          <w:sz w:val="24"/>
          <w:highlight w:val="none"/>
          <w:lang w:val="en-US" w:eastAsia="zh-CN"/>
          <w14:textFill>
            <w14:solidFill>
              <w14:schemeClr w14:val="tx1"/>
            </w14:solidFill>
          </w14:textFill>
        </w:rPr>
        <w:t>和图纸</w:t>
      </w:r>
      <w:r>
        <w:rPr>
          <w:color w:val="000000" w:themeColor="text1"/>
          <w:kern w:val="0"/>
          <w:sz w:val="24"/>
          <w:highlight w:val="none"/>
          <w14:textFill>
            <w14:solidFill>
              <w14:schemeClr w14:val="tx1"/>
            </w14:solidFill>
          </w14:textFill>
        </w:rPr>
        <w:t>。</w:t>
      </w:r>
    </w:p>
    <w:p>
      <w:pP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br w:type="page"/>
      </w:r>
    </w:p>
    <w:p>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第三部分  供应商须知</w:t>
      </w:r>
      <w:bookmarkEnd w:id="1"/>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bookmarkStart w:id="4" w:name="_Toc411426751"/>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  说明</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概述</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根据《中华人民共和国政府采购法》、《中华人民共和国政府采购法实施条例》等有关法律、法规和规章的规定，本采购项目已具备竞争性磋商条件。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本竞争性磋商文件仅适用于磋商邀请函中所叙述工程的采购。</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参与磋商活动的所有各方，对在参与磋商过程中获悉的国家、商业和技术秘密以及其它依法应当保密的内容，均负有保密义务，违者应对由此造成的后果承担全部法律责任。</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定义</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“采购人”系指本次磋商活动的采购单位。“采购代理机构”系指组织本次磋商活动的机构，即“天津市政府采购中心”。</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“投标人”系指向采购代理机构提交响应文件的供应商。</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“服务”系指按本竞争性磋商文件规定供应商须承担的相关服务和竞争性磋商文件中规定供应商应承担的相关义务。</w:t>
      </w:r>
    </w:p>
    <w:p>
      <w:pPr>
        <w:pStyle w:val="28"/>
        <w:adjustRightInd/>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解释权</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本次磋商的最终解释权归为采购人、采购代理机构。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本文件未作须知明示，而又有相关法律、法规规定的，采购人、采购代理机构将对此解释为依据有关法律、法规的规定。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合格的投标人</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4.1 符合《中华人民共和国政府采购法》第二十二条供应商参加政府采购活动应当具备的条件及其他有关法律、法规关于供应商的有关规定，有能力提供磋商采购工程的供应商。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4.2 符合《磋商邀请函》中关于供应商资格要求（实质性要求）的规定。</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4.3 关于联合体参与磋商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《磋商邀请函》接受联合体参与磋商的：</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（1）两个以上的自然人、法人或者其他组织可以组成一个联合体，以一个供应商的身份共同参加政府采购。</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联合体各方均应当符合《政府采购法》第二十二条第一款规定的条件，根据采购项目的特殊要求规定投标人特定条件的，联合体各方中至少应当有一方符合《磋商邀请函》规定的供应商资格条件（实质性要求）。</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（3）联合体各方之间应当签订共同投标协议并在响应文件内提交，明确约定联合体主体及联合体各方承担的工作和相应的责任。联合体各方签订共同投标协议后，不得再以自己名义单独在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000000" w:themeColor="text1"/>
          <w:highlight w:val="none"/>
          <w14:textFill>
            <w14:solidFill>
              <w14:schemeClr w14:val="tx1"/>
            </w14:solidFill>
          </w14:textFill>
        </w:rPr>
        <w:t>同一合同项下</w:t>
      </w:r>
      <w:r>
        <w:rPr>
          <w:rFonts w:ascii="Times New Roman" w:hAnsi="Times New Roman" w:eastAsia="宋体" w:cs="Times New Roman"/>
          <w:color w:val="000000" w:themeColor="text1"/>
          <w:highlight w:val="none"/>
          <w14:textFill>
            <w14:solidFill>
              <w14:schemeClr w14:val="tx1"/>
            </w14:solidFill>
          </w14:textFill>
        </w:rPr>
        <w:t>投标，也不得组成新的联合体参加同一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（4）下载竞争性磋商文件后如放弃投标，请于网上应答截止时间之前取消参与磋商。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（5）联合体参与磋商的，应以主体方名义提交投标保证金（如有），对联合体各方均具有约束力。</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（7）联合体中任意一方为中小企业的，该方应提供《中小企业声明函》。</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（8）联合体各方应当共同与采购人签订采购合同，就采购合同约定的事项对采购人承担连带责任。</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4.4 关于关联企业</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除联合体外，法定代表人或单位负责人为同一个人或者存在直接控股、管理关系的不同供应商，不得同时参加同一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项下的投标。如同时参加，则评审时将同时被拒绝。</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4.5 关于分公司参与磋商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4.6 关于提供前期服务的供应商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为采购项目提供整体设计、规范编制或者项目管理、监理、检测等服务的供应商，不得再参加该采购项目的其他采购活动。</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4.7 关于中小微企业参与磋商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中小微企业是指符合《政府采购促进中小企业发展管理办法》（财库[2020]46号）规定的供应商。中小微企业参与磋商应提供《中小企业声明函》。</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根据《财政部 民政部 中国残疾人联合会关于促进残疾人就业政府采购政策的通知》（财库〔2017〕141号）的规定，残疾人福利性单位视同为小型、微型企业。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合格的工程和相关服务</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5.1 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5.2 除《磋商项目需求》有特殊规定外，投标人提供的工程和相关服务应当是全新的、未使用过的，工程和相关服务应当符合竞争性磋商文件的要求，并且其质量完全符合国家标准、行业标准或地方标准。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5.3 投标人应当说明投标工程和相关服务的来源地，如投标的工程和相关服务非投标人生产或制造的，则验收时有义务提供其从合法途径获得该工程和相关服务中货物的相关证明。</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 投标费用</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无论投标过程中的做法和结果如何，投标人自行承担所有与参加磋商有关的费用。</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 信息发布</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本项目需要公开的有关信息，包括采购信息公告、更正公告、成交结果公告、终止公告等与磋商活动有关的通知，采购人、采购代理机构均将通过“</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 询问与质疑</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8.2 询问</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（1）询问可以采取电话、当面或书面等形式。</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（2）采购人应当自收到供应商询问之日起3个工作日内作出答复，但答复的内容不得涉及商业秘密或者依法应当保密的内容。</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8.3 质疑</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（1）提出质疑的供应商应当是参与所质疑项目采购活动的供应商。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针对采购结果的质疑，供应商可通过天津市政府采购中心招投标系统“质疑”模块在线提出。</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8.4 针对询问或质疑的答复内容需要修改采购文件的，其修改内容应当以</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政府采购网发布的更正公告为准。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 其他</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本《供应商须知》的条款如与《磋商邀请函》、《磋商项目需求》就同一内容的表述不一致的，以《磋商邀请函》、《磋商项目需求》中规定的内容为准。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480" w:firstLineChars="200"/>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竞争性磋商文件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 竞争性磋商文件的构成</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10.1 竞争性磋商文件由下述部分组成：</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（1）磋商邀请函；</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（2）磋商项目要求；</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（3）供应商须知；</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（4）合同草案；</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（5）响应文件格式；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（6）竞争性磋商文件的更正公告内容（如有）。</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10.2 除非有特殊要求，竞争性磋商文件不单独提供磋商项目使用地的自然环境、气候条件、公用设施等情况，投标人被视为熟悉上述与履行合同有关的一切情况。</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10.3 《磋商项目需求》加注“</w:t>
      </w:r>
      <w:r>
        <w:rPr>
          <w:rFonts w:hint="eastAsia" w:ascii="宋体" w:hAnsi="宋体" w:eastAsia="宋体" w:cs="宋体"/>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”号条款为实质性技术条款，不得出现负偏离，发生负偏离即做无效标处理。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10.4 竞争性磋商文件中涉及的参照品牌、型号仅起说明作用，并没有任何限制性，投标人在投标中可以选用其他替代品牌或型号，但这些替代要实质上优于或相当于磋商要求。</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10.5 除竞争性磋商文件另有规定外，竞争性磋商文件中要求的每一项产品只允许一种产品投标，每一项产品的采购数量不允许变更。</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竞争性磋商文件的澄清和修改</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11.1 提交首次响应文件截止之日前，采购人、采购代理机构需要对磋商文件进行补充或修改的，采购人、采购代理机构将会通过</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政府采购网”以更正公告形式发布。</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11.3 更正公告一经在</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11.4 更正公告的内容为竞争性磋商文件的组成部分。当竞争性磋商文件与更正公告就同一内容的表述不一致时，以最后发出的更正公告内容为准。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答疑会和踏勘现场</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12.1 采购人、采购代理机构召开答疑会的，所有投标人应按《磋商邀请函》规定的时间、地点参加答疑会。投标人如不参加，其风险由投标人自行承担，采购人、采购代理机构不承担任何责任。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12.2 采购人、采购代理机构组织踏勘现场的，所有投标人按《磋商邀请函》规定的时间、地点参加踏勘现场活动。投标人如不参加，其风险由投标人自行承担，采购人、采购代理机构不承担任何责任。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12.3 采购人、采购代理机构在答疑会或踏勘现场中口头介绍的情况，除经“</w:t>
      </w:r>
      <w:r>
        <w:rPr>
          <w:rFonts w:hint="eastAsia" w:ascii="Times New Roman" w:hAnsi="Times New Roman" w:eastAsia="宋体" w:cs="Times New Roman"/>
          <w:color w:val="000000" w:themeColor="text1"/>
          <w:highlight w:val="none"/>
          <w:lang w:val="en-US" w:eastAsia="zh-CN"/>
          <w14:textFill>
            <w14:solidFill>
              <w14:schemeClr w14:val="tx1"/>
            </w14:solidFill>
          </w14:textFill>
        </w:rPr>
        <w:t>中国</w:t>
      </w:r>
      <w:r>
        <w:rPr>
          <w:rFonts w:ascii="Times New Roman" w:hAnsi="Times New Roman" w:eastAsia="宋体" w:cs="Times New Roman"/>
          <w:color w:val="000000" w:themeColor="text1"/>
          <w:highlight w:val="none"/>
          <w14:textFill>
            <w14:solidFill>
              <w14:schemeClr w14:val="tx1"/>
            </w14:solidFill>
          </w14:textFill>
        </w:rPr>
        <w:t>政府采购网”以更正公告的形式发布外，不构成对竞争性磋商文件的修改，不作为投标人编制响应文件的依据。</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  响应文件的编制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要求</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13.2 投标人应根据磋商项目需求和响应文件格式编制响应文件，保证其真实有效，并承担相应的法律责任。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 投标语言及计量单位</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14.2 除竞争性磋商文件中另有规定外，响应文件所使用的计量单位均应使用中华人民共和国法定计量单位。</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 响应文件格式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15.1 投标人应按竞争性磋商文件第五部分提供的响应文件格式完整填写。因不按要求编制而引起系统无法检索、读取相关信息时，其后果由投标人自行承担。</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15.2 投标人可对本竞争性磋商文件“磋商项目要求”所列的所有货物进行投标，也可只对其中一包或几包的货物投标；若无特殊说明，每一包的内容不得分项投标，原则上按照整包确定成交供应商。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15.3 如投标多个包的，要求按包分别独立制作响应文件。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15.4 响应文件（包括封面和目录）的每一页，从封面开始按阿拉伯数字1、2、3…顺序编制页码。</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 响应文件的组成</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16.1 按照《磋商邀请函》规定的时间分别上传加盖电子签章的两阶段电子响应文件。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 报价</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17.1 报价书、报价分项一览表等各表中的报价，若无特殊说明应采用人民币填报。</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17.2 报价是</w:t>
      </w:r>
      <w:r>
        <w:rPr>
          <w:rFonts w:ascii="Times New Roman" w:hAnsi="Times New Roman" w:cs="Times New Roman"/>
          <w:color w:val="000000" w:themeColor="text1"/>
          <w:highlight w:val="none"/>
          <w14:textFill>
            <w14:solidFill>
              <w14:schemeClr w14:val="tx1"/>
            </w14:solidFill>
          </w14:textFill>
        </w:rPr>
        <w:t>为完成竞争性磋商文件规定的一切工作所需的全部费用的最终优惠价格。</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17.3 除《磋商项目需求》中说明并允许外，投标的每一个货物、服务的单项报价以及采购项目的投标总价均只允许有一个报价，任何有选择的报价，采购人、采购代理机构均将予以拒绝。</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 投标人资格证明文件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投标人必须提交证明其有资格进行投标和有能力履行合同的文件，作为响应文件的一部分。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（1）《磋商邀请函》中规定的供应商资格要求（实质性要求）证明文件；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（2）若国家及行业对投标项目有特殊资格要求的，还须提供特殊资格证明文件；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（3）涉及本须知中“4. 合格的投标人”相关要求的，按其要求执行。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 技术响应文件</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19.1 投标人须提交证明其拟供工程符合竞争性磋商文件规定的技术响应文件，作为响应文件的一部分。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19.2 上述文件可以是文字资料、图纸或数据。</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19.3 响应文件中技术要求应达到或优于竞争性磋商文件中所列技术要求。投标人应注意竞争性磋商文件中所列技术指标仅列出了最低限度。</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 投标保证金</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20.1 按照《磋商项目需求》要求执行。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 符合《政府采购法实施条例》和《政府采购竞争性磋商采购方式管理暂行办法》相关规定。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磋商有效期</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21.1 磋商有效期为响应文件开启之日起60天。响应书中规定的有效期短于竞争性磋商文件规定的，其投标将被拒绝。</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响应文件的签署及规定</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22.1 响应文件应按《磋商项目需求》和《响应文件格式》如实编写，未尽事宜可自行补充。响应文件内容不完整、格式不符合导致响应文件被误读、漏读或者查找不到相关内容的，投标人自行承担由此产生的风险。</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22.2 投标人按照《磋商邀请函》的要求提交网上应答并分别</w:t>
      </w:r>
      <w:r>
        <w:rPr>
          <w:rFonts w:ascii="Times New Roman" w:hAnsi="Times New Roman" w:cs="Times New Roman" w:eastAsiaTheme="minorEastAsia"/>
          <w:color w:val="000000" w:themeColor="text1"/>
          <w:szCs w:val="32"/>
          <w:highlight w:val="none"/>
          <w14:textFill>
            <w14:solidFill>
              <w14:schemeClr w14:val="tx1"/>
            </w14:solidFill>
          </w14:textFill>
        </w:rPr>
        <w:t>上传加盖电子签章的第一、第二阶段电子响应文件</w:t>
      </w:r>
      <w:r>
        <w:rPr>
          <w:rFonts w:ascii="Times New Roman" w:hAnsi="Times New Roman" w:eastAsia="宋体" w:cs="Times New Roman"/>
          <w:color w:val="000000" w:themeColor="text1"/>
          <w:highlight w:val="none"/>
          <w14:textFill>
            <w14:solidFill>
              <w14:schemeClr w14:val="tx1"/>
            </w14:solidFill>
          </w14:textFill>
        </w:rPr>
        <w:t>（以通过天津公共资源电子签章客户端正确读取签章信息为准）。加盖电子签章的电子响应文件应与网上应答填报内容一致。</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22.3 响应文件因模糊不清或表达不清所引起的后果由投标人自负。</w:t>
      </w:r>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D  响应文件的网上应答和提交</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投标人须于《磋商邀请函》规定的投标截止时间前提交网上应答并上传加盖电子签章的电子响应文件（以通过天津公共资源电子签章客户端正确读取签章信息为准）。具体方式：登录天津市政府采购中心网（网址：www.tjgpc.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 制作和上传电子响应文件要求</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24.1 投标人须下载天津市政府采购中心网-下载中心-《天津公共资源电子签章客户端安装包及使用说明》。</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特别提醒：</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w:t>
      </w:r>
      <w:r>
        <w:rPr>
          <w:rFonts w:hint="eastAsia" w:ascii="Times New Roman" w:hAnsi="Times New Roman" w:eastAsia="宋体" w:cs="Times New Roman"/>
          <w:color w:val="000000" w:themeColor="text1"/>
          <w:highlight w:val="none"/>
          <w14:textFill>
            <w14:solidFill>
              <w14:schemeClr w14:val="tx1"/>
            </w14:solidFill>
          </w14:textFill>
        </w:rPr>
        <w:t>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24.3 投标人应保证电子响应文件清晰，便于识别，如因上传、扫描、格式等原因导致评审时受到影响，由投标人自行承担相应责任。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24.4 未按规定提交网上应答和上传加盖电子签章的电子响应文件的投标将被拒绝。</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25. 投标人须承诺接受电子投标的方式，并自行承担由此带来的废标、无效投标的风险。</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 未按竞争性磋商文件的规定提交网上应答和上传加盖投标人电子签章的电子响应文件（以通过天津公共资源电子签章客户端正确读取签章信息为准）的投标将被拒绝。</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E  磋商程序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 磋商步骤</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磋商小组要求供应商澄清、说明或者更正响应文件应当以书面形式做出。</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hint="eastAsia" w:ascii="Times New Roman" w:hAnsi="Times New Roman" w:eastAsia="宋体" w:cs="Times New Roman"/>
          <w:color w:val="000000" w:themeColor="text1"/>
          <w:kern w:val="2"/>
          <w:highlight w:val="none"/>
          <w14:textFill>
            <w14:solidFill>
              <w14:schemeClr w14:val="tx1"/>
            </w14:solidFill>
          </w14:textFill>
        </w:rPr>
        <w:t>注：供应商法定代表人或其磋商代表人须携带身份证或其他有效身份证明原件参加磋商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对磋商文件做出的实质性变动是磋商文件的有效组成部分，磋商小组应当及时以书面形式同时通知所有参加磋商的供应商。</w:t>
      </w:r>
    </w:p>
    <w:p>
      <w:pPr>
        <w:pStyle w:val="28"/>
        <w:spacing w:line="360" w:lineRule="auto"/>
        <w:ind w:firstLine="480" w:firstLineChars="200"/>
        <w:jc w:val="both"/>
        <w:rPr>
          <w:rFonts w:ascii="Times New Roman" w:hAnsi="Times New Roman" w:eastAsia="宋体" w:cs="Times New Roman"/>
          <w:color w:val="000000" w:themeColor="text1"/>
          <w:kern w:val="2"/>
          <w:highlight w:val="none"/>
          <w14:textFill>
            <w14:solidFill>
              <w14:schemeClr w14:val="tx1"/>
            </w14:solidFill>
          </w14:textFill>
        </w:rPr>
      </w:pPr>
      <w:r>
        <w:rPr>
          <w:rFonts w:ascii="Times New Roman" w:hAnsi="Times New Roman" w:eastAsia="宋体" w:cs="Times New Roman"/>
          <w:color w:val="000000" w:themeColor="text1"/>
          <w:kern w:val="2"/>
          <w:highlight w:val="none"/>
          <w14:textFill>
            <w14:solidFill>
              <w14:schemeClr w14:val="tx1"/>
            </w14:solidFill>
          </w14:textFill>
        </w:rPr>
        <w:t>供应商应当按照磋商文件的变动情况和磋商小组的要求重新提交电子响应文件，加盖</w:t>
      </w:r>
      <w:r>
        <w:rPr>
          <w:rFonts w:hint="eastAsia" w:ascii="Times New Roman" w:hAnsi="Times New Roman" w:eastAsia="宋体" w:cs="Times New Roman"/>
          <w:color w:val="000000" w:themeColor="text1"/>
          <w:kern w:val="2"/>
          <w:highlight w:val="none"/>
          <w14:textFill>
            <w14:solidFill>
              <w14:schemeClr w14:val="tx1"/>
            </w14:solidFill>
          </w14:textFill>
        </w:rPr>
        <w:t>电子签章</w:t>
      </w:r>
      <w:r>
        <w:rPr>
          <w:rFonts w:hint="eastAsia" w:ascii="Times New Roman" w:hAnsi="Times New Roman" w:eastAsia="宋体" w:cs="Times New Roman"/>
          <w:color w:val="000000" w:themeColor="text1"/>
          <w:highlight w:val="none"/>
          <w14:textFill>
            <w14:solidFill>
              <w14:schemeClr w14:val="tx1"/>
            </w14:solidFill>
          </w14:textFill>
        </w:rPr>
        <w:t>后于磋商小组规定的时间内通过天津市政府采购中心招投标系统“询标解答”上传至天津市政府采购中心招投标系统。</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未实质性响应磋商文件的响应文件按无效响应处理，磋商小组应当告知提交响应文件的供应商。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27.4 第四步：经磋商确定最终采购需求和提交最后报价的供应商后，由磋商小组采用综合评分法对提交最后报价的供应商的响应文件和最后报价进行综合评分。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27.6 出现下列情形之一的，采购人或者采购代理机构应当终止竞争性磋商采购活动，发布项目终止公告并说明原因，重新开展采购活动：</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（1）因情况变化，不再符合规定的竞争性磋商采购方式适用情形的；</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（2）出现影响采购公正的违法、违规行为的；</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（3）除《政府采购竞争性磋商采购方式管理暂行办法》第二十一条第三款规定的情形外，在采购过程中符合要求的供应商或者报价未超过采购预算的供应商不足3家的。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 评审方法及标准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28.1 磋商小组将根据竞争性磋商文件确定的评审原则和评审方法对确定为实质上响应竞争性磋商文件要求的投标进行评估和比较。</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28.2 磋商小组应当按照客观、公正、审慎的原则，根据竞争性磋商文件规定的评审程序、评审方法和评审标准进行独立评审。</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28.3 竞争性磋商文件内容违反国家有关强制性规定的，磋商小组应当停止评审并向采购人或者采购代理机构说明情况。</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28.4 对竞争性磋商文件中描述有歧义或前后不一致的地方，磋商小组有权进行评判，但对同一条款的评判应适用于每个投标人。</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28.5 评审方法</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（3）按照《关于调整优化节能产品、环境标志产品政府采购执行机制的通知》（财库〔2019〕9号）文件要求，对</w:t>
      </w:r>
      <w:r>
        <w:rPr>
          <w:rFonts w:ascii="Times New Roman" w:hAnsi="Times New Roman" w:cs="Times New Roman"/>
          <w:color w:val="000000" w:themeColor="text1"/>
          <w:highlight w:val="none"/>
          <w14:textFill>
            <w14:solidFill>
              <w14:schemeClr w14:val="tx1"/>
            </w14:solidFill>
          </w14:textFill>
        </w:rPr>
        <w:t>政府采购节能、环境标志品目清单内的产品实施</w:t>
      </w:r>
      <w:r>
        <w:rPr>
          <w:rFonts w:ascii="Times New Roman" w:hAnsi="Times New Roman" w:eastAsia="宋体" w:cs="Times New Roman"/>
          <w:color w:val="000000" w:themeColor="text1"/>
          <w:highlight w:val="none"/>
          <w14:textFill>
            <w14:solidFill>
              <w14:schemeClr w14:val="tx1"/>
            </w14:solidFill>
          </w14:textFill>
        </w:rPr>
        <w:t>优先采购和强制采购的评标方法。</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（4）磋商小组审查产品资质或检测报告等相关文件符合性时，应综合考虑行业特点、交易习惯、采购需求最本质原义等情况，而不应以响应文件中产品名称与竞争性磋商文件产品名称是否一致作为审查的标准。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（5）成交候选供应商产生办法：按得分由高到低顺序确定成交候选供应商；得分相同的，按磋商报价由低到高顺序确定成交候选供应商；得分且磋商报价相同的，按技术指标优劣顺序确定成交候选供应商。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（6）采购人按成交候选供应商顺序确定成交供应商，或授权磋商小组按成交候选供应商顺序直接确定成交供应商。</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28.6 出现以下任何情形取消磋商资格：</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（1）响应文件未按竞争性磋商文件的要求加盖电子签章的；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（2）磋商有效期短于竞争性磋商文件要求的；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（3）响应文件中提供虚假材料的；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（4）不能满足竞争性磋商文件中任何一条实质性要求或加注“</w:t>
      </w:r>
      <w:r>
        <w:rPr>
          <w:rFonts w:hint="eastAsia" w:ascii="宋体" w:hAnsi="宋体" w:eastAsia="宋体" w:cs="宋体"/>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”号条款出现负偏离或经磋商小组认定未实质性响应竞争性磋商文件要求的或响应内容不符合相关强制性规定的；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（5）未按时进行网上解密或电子响应文件损坏、无效的；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（6）磋商报价超出采购预算的；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（7）存在串通情形的；</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（8）单位负责人或法定代表人为同一人，或者存在控股、管理关系的不同供应商，</w:t>
      </w:r>
      <w:r>
        <w:rPr>
          <w:rFonts w:hint="eastAsia" w:ascii="Times New Roman" w:hAnsi="Times New Roman" w:eastAsia="宋体" w:cs="Times New Roman"/>
          <w:color w:val="000000" w:themeColor="text1"/>
          <w:highlight w:val="none"/>
          <w14:textFill>
            <w14:solidFill>
              <w14:schemeClr w14:val="tx1"/>
            </w14:solidFill>
          </w14:textFill>
        </w:rPr>
        <w:t>参加同一合同项下投标的，相关投标均无效；</w:t>
      </w:r>
    </w:p>
    <w:p>
      <w:pPr>
        <w:pStyle w:val="28"/>
        <w:spacing w:line="360" w:lineRule="auto"/>
        <w:ind w:left="48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（9）其他法定响应无效的情形。</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 其他注意事项</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29.1 在磋商期间，投标人不得向磋商小组成员或采购代理机构询问评审情况、施加任何影响，不得进行旨在影响评审结果的活动。</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pPr>
        <w:pStyle w:val="28"/>
        <w:spacing w:line="360" w:lineRule="auto"/>
        <w:ind w:firstLine="480"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29.3 本项目不接受赠品、回扣或者与采购无关的其他商品、服务。</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29.4 如果几个投标人所投整包产品为同一品牌时，在服务承诺符合竞争性磋商文件的情况下，报价最低的投标人入围评审阶段。</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pacing w:line="360" w:lineRule="auto"/>
        <w:ind w:firstLine="480" w:firstLineChars="200"/>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F  授予合同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 成交供应商的产生</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30.1 采购人可以事先授权磋商小组直接确定成交供应商。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30.2 采购人也可以按照《政府采购法》及其实施条例等法律法规的规定和竞争性磋商文件的要求确认成交供应商。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成交通知</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www.tjgpc.gov.cn）-”网上招投标”-“供应商登录”-“市级集采机构入口”，并从“供应商系统”的“查看项目文件”中获取）。《成交通知书》一经发出即发生法律效力。</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签订合同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www.tjgpc.gov.cn）-”网上招投标”-“供应商登录”-“市级集采机构入口”，并从“供应商系统”的“合同”中获取。</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32.2 竞争性磋商文件、成交供应商的响应文件及其澄清文件等，均为签订合同的依据，且为合同的组成部分。</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 履约保证金</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33.1</w:t>
      </w:r>
      <w:r>
        <w:rPr>
          <w:rFonts w:hint="eastAsia" w:ascii="Times New Roman" w:hAnsi="Times New Roman" w:eastAsia="宋体" w:cs="Times New Roman"/>
          <w:color w:val="000000" w:themeColor="text1"/>
          <w:highlight w:val="none"/>
          <w14:textFill>
            <w14:solidFill>
              <w14:schemeClr w14:val="tx1"/>
            </w14:solidFill>
          </w14:textFill>
        </w:rPr>
        <w:t>若《磋商项目需求》规定须提交履约保证金的，成交供应商须按照规定要求提交履约保证金。</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33.2 成交供应商未能按合同规定履行其义务，采购人有权没收履约保证金。</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34. 成交供应商拒绝与采购人签订合同的，采购人可以按照评审报告推荐的成交候选人名单排序，确定下一候选人为成交供应商，也可以重新开展政府采购活动。</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 合同分包</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35.1 未经采购人同意，成交供应商不得分包合同。</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35.2 政府采购合同分包履行的，成交供应商就采购项目和分包项目向采购人负责，分包供应商就分包项目承担责任。</w:t>
      </w:r>
    </w:p>
    <w:p>
      <w:pPr>
        <w:pStyle w:val="28"/>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napToGrid w:val="0"/>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8"/>
        <w:snapToGrid w:val="0"/>
        <w:spacing w:line="360" w:lineRule="auto"/>
        <w:ind w:firstLine="480" w:firstLineChars="200"/>
        <w:jc w:val="both"/>
        <w:rPr>
          <w:rFonts w:ascii="Times New Roman" w:hAnsi="Times New Roman" w:eastAsia="宋体" w:cs="Times New Roman"/>
          <w:color w:val="000000" w:themeColor="text1"/>
          <w:highlight w:val="none"/>
          <w14:textFill>
            <w14:solidFill>
              <w14:schemeClr w14:val="tx1"/>
            </w14:solidFill>
          </w14:textFill>
        </w:rPr>
        <w:sectPr>
          <w:headerReference r:id="rId6" w:type="default"/>
          <w:pgSz w:w="11906" w:h="16838"/>
          <w:pgMar w:top="1440" w:right="1800" w:bottom="1440" w:left="1800" w:header="851" w:footer="992" w:gutter="0"/>
          <w:cols w:space="720" w:num="1"/>
          <w:docGrid w:type="lines" w:linePitch="312" w:charSpace="0"/>
        </w:sectPr>
      </w:pPr>
    </w:p>
    <w:p>
      <w:pPr>
        <w:pStyle w:val="12"/>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第四部分  合同草案</w:t>
      </w:r>
      <w:bookmarkEnd w:id="4"/>
    </w:p>
    <w:p>
      <w:pPr>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建设工程施工合同协议条款</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甲方：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乙方： </w:t>
      </w:r>
    </w:p>
    <w:p>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按照《中华人民共和国民法典》和相关法律法规的规定，结合本工程具体情况，双方达成如下协议。 </w:t>
      </w:r>
    </w:p>
    <w:p>
      <w:pPr>
        <w:pStyle w:val="36"/>
        <w:numPr>
          <w:ilvl w:val="0"/>
          <w:numId w:val="2"/>
        </w:numPr>
        <w:spacing w:line="480" w:lineRule="exact"/>
        <w:ind w:firstLine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本合同为中小企业预留合同</w:t>
      </w:r>
    </w:p>
    <w:p>
      <w:pPr>
        <w:pStyle w:val="36"/>
        <w:numPr>
          <w:ilvl w:val="0"/>
          <w:numId w:val="2"/>
        </w:numPr>
        <w:spacing w:line="480" w:lineRule="exact"/>
        <w:ind w:firstLine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本合同非中小企业预留合同</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第1条　工程概况。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1.1 工程名称：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工程地点：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工程内容：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承包范围：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1.2 开工日期：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竣工日期：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总日历日期：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1.3 质量等级：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1.4 合同价款：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第2条　合同文件及解释顺序。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第3条　合同文件使用的语言文字、标准和适用法律。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3.1合同语言：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3.2适用法律法规：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3.3适用标准、规范：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第4条　图纸。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4.1图纸提供日期：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4.2图纸提供套数：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4.3图纸特殊保密要求和费用：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第5条　甲方驻工地代表。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5.1甲方驻工地代表及委派人员名单：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5.2实行社会监理的总监理工程师姓名及其被授权范围（如果有）：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第6条　乙方驻工地代表。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第7条　甲方工作。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7.1施工场地具备开工条件和完成时间的要求：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7.2水、电、电讯等施工管线进入施工场地的时间、地点和供应要求：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7.3施工场地内主要交通干道及其与公共道路的开通时间和起止地点：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7.4工程地质和地下管网线路资料的提供时间：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7.5办理证件、批件的名称和完成时间：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7.6水准点与座标控制点位置提供和交验要求：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7.7会审图纸和设计交底的时间：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7.8施工场地周围建筑物和地下管线的保护要求：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第8条　乙方工作。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8.1施工图和配套设计名称、完成时间及要求：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8.2提供计划、报表的名称、时间和份数：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8.3施工防护工作的要求：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8.4向甲方代表提供办公和生活设施的要求：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8.5对施工现场交通和噪音的要求：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8.6成品保护的要求：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8.7施工场地周围建筑物和地下管线的保护要求：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8.8施工场地整洁卫生的要求：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第9条　进度计划。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9.1乙方提供施工组织设计（或施工方案）和进度计划的时间：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9.2甲方代表批准的时间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第10条　延期开工。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第11条　暂停施工。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第12条　工期延误。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第13条　工期提前。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第14条　检查和返工。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第15条　工程质量等级。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15.1工程质量等级要求的经济支出：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15.2质量评定仲裁部门名称：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第16条　隐蔽工程、中间验收。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16.1中间验收部位和时间：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第17条　试车。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第18条　验收和重新检验。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第19条　合同价款及调整。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19.1调整的条件：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19.2调整的方式：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第20条　工程预付款。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20.1预付工程款总金额：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20.2预付时间和比例：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20.3扣回时间和比例：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20.4甲方不按时付款应承担的违约责任：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第21条　工程量的核实确认。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21.1乙方提交工程量报告的时间和要求：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第22条　工程款支付。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22.1工程款支付方式：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22.2工程款支付金额和时间：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22.3甲方违约的责任：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第23条　甲方供应材料设备。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23.1甲方供应材料、设备的要求（附清单）：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第24条　乙方采购材料设备。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第25条　设计变更。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第26条　确定变更价款。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第27条　竣工验收。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27.1乙方提交竣工资料和验收报告的时间：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27.2乙方提交竣工图的时间和份数：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第28条　竣工结算。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28.1结算方式：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28.2乙方提交结算报告的时间：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28.3甲方批准结算报告的时间：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28.4甲方将拨款通知送达经办银行的时间：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28.5甲方违约的责任：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第29条　保修。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29.1保修内容、范围；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29.2保修期限：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29.3保修金额和支付方法：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29.4保修金利率：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第30条　争议。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30.1争议的解决程序：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30.2争议解决方式：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第31条　违约。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31.1违约的处理：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31.2违约金的数额：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31.3损失的计算方法：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31.4甲方不按时付款的利息率：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第32条　索赔。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第33条　安全施工。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第34条　专利技术、特殊工艺和合理化建设。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第35条　地下障碍和文物。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第36条　工程分包。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36.1分包单位和分包工程内容：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36.2分包工程价款的结算办法：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第37条　不可抗力。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37.1不可抗力的自然灾害认定标准：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第38条　保险。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第39条　工程停建或缓建。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第40条　合同生效与终止。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40.1合同生效日期：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第41条　合同份数：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41.1合同副本份数：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41.2合同副本的分送责任： </w:t>
      </w:r>
    </w:p>
    <w:p>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41.3合同书制定费用：</w:t>
      </w:r>
    </w:p>
    <w:p>
      <w:pPr>
        <w:spacing w:line="460" w:lineRule="exact"/>
        <w:ind w:firstLine="480"/>
        <w:rPr>
          <w:color w:val="000000" w:themeColor="text1"/>
          <w:sz w:val="24"/>
          <w:highlight w:val="none"/>
          <w14:textFill>
            <w14:solidFill>
              <w14:schemeClr w14:val="tx1"/>
            </w14:solidFill>
          </w14:textFill>
        </w:rPr>
      </w:pPr>
    </w:p>
    <w:p>
      <w:pPr>
        <w:spacing w:line="460" w:lineRule="exact"/>
        <w:ind w:firstLine="480"/>
        <w:rPr>
          <w:iCs/>
          <w:color w:val="000000" w:themeColor="text1"/>
          <w:sz w:val="24"/>
          <w:highlight w:val="none"/>
          <w14:textFill>
            <w14:solidFill>
              <w14:schemeClr w14:val="tx1"/>
            </w14:solidFill>
          </w14:textFill>
        </w:rPr>
      </w:pPr>
      <w:r>
        <w:rPr>
          <w:iCs/>
          <w:color w:val="000000" w:themeColor="text1"/>
          <w:sz w:val="24"/>
          <w:highlight w:val="none"/>
          <w14:textFill>
            <w14:solidFill>
              <w14:schemeClr w14:val="tx1"/>
            </w14:solidFill>
          </w14:textFill>
        </w:rPr>
        <w:t xml:space="preserve">合同订立时间：　　　　　　　　　年　　　月　　　日 </w:t>
      </w:r>
    </w:p>
    <w:p>
      <w:pPr>
        <w:spacing w:line="460" w:lineRule="exact"/>
        <w:ind w:firstLine="480"/>
        <w:rPr>
          <w:iCs/>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发包方（章）：　　　　　　　　　　　　　　　 承包方（章）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地址：　　　　　　　　　　　　　　　　　　　地址：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法定代表人：　　　　　　　　　　　　　　　　法定代表人：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委托代理人：　　　　　　　　　　　　　　　　委托代理人：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电话：　　　　　　　　　　　　　　　　　　　电话：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电挂：　　　　　　　　　　　　　　　　　　　电挂：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开户银行：　　　　　　　　　　　　　　　　　开户银行：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w:t>
      </w:r>
      <w:r>
        <w:rPr>
          <w:rFonts w:hint="eastAsia"/>
          <w:color w:val="000000" w:themeColor="text1"/>
          <w:sz w:val="24"/>
          <w:highlight w:val="none"/>
          <w:lang w:eastAsia="zh-CN"/>
          <w14:textFill>
            <w14:solidFill>
              <w14:schemeClr w14:val="tx1"/>
            </w14:solidFill>
          </w14:textFill>
        </w:rPr>
        <w:t>账号</w:t>
      </w:r>
      <w:r>
        <w:rPr>
          <w:color w:val="000000" w:themeColor="text1"/>
          <w:sz w:val="24"/>
          <w:highlight w:val="none"/>
          <w14:textFill>
            <w14:solidFill>
              <w14:schemeClr w14:val="tx1"/>
            </w14:solidFill>
          </w14:textFill>
        </w:rPr>
        <w:t>：　　　　　　　　　　　　　　　　　　　</w:t>
      </w:r>
      <w:r>
        <w:rPr>
          <w:rFonts w:hint="eastAsia"/>
          <w:color w:val="000000" w:themeColor="text1"/>
          <w:sz w:val="24"/>
          <w:highlight w:val="none"/>
          <w:lang w:eastAsia="zh-CN"/>
          <w14:textFill>
            <w14:solidFill>
              <w14:schemeClr w14:val="tx1"/>
            </w14:solidFill>
          </w14:textFill>
        </w:rPr>
        <w:t>账</w:t>
      </w:r>
      <w:bookmarkStart w:id="6" w:name="_GoBack"/>
      <w:bookmarkEnd w:id="6"/>
      <w:r>
        <w:rPr>
          <w:color w:val="000000" w:themeColor="text1"/>
          <w:sz w:val="24"/>
          <w:highlight w:val="none"/>
          <w14:textFill>
            <w14:solidFill>
              <w14:schemeClr w14:val="tx1"/>
            </w14:solidFill>
          </w14:textFill>
        </w:rPr>
        <w:t xml:space="preserve">号： </w:t>
      </w:r>
    </w:p>
    <w:p>
      <w:pPr>
        <w:spacing w:line="4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邮政编码：　　　　　　　　　　　　　　　　　邮政编码： </w:t>
      </w:r>
    </w:p>
    <w:p>
      <w:pPr>
        <w:spacing w:line="460" w:lineRule="exact"/>
        <w:ind w:firstLine="480"/>
        <w:rPr>
          <w:color w:val="000000" w:themeColor="text1"/>
          <w:sz w:val="24"/>
          <w:highlight w:val="none"/>
          <w14:textFill>
            <w14:solidFill>
              <w14:schemeClr w14:val="tx1"/>
            </w14:solidFill>
          </w14:textFill>
        </w:rPr>
      </w:pPr>
    </w:p>
    <w:p>
      <w:pPr>
        <w:spacing w:line="460" w:lineRule="exact"/>
        <w:ind w:firstLine="3600" w:firstLineChars="1500"/>
        <w:jc w:val="right"/>
        <w:rPr>
          <w:iCs/>
          <w:color w:val="000000" w:themeColor="text1"/>
          <w:sz w:val="24"/>
          <w:highlight w:val="none"/>
          <w14:textFill>
            <w14:solidFill>
              <w14:schemeClr w14:val="tx1"/>
            </w14:solidFill>
          </w14:textFill>
        </w:rPr>
      </w:pPr>
    </w:p>
    <w:p>
      <w:pPr>
        <w:spacing w:line="460" w:lineRule="exact"/>
        <w:ind w:firstLine="3600" w:firstLineChars="1500"/>
        <w:jc w:val="right"/>
        <w:rPr>
          <w:iCs/>
          <w:color w:val="000000" w:themeColor="text1"/>
          <w:sz w:val="24"/>
          <w:highlight w:val="none"/>
          <w14:textFill>
            <w14:solidFill>
              <w14:schemeClr w14:val="tx1"/>
            </w14:solidFill>
          </w14:textFill>
        </w:rPr>
      </w:pPr>
    </w:p>
    <w:p>
      <w:pPr>
        <w:spacing w:line="700" w:lineRule="exact"/>
        <w:rPr>
          <w:color w:val="000000" w:themeColor="text1"/>
          <w:sz w:val="24"/>
          <w:szCs w:val="24"/>
          <w:highlight w:val="none"/>
          <w14:textFill>
            <w14:solidFill>
              <w14:schemeClr w14:val="tx1"/>
            </w14:solidFill>
          </w14:textFill>
        </w:rPr>
      </w:pPr>
      <w:r>
        <w:rPr>
          <w:color w:val="000000" w:themeColor="text1"/>
          <w:sz w:val="24"/>
          <w:highlight w:val="none"/>
          <w14:textFill>
            <w14:solidFill>
              <w14:schemeClr w14:val="tx1"/>
            </w14:solidFill>
          </w14:textFill>
        </w:rPr>
        <w:t>　　　　　　　　　　　　　　　　　　　　</w:t>
      </w:r>
    </w:p>
    <w:p>
      <w:pPr>
        <w:spacing w:line="700" w:lineRule="exact"/>
        <w:rPr>
          <w:color w:val="000000" w:themeColor="text1"/>
          <w:sz w:val="24"/>
          <w:szCs w:val="24"/>
          <w:highlight w:val="none"/>
          <w14:textFill>
            <w14:solidFill>
              <w14:schemeClr w14:val="tx1"/>
            </w14:solidFill>
          </w14:textFill>
        </w:rPr>
      </w:pPr>
    </w:p>
    <w:p>
      <w:pPr>
        <w:spacing w:line="700" w:lineRule="exact"/>
        <w:rPr>
          <w:color w:val="000000" w:themeColor="text1"/>
          <w:sz w:val="24"/>
          <w:szCs w:val="24"/>
          <w:highlight w:val="none"/>
          <w14:textFill>
            <w14:solidFill>
              <w14:schemeClr w14:val="tx1"/>
            </w14:solidFill>
          </w14:textFill>
        </w:rPr>
      </w:pPr>
    </w:p>
    <w:p>
      <w:pPr>
        <w:spacing w:line="700" w:lineRule="exact"/>
        <w:rPr>
          <w:color w:val="000000" w:themeColor="text1"/>
          <w:sz w:val="24"/>
          <w:szCs w:val="24"/>
          <w:highlight w:val="none"/>
          <w14:textFill>
            <w14:solidFill>
              <w14:schemeClr w14:val="tx1"/>
            </w14:solidFill>
          </w14:textFill>
        </w:rPr>
      </w:pPr>
    </w:p>
    <w:p>
      <w:pPr>
        <w:spacing w:line="700" w:lineRule="exact"/>
        <w:rPr>
          <w:color w:val="000000" w:themeColor="text1"/>
          <w:sz w:val="24"/>
          <w:szCs w:val="24"/>
          <w:highlight w:val="none"/>
          <w14:textFill>
            <w14:solidFill>
              <w14:schemeClr w14:val="tx1"/>
            </w14:solidFill>
          </w14:textFill>
        </w:rPr>
      </w:pPr>
    </w:p>
    <w:p>
      <w:pPr>
        <w:spacing w:line="700" w:lineRule="exact"/>
        <w:rPr>
          <w:color w:val="000000" w:themeColor="text1"/>
          <w:sz w:val="24"/>
          <w:szCs w:val="24"/>
          <w:highlight w:val="none"/>
          <w14:textFill>
            <w14:solidFill>
              <w14:schemeClr w14:val="tx1"/>
            </w14:solidFill>
          </w14:textFill>
        </w:rPr>
      </w:pPr>
    </w:p>
    <w:p>
      <w:pPr>
        <w:widowControl/>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br w:type="page"/>
      </w:r>
    </w:p>
    <w:p>
      <w:pPr>
        <w:jc w:val="center"/>
        <w:rPr>
          <w:color w:val="000000" w:themeColor="text1"/>
          <w:sz w:val="24"/>
          <w:szCs w:val="24"/>
          <w:highlight w:val="none"/>
          <w14:textFill>
            <w14:solidFill>
              <w14:schemeClr w14:val="tx1"/>
            </w14:solidFill>
          </w14:textFill>
        </w:rPr>
      </w:pPr>
    </w:p>
    <w:p>
      <w:pPr>
        <w:jc w:val="center"/>
        <w:rPr>
          <w:color w:val="000000" w:themeColor="text1"/>
          <w:sz w:val="24"/>
          <w:szCs w:val="24"/>
          <w:highlight w:val="none"/>
          <w14:textFill>
            <w14:solidFill>
              <w14:schemeClr w14:val="tx1"/>
            </w14:solidFill>
          </w14:textFill>
        </w:rPr>
      </w:pPr>
    </w:p>
    <w:p>
      <w:pPr>
        <w:jc w:val="center"/>
        <w:rPr>
          <w:b/>
          <w:bCs/>
          <w:color w:val="000000" w:themeColor="text1"/>
          <w:sz w:val="24"/>
          <w:szCs w:val="24"/>
          <w:highlight w:val="none"/>
          <w14:textFill>
            <w14:solidFill>
              <w14:schemeClr w14:val="tx1"/>
            </w14:solidFill>
          </w14:textFill>
        </w:rPr>
      </w:pPr>
      <w:r>
        <w:rPr>
          <w:b/>
          <w:bCs/>
          <w:color w:val="000000" w:themeColor="text1"/>
          <w:sz w:val="24"/>
          <w:szCs w:val="24"/>
          <w:highlight w:val="none"/>
          <w14:textFill>
            <w14:solidFill>
              <w14:schemeClr w14:val="tx1"/>
            </w14:solidFill>
          </w14:textFill>
        </w:rPr>
        <w:t>合同特殊条款</w:t>
      </w:r>
    </w:p>
    <w:p>
      <w:pPr>
        <w:tabs>
          <w:tab w:val="left" w:pos="360"/>
        </w:tabs>
        <w:spacing w:line="520" w:lineRule="exact"/>
        <w:ind w:firstLine="410" w:firstLineChars="171"/>
        <w:rPr>
          <w:color w:val="000000" w:themeColor="text1"/>
          <w:sz w:val="24"/>
          <w:szCs w:val="24"/>
          <w:highlight w:val="none"/>
          <w14:textFill>
            <w14:solidFill>
              <w14:schemeClr w14:val="tx1"/>
            </w14:solidFill>
          </w14:textFill>
        </w:rPr>
      </w:pPr>
    </w:p>
    <w:p>
      <w:pPr>
        <w:tabs>
          <w:tab w:val="left" w:pos="360"/>
        </w:tabs>
        <w:spacing w:line="520" w:lineRule="exact"/>
        <w:ind w:firstLine="410" w:firstLineChars="171"/>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合同特殊条款是合同一般条款的补充和修改。如果两者之间有抵触，应以特殊条款为准。</w:t>
      </w:r>
    </w:p>
    <w:p>
      <w:pPr>
        <w:tabs>
          <w:tab w:val="left" w:pos="360"/>
        </w:tabs>
        <w:spacing w:line="520" w:lineRule="exact"/>
        <w:ind w:firstLine="410" w:firstLineChars="171"/>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合同特殊条款由甲、乙双方根据采购项目的具体情况协商拟订。</w:t>
      </w:r>
    </w:p>
    <w:p>
      <w:pPr>
        <w:tabs>
          <w:tab w:val="left" w:pos="360"/>
        </w:tabs>
        <w:spacing w:line="520" w:lineRule="exact"/>
        <w:ind w:firstLine="410" w:firstLineChars="171"/>
        <w:rPr>
          <w:color w:val="000000" w:themeColor="text1"/>
          <w:sz w:val="24"/>
          <w:szCs w:val="24"/>
          <w:highlight w:val="none"/>
          <w14:textFill>
            <w14:solidFill>
              <w14:schemeClr w14:val="tx1"/>
            </w14:solidFill>
          </w14:textFill>
        </w:rPr>
      </w:pPr>
    </w:p>
    <w:p>
      <w:pPr>
        <w:tabs>
          <w:tab w:val="left" w:pos="360"/>
        </w:tabs>
        <w:spacing w:line="520" w:lineRule="exact"/>
        <w:ind w:firstLine="410" w:firstLineChars="171"/>
        <w:rPr>
          <w:color w:val="000000" w:themeColor="text1"/>
          <w:sz w:val="24"/>
          <w:szCs w:val="24"/>
          <w:highlight w:val="none"/>
          <w14:textFill>
            <w14:solidFill>
              <w14:schemeClr w14:val="tx1"/>
            </w14:solidFill>
          </w14:textFill>
        </w:rPr>
        <w:sectPr>
          <w:headerReference r:id="rId7" w:type="default"/>
          <w:pgSz w:w="11906" w:h="16838"/>
          <w:pgMar w:top="1440" w:right="1800" w:bottom="1440" w:left="1800" w:header="851" w:footer="992" w:gutter="0"/>
          <w:cols w:space="720" w:num="1"/>
          <w:docGrid w:type="lines" w:linePitch="312" w:charSpace="0"/>
        </w:sectPr>
      </w:pPr>
    </w:p>
    <w:p>
      <w:pPr>
        <w:pStyle w:val="2"/>
        <w:jc w:val="center"/>
        <w:rPr>
          <w:color w:val="000000" w:themeColor="text1"/>
          <w:highlight w:val="none"/>
          <w14:textFill>
            <w14:solidFill>
              <w14:schemeClr w14:val="tx1"/>
            </w14:solidFill>
          </w14:textFill>
        </w:rPr>
      </w:pPr>
      <w:bookmarkStart w:id="5" w:name="_Toc411426753"/>
      <w:r>
        <w:rPr>
          <w:color w:val="000000" w:themeColor="text1"/>
          <w:highlight w:val="none"/>
          <w14:textFill>
            <w14:solidFill>
              <w14:schemeClr w14:val="tx1"/>
            </w14:solidFill>
          </w14:textFill>
        </w:rPr>
        <w:t>第五部分  响应文件格式</w:t>
      </w:r>
      <w:bookmarkEnd w:id="5"/>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jc w:val="center"/>
        <w:rPr>
          <w:rFonts w:eastAsia="华文行楷"/>
          <w:color w:val="000000" w:themeColor="text1"/>
          <w:kern w:val="0"/>
          <w:sz w:val="144"/>
          <w:szCs w:val="144"/>
          <w:highlight w:val="none"/>
          <w14:textFill>
            <w14:solidFill>
              <w14:schemeClr w14:val="tx1"/>
            </w14:solidFill>
          </w14:textFill>
        </w:rPr>
      </w:pPr>
      <w:r>
        <w:rPr>
          <w:rFonts w:eastAsia="方正行楷简体"/>
          <w:color w:val="000000" w:themeColor="text1"/>
          <w:sz w:val="160"/>
          <w:szCs w:val="84"/>
          <w:highlight w:val="none"/>
          <w14:textFill>
            <w14:solidFill>
              <w14:schemeClr w14:val="tx1"/>
            </w14:solidFill>
          </w14:textFill>
        </w:rPr>
        <w:t>响 应</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文</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件</w:t>
      </w:r>
    </w:p>
    <w:p>
      <w:pPr>
        <w:autoSpaceDE w:val="0"/>
        <w:autoSpaceDN w:val="0"/>
        <w:adjustRightInd w:val="0"/>
        <w:spacing w:line="520" w:lineRule="exact"/>
        <w:jc w:val="center"/>
        <w:rPr>
          <w:rFonts w:eastAsia="楷体_GB2312"/>
          <w:b/>
          <w:color w:val="000000" w:themeColor="text1"/>
          <w:kern w:val="0"/>
          <w:sz w:val="36"/>
          <w:szCs w:val="36"/>
          <w:highlight w:val="none"/>
          <w14:textFill>
            <w14:solidFill>
              <w14:schemeClr w14:val="tx1"/>
            </w14:solidFill>
          </w14:textFill>
        </w:rPr>
      </w:pPr>
      <w:r>
        <w:rPr>
          <w:rFonts w:eastAsia="楷体_GB2312"/>
          <w:b/>
          <w:color w:val="000000" w:themeColor="text1"/>
          <w:kern w:val="0"/>
          <w:sz w:val="36"/>
          <w:szCs w:val="36"/>
          <w:highlight w:val="none"/>
          <w14:textFill>
            <w14:solidFill>
              <w14:schemeClr w14:val="tx1"/>
            </w14:solidFill>
          </w14:textFill>
        </w:rPr>
        <w:t>（ 加盖电子签章 ）</w:t>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第一阶段响应文件</w:t>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编 号：</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名 称：</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所 投 包 号：</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供应商名称：</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法定代表人姓名：</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投标代表人姓名：</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递交日期：</w:t>
      </w:r>
    </w:p>
    <w:p>
      <w:pPr>
        <w:autoSpaceDN w:val="0"/>
        <w:spacing w:line="360" w:lineRule="auto"/>
        <w:jc w:val="center"/>
        <w:rPr>
          <w:b/>
          <w:bCs/>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第一阶段</w:t>
      </w:r>
      <w:r>
        <w:rPr>
          <w:b/>
          <w:bCs/>
          <w:color w:val="000000" w:themeColor="text1"/>
          <w:sz w:val="24"/>
          <w:highlight w:val="none"/>
          <w14:textFill>
            <w14:solidFill>
              <w14:schemeClr w14:val="tx1"/>
            </w14:solidFill>
          </w14:textFill>
        </w:rPr>
        <w:t>响应文件总目录</w:t>
      </w:r>
    </w:p>
    <w:p>
      <w:pPr>
        <w:autoSpaceDN w:val="0"/>
        <w:spacing w:line="360" w:lineRule="auto"/>
        <w:jc w:val="center"/>
        <w:rPr>
          <w:b/>
          <w:bCs/>
          <w:color w:val="000000" w:themeColor="text1"/>
          <w:sz w:val="24"/>
          <w:highlight w:val="none"/>
          <w14:textFill>
            <w14:solidFill>
              <w14:schemeClr w14:val="tx1"/>
            </w14:solidFill>
          </w14:textFill>
        </w:rPr>
      </w:pP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（投标人自行编制）</w:t>
      </w:r>
    </w:p>
    <w:p>
      <w:pPr>
        <w:widowControl/>
        <w:spacing w:line="360" w:lineRule="auto"/>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评分因素及评标标准页码检索</w:t>
      </w:r>
    </w:p>
    <w:p>
      <w:pPr>
        <w:widowControl/>
        <w:spacing w:line="360" w:lineRule="auto"/>
        <w:jc w:val="center"/>
        <w:rPr>
          <w:b/>
          <w:color w:val="000000" w:themeColor="text1"/>
          <w:sz w:val="24"/>
          <w:highlight w:val="none"/>
          <w14:textFill>
            <w14:solidFill>
              <w14:schemeClr w14:val="tx1"/>
            </w14:solidFill>
          </w14:textFill>
        </w:rPr>
      </w:pPr>
    </w:p>
    <w:p>
      <w:pPr>
        <w:widowControl/>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（投标人按磋商文件“评分因素及评标标准”中除涉及价格的评分项外的每个评分项逐项列明页码）</w:t>
      </w:r>
    </w:p>
    <w:p>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附件1</w:t>
      </w:r>
    </w:p>
    <w:p>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响应书</w:t>
      </w:r>
    </w:p>
    <w:p>
      <w:pPr>
        <w:tabs>
          <w:tab w:val="left" w:pos="360"/>
        </w:tabs>
        <w:spacing w:line="560" w:lineRule="exact"/>
        <w:jc w:val="center"/>
        <w:rPr>
          <w:b/>
          <w:color w:val="000000" w:themeColor="text1"/>
          <w:sz w:val="24"/>
          <w:highlight w:val="none"/>
          <w14:textFill>
            <w14:solidFill>
              <w14:schemeClr w14:val="tx1"/>
            </w14:solidFill>
          </w14:textFill>
        </w:rPr>
      </w:pPr>
    </w:p>
    <w:p>
      <w:pPr>
        <w:autoSpaceDE w:val="0"/>
        <w:autoSpaceDN w:val="0"/>
        <w:adjustRightInd w:val="0"/>
        <w:spacing w:line="520" w:lineRule="exact"/>
        <w:jc w:val="left"/>
        <w:rPr>
          <w:color w:val="000000" w:themeColor="text1"/>
          <w:kern w:val="0"/>
          <w:sz w:val="24"/>
          <w:highlight w:val="none"/>
          <w14:textFill>
            <w14:solidFill>
              <w14:schemeClr w14:val="tx1"/>
            </w14:solidFill>
          </w14:textFill>
        </w:rPr>
      </w:pPr>
      <w:r>
        <w:rPr>
          <w:color w:val="000000" w:themeColor="text1"/>
          <w:kern w:val="0"/>
          <w:sz w:val="24"/>
          <w:highlight w:val="none"/>
          <w14:textFill>
            <w14:solidFill>
              <w14:schemeClr w14:val="tx1"/>
            </w14:solidFill>
          </w14:textFill>
        </w:rPr>
        <w:t>致：天津市政府采购中心</w:t>
      </w:r>
    </w:p>
    <w:p>
      <w:pPr>
        <w:autoSpaceDE w:val="0"/>
        <w:autoSpaceDN w:val="0"/>
        <w:adjustRightInd w:val="0"/>
        <w:spacing w:line="360" w:lineRule="auto"/>
        <w:ind w:firstLine="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根据贵方为天津市</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）的磋商邀请，签字代表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职务）经正式授权并代表我公司</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（投标单位名称、地址）提交网上应答及上传加盖电子签章的响应文件。</w:t>
      </w:r>
    </w:p>
    <w:p>
      <w:pPr>
        <w:autoSpaceDE w:val="0"/>
        <w:autoSpaceDN w:val="0"/>
        <w:adjustRightInd w:val="0"/>
        <w:spacing w:line="360" w:lineRule="auto"/>
        <w:ind w:firstLine="480"/>
        <w:jc w:val="left"/>
        <w:rPr>
          <w:color w:val="000000" w:themeColor="text1"/>
          <w:kern w:val="0"/>
          <w:sz w:val="24"/>
          <w:highlight w:val="none"/>
          <w14:textFill>
            <w14:solidFill>
              <w14:schemeClr w14:val="tx1"/>
            </w14:solidFill>
          </w14:textFill>
        </w:rPr>
      </w:pPr>
      <w:r>
        <w:rPr>
          <w:color w:val="000000" w:themeColor="text1"/>
          <w:kern w:val="0"/>
          <w:sz w:val="24"/>
          <w:highlight w:val="none"/>
          <w14:textFill>
            <w14:solidFill>
              <w14:schemeClr w14:val="tx1"/>
            </w14:solidFill>
          </w14:textFill>
        </w:rPr>
        <w:t>据此函，签字代表宣布同意如下：</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我公司将按磋商文件的规定履行合同责任和义务。</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我公司的磋商有效期为响应文件开启之日起60天。</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我公司同意按照招标采购单位要求提供的与投标有关的一切数据或资料，并声明响应文件及所提供的一切资料均真实有效。由于我公司提供资料不实而造成的责任和后果由我公司自行承担。</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我公司保证在保质保量基础上，按期竣工并移交整个工程。</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color w:val="000000" w:themeColor="text1"/>
          <w:sz w:val="24"/>
          <w:szCs w:val="24"/>
          <w:highlight w:val="none"/>
          <w14:textFill>
            <w14:solidFill>
              <w14:schemeClr w14:val="tx1"/>
            </w14:solidFill>
          </w14:textFill>
        </w:rPr>
        <w:t>投标截止日前3年在经营活动中没有重大违法记录。</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9. 我公司若成交，本承诺将成为合同不可分割的一部分，与合同具有同等的法律效力。</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 如违反上述承诺，我公司投标无效且接受相关部门依法作出的处罚，并承担通过“</w:t>
      </w:r>
      <w:r>
        <w:rPr>
          <w:rFonts w:hint="eastAsia"/>
          <w:color w:val="000000" w:themeColor="text1"/>
          <w:sz w:val="24"/>
          <w:highlight w:val="none"/>
          <w:lang w:val="en-US" w:eastAsia="zh-CN"/>
          <w14:textFill>
            <w14:solidFill>
              <w14:schemeClr w14:val="tx1"/>
            </w14:solidFill>
          </w14:textFill>
        </w:rPr>
        <w:t>中国</w:t>
      </w:r>
      <w:r>
        <w:rPr>
          <w:color w:val="000000" w:themeColor="text1"/>
          <w:sz w:val="24"/>
          <w:highlight w:val="none"/>
          <w14:textFill>
            <w14:solidFill>
              <w14:schemeClr w14:val="tx1"/>
            </w14:solidFill>
          </w14:textFill>
        </w:rPr>
        <w:t>政府采购网”等相关媒体予以公布的任何风险和责任。</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11. 我公司开票信息如下，</w:t>
      </w:r>
      <w:r>
        <w:rPr>
          <w:b/>
          <w:color w:val="000000" w:themeColor="text1"/>
          <w:sz w:val="24"/>
          <w:highlight w:val="none"/>
          <w14:textFill>
            <w14:solidFill>
              <w14:schemeClr w14:val="tx1"/>
            </w14:solidFill>
          </w14:textFill>
        </w:rPr>
        <w:t>此信息与我公司在税务局注册的信息一致</w:t>
      </w:r>
      <w:r>
        <w:rPr>
          <w:color w:val="000000" w:themeColor="text1"/>
          <w:sz w:val="24"/>
          <w:highlight w:val="none"/>
          <w14:textFill>
            <w14:solidFill>
              <w14:schemeClr w14:val="tx1"/>
            </w14:solidFill>
          </w14:textFill>
        </w:rPr>
        <w:t>：</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纳税人识别号：</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地址、电话：</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开户行及账号：</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开具发票类型：□增值税专用发票         □增值税普通发票</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12. 我公司选择招标代理服务费发票领取方式（请自行选择以下任一方式并在相应□里划“√”）：</w:t>
      </w:r>
    </w:p>
    <w:p>
      <w:pPr>
        <w:spacing w:line="360" w:lineRule="auto"/>
        <w:ind w:firstLine="482"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□上门自取</w:t>
      </w: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482"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□到付邮寄</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邮寄地址、邮编：</w:t>
      </w:r>
    </w:p>
    <w:p>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邮寄联系人、手机号码：</w:t>
      </w: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附件2</w:t>
      </w:r>
    </w:p>
    <w:p>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供应商资格要求证明文件</w:t>
      </w: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注：相关证明材料应附在此页后面。</w:t>
      </w:r>
    </w:p>
    <w:p>
      <w:pPr>
        <w:spacing w:line="460" w:lineRule="exact"/>
        <w:ind w:left="192"/>
        <w:rPr>
          <w:b/>
          <w:bCs/>
          <w:color w:val="000000" w:themeColor="text1"/>
          <w:sz w:val="24"/>
          <w:highlight w:val="none"/>
          <w14:textFill>
            <w14:solidFill>
              <w14:schemeClr w14:val="tx1"/>
            </w14:solidFill>
          </w14:textFill>
        </w:rPr>
      </w:pPr>
    </w:p>
    <w:p>
      <w:pPr>
        <w:spacing w:line="460" w:lineRule="exact"/>
        <w:ind w:left="192"/>
        <w:rPr>
          <w:b/>
          <w:bCs/>
          <w:color w:val="000000" w:themeColor="text1"/>
          <w:sz w:val="24"/>
          <w:highlight w:val="none"/>
          <w14:textFill>
            <w14:solidFill>
              <w14:schemeClr w14:val="tx1"/>
            </w14:solidFill>
          </w14:textFill>
        </w:rPr>
      </w:pPr>
    </w:p>
    <w:p>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附件3</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磋商代表人授权书</w:t>
      </w:r>
    </w:p>
    <w:p>
      <w:pPr>
        <w:spacing w:line="360" w:lineRule="auto"/>
        <w:rPr>
          <w:color w:val="000000" w:themeColor="text1"/>
          <w:sz w:val="24"/>
          <w:szCs w:val="21"/>
          <w:highlight w:val="none"/>
          <w14:textFill>
            <w14:solidFill>
              <w14:schemeClr w14:val="tx1"/>
            </w14:solidFill>
          </w14:textFill>
        </w:rPr>
      </w:pPr>
    </w:p>
    <w:p>
      <w:pPr>
        <w:spacing w:line="360" w:lineRule="auto"/>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致：天津市政府采购中心</w:t>
      </w:r>
    </w:p>
    <w:p>
      <w:pPr>
        <w:spacing w:line="360" w:lineRule="auto"/>
        <w:ind w:firstLine="480" w:firstLineChars="200"/>
        <w:rPr>
          <w:color w:val="000000" w:themeColor="text1"/>
          <w:sz w:val="24"/>
          <w:szCs w:val="21"/>
          <w:highlight w:val="none"/>
          <w14:textFill>
            <w14:solidFill>
              <w14:schemeClr w14:val="tx1"/>
            </w14:solidFill>
          </w14:textFill>
        </w:rPr>
      </w:pPr>
      <w:r>
        <w:rPr>
          <w:rFonts w:hint="eastAsia"/>
          <w:color w:val="000000" w:themeColor="text1"/>
          <w:sz w:val="24"/>
          <w:szCs w:val="21"/>
          <w:highlight w:val="none"/>
          <w14:textFill>
            <w14:solidFill>
              <w14:schemeClr w14:val="tx1"/>
            </w14:solidFill>
          </w14:textFill>
        </w:rPr>
        <w:t>我单位授权委托本月</w:t>
      </w:r>
      <w:r>
        <w:rPr>
          <w:color w:val="000000" w:themeColor="text1"/>
          <w:sz w:val="24"/>
          <w:szCs w:val="21"/>
          <w:highlight w:val="none"/>
          <w14:textFill>
            <w14:solidFill>
              <w14:schemeClr w14:val="tx1"/>
            </w14:solidFill>
          </w14:textFill>
        </w:rPr>
        <w:t>/</w:t>
      </w:r>
      <w:r>
        <w:rPr>
          <w:rFonts w:hint="eastAsia"/>
          <w:color w:val="000000" w:themeColor="text1"/>
          <w:sz w:val="24"/>
          <w:szCs w:val="21"/>
          <w:highlight w:val="none"/>
          <w14:textFill>
            <w14:solidFill>
              <w14:schemeClr w14:val="tx1"/>
            </w14:solidFill>
          </w14:textFill>
        </w:rPr>
        <w:t>上月（本月尚未缴纳社保的，则填写上月）由我单位缴纳社会保险的在职职工</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（姓名）（身份证号码：</w:t>
      </w:r>
      <w:r>
        <w:rPr>
          <w:color w:val="000000" w:themeColor="text1"/>
          <w:sz w:val="24"/>
          <w:szCs w:val="21"/>
          <w:highlight w:val="none"/>
          <w14:textFill>
            <w14:solidFill>
              <w14:schemeClr w14:val="tx1"/>
            </w14:solidFill>
          </w14:textFill>
        </w:rPr>
        <w:t>____________________</w:t>
      </w:r>
      <w:r>
        <w:rPr>
          <w:rFonts w:hint="eastAsia"/>
          <w:color w:val="000000" w:themeColor="text1"/>
          <w:sz w:val="24"/>
          <w:szCs w:val="21"/>
          <w:highlight w:val="none"/>
          <w14:textFill>
            <w14:solidFill>
              <w14:schemeClr w14:val="tx1"/>
            </w14:solidFill>
          </w14:textFill>
        </w:rPr>
        <w:t>、联系电话：</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）作为磋商代表人以我方的名义参加贵中心组织的</w:t>
      </w:r>
      <w:r>
        <w:rPr>
          <w:color w:val="000000" w:themeColor="text1"/>
          <w:sz w:val="24"/>
          <w:szCs w:val="21"/>
          <w:highlight w:val="none"/>
          <w14:textFill>
            <w14:solidFill>
              <w14:schemeClr w14:val="tx1"/>
            </w14:solidFill>
          </w14:textFill>
        </w:rPr>
        <w:t>______________________</w:t>
      </w:r>
      <w:r>
        <w:rPr>
          <w:rFonts w:hint="eastAsia"/>
          <w:color w:val="000000" w:themeColor="text1"/>
          <w:sz w:val="24"/>
          <w:szCs w:val="21"/>
          <w:highlight w:val="none"/>
          <w14:textFill>
            <w14:solidFill>
              <w14:schemeClr w14:val="tx1"/>
            </w14:solidFill>
          </w14:textFill>
        </w:rPr>
        <w:t>项目（项目编号：</w:t>
      </w:r>
      <w:r>
        <w:rPr>
          <w:color w:val="000000" w:themeColor="text1"/>
          <w:sz w:val="24"/>
          <w:szCs w:val="21"/>
          <w:highlight w:val="none"/>
          <w14:textFill>
            <w14:solidFill>
              <w14:schemeClr w14:val="tx1"/>
            </w14:solidFill>
          </w14:textFill>
        </w:rPr>
        <w:t>_______________</w:t>
      </w:r>
      <w:r>
        <w:rPr>
          <w:rFonts w:hint="eastAsia"/>
          <w:color w:val="000000" w:themeColor="text1"/>
          <w:sz w:val="24"/>
          <w:szCs w:val="21"/>
          <w:highlight w:val="none"/>
          <w14:textFill>
            <w14:solidFill>
              <w14:schemeClr w14:val="tx1"/>
            </w14:solidFill>
          </w14:textFill>
        </w:rPr>
        <w:t>）的政府采购活动，并代表我方全权办理针对上述项目的响应文件递交、磋商、响应文件澄清、签约等一切具体事务和签署相关文件。</w:t>
      </w:r>
    </w:p>
    <w:p>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我方对投标代表人的签名事项负全部责任。</w:t>
      </w:r>
    </w:p>
    <w:p>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本授权书至磋商有效期结束前始终有效。</w:t>
      </w:r>
    </w:p>
    <w:p>
      <w:pPr>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磋商代表人无转委托权，特此委托。</w:t>
      </w: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480" w:firstLineChars="200"/>
        <w:rPr>
          <w:color w:val="000000" w:themeColor="text1"/>
          <w:sz w:val="24"/>
          <w:highlight w:val="none"/>
          <w14:textFill>
            <w14:solidFill>
              <w14:schemeClr w14:val="tx1"/>
            </w14:solidFill>
          </w14:textFill>
        </w:rPr>
      </w:pPr>
    </w:p>
    <w:p>
      <w:pPr>
        <w:spacing w:line="360" w:lineRule="auto"/>
        <w:ind w:firstLine="5040" w:firstLineChars="2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年   月   日  </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投标代表人身份证正面</w:t>
            </w: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tc>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投标代表人身份证背面</w:t>
            </w:r>
          </w:p>
        </w:tc>
      </w:tr>
    </w:tbl>
    <w:p>
      <w:pPr>
        <w:spacing w:line="360" w:lineRule="auto"/>
        <w:ind w:firstLine="5040" w:firstLineChars="2100"/>
        <w:rPr>
          <w:color w:val="000000" w:themeColor="text1"/>
          <w:sz w:val="24"/>
          <w:highlight w:val="none"/>
          <w14:textFill>
            <w14:solidFill>
              <w14:schemeClr w14:val="tx1"/>
            </w14:solidFill>
          </w14:textFill>
        </w:rPr>
      </w:pPr>
    </w:p>
    <w:p>
      <w:pPr>
        <w:spacing w:line="360" w:lineRule="auto"/>
        <w:ind w:firstLine="480" w:firstLineChars="200"/>
        <w:jc w:val="left"/>
        <w:rPr>
          <w:color w:val="000000" w:themeColor="text1"/>
          <w:sz w:val="24"/>
          <w:highlight w:val="none"/>
          <w14:textFill>
            <w14:solidFill>
              <w14:schemeClr w14:val="tx1"/>
            </w14:solidFill>
          </w14:textFill>
        </w:rPr>
      </w:pPr>
    </w:p>
    <w:p>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附件4-1</w:t>
      </w:r>
    </w:p>
    <w:p>
      <w:pPr>
        <w:spacing w:line="460" w:lineRule="exact"/>
        <w:ind w:left="181"/>
        <w:jc w:val="center"/>
        <w:rPr>
          <w:b/>
          <w:color w:val="000000" w:themeColor="text1"/>
          <w:sz w:val="24"/>
          <w:highlight w:val="none"/>
          <w14:textFill>
            <w14:solidFill>
              <w14:schemeClr w14:val="tx1"/>
            </w14:solidFill>
          </w14:textFill>
        </w:rPr>
      </w:pP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商务要求点对点应答表</w:t>
      </w:r>
    </w:p>
    <w:p>
      <w:pPr>
        <w:spacing w:line="460" w:lineRule="exact"/>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p>
    <w:tbl>
      <w:tblPr>
        <w:tblStyle w:val="16"/>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谈判要求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（二）质量要求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（三）服务要求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（四）承包方式</w:t>
            </w:r>
          </w:p>
        </w:tc>
      </w:tr>
      <w:tr>
        <w:tblPrEx>
          <w:tblCellMar>
            <w:top w:w="0" w:type="dxa"/>
            <w:left w:w="108" w:type="dxa"/>
            <w:bottom w:w="0" w:type="dxa"/>
            <w:right w:w="108" w:type="dxa"/>
          </w:tblCellMar>
        </w:tblPrEx>
        <w:tc>
          <w:tcPr>
            <w:tcW w:w="974" w:type="pct"/>
            <w:tcBorders>
              <w:top w:val="nil"/>
              <w:left w:val="single" w:color="auto" w:sz="8" w:space="0"/>
              <w:bottom w:val="single" w:color="auto" w:sz="4"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4"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4"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4"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4"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（五）工期、施工地点要求</w:t>
            </w:r>
          </w:p>
        </w:tc>
      </w:tr>
      <w:tr>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（六）付款方式</w:t>
            </w:r>
          </w:p>
        </w:tc>
      </w:tr>
      <w:tr>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（七）磋商保证金及履约保证金</w:t>
            </w:r>
          </w:p>
        </w:tc>
      </w:tr>
      <w:tr>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（八）其他要求</w:t>
            </w:r>
          </w:p>
        </w:tc>
      </w:tr>
      <w:tr>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不如实填写偏离情况的响应文件将视为虚假材料。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磋商要求指磋商文件中规定的具体要求，投标应答指响应文件的具体内容。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偏离说明指磋商要求与投标应答之间的不同之处。</w:t>
      </w: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spacing w:line="360" w:lineRule="auto"/>
        <w:rPr>
          <w:color w:val="000000" w:themeColor="text1"/>
          <w:sz w:val="24"/>
          <w:highlight w:val="none"/>
          <w14:textFill>
            <w14:solidFill>
              <w14:schemeClr w14:val="tx1"/>
            </w14:solidFill>
          </w14:textFill>
        </w:rPr>
      </w:pPr>
    </w:p>
    <w:p>
      <w:pPr>
        <w:tabs>
          <w:tab w:val="left" w:pos="360"/>
        </w:tabs>
        <w:spacing w:after="312" w:afterLines="100" w:line="360" w:lineRule="auto"/>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附件4-2</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技术要求点对点应答表</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p>
    <w:tbl>
      <w:tblPr>
        <w:tblStyle w:val="16"/>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5153"/>
        <w:gridCol w:w="1679"/>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515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磋商要求</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响应应答</w:t>
            </w: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（一）以采购人提供的工程量清单为准，工程结算需经审计并以审定值为准进行结算。</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2</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（二）采购范围：采购人提供的工程量清单中指定的内容。</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3</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（三）质量标准：达到国家施工验收规范合格标准。</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4</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5</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6</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7</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8</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（八）本项目的工程建设必须达到现行国家、省、自治区、直辖市或行业的工程建设标准、规范及强制性条文的要求。</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9</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（九）施工前，需要按照国家规定进行二次复测的材料设备，必须经复测达到国家环保标准后方可使用，否则，由此所造成的损失则由施工单位负责。复测费用由施工单位承担。</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10</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11</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（十一）投标人必须具有良好的资信和售后服务，服从采购人的管理，自觉接受监理机构的监理，并能密切配合其它配套施工项目。</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r>
              <w:rPr>
                <w:rFonts w:hint="eastAsia"/>
                <w:color w:val="000000" w:themeColor="text1"/>
                <w:kern w:val="0"/>
                <w:sz w:val="24"/>
                <w:szCs w:val="21"/>
                <w:highlight w:val="none"/>
                <w14:textFill>
                  <w14:solidFill>
                    <w14:schemeClr w14:val="tx1"/>
                  </w14:solidFill>
                </w14:textFill>
              </w:rPr>
              <w:t>2</w:t>
            </w:r>
          </w:p>
        </w:tc>
        <w:tc>
          <w:tcPr>
            <w:tcW w:w="5153"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十三）本工程所涉的节能产品、节水产品及环境标志产品须按照《关于调整优化节能产品、环境标志产品政府采购执行机制的通知》（财库〔2019〕9号）文件要求，对政府采购节能、环境标志品目清单内的产品实施优先采购和强制采购。</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r>
              <w:rPr>
                <w:rFonts w:hint="eastAsia"/>
                <w:color w:val="000000" w:themeColor="text1"/>
                <w:kern w:val="0"/>
                <w:sz w:val="24"/>
                <w:szCs w:val="21"/>
                <w:highlight w:val="none"/>
                <w14:textFill>
                  <w14:solidFill>
                    <w14:schemeClr w14:val="tx1"/>
                  </w14:solidFill>
                </w14:textFill>
              </w:rPr>
              <w:t>3</w:t>
            </w:r>
          </w:p>
        </w:tc>
        <w:tc>
          <w:tcPr>
            <w:tcW w:w="5153" w:type="dxa"/>
            <w:shd w:val="clear" w:color="auto" w:fill="auto"/>
            <w:vAlign w:val="center"/>
          </w:tcPr>
          <w:p>
            <w:pPr>
              <w:widowControl/>
              <w:snapToGrid w:val="0"/>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其他要求</w:t>
            </w:r>
          </w:p>
        </w:tc>
        <w:tc>
          <w:tcPr>
            <w:tcW w:w="167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不如实填写偏离情况的响应文件将视为虚假材料。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磋商要求指磋商文件中规定的具体要求，投标应答指响应文件的具体内容。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偏离说明指磋商要求与投标应答之间的不同之处。</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投标人在上表“项目需求书要求”的投标应答中必须列出具体数值或内容。如投标人未应答或只注明“符合”、“满足”等类似无具体内容的表述，将被视为不符合磋商文件要求。投标人自行承担由此造成的一切后果。</w:t>
      </w: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4080" w:firstLineChars="17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附件5：辅助资料表</w:t>
      </w:r>
    </w:p>
    <w:p>
      <w:pPr>
        <w:spacing w:line="360" w:lineRule="auto"/>
        <w:ind w:firstLine="480" w:firstLineChars="200"/>
        <w:rPr>
          <w:bCs/>
          <w:color w:val="000000" w:themeColor="text1"/>
          <w:sz w:val="24"/>
          <w:highlight w:val="none"/>
          <w14:textFill>
            <w14:solidFill>
              <w14:schemeClr w14:val="tx1"/>
            </w14:solidFill>
          </w14:textFill>
        </w:rPr>
      </w:pP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附件5-1 项目经理简历表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附件5-2 主要施工人员表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附件5-3 主要施工机械设备表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附件5-4 项目拟分包情况表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附件5-5 劳动计划表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附件5-6 施工方案或施工组织计划</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附件5-7 计划开、竣工日期和施工进度表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附件5-8 临时设施布置及临时用地表</w:t>
      </w:r>
    </w:p>
    <w:p>
      <w:pPr>
        <w:spacing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附件5-9 投标企业概况</w:t>
      </w:r>
    </w:p>
    <w:p>
      <w:pPr>
        <w:spacing w:line="360" w:lineRule="auto"/>
        <w:ind w:firstLine="480" w:firstLineChars="200"/>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附件5-1</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项目经理简历表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08"/>
        <w:gridCol w:w="180"/>
        <w:gridCol w:w="932"/>
        <w:gridCol w:w="688"/>
        <w:gridCol w:w="732"/>
        <w:gridCol w:w="1068"/>
        <w:gridCol w:w="352"/>
        <w:gridCol w:w="548"/>
        <w:gridCol w:w="720"/>
        <w:gridCol w:w="152"/>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姓名</w:t>
            </w:r>
          </w:p>
        </w:tc>
        <w:tc>
          <w:tcPr>
            <w:tcW w:w="1420" w:type="dxa"/>
            <w:gridSpan w:val="3"/>
            <w:vAlign w:val="center"/>
          </w:tcPr>
          <w:p>
            <w:pPr>
              <w:spacing w:line="560" w:lineRule="exact"/>
              <w:jc w:val="center"/>
              <w:rPr>
                <w:color w:val="000000" w:themeColor="text1"/>
                <w:sz w:val="24"/>
                <w:highlight w:val="none"/>
                <w14:textFill>
                  <w14:solidFill>
                    <w14:schemeClr w14:val="tx1"/>
                  </w14:solidFill>
                </w14:textFill>
              </w:rPr>
            </w:pPr>
          </w:p>
        </w:tc>
        <w:tc>
          <w:tcPr>
            <w:tcW w:w="1420"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性别</w:t>
            </w:r>
          </w:p>
        </w:tc>
        <w:tc>
          <w:tcPr>
            <w:tcW w:w="1420"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1420"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年龄</w:t>
            </w:r>
          </w:p>
        </w:tc>
        <w:tc>
          <w:tcPr>
            <w:tcW w:w="1420" w:type="dxa"/>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职务</w:t>
            </w:r>
          </w:p>
        </w:tc>
        <w:tc>
          <w:tcPr>
            <w:tcW w:w="1420" w:type="dxa"/>
            <w:gridSpan w:val="3"/>
            <w:vAlign w:val="center"/>
          </w:tcPr>
          <w:p>
            <w:pPr>
              <w:spacing w:line="560" w:lineRule="exact"/>
              <w:jc w:val="center"/>
              <w:rPr>
                <w:color w:val="000000" w:themeColor="text1"/>
                <w:sz w:val="24"/>
                <w:highlight w:val="none"/>
                <w14:textFill>
                  <w14:solidFill>
                    <w14:schemeClr w14:val="tx1"/>
                  </w14:solidFill>
                </w14:textFill>
              </w:rPr>
            </w:pPr>
          </w:p>
        </w:tc>
        <w:tc>
          <w:tcPr>
            <w:tcW w:w="1420"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职称</w:t>
            </w:r>
          </w:p>
        </w:tc>
        <w:tc>
          <w:tcPr>
            <w:tcW w:w="1420"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1420"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学历</w:t>
            </w:r>
          </w:p>
        </w:tc>
        <w:tc>
          <w:tcPr>
            <w:tcW w:w="1420" w:type="dxa"/>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08"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参加工作时间 </w:t>
            </w:r>
          </w:p>
        </w:tc>
        <w:tc>
          <w:tcPr>
            <w:tcW w:w="2352" w:type="dxa"/>
            <w:gridSpan w:val="3"/>
            <w:vAlign w:val="center"/>
          </w:tcPr>
          <w:p>
            <w:pPr>
              <w:spacing w:line="560" w:lineRule="exact"/>
              <w:jc w:val="center"/>
              <w:rPr>
                <w:color w:val="000000" w:themeColor="text1"/>
                <w:sz w:val="24"/>
                <w:highlight w:val="none"/>
                <w14:textFill>
                  <w14:solidFill>
                    <w14:schemeClr w14:val="tx1"/>
                  </w14:solidFill>
                </w14:textFill>
              </w:rPr>
            </w:pPr>
          </w:p>
        </w:tc>
        <w:tc>
          <w:tcPr>
            <w:tcW w:w="1968"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从事项目经理年</w:t>
            </w:r>
          </w:p>
        </w:tc>
        <w:tc>
          <w:tcPr>
            <w:tcW w:w="2292" w:type="dxa"/>
            <w:gridSpan w:val="3"/>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gridSpan w:val="1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已完成工程项目情况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建设单位</w:t>
            </w:r>
          </w:p>
        </w:tc>
        <w:tc>
          <w:tcPr>
            <w:tcW w:w="1800"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p>
        </w:tc>
        <w:tc>
          <w:tcPr>
            <w:tcW w:w="1800"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建设规模</w:t>
            </w:r>
          </w:p>
        </w:tc>
        <w:tc>
          <w:tcPr>
            <w:tcW w:w="1620"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开、竣工程</w:t>
            </w:r>
          </w:p>
        </w:tc>
        <w:tc>
          <w:tcPr>
            <w:tcW w:w="1572"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1800" w:type="dxa"/>
            <w:gridSpan w:val="3"/>
            <w:vAlign w:val="center"/>
          </w:tcPr>
          <w:p>
            <w:pPr>
              <w:spacing w:line="560" w:lineRule="exact"/>
              <w:jc w:val="center"/>
              <w:rPr>
                <w:color w:val="000000" w:themeColor="text1"/>
                <w:sz w:val="24"/>
                <w:highlight w:val="none"/>
                <w14:textFill>
                  <w14:solidFill>
                    <w14:schemeClr w14:val="tx1"/>
                  </w14:solidFill>
                </w14:textFill>
              </w:rPr>
            </w:pPr>
          </w:p>
        </w:tc>
        <w:tc>
          <w:tcPr>
            <w:tcW w:w="1800"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1620" w:type="dxa"/>
            <w:gridSpan w:val="3"/>
            <w:vAlign w:val="center"/>
          </w:tcPr>
          <w:p>
            <w:pPr>
              <w:spacing w:line="560" w:lineRule="exact"/>
              <w:jc w:val="center"/>
              <w:rPr>
                <w:color w:val="000000" w:themeColor="text1"/>
                <w:sz w:val="24"/>
                <w:highlight w:val="none"/>
                <w14:textFill>
                  <w14:solidFill>
                    <w14:schemeClr w14:val="tx1"/>
                  </w14:solidFill>
                </w14:textFill>
              </w:rPr>
            </w:pPr>
          </w:p>
        </w:tc>
        <w:tc>
          <w:tcPr>
            <w:tcW w:w="1572" w:type="dxa"/>
            <w:gridSpan w:val="2"/>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pPr>
              <w:spacing w:line="560" w:lineRule="exact"/>
              <w:jc w:val="center"/>
              <w:rPr>
                <w:b/>
                <w:color w:val="000000" w:themeColor="text1"/>
                <w:sz w:val="24"/>
                <w:highlight w:val="none"/>
                <w14:textFill>
                  <w14:solidFill>
                    <w14:schemeClr w14:val="tx1"/>
                  </w14:solidFill>
                </w14:textFill>
              </w:rPr>
            </w:pPr>
          </w:p>
        </w:tc>
        <w:tc>
          <w:tcPr>
            <w:tcW w:w="1800" w:type="dxa"/>
            <w:gridSpan w:val="3"/>
          </w:tcPr>
          <w:p>
            <w:pPr>
              <w:spacing w:line="560" w:lineRule="exact"/>
              <w:jc w:val="center"/>
              <w:rPr>
                <w:b/>
                <w:color w:val="000000" w:themeColor="text1"/>
                <w:sz w:val="24"/>
                <w:highlight w:val="none"/>
                <w14:textFill>
                  <w14:solidFill>
                    <w14:schemeClr w14:val="tx1"/>
                  </w14:solidFill>
                </w14:textFill>
              </w:rPr>
            </w:pPr>
          </w:p>
        </w:tc>
        <w:tc>
          <w:tcPr>
            <w:tcW w:w="1800" w:type="dxa"/>
            <w:gridSpan w:val="2"/>
          </w:tcPr>
          <w:p>
            <w:pPr>
              <w:spacing w:line="560" w:lineRule="exact"/>
              <w:jc w:val="center"/>
              <w:rPr>
                <w:b/>
                <w:color w:val="000000" w:themeColor="text1"/>
                <w:sz w:val="24"/>
                <w:highlight w:val="none"/>
                <w14:textFill>
                  <w14:solidFill>
                    <w14:schemeClr w14:val="tx1"/>
                  </w14:solidFill>
                </w14:textFill>
              </w:rPr>
            </w:pPr>
          </w:p>
        </w:tc>
        <w:tc>
          <w:tcPr>
            <w:tcW w:w="1620" w:type="dxa"/>
            <w:gridSpan w:val="3"/>
          </w:tcPr>
          <w:p>
            <w:pPr>
              <w:spacing w:line="560" w:lineRule="exact"/>
              <w:jc w:val="center"/>
              <w:rPr>
                <w:b/>
                <w:color w:val="000000" w:themeColor="text1"/>
                <w:sz w:val="24"/>
                <w:highlight w:val="none"/>
                <w14:textFill>
                  <w14:solidFill>
                    <w14:schemeClr w14:val="tx1"/>
                  </w14:solidFill>
                </w14:textFill>
              </w:rPr>
            </w:pPr>
          </w:p>
        </w:tc>
        <w:tc>
          <w:tcPr>
            <w:tcW w:w="1572" w:type="dxa"/>
            <w:gridSpan w:val="2"/>
          </w:tcPr>
          <w:p>
            <w:pPr>
              <w:spacing w:line="560" w:lineRule="exact"/>
              <w:jc w:val="center"/>
              <w:rPr>
                <w:b/>
                <w:color w:val="000000" w:themeColor="text1"/>
                <w:sz w:val="24"/>
                <w:highlight w:val="none"/>
                <w14:textFill>
                  <w14:solidFill>
                    <w14:schemeClr w14:val="tx1"/>
                  </w14:solidFill>
                </w14:textFill>
              </w:rPr>
            </w:pPr>
          </w:p>
        </w:tc>
      </w:tr>
    </w:tbl>
    <w:p>
      <w:pPr>
        <w:spacing w:line="560" w:lineRule="exact"/>
        <w:jc w:val="center"/>
        <w:rPr>
          <w:b/>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附件5-2</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主要施工人员表</w:t>
      </w:r>
    </w:p>
    <w:p>
      <w:pPr>
        <w:spacing w:line="560" w:lineRule="exact"/>
        <w:jc w:val="center"/>
        <w:rPr>
          <w:b/>
          <w:color w:val="000000" w:themeColor="text1"/>
          <w:sz w:val="24"/>
          <w:highlight w:val="none"/>
          <w14:textFill>
            <w14:solidFill>
              <w14:schemeClr w14:val="tx1"/>
            </w14:solidFill>
          </w14:textFill>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080"/>
        <w:gridCol w:w="1080"/>
        <w:gridCol w:w="108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名称</w:t>
            </w:r>
          </w:p>
        </w:tc>
        <w:tc>
          <w:tcPr>
            <w:tcW w:w="108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姓名</w:t>
            </w:r>
          </w:p>
        </w:tc>
        <w:tc>
          <w:tcPr>
            <w:tcW w:w="108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职务</w:t>
            </w:r>
          </w:p>
        </w:tc>
        <w:tc>
          <w:tcPr>
            <w:tcW w:w="108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职称</w:t>
            </w:r>
          </w:p>
        </w:tc>
        <w:tc>
          <w:tcPr>
            <w:tcW w:w="36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0" w:hRule="atLeast"/>
          <w:jc w:val="center"/>
        </w:trPr>
        <w:tc>
          <w:tcPr>
            <w:tcW w:w="2088" w:type="dxa"/>
          </w:tcPr>
          <w:p>
            <w:pPr>
              <w:numPr>
                <w:ilvl w:val="0"/>
                <w:numId w:val="3"/>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总部</w:t>
            </w:r>
          </w:p>
          <w:p>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项目主管</w:t>
            </w:r>
          </w:p>
          <w:p>
            <w:pPr>
              <w:numPr>
                <w:ilvl w:val="0"/>
                <w:numId w:val="4"/>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其他人员</w:t>
            </w:r>
          </w:p>
          <w:p>
            <w:pPr>
              <w:spacing w:line="560" w:lineRule="exact"/>
              <w:rPr>
                <w:color w:val="000000" w:themeColor="text1"/>
                <w:sz w:val="24"/>
                <w:highlight w:val="none"/>
                <w14:textFill>
                  <w14:solidFill>
                    <w14:schemeClr w14:val="tx1"/>
                  </w14:solidFill>
                </w14:textFill>
              </w:rPr>
            </w:pPr>
          </w:p>
          <w:p>
            <w:pPr>
              <w:numPr>
                <w:ilvl w:val="0"/>
                <w:numId w:val="3"/>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现场</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项目经理</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项目副经理</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质量管理</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材料管理</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计划管理</w:t>
            </w:r>
          </w:p>
          <w:p>
            <w:pPr>
              <w:numPr>
                <w:ilvl w:val="0"/>
                <w:numId w:val="5"/>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安全管理</w:t>
            </w:r>
          </w:p>
        </w:tc>
        <w:tc>
          <w:tcPr>
            <w:tcW w:w="1080" w:type="dxa"/>
            <w:vAlign w:val="center"/>
          </w:tcPr>
          <w:p>
            <w:pPr>
              <w:spacing w:line="560" w:lineRule="exact"/>
              <w:rPr>
                <w:color w:val="000000" w:themeColor="text1"/>
                <w:sz w:val="24"/>
                <w:highlight w:val="none"/>
                <w14:textFill>
                  <w14:solidFill>
                    <w14:schemeClr w14:val="tx1"/>
                  </w14:solidFill>
                </w14:textFill>
              </w:rPr>
            </w:pPr>
          </w:p>
        </w:tc>
        <w:tc>
          <w:tcPr>
            <w:tcW w:w="1080" w:type="dxa"/>
            <w:vAlign w:val="center"/>
          </w:tcPr>
          <w:p>
            <w:pPr>
              <w:spacing w:line="560" w:lineRule="exact"/>
              <w:rPr>
                <w:color w:val="000000" w:themeColor="text1"/>
                <w:sz w:val="24"/>
                <w:highlight w:val="none"/>
                <w14:textFill>
                  <w14:solidFill>
                    <w14:schemeClr w14:val="tx1"/>
                  </w14:solidFill>
                </w14:textFill>
              </w:rPr>
            </w:pPr>
          </w:p>
        </w:tc>
        <w:tc>
          <w:tcPr>
            <w:tcW w:w="1080" w:type="dxa"/>
            <w:vAlign w:val="center"/>
          </w:tcPr>
          <w:p>
            <w:pPr>
              <w:spacing w:line="560" w:lineRule="exact"/>
              <w:rPr>
                <w:color w:val="000000" w:themeColor="text1"/>
                <w:sz w:val="24"/>
                <w:highlight w:val="none"/>
                <w14:textFill>
                  <w14:solidFill>
                    <w14:schemeClr w14:val="tx1"/>
                  </w14:solidFill>
                </w14:textFill>
              </w:rPr>
            </w:pPr>
          </w:p>
        </w:tc>
        <w:tc>
          <w:tcPr>
            <w:tcW w:w="3600" w:type="dxa"/>
            <w:vAlign w:val="center"/>
          </w:tcPr>
          <w:p>
            <w:pPr>
              <w:spacing w:line="560" w:lineRule="exact"/>
              <w:rPr>
                <w:color w:val="000000" w:themeColor="text1"/>
                <w:sz w:val="24"/>
                <w:highlight w:val="none"/>
                <w14:textFill>
                  <w14:solidFill>
                    <w14:schemeClr w14:val="tx1"/>
                  </w14:solidFill>
                </w14:textFill>
              </w:rPr>
            </w:pPr>
          </w:p>
        </w:tc>
      </w:tr>
    </w:tbl>
    <w:p>
      <w:pPr>
        <w:spacing w:line="560" w:lineRule="exact"/>
        <w:jc w:val="center"/>
        <w:rPr>
          <w:b/>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附件5-3</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主要施工机械设备表</w:t>
      </w:r>
    </w:p>
    <w:p>
      <w:pPr>
        <w:spacing w:line="560" w:lineRule="exact"/>
        <w:jc w:val="center"/>
        <w:rPr>
          <w:b/>
          <w:color w:val="000000" w:themeColor="text1"/>
          <w:sz w:val="24"/>
          <w:highlight w:val="none"/>
          <w14:textFill>
            <w14:solidFill>
              <w14:schemeClr w14:val="tx1"/>
            </w14:solidFill>
          </w14:textFill>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60"/>
        <w:gridCol w:w="1440"/>
        <w:gridCol w:w="900"/>
        <w:gridCol w:w="900"/>
        <w:gridCol w:w="900"/>
        <w:gridCol w:w="900"/>
        <w:gridCol w:w="900"/>
        <w:gridCol w:w="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216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机械或设备名称</w:t>
            </w:r>
          </w:p>
        </w:tc>
        <w:tc>
          <w:tcPr>
            <w:tcW w:w="144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型号规格</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国别产地</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制造年份</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额定功率</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生产能力</w:t>
            </w:r>
          </w:p>
        </w:tc>
        <w:tc>
          <w:tcPr>
            <w:tcW w:w="665"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pPr>
              <w:spacing w:line="560" w:lineRule="exact"/>
              <w:jc w:val="center"/>
              <w:rPr>
                <w:b/>
                <w:color w:val="000000" w:themeColor="text1"/>
                <w:sz w:val="24"/>
                <w:highlight w:val="none"/>
                <w14:textFill>
                  <w14:solidFill>
                    <w14:schemeClr w14:val="tx1"/>
                  </w14:solidFill>
                </w14:textFill>
              </w:rPr>
            </w:pPr>
          </w:p>
        </w:tc>
        <w:tc>
          <w:tcPr>
            <w:tcW w:w="2160"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900" w:type="dxa"/>
          </w:tcPr>
          <w:p>
            <w:pPr>
              <w:spacing w:line="560" w:lineRule="exact"/>
              <w:jc w:val="center"/>
              <w:rPr>
                <w:b/>
                <w:color w:val="000000" w:themeColor="text1"/>
                <w:sz w:val="24"/>
                <w:highlight w:val="none"/>
                <w14:textFill>
                  <w14:solidFill>
                    <w14:schemeClr w14:val="tx1"/>
                  </w14:solidFill>
                </w14:textFill>
              </w:rPr>
            </w:pPr>
          </w:p>
        </w:tc>
        <w:tc>
          <w:tcPr>
            <w:tcW w:w="665" w:type="dxa"/>
          </w:tcPr>
          <w:p>
            <w:pPr>
              <w:spacing w:line="560" w:lineRule="exact"/>
              <w:jc w:val="center"/>
              <w:rPr>
                <w:b/>
                <w:color w:val="000000" w:themeColor="text1"/>
                <w:sz w:val="24"/>
                <w:highlight w:val="none"/>
                <w14:textFill>
                  <w14:solidFill>
                    <w14:schemeClr w14:val="tx1"/>
                  </w14:solidFill>
                </w14:textFill>
              </w:rPr>
            </w:pPr>
          </w:p>
        </w:tc>
      </w:tr>
    </w:tbl>
    <w:p>
      <w:pPr>
        <w:spacing w:line="560" w:lineRule="exact"/>
        <w:jc w:val="center"/>
        <w:rPr>
          <w:b/>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附件5-4</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项目拟分包情况表</w:t>
      </w:r>
    </w:p>
    <w:p>
      <w:pPr>
        <w:spacing w:line="560" w:lineRule="exact"/>
        <w:jc w:val="center"/>
        <w:rPr>
          <w:b/>
          <w:color w:val="000000" w:themeColor="text1"/>
          <w:sz w:val="24"/>
          <w:highlight w:val="none"/>
          <w14:textFill>
            <w14:solidFill>
              <w14:schemeClr w14:val="tx1"/>
            </w14:solidFill>
          </w14:textFill>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620"/>
        <w:gridCol w:w="198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分包项目</w:t>
            </w:r>
          </w:p>
        </w:tc>
        <w:tc>
          <w:tcPr>
            <w:tcW w:w="144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主要内容</w:t>
            </w:r>
          </w:p>
        </w:tc>
        <w:tc>
          <w:tcPr>
            <w:tcW w:w="162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估算价格</w:t>
            </w:r>
          </w:p>
        </w:tc>
        <w:tc>
          <w:tcPr>
            <w:tcW w:w="198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分包单位名称</w:t>
            </w:r>
          </w:p>
        </w:tc>
        <w:tc>
          <w:tcPr>
            <w:tcW w:w="2112"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做过同类工程的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5" w:hRule="atLeast"/>
        </w:trPr>
        <w:tc>
          <w:tcPr>
            <w:tcW w:w="1368" w:type="dxa"/>
          </w:tcPr>
          <w:p>
            <w:pPr>
              <w:spacing w:line="560" w:lineRule="exact"/>
              <w:jc w:val="center"/>
              <w:rPr>
                <w:b/>
                <w:color w:val="000000" w:themeColor="text1"/>
                <w:sz w:val="24"/>
                <w:highlight w:val="none"/>
                <w14:textFill>
                  <w14:solidFill>
                    <w14:schemeClr w14:val="tx1"/>
                  </w14:solidFill>
                </w14:textFill>
              </w:rPr>
            </w:pPr>
          </w:p>
        </w:tc>
        <w:tc>
          <w:tcPr>
            <w:tcW w:w="1440" w:type="dxa"/>
          </w:tcPr>
          <w:p>
            <w:pPr>
              <w:spacing w:line="560" w:lineRule="exact"/>
              <w:jc w:val="center"/>
              <w:rPr>
                <w:b/>
                <w:color w:val="000000" w:themeColor="text1"/>
                <w:sz w:val="24"/>
                <w:highlight w:val="none"/>
                <w14:textFill>
                  <w14:solidFill>
                    <w14:schemeClr w14:val="tx1"/>
                  </w14:solidFill>
                </w14:textFill>
              </w:rPr>
            </w:pPr>
          </w:p>
        </w:tc>
        <w:tc>
          <w:tcPr>
            <w:tcW w:w="1620" w:type="dxa"/>
          </w:tcPr>
          <w:p>
            <w:pPr>
              <w:spacing w:line="560" w:lineRule="exact"/>
              <w:jc w:val="center"/>
              <w:rPr>
                <w:b/>
                <w:color w:val="000000" w:themeColor="text1"/>
                <w:sz w:val="24"/>
                <w:highlight w:val="none"/>
                <w14:textFill>
                  <w14:solidFill>
                    <w14:schemeClr w14:val="tx1"/>
                  </w14:solidFill>
                </w14:textFill>
              </w:rPr>
            </w:pPr>
          </w:p>
        </w:tc>
        <w:tc>
          <w:tcPr>
            <w:tcW w:w="1980" w:type="dxa"/>
          </w:tcPr>
          <w:p>
            <w:pPr>
              <w:spacing w:line="560" w:lineRule="exact"/>
              <w:jc w:val="center"/>
              <w:rPr>
                <w:b/>
                <w:color w:val="000000" w:themeColor="text1"/>
                <w:sz w:val="24"/>
                <w:highlight w:val="none"/>
                <w14:textFill>
                  <w14:solidFill>
                    <w14:schemeClr w14:val="tx1"/>
                  </w14:solidFill>
                </w14:textFill>
              </w:rPr>
            </w:pPr>
          </w:p>
        </w:tc>
        <w:tc>
          <w:tcPr>
            <w:tcW w:w="2112" w:type="dxa"/>
          </w:tcPr>
          <w:p>
            <w:pPr>
              <w:spacing w:line="560" w:lineRule="exact"/>
              <w:jc w:val="center"/>
              <w:rPr>
                <w:b/>
                <w:color w:val="000000" w:themeColor="text1"/>
                <w:sz w:val="24"/>
                <w:highlight w:val="none"/>
                <w14:textFill>
                  <w14:solidFill>
                    <w14:schemeClr w14:val="tx1"/>
                  </w14:solidFill>
                </w14:textFill>
              </w:rPr>
            </w:pPr>
          </w:p>
        </w:tc>
      </w:tr>
    </w:tbl>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附件5-5</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劳动力计划表</w:t>
      </w:r>
    </w:p>
    <w:p>
      <w:pPr>
        <w:spacing w:line="560" w:lineRule="exact"/>
        <w:rPr>
          <w:color w:val="000000" w:themeColor="text1"/>
          <w:sz w:val="24"/>
          <w:highlight w:val="none"/>
          <w14:textFill>
            <w14:solidFill>
              <w14:schemeClr w14:val="tx1"/>
            </w14:solidFill>
          </w14:textFill>
        </w:rPr>
      </w:pP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供应商应按所列格式提交包括分包人在内的估计的劳动力计划表。本计划表是以每班八小时工作制为基础的。</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065"/>
        <w:gridCol w:w="1065"/>
        <w:gridCol w:w="1065"/>
        <w:gridCol w:w="1065"/>
        <w:gridCol w:w="106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restart"/>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工种、级别</w:t>
            </w:r>
          </w:p>
        </w:tc>
        <w:tc>
          <w:tcPr>
            <w:tcW w:w="6390" w:type="dxa"/>
            <w:gridSpan w:val="6"/>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continue"/>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c>
          <w:tcPr>
            <w:tcW w:w="1065" w:type="dxa"/>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2" w:hRule="atLeast"/>
        </w:trPr>
        <w:tc>
          <w:tcPr>
            <w:tcW w:w="2130"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c>
          <w:tcPr>
            <w:tcW w:w="1065" w:type="dxa"/>
          </w:tcPr>
          <w:p>
            <w:pPr>
              <w:spacing w:line="560" w:lineRule="exact"/>
              <w:rPr>
                <w:color w:val="000000" w:themeColor="text1"/>
                <w:sz w:val="24"/>
                <w:highlight w:val="none"/>
                <w14:textFill>
                  <w14:solidFill>
                    <w14:schemeClr w14:val="tx1"/>
                  </w14:solidFill>
                </w14:textFill>
              </w:rPr>
            </w:pPr>
          </w:p>
        </w:tc>
      </w:tr>
    </w:tbl>
    <w:p>
      <w:pPr>
        <w:spacing w:line="560" w:lineRule="exact"/>
        <w:ind w:firstLine="480"/>
        <w:rPr>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jc w:val="center"/>
        <w:rPr>
          <w:b/>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附件5-6</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施工方案或施工组织设计</w:t>
      </w:r>
    </w:p>
    <w:p>
      <w:pPr>
        <w:spacing w:line="560" w:lineRule="exact"/>
        <w:jc w:val="center"/>
        <w:rPr>
          <w:b/>
          <w:color w:val="000000" w:themeColor="text1"/>
          <w:sz w:val="24"/>
          <w:highlight w:val="none"/>
          <w14:textFill>
            <w14:solidFill>
              <w14:schemeClr w14:val="tx1"/>
            </w14:solidFill>
          </w14:textFill>
        </w:rPr>
      </w:pP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供应商应递交完整的施工方案或施工组织设计，说明各分部分项工程的施工方法和布置，提交包括临时设施和临时道路的施工总布置图及其他的图表、文字说明书等资料，至少应包括：</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各分部分项工程的完整的施工方案，保证质量的措施；</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施工机械的进场计划；</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工程材料的进场计划；</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施工现场平面布置图及施工道路平面图；</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冬、雨季施工措施；</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地下管线及其他地上地下设施的加固措施；</w:t>
      </w:r>
    </w:p>
    <w:p>
      <w:pPr>
        <w:numPr>
          <w:ilvl w:val="0"/>
          <w:numId w:val="6"/>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保证安全生产，文明施工，减少扰民，降低环境污染和噪音的措施。</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附件5-7</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计划开、竣工日期和施工进度表</w:t>
      </w:r>
    </w:p>
    <w:p>
      <w:pPr>
        <w:spacing w:line="560" w:lineRule="exact"/>
        <w:jc w:val="center"/>
        <w:rPr>
          <w:b/>
          <w:color w:val="000000" w:themeColor="text1"/>
          <w:sz w:val="24"/>
          <w:highlight w:val="none"/>
          <w14:textFill>
            <w14:solidFill>
              <w14:schemeClr w14:val="tx1"/>
            </w14:solidFill>
          </w14:textFill>
        </w:rPr>
      </w:pP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供应商应提交初步的施工进度表，说明按竞争性磋商文件要求的工期进行施工的各个关键日期。磋商成功的供应商还要按合同条件有关条款的要求提交详细的施工进度计划。</w:t>
      </w: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初步施工进度表可采用横道图（或关键线路网络图）表示，说明计划开工日期和各分部分项工程各阶段的完工日期和分包合同签订的日期。</w:t>
      </w: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施工进度计划应与施工方案或施工组织设计相适应。</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附件5-8</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临时设施布置及临时用地表</w:t>
      </w:r>
    </w:p>
    <w:p>
      <w:pPr>
        <w:spacing w:line="560" w:lineRule="exact"/>
        <w:jc w:val="center"/>
        <w:rPr>
          <w:b/>
          <w:color w:val="000000" w:themeColor="text1"/>
          <w:sz w:val="24"/>
          <w:highlight w:val="none"/>
          <w14:textFill>
            <w14:solidFill>
              <w14:schemeClr w14:val="tx1"/>
            </w14:solidFill>
          </w14:textFill>
        </w:rPr>
      </w:pPr>
    </w:p>
    <w:p>
      <w:pPr>
        <w:numPr>
          <w:ilvl w:val="0"/>
          <w:numId w:val="7"/>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临时设施布置</w:t>
      </w:r>
    </w:p>
    <w:p>
      <w:pPr>
        <w:spacing w:line="560" w:lineRule="exact"/>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供应商应提交一份施工现场临时设施布置图表并附文字说明，说明临时设施、加工车间、现场办公、设备及仓储、供电、供水、生产、生活等设施的情况和 布置。</w:t>
      </w:r>
    </w:p>
    <w:p>
      <w:pPr>
        <w:numPr>
          <w:ilvl w:val="0"/>
          <w:numId w:val="7"/>
        </w:num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临时用地表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用途</w:t>
            </w:r>
          </w:p>
        </w:tc>
        <w:tc>
          <w:tcPr>
            <w:tcW w:w="213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面积（m</w:t>
            </w:r>
            <w:r>
              <w:rPr>
                <w:color w:val="000000" w:themeColor="text1"/>
                <w:sz w:val="24"/>
                <w:highlight w:val="none"/>
                <w:vertAlign w:val="superscript"/>
                <w14:textFill>
                  <w14:solidFill>
                    <w14:schemeClr w14:val="tx1"/>
                  </w14:solidFill>
                </w14:textFill>
              </w:rPr>
              <w:t>2</w:t>
            </w:r>
            <w:r>
              <w:rPr>
                <w:color w:val="000000" w:themeColor="text1"/>
                <w:sz w:val="24"/>
                <w:highlight w:val="none"/>
                <w14:textFill>
                  <w14:solidFill>
                    <w14:schemeClr w14:val="tx1"/>
                  </w14:solidFill>
                </w14:textFill>
              </w:rPr>
              <w:t>）</w:t>
            </w:r>
          </w:p>
        </w:tc>
        <w:tc>
          <w:tcPr>
            <w:tcW w:w="213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位置</w:t>
            </w:r>
          </w:p>
        </w:tc>
        <w:tc>
          <w:tcPr>
            <w:tcW w:w="213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3" w:hRule="atLeast"/>
        </w:trPr>
        <w:tc>
          <w:tcPr>
            <w:tcW w:w="2130" w:type="dxa"/>
          </w:tcPr>
          <w:p>
            <w:pPr>
              <w:spacing w:line="560" w:lineRule="exact"/>
              <w:jc w:val="center"/>
              <w:rPr>
                <w:color w:val="000000" w:themeColor="text1"/>
                <w:sz w:val="24"/>
                <w:highlight w:val="none"/>
                <w14:textFill>
                  <w14:solidFill>
                    <w14:schemeClr w14:val="tx1"/>
                  </w14:solidFill>
                </w14:textFill>
              </w:rPr>
            </w:pPr>
          </w:p>
        </w:tc>
        <w:tc>
          <w:tcPr>
            <w:tcW w:w="2130" w:type="dxa"/>
          </w:tcPr>
          <w:p>
            <w:pPr>
              <w:spacing w:line="560" w:lineRule="exact"/>
              <w:jc w:val="center"/>
              <w:rPr>
                <w:color w:val="000000" w:themeColor="text1"/>
                <w:sz w:val="24"/>
                <w:highlight w:val="none"/>
                <w14:textFill>
                  <w14:solidFill>
                    <w14:schemeClr w14:val="tx1"/>
                  </w14:solidFill>
                </w14:textFill>
              </w:rPr>
            </w:pPr>
          </w:p>
        </w:tc>
        <w:tc>
          <w:tcPr>
            <w:tcW w:w="2130" w:type="dxa"/>
          </w:tcPr>
          <w:p>
            <w:pPr>
              <w:spacing w:line="560" w:lineRule="exact"/>
              <w:jc w:val="center"/>
              <w:rPr>
                <w:color w:val="000000" w:themeColor="text1"/>
                <w:sz w:val="24"/>
                <w:highlight w:val="none"/>
                <w14:textFill>
                  <w14:solidFill>
                    <w14:schemeClr w14:val="tx1"/>
                  </w14:solidFill>
                </w14:textFill>
              </w:rPr>
            </w:pPr>
          </w:p>
        </w:tc>
        <w:tc>
          <w:tcPr>
            <w:tcW w:w="2130" w:type="dxa"/>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2130" w:type="dxa"/>
          </w:tcPr>
          <w:p>
            <w:pPr>
              <w:spacing w:line="560" w:lineRule="exact"/>
              <w:jc w:val="center"/>
              <w:rPr>
                <w:color w:val="000000" w:themeColor="text1"/>
                <w:sz w:val="24"/>
                <w:highlight w:val="none"/>
                <w14:textFill>
                  <w14:solidFill>
                    <w14:schemeClr w14:val="tx1"/>
                  </w14:solidFill>
                </w14:textFill>
              </w:rPr>
            </w:pPr>
          </w:p>
        </w:tc>
        <w:tc>
          <w:tcPr>
            <w:tcW w:w="2130" w:type="dxa"/>
          </w:tcPr>
          <w:p>
            <w:pPr>
              <w:spacing w:line="560" w:lineRule="exact"/>
              <w:jc w:val="center"/>
              <w:rPr>
                <w:color w:val="000000" w:themeColor="text1"/>
                <w:sz w:val="24"/>
                <w:highlight w:val="none"/>
                <w14:textFill>
                  <w14:solidFill>
                    <w14:schemeClr w14:val="tx1"/>
                  </w14:solidFill>
                </w14:textFill>
              </w:rPr>
            </w:pPr>
          </w:p>
        </w:tc>
        <w:tc>
          <w:tcPr>
            <w:tcW w:w="2130" w:type="dxa"/>
          </w:tcPr>
          <w:p>
            <w:pPr>
              <w:spacing w:line="560" w:lineRule="exact"/>
              <w:jc w:val="center"/>
              <w:rPr>
                <w:color w:val="000000" w:themeColor="text1"/>
                <w:sz w:val="24"/>
                <w:highlight w:val="none"/>
                <w14:textFill>
                  <w14:solidFill>
                    <w14:schemeClr w14:val="tx1"/>
                  </w14:solidFill>
                </w14:textFill>
              </w:rPr>
            </w:pPr>
          </w:p>
        </w:tc>
      </w:tr>
    </w:tbl>
    <w:p>
      <w:pPr>
        <w:spacing w:line="560" w:lineRule="exact"/>
        <w:ind w:left="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注：（1）供应商应逐项填写本表，指出全部临时设施用地面积以及详细用途。</w:t>
      </w:r>
    </w:p>
    <w:p>
      <w:pPr>
        <w:spacing w:line="560" w:lineRule="exact"/>
        <w:ind w:left="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（2）若本表不够，可加附页。</w:t>
      </w:r>
    </w:p>
    <w:p>
      <w:pPr>
        <w:spacing w:line="560" w:lineRule="exact"/>
        <w:ind w:left="480"/>
        <w:rPr>
          <w:color w:val="000000" w:themeColor="text1"/>
          <w:sz w:val="24"/>
          <w:highlight w:val="none"/>
          <w14:textFill>
            <w14:solidFill>
              <w14:schemeClr w14:val="tx1"/>
            </w14:solidFill>
          </w14:textFill>
        </w:rPr>
      </w:pPr>
    </w:p>
    <w:p>
      <w:pPr>
        <w:spacing w:line="560" w:lineRule="exact"/>
        <w:ind w:left="480"/>
        <w:rPr>
          <w:color w:val="000000" w:themeColor="text1"/>
          <w:sz w:val="24"/>
          <w:highlight w:val="none"/>
          <w14:textFill>
            <w14:solidFill>
              <w14:schemeClr w14:val="tx1"/>
            </w14:solidFill>
          </w14:textFill>
        </w:rPr>
      </w:pPr>
    </w:p>
    <w:p>
      <w:pPr>
        <w:spacing w:line="560" w:lineRule="exact"/>
        <w:ind w:left="480"/>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附件5-9</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 xml:space="preserve">投标企业概况 </w:t>
      </w:r>
    </w:p>
    <w:p>
      <w:pPr>
        <w:spacing w:line="560" w:lineRule="exact"/>
        <w:jc w:val="center"/>
        <w:rPr>
          <w:b/>
          <w:color w:val="000000" w:themeColor="text1"/>
          <w:sz w:val="24"/>
          <w:highlight w:val="none"/>
          <w14:textFill>
            <w14:solidFill>
              <w14:schemeClr w14:val="tx1"/>
            </w14:solidFill>
          </w14:textFill>
        </w:rPr>
      </w:pPr>
    </w:p>
    <w:tbl>
      <w:tblPr>
        <w:tblStyle w:val="16"/>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00"/>
        <w:gridCol w:w="473"/>
        <w:gridCol w:w="360"/>
        <w:gridCol w:w="967"/>
        <w:gridCol w:w="833"/>
        <w:gridCol w:w="360"/>
        <w:gridCol w:w="607"/>
        <w:gridCol w:w="833"/>
        <w:gridCol w:w="67"/>
        <w:gridCol w:w="900"/>
        <w:gridCol w:w="113"/>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企业职工</w:t>
            </w:r>
          </w:p>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人数</w:t>
            </w:r>
          </w:p>
        </w:tc>
        <w:tc>
          <w:tcPr>
            <w:tcW w:w="900" w:type="dxa"/>
            <w:vMerge w:val="restart"/>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人</w:t>
            </w:r>
          </w:p>
        </w:tc>
        <w:tc>
          <w:tcPr>
            <w:tcW w:w="3600" w:type="dxa"/>
            <w:gridSpan w:val="6"/>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有职称管理人员</w:t>
            </w:r>
          </w:p>
        </w:tc>
        <w:tc>
          <w:tcPr>
            <w:tcW w:w="2700" w:type="dxa"/>
            <w:gridSpan w:val="5"/>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pPr>
              <w:spacing w:line="560" w:lineRule="exact"/>
              <w:jc w:val="center"/>
              <w:rPr>
                <w:color w:val="000000" w:themeColor="text1"/>
                <w:sz w:val="24"/>
                <w:highlight w:val="none"/>
                <w14:textFill>
                  <w14:solidFill>
                    <w14:schemeClr w14:val="tx1"/>
                  </w14:solidFill>
                </w14:textFill>
              </w:rPr>
            </w:pPr>
          </w:p>
        </w:tc>
        <w:tc>
          <w:tcPr>
            <w:tcW w:w="900" w:type="dxa"/>
            <w:vMerge w:val="continue"/>
            <w:vAlign w:val="center"/>
          </w:tcPr>
          <w:p>
            <w:pPr>
              <w:spacing w:line="560" w:lineRule="exact"/>
              <w:jc w:val="center"/>
              <w:rPr>
                <w:color w:val="000000" w:themeColor="text1"/>
                <w:sz w:val="24"/>
                <w:highlight w:val="none"/>
                <w14:textFill>
                  <w14:solidFill>
                    <w14:schemeClr w14:val="tx1"/>
                  </w14:solidFill>
                </w14:textFill>
              </w:rPr>
            </w:pPr>
          </w:p>
        </w:tc>
        <w:tc>
          <w:tcPr>
            <w:tcW w:w="833"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高工</w:t>
            </w:r>
          </w:p>
        </w:tc>
        <w:tc>
          <w:tcPr>
            <w:tcW w:w="967"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工程师</w:t>
            </w:r>
          </w:p>
        </w:tc>
        <w:tc>
          <w:tcPr>
            <w:tcW w:w="833"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助工</w:t>
            </w:r>
          </w:p>
        </w:tc>
        <w:tc>
          <w:tcPr>
            <w:tcW w:w="967"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技术员</w:t>
            </w:r>
          </w:p>
        </w:tc>
        <w:tc>
          <w:tcPr>
            <w:tcW w:w="900"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4-8级</w:t>
            </w:r>
          </w:p>
        </w:tc>
        <w:tc>
          <w:tcPr>
            <w:tcW w:w="900"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1-3级</w:t>
            </w:r>
          </w:p>
        </w:tc>
        <w:tc>
          <w:tcPr>
            <w:tcW w:w="900"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无级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pPr>
              <w:spacing w:line="560" w:lineRule="exact"/>
              <w:jc w:val="center"/>
              <w:rPr>
                <w:color w:val="000000" w:themeColor="text1"/>
                <w:sz w:val="24"/>
                <w:highlight w:val="none"/>
                <w14:textFill>
                  <w14:solidFill>
                    <w14:schemeClr w14:val="tx1"/>
                  </w14:solidFill>
                </w14:textFill>
              </w:rPr>
            </w:pPr>
          </w:p>
        </w:tc>
        <w:tc>
          <w:tcPr>
            <w:tcW w:w="900" w:type="dxa"/>
            <w:vAlign w:val="center"/>
          </w:tcPr>
          <w:p>
            <w:pPr>
              <w:spacing w:line="560" w:lineRule="exact"/>
              <w:jc w:val="center"/>
              <w:rPr>
                <w:color w:val="000000" w:themeColor="text1"/>
                <w:sz w:val="24"/>
                <w:highlight w:val="none"/>
                <w14:textFill>
                  <w14:solidFill>
                    <w14:schemeClr w14:val="tx1"/>
                  </w14:solidFill>
                </w14:textFill>
              </w:rPr>
            </w:pPr>
          </w:p>
        </w:tc>
        <w:tc>
          <w:tcPr>
            <w:tcW w:w="833"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967" w:type="dxa"/>
            <w:vAlign w:val="center"/>
          </w:tcPr>
          <w:p>
            <w:pPr>
              <w:spacing w:line="560" w:lineRule="exact"/>
              <w:jc w:val="center"/>
              <w:rPr>
                <w:color w:val="000000" w:themeColor="text1"/>
                <w:sz w:val="24"/>
                <w:highlight w:val="none"/>
                <w14:textFill>
                  <w14:solidFill>
                    <w14:schemeClr w14:val="tx1"/>
                  </w14:solidFill>
                </w14:textFill>
              </w:rPr>
            </w:pPr>
          </w:p>
        </w:tc>
        <w:tc>
          <w:tcPr>
            <w:tcW w:w="833" w:type="dxa"/>
            <w:vAlign w:val="center"/>
          </w:tcPr>
          <w:p>
            <w:pPr>
              <w:spacing w:line="560" w:lineRule="exact"/>
              <w:jc w:val="center"/>
              <w:rPr>
                <w:color w:val="000000" w:themeColor="text1"/>
                <w:sz w:val="24"/>
                <w:highlight w:val="none"/>
                <w14:textFill>
                  <w14:solidFill>
                    <w14:schemeClr w14:val="tx1"/>
                  </w14:solidFill>
                </w14:textFill>
              </w:rPr>
            </w:pPr>
          </w:p>
        </w:tc>
        <w:tc>
          <w:tcPr>
            <w:tcW w:w="967"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900" w:type="dxa"/>
            <w:gridSpan w:val="2"/>
            <w:vAlign w:val="center"/>
          </w:tcPr>
          <w:p>
            <w:pPr>
              <w:spacing w:line="560" w:lineRule="exact"/>
              <w:jc w:val="center"/>
              <w:rPr>
                <w:color w:val="000000" w:themeColor="text1"/>
                <w:sz w:val="24"/>
                <w:highlight w:val="none"/>
                <w14:textFill>
                  <w14:solidFill>
                    <w14:schemeClr w14:val="tx1"/>
                  </w14:solidFill>
                </w14:textFill>
              </w:rPr>
            </w:pPr>
          </w:p>
        </w:tc>
        <w:tc>
          <w:tcPr>
            <w:tcW w:w="900" w:type="dxa"/>
            <w:vAlign w:val="center"/>
          </w:tcPr>
          <w:p>
            <w:pPr>
              <w:spacing w:line="560" w:lineRule="exact"/>
              <w:jc w:val="center"/>
              <w:rPr>
                <w:color w:val="000000" w:themeColor="text1"/>
                <w:sz w:val="24"/>
                <w:highlight w:val="none"/>
                <w14:textFill>
                  <w14:solidFill>
                    <w14:schemeClr w14:val="tx1"/>
                  </w14:solidFill>
                </w14:textFill>
              </w:rPr>
            </w:pPr>
          </w:p>
        </w:tc>
        <w:tc>
          <w:tcPr>
            <w:tcW w:w="900" w:type="dxa"/>
            <w:gridSpan w:val="2"/>
            <w:vAlign w:val="center"/>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主要</w:t>
            </w:r>
          </w:p>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施工</w:t>
            </w:r>
          </w:p>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机械</w:t>
            </w:r>
          </w:p>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设备</w:t>
            </w:r>
          </w:p>
        </w:tc>
        <w:tc>
          <w:tcPr>
            <w:tcW w:w="1373"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名称</w:t>
            </w:r>
          </w:p>
        </w:tc>
        <w:tc>
          <w:tcPr>
            <w:tcW w:w="1327"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型号</w:t>
            </w:r>
          </w:p>
        </w:tc>
        <w:tc>
          <w:tcPr>
            <w:tcW w:w="1193" w:type="dxa"/>
            <w:gridSpan w:val="2"/>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数量（台）</w:t>
            </w:r>
          </w:p>
        </w:tc>
        <w:tc>
          <w:tcPr>
            <w:tcW w:w="1440" w:type="dxa"/>
            <w:gridSpan w:val="2"/>
            <w:vAlign w:val="center"/>
          </w:tcPr>
          <w:p>
            <w:pPr>
              <w:spacing w:before="240"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总共率（hw/hp）</w:t>
            </w:r>
          </w:p>
        </w:tc>
        <w:tc>
          <w:tcPr>
            <w:tcW w:w="1080" w:type="dxa"/>
            <w:gridSpan w:val="3"/>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制造国或产地</w:t>
            </w:r>
          </w:p>
        </w:tc>
        <w:tc>
          <w:tcPr>
            <w:tcW w:w="787" w:type="dxa"/>
            <w:vAlign w:val="center"/>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制造年份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pPr>
              <w:spacing w:line="560" w:lineRule="exact"/>
              <w:jc w:val="center"/>
              <w:rPr>
                <w:color w:val="000000" w:themeColor="text1"/>
                <w:sz w:val="24"/>
                <w:highlight w:val="none"/>
                <w14:textFill>
                  <w14:solidFill>
                    <w14:schemeClr w14:val="tx1"/>
                  </w14:solidFill>
                </w14:textFill>
              </w:rPr>
            </w:pPr>
          </w:p>
        </w:tc>
        <w:tc>
          <w:tcPr>
            <w:tcW w:w="1373" w:type="dxa"/>
            <w:gridSpan w:val="2"/>
          </w:tcPr>
          <w:p>
            <w:pPr>
              <w:spacing w:line="560" w:lineRule="exact"/>
              <w:jc w:val="center"/>
              <w:rPr>
                <w:color w:val="000000" w:themeColor="text1"/>
                <w:sz w:val="24"/>
                <w:highlight w:val="none"/>
                <w14:textFill>
                  <w14:solidFill>
                    <w14:schemeClr w14:val="tx1"/>
                  </w14:solidFill>
                </w14:textFill>
              </w:rPr>
            </w:pPr>
          </w:p>
        </w:tc>
        <w:tc>
          <w:tcPr>
            <w:tcW w:w="1327" w:type="dxa"/>
            <w:gridSpan w:val="2"/>
          </w:tcPr>
          <w:p>
            <w:pPr>
              <w:spacing w:line="560" w:lineRule="exact"/>
              <w:jc w:val="center"/>
              <w:rPr>
                <w:color w:val="000000" w:themeColor="text1"/>
                <w:sz w:val="24"/>
                <w:highlight w:val="none"/>
                <w14:textFill>
                  <w14:solidFill>
                    <w14:schemeClr w14:val="tx1"/>
                  </w14:solidFill>
                </w14:textFill>
              </w:rPr>
            </w:pPr>
          </w:p>
        </w:tc>
        <w:tc>
          <w:tcPr>
            <w:tcW w:w="1193" w:type="dxa"/>
            <w:gridSpan w:val="2"/>
          </w:tcPr>
          <w:p>
            <w:pPr>
              <w:spacing w:line="560" w:lineRule="exact"/>
              <w:jc w:val="center"/>
              <w:rPr>
                <w:color w:val="000000" w:themeColor="text1"/>
                <w:sz w:val="24"/>
                <w:highlight w:val="none"/>
                <w14:textFill>
                  <w14:solidFill>
                    <w14:schemeClr w14:val="tx1"/>
                  </w14:solidFill>
                </w14:textFill>
              </w:rPr>
            </w:pPr>
          </w:p>
        </w:tc>
        <w:tc>
          <w:tcPr>
            <w:tcW w:w="1440" w:type="dxa"/>
            <w:gridSpan w:val="2"/>
          </w:tcPr>
          <w:p>
            <w:pPr>
              <w:spacing w:line="560" w:lineRule="exact"/>
              <w:jc w:val="center"/>
              <w:rPr>
                <w:color w:val="000000" w:themeColor="text1"/>
                <w:sz w:val="24"/>
                <w:highlight w:val="none"/>
                <w14:textFill>
                  <w14:solidFill>
                    <w14:schemeClr w14:val="tx1"/>
                  </w14:solidFill>
                </w14:textFill>
              </w:rPr>
            </w:pPr>
          </w:p>
        </w:tc>
        <w:tc>
          <w:tcPr>
            <w:tcW w:w="1080" w:type="dxa"/>
            <w:gridSpan w:val="3"/>
          </w:tcPr>
          <w:p>
            <w:pPr>
              <w:spacing w:line="560" w:lineRule="exact"/>
              <w:jc w:val="center"/>
              <w:rPr>
                <w:color w:val="000000" w:themeColor="text1"/>
                <w:sz w:val="24"/>
                <w:highlight w:val="none"/>
                <w14:textFill>
                  <w14:solidFill>
                    <w14:schemeClr w14:val="tx1"/>
                  </w14:solidFill>
                </w14:textFill>
              </w:rPr>
            </w:pPr>
          </w:p>
        </w:tc>
        <w:tc>
          <w:tcPr>
            <w:tcW w:w="787" w:type="dxa"/>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pPr>
              <w:spacing w:line="560" w:lineRule="exact"/>
              <w:jc w:val="center"/>
              <w:rPr>
                <w:color w:val="000000" w:themeColor="text1"/>
                <w:sz w:val="24"/>
                <w:highlight w:val="none"/>
                <w14:textFill>
                  <w14:solidFill>
                    <w14:schemeClr w14:val="tx1"/>
                  </w14:solidFill>
                </w14:textFill>
              </w:rPr>
            </w:pPr>
          </w:p>
        </w:tc>
        <w:tc>
          <w:tcPr>
            <w:tcW w:w="1373" w:type="dxa"/>
            <w:gridSpan w:val="2"/>
          </w:tcPr>
          <w:p>
            <w:pPr>
              <w:spacing w:line="560" w:lineRule="exact"/>
              <w:jc w:val="center"/>
              <w:rPr>
                <w:color w:val="000000" w:themeColor="text1"/>
                <w:sz w:val="24"/>
                <w:highlight w:val="none"/>
                <w14:textFill>
                  <w14:solidFill>
                    <w14:schemeClr w14:val="tx1"/>
                  </w14:solidFill>
                </w14:textFill>
              </w:rPr>
            </w:pPr>
          </w:p>
        </w:tc>
        <w:tc>
          <w:tcPr>
            <w:tcW w:w="1327" w:type="dxa"/>
            <w:gridSpan w:val="2"/>
          </w:tcPr>
          <w:p>
            <w:pPr>
              <w:spacing w:line="560" w:lineRule="exact"/>
              <w:jc w:val="center"/>
              <w:rPr>
                <w:color w:val="000000" w:themeColor="text1"/>
                <w:sz w:val="24"/>
                <w:highlight w:val="none"/>
                <w14:textFill>
                  <w14:solidFill>
                    <w14:schemeClr w14:val="tx1"/>
                  </w14:solidFill>
                </w14:textFill>
              </w:rPr>
            </w:pPr>
          </w:p>
        </w:tc>
        <w:tc>
          <w:tcPr>
            <w:tcW w:w="1193" w:type="dxa"/>
            <w:gridSpan w:val="2"/>
          </w:tcPr>
          <w:p>
            <w:pPr>
              <w:spacing w:line="560" w:lineRule="exact"/>
              <w:jc w:val="center"/>
              <w:rPr>
                <w:color w:val="000000" w:themeColor="text1"/>
                <w:sz w:val="24"/>
                <w:highlight w:val="none"/>
                <w14:textFill>
                  <w14:solidFill>
                    <w14:schemeClr w14:val="tx1"/>
                  </w14:solidFill>
                </w14:textFill>
              </w:rPr>
            </w:pPr>
          </w:p>
        </w:tc>
        <w:tc>
          <w:tcPr>
            <w:tcW w:w="1440" w:type="dxa"/>
            <w:gridSpan w:val="2"/>
          </w:tcPr>
          <w:p>
            <w:pPr>
              <w:spacing w:line="560" w:lineRule="exact"/>
              <w:jc w:val="center"/>
              <w:rPr>
                <w:color w:val="000000" w:themeColor="text1"/>
                <w:sz w:val="24"/>
                <w:highlight w:val="none"/>
                <w14:textFill>
                  <w14:solidFill>
                    <w14:schemeClr w14:val="tx1"/>
                  </w14:solidFill>
                </w14:textFill>
              </w:rPr>
            </w:pPr>
          </w:p>
        </w:tc>
        <w:tc>
          <w:tcPr>
            <w:tcW w:w="1080" w:type="dxa"/>
            <w:gridSpan w:val="3"/>
          </w:tcPr>
          <w:p>
            <w:pPr>
              <w:spacing w:line="560" w:lineRule="exact"/>
              <w:jc w:val="center"/>
              <w:rPr>
                <w:color w:val="000000" w:themeColor="text1"/>
                <w:sz w:val="24"/>
                <w:highlight w:val="none"/>
                <w14:textFill>
                  <w14:solidFill>
                    <w14:schemeClr w14:val="tx1"/>
                  </w14:solidFill>
                </w14:textFill>
              </w:rPr>
            </w:pPr>
          </w:p>
        </w:tc>
        <w:tc>
          <w:tcPr>
            <w:tcW w:w="787" w:type="dxa"/>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548" w:type="dxa"/>
            <w:vMerge w:val="continue"/>
          </w:tcPr>
          <w:p>
            <w:pPr>
              <w:spacing w:line="560" w:lineRule="exact"/>
              <w:jc w:val="center"/>
              <w:rPr>
                <w:color w:val="000000" w:themeColor="text1"/>
                <w:sz w:val="24"/>
                <w:highlight w:val="none"/>
                <w14:textFill>
                  <w14:solidFill>
                    <w14:schemeClr w14:val="tx1"/>
                  </w14:solidFill>
                </w14:textFill>
              </w:rPr>
            </w:pPr>
          </w:p>
        </w:tc>
        <w:tc>
          <w:tcPr>
            <w:tcW w:w="1373" w:type="dxa"/>
            <w:gridSpan w:val="2"/>
          </w:tcPr>
          <w:p>
            <w:pPr>
              <w:spacing w:line="560" w:lineRule="exact"/>
              <w:jc w:val="center"/>
              <w:rPr>
                <w:color w:val="000000" w:themeColor="text1"/>
                <w:sz w:val="24"/>
                <w:highlight w:val="none"/>
                <w14:textFill>
                  <w14:solidFill>
                    <w14:schemeClr w14:val="tx1"/>
                  </w14:solidFill>
                </w14:textFill>
              </w:rPr>
            </w:pPr>
          </w:p>
        </w:tc>
        <w:tc>
          <w:tcPr>
            <w:tcW w:w="1327" w:type="dxa"/>
            <w:gridSpan w:val="2"/>
          </w:tcPr>
          <w:p>
            <w:pPr>
              <w:spacing w:line="560" w:lineRule="exact"/>
              <w:jc w:val="center"/>
              <w:rPr>
                <w:color w:val="000000" w:themeColor="text1"/>
                <w:sz w:val="24"/>
                <w:highlight w:val="none"/>
                <w14:textFill>
                  <w14:solidFill>
                    <w14:schemeClr w14:val="tx1"/>
                  </w14:solidFill>
                </w14:textFill>
              </w:rPr>
            </w:pPr>
          </w:p>
        </w:tc>
        <w:tc>
          <w:tcPr>
            <w:tcW w:w="1193" w:type="dxa"/>
            <w:gridSpan w:val="2"/>
          </w:tcPr>
          <w:p>
            <w:pPr>
              <w:spacing w:line="560" w:lineRule="exact"/>
              <w:jc w:val="center"/>
              <w:rPr>
                <w:color w:val="000000" w:themeColor="text1"/>
                <w:sz w:val="24"/>
                <w:highlight w:val="none"/>
                <w14:textFill>
                  <w14:solidFill>
                    <w14:schemeClr w14:val="tx1"/>
                  </w14:solidFill>
                </w14:textFill>
              </w:rPr>
            </w:pPr>
          </w:p>
        </w:tc>
        <w:tc>
          <w:tcPr>
            <w:tcW w:w="1440" w:type="dxa"/>
            <w:gridSpan w:val="2"/>
          </w:tcPr>
          <w:p>
            <w:pPr>
              <w:spacing w:line="560" w:lineRule="exact"/>
              <w:jc w:val="center"/>
              <w:rPr>
                <w:color w:val="000000" w:themeColor="text1"/>
                <w:sz w:val="24"/>
                <w:highlight w:val="none"/>
                <w14:textFill>
                  <w14:solidFill>
                    <w14:schemeClr w14:val="tx1"/>
                  </w14:solidFill>
                </w14:textFill>
              </w:rPr>
            </w:pPr>
          </w:p>
        </w:tc>
        <w:tc>
          <w:tcPr>
            <w:tcW w:w="1080" w:type="dxa"/>
            <w:gridSpan w:val="3"/>
          </w:tcPr>
          <w:p>
            <w:pPr>
              <w:spacing w:line="560" w:lineRule="exact"/>
              <w:jc w:val="center"/>
              <w:rPr>
                <w:color w:val="000000" w:themeColor="text1"/>
                <w:sz w:val="24"/>
                <w:highlight w:val="none"/>
                <w14:textFill>
                  <w14:solidFill>
                    <w14:schemeClr w14:val="tx1"/>
                  </w14:solidFill>
                </w14:textFill>
              </w:rPr>
            </w:pPr>
          </w:p>
        </w:tc>
        <w:tc>
          <w:tcPr>
            <w:tcW w:w="787" w:type="dxa"/>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pPr>
              <w:spacing w:line="560" w:lineRule="exact"/>
              <w:jc w:val="center"/>
              <w:rPr>
                <w:color w:val="000000" w:themeColor="text1"/>
                <w:sz w:val="24"/>
                <w:highlight w:val="none"/>
                <w14:textFill>
                  <w14:solidFill>
                    <w14:schemeClr w14:val="tx1"/>
                  </w14:solidFill>
                </w14:textFill>
              </w:rPr>
            </w:pPr>
          </w:p>
        </w:tc>
        <w:tc>
          <w:tcPr>
            <w:tcW w:w="1373" w:type="dxa"/>
            <w:gridSpan w:val="2"/>
          </w:tcPr>
          <w:p>
            <w:pPr>
              <w:spacing w:line="560" w:lineRule="exact"/>
              <w:jc w:val="center"/>
              <w:rPr>
                <w:color w:val="000000" w:themeColor="text1"/>
                <w:sz w:val="24"/>
                <w:highlight w:val="none"/>
                <w14:textFill>
                  <w14:solidFill>
                    <w14:schemeClr w14:val="tx1"/>
                  </w14:solidFill>
                </w14:textFill>
              </w:rPr>
            </w:pPr>
          </w:p>
        </w:tc>
        <w:tc>
          <w:tcPr>
            <w:tcW w:w="1327" w:type="dxa"/>
            <w:gridSpan w:val="2"/>
          </w:tcPr>
          <w:p>
            <w:pPr>
              <w:spacing w:line="560" w:lineRule="exact"/>
              <w:jc w:val="center"/>
              <w:rPr>
                <w:color w:val="000000" w:themeColor="text1"/>
                <w:sz w:val="24"/>
                <w:highlight w:val="none"/>
                <w14:textFill>
                  <w14:solidFill>
                    <w14:schemeClr w14:val="tx1"/>
                  </w14:solidFill>
                </w14:textFill>
              </w:rPr>
            </w:pPr>
          </w:p>
        </w:tc>
        <w:tc>
          <w:tcPr>
            <w:tcW w:w="1193" w:type="dxa"/>
            <w:gridSpan w:val="2"/>
          </w:tcPr>
          <w:p>
            <w:pPr>
              <w:spacing w:line="560" w:lineRule="exact"/>
              <w:jc w:val="center"/>
              <w:rPr>
                <w:color w:val="000000" w:themeColor="text1"/>
                <w:sz w:val="24"/>
                <w:highlight w:val="none"/>
                <w14:textFill>
                  <w14:solidFill>
                    <w14:schemeClr w14:val="tx1"/>
                  </w14:solidFill>
                </w14:textFill>
              </w:rPr>
            </w:pPr>
          </w:p>
        </w:tc>
        <w:tc>
          <w:tcPr>
            <w:tcW w:w="1440" w:type="dxa"/>
            <w:gridSpan w:val="2"/>
          </w:tcPr>
          <w:p>
            <w:pPr>
              <w:spacing w:line="560" w:lineRule="exact"/>
              <w:jc w:val="center"/>
              <w:rPr>
                <w:color w:val="000000" w:themeColor="text1"/>
                <w:sz w:val="24"/>
                <w:highlight w:val="none"/>
                <w14:textFill>
                  <w14:solidFill>
                    <w14:schemeClr w14:val="tx1"/>
                  </w14:solidFill>
                </w14:textFill>
              </w:rPr>
            </w:pPr>
          </w:p>
        </w:tc>
        <w:tc>
          <w:tcPr>
            <w:tcW w:w="1080" w:type="dxa"/>
            <w:gridSpan w:val="3"/>
          </w:tcPr>
          <w:p>
            <w:pPr>
              <w:spacing w:line="560" w:lineRule="exact"/>
              <w:jc w:val="center"/>
              <w:rPr>
                <w:color w:val="000000" w:themeColor="text1"/>
                <w:sz w:val="24"/>
                <w:highlight w:val="none"/>
                <w14:textFill>
                  <w14:solidFill>
                    <w14:schemeClr w14:val="tx1"/>
                  </w14:solidFill>
                </w14:textFill>
              </w:rPr>
            </w:pPr>
          </w:p>
        </w:tc>
        <w:tc>
          <w:tcPr>
            <w:tcW w:w="787" w:type="dxa"/>
          </w:tcPr>
          <w:p>
            <w:pPr>
              <w:spacing w:line="560" w:lineRule="exact"/>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pPr>
              <w:spacing w:line="560" w:lineRule="exact"/>
              <w:jc w:val="center"/>
              <w:rPr>
                <w:color w:val="000000" w:themeColor="text1"/>
                <w:sz w:val="24"/>
                <w:highlight w:val="none"/>
                <w14:textFill>
                  <w14:solidFill>
                    <w14:schemeClr w14:val="tx1"/>
                  </w14:solidFill>
                </w14:textFill>
              </w:rPr>
            </w:pPr>
          </w:p>
        </w:tc>
        <w:tc>
          <w:tcPr>
            <w:tcW w:w="1373" w:type="dxa"/>
            <w:gridSpan w:val="2"/>
          </w:tcPr>
          <w:p>
            <w:pPr>
              <w:spacing w:line="560" w:lineRule="exact"/>
              <w:jc w:val="center"/>
              <w:rPr>
                <w:color w:val="000000" w:themeColor="text1"/>
                <w:sz w:val="24"/>
                <w:highlight w:val="none"/>
                <w14:textFill>
                  <w14:solidFill>
                    <w14:schemeClr w14:val="tx1"/>
                  </w14:solidFill>
                </w14:textFill>
              </w:rPr>
            </w:pPr>
          </w:p>
        </w:tc>
        <w:tc>
          <w:tcPr>
            <w:tcW w:w="1327" w:type="dxa"/>
            <w:gridSpan w:val="2"/>
          </w:tcPr>
          <w:p>
            <w:pPr>
              <w:spacing w:line="560" w:lineRule="exact"/>
              <w:jc w:val="center"/>
              <w:rPr>
                <w:color w:val="000000" w:themeColor="text1"/>
                <w:sz w:val="24"/>
                <w:highlight w:val="none"/>
                <w14:textFill>
                  <w14:solidFill>
                    <w14:schemeClr w14:val="tx1"/>
                  </w14:solidFill>
                </w14:textFill>
              </w:rPr>
            </w:pPr>
          </w:p>
        </w:tc>
        <w:tc>
          <w:tcPr>
            <w:tcW w:w="1193" w:type="dxa"/>
            <w:gridSpan w:val="2"/>
          </w:tcPr>
          <w:p>
            <w:pPr>
              <w:spacing w:line="560" w:lineRule="exact"/>
              <w:jc w:val="center"/>
              <w:rPr>
                <w:color w:val="000000" w:themeColor="text1"/>
                <w:sz w:val="24"/>
                <w:highlight w:val="none"/>
                <w14:textFill>
                  <w14:solidFill>
                    <w14:schemeClr w14:val="tx1"/>
                  </w14:solidFill>
                </w14:textFill>
              </w:rPr>
            </w:pPr>
          </w:p>
        </w:tc>
        <w:tc>
          <w:tcPr>
            <w:tcW w:w="1440" w:type="dxa"/>
            <w:gridSpan w:val="2"/>
          </w:tcPr>
          <w:p>
            <w:pPr>
              <w:spacing w:line="560" w:lineRule="exact"/>
              <w:jc w:val="center"/>
              <w:rPr>
                <w:color w:val="000000" w:themeColor="text1"/>
                <w:sz w:val="24"/>
                <w:highlight w:val="none"/>
                <w14:textFill>
                  <w14:solidFill>
                    <w14:schemeClr w14:val="tx1"/>
                  </w14:solidFill>
                </w14:textFill>
              </w:rPr>
            </w:pPr>
          </w:p>
        </w:tc>
        <w:tc>
          <w:tcPr>
            <w:tcW w:w="1080" w:type="dxa"/>
            <w:gridSpan w:val="3"/>
          </w:tcPr>
          <w:p>
            <w:pPr>
              <w:spacing w:line="560" w:lineRule="exact"/>
              <w:jc w:val="center"/>
              <w:rPr>
                <w:color w:val="000000" w:themeColor="text1"/>
                <w:sz w:val="24"/>
                <w:highlight w:val="none"/>
                <w14:textFill>
                  <w14:solidFill>
                    <w14:schemeClr w14:val="tx1"/>
                  </w14:solidFill>
                </w14:textFill>
              </w:rPr>
            </w:pPr>
          </w:p>
        </w:tc>
        <w:tc>
          <w:tcPr>
            <w:tcW w:w="787" w:type="dxa"/>
          </w:tcPr>
          <w:p>
            <w:pPr>
              <w:spacing w:line="560" w:lineRule="exact"/>
              <w:jc w:val="center"/>
              <w:rPr>
                <w:color w:val="000000" w:themeColor="text1"/>
                <w:sz w:val="24"/>
                <w:highlight w:val="none"/>
                <w14:textFill>
                  <w14:solidFill>
                    <w14:schemeClr w14:val="tx1"/>
                  </w14:solidFill>
                </w14:textFill>
              </w:rPr>
            </w:pPr>
          </w:p>
        </w:tc>
      </w:tr>
    </w:tbl>
    <w:p>
      <w:pPr>
        <w:spacing w:line="560" w:lineRule="exact"/>
        <w:jc w:val="center"/>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投标人名称： </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       年      月      日</w:t>
      </w:r>
    </w:p>
    <w:p>
      <w:pPr>
        <w:spacing w:line="560" w:lineRule="exact"/>
        <w:jc w:val="center"/>
        <w:rPr>
          <w:b/>
          <w:color w:val="000000" w:themeColor="text1"/>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360" w:lineRule="auto"/>
        <w:jc w:val="left"/>
        <w:rPr>
          <w:color w:val="000000" w:themeColor="text1"/>
          <w:highlight w:val="none"/>
          <w14:textFill>
            <w14:solidFill>
              <w14:schemeClr w14:val="tx1"/>
            </w14:solidFill>
          </w14:textFill>
        </w:rPr>
      </w:pPr>
      <w:r>
        <w:rPr>
          <w:b/>
          <w:color w:val="000000" w:themeColor="text1"/>
          <w:sz w:val="24"/>
          <w:highlight w:val="none"/>
          <w14:textFill>
            <w14:solidFill>
              <w14:schemeClr w14:val="tx1"/>
            </w14:solidFill>
          </w14:textFill>
        </w:rPr>
        <w:t>附件6</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投标人业绩</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p>
    <w:tbl>
      <w:tblPr>
        <w:tblStyle w:val="16"/>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127"/>
        <w:gridCol w:w="699"/>
        <w:gridCol w:w="1121"/>
        <w:gridCol w:w="1316"/>
        <w:gridCol w:w="1024"/>
        <w:gridCol w:w="932"/>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用户单位名称</w:t>
            </w: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项目内容</w:t>
            </w: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实施地点</w:t>
            </w: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用户联系人及联系方式</w:t>
            </w: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项目起止时间</w:t>
            </w: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合同金额</w:t>
            </w: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用户盖章的成功履行合同的相关证明材料</w:t>
            </w:r>
            <w:r>
              <w:rPr>
                <w:bCs/>
                <w:color w:val="000000" w:themeColor="text1"/>
                <w:sz w:val="24"/>
                <w:highlight w:val="none"/>
                <w14:textFill>
                  <w14:solidFill>
                    <w14:schemeClr w14:val="tx1"/>
                  </w14:solidFill>
                </w14:textFill>
              </w:rPr>
              <w:t>扫描件所在页码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369"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695"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541"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328" w:type="pct"/>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bl>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备注：若第二部分要求提供投标人业绩的，投标人所列业绩应按其要求将证明材料按顺序附后。</w:t>
      </w:r>
    </w:p>
    <w:p>
      <w:pPr>
        <w:spacing w:line="560" w:lineRule="exact"/>
        <w:rPr>
          <w:b/>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4080" w:firstLineChars="1700"/>
        <w:rPr>
          <w:color w:val="000000" w:themeColor="text1"/>
          <w:sz w:val="24"/>
          <w:highlight w:val="none"/>
          <w14:textFill>
            <w14:solidFill>
              <w14:schemeClr w14:val="tx1"/>
            </w14:solidFill>
          </w14:textFill>
        </w:rPr>
      </w:pP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附件7-1</w:t>
      </w:r>
    </w:p>
    <w:p>
      <w:pPr>
        <w:autoSpaceDE w:val="0"/>
        <w:autoSpaceDN w:val="0"/>
        <w:spacing w:line="480" w:lineRule="auto"/>
        <w:jc w:val="center"/>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中小企业声明函</w:t>
      </w:r>
    </w:p>
    <w:p>
      <w:pPr>
        <w:widowControl/>
        <w:spacing w:line="500" w:lineRule="exact"/>
        <w:ind w:firstLine="480" w:firstLineChars="200"/>
        <w:jc w:val="left"/>
        <w:rPr>
          <w:color w:val="000000" w:themeColor="text1"/>
          <w:sz w:val="24"/>
          <w:szCs w:val="24"/>
          <w:highlight w:val="none"/>
          <w14:textFill>
            <w14:solidFill>
              <w14:schemeClr w14:val="tx1"/>
            </w14:solidFill>
          </w14:textFill>
        </w:rPr>
      </w:pPr>
    </w:p>
    <w:p>
      <w:pPr>
        <w:widowControl/>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本公司（联合体）郑重声明，根据《政府采购促进中小企业发展管理办法》（财库﹝2020﹞46号）的规定，本公司（联合体）参加</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u w:val="single"/>
          <w14:textFill>
            <w14:solidFill>
              <w14:schemeClr w14:val="tx1"/>
            </w14:solidFill>
          </w14:textFill>
        </w:rPr>
        <w:t>（请填写项目名称）</w:t>
      </w:r>
      <w:r>
        <w:rPr>
          <w:color w:val="000000" w:themeColor="text1"/>
          <w:sz w:val="24"/>
          <w:szCs w:val="24"/>
          <w:highlight w:val="none"/>
          <w14:textFill>
            <w14:solidFill>
              <w14:schemeClr w14:val="tx1"/>
            </w14:solidFill>
          </w14:textFill>
        </w:rPr>
        <w:t>采购活动，工程的施工单位全部为符合政策要求的中小企业。相关企业（含联合体中的中小企业、签订分包意向协议的中小企业）的具体情况如下：</w:t>
      </w:r>
    </w:p>
    <w:p>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请填写标的名称</w:t>
      </w:r>
      <w:r>
        <w:rPr>
          <w:color w:val="000000" w:themeColor="text1"/>
          <w:sz w:val="24"/>
          <w:szCs w:val="24"/>
          <w:highlight w:val="none"/>
          <w14:textFill>
            <w14:solidFill>
              <w14:schemeClr w14:val="tx1"/>
            </w14:solidFill>
          </w14:textFill>
        </w:rPr>
        <w:t>），属于</w:t>
      </w:r>
      <w:r>
        <w:rPr>
          <w:color w:val="000000" w:themeColor="text1"/>
          <w:sz w:val="24"/>
          <w:szCs w:val="24"/>
          <w:highlight w:val="none"/>
          <w:u w:val="single"/>
          <w14:textFill>
            <w14:solidFill>
              <w14:schemeClr w14:val="tx1"/>
            </w14:solidFill>
          </w14:textFill>
        </w:rPr>
        <w:t xml:space="preserve"> 建筑业 </w:t>
      </w:r>
      <w:r>
        <w:rPr>
          <w:b/>
          <w:color w:val="000000" w:themeColor="text1"/>
          <w:sz w:val="24"/>
          <w:szCs w:val="24"/>
          <w:highlight w:val="none"/>
          <w14:textFill>
            <w14:solidFill>
              <w14:schemeClr w14:val="tx1"/>
            </w14:solidFill>
          </w14:textFill>
        </w:rPr>
        <w:t>（请填写本项目采购文件中明确的所属行业）</w:t>
      </w:r>
      <w:r>
        <w:rPr>
          <w:color w:val="000000" w:themeColor="text1"/>
          <w:sz w:val="24"/>
          <w:szCs w:val="24"/>
          <w:highlight w:val="none"/>
          <w14:textFill>
            <w14:solidFill>
              <w14:schemeClr w14:val="tx1"/>
            </w14:solidFill>
          </w14:textFill>
        </w:rPr>
        <w:t>行业；承建企业为</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请填写承建该标的企业名称</w:t>
      </w:r>
      <w:r>
        <w:rPr>
          <w:color w:val="000000" w:themeColor="text1"/>
          <w:sz w:val="24"/>
          <w:szCs w:val="24"/>
          <w:highlight w:val="none"/>
          <w14:textFill>
            <w14:solidFill>
              <w14:schemeClr w14:val="tx1"/>
            </w14:solidFill>
          </w14:textFill>
        </w:rPr>
        <w:t>），从业人员</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人，营业收入为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万元，资产总额为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万元，属于</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请根据中小企业划分标准填写中型企业/小型企业/微型企业</w:t>
      </w:r>
      <w:r>
        <w:rPr>
          <w:color w:val="000000" w:themeColor="text1"/>
          <w:sz w:val="24"/>
          <w:szCs w:val="24"/>
          <w:highlight w:val="none"/>
          <w14:textFill>
            <w14:solidFill>
              <w14:schemeClr w14:val="tx1"/>
            </w14:solidFill>
          </w14:textFill>
        </w:rPr>
        <w:t>）；</w:t>
      </w:r>
    </w:p>
    <w:p>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以上企业，不属于大型企业的分支机构，不存在控股股东为大型企业的情形，也不存在与大型企业的负责人为同一人的情形。</w:t>
      </w:r>
    </w:p>
    <w:p>
      <w:pPr>
        <w:autoSpaceDE w:val="0"/>
        <w:autoSpaceDN w:val="0"/>
        <w:spacing w:line="500" w:lineRule="exact"/>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本企业对上述声明内容的真实性负责。如有虚假，将依法承担相应责任。</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32"/>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注：</w:t>
      </w:r>
    </w:p>
    <w:p>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1.标的名称须按照采购文件中明确的标的名称进行填写；所属行业须按照采购文件中明确的所属行业进行填写，否则不享受中小企业扶持政策。</w:t>
      </w:r>
    </w:p>
    <w:p>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2.从业人员、营业收入、资产总额填报上一年度数据，无上一年度数据的新成立企业可不填报。除新成立企业外，上表填写不全的，不享受中小企业扶持政策。</w:t>
      </w:r>
    </w:p>
    <w:p>
      <w:pPr>
        <w:spacing w:line="360" w:lineRule="auto"/>
        <w:ind w:right="84" w:firstLine="241"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3.中标（成交）供应商享受中小企业扶持政策的，将随中标（成交）结果同时公告其《中小企业声明函》，接受社会监督。</w:t>
      </w:r>
    </w:p>
    <w:p>
      <w:pPr>
        <w:spacing w:line="360" w:lineRule="auto"/>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autoSpaceDN w:val="0"/>
        <w:spacing w:line="360" w:lineRule="auto"/>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附件7-2</w:t>
      </w:r>
    </w:p>
    <w:p>
      <w:pPr>
        <w:autoSpaceDN w:val="0"/>
        <w:spacing w:line="360" w:lineRule="auto"/>
        <w:jc w:val="left"/>
        <w:rPr>
          <w:b/>
          <w:bCs/>
          <w:color w:val="000000" w:themeColor="text1"/>
          <w:sz w:val="24"/>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若不是残疾人福利性单位，响应文件中可不提供此声明函</w:t>
      </w:r>
    </w:p>
    <w:p>
      <w:pPr>
        <w:autoSpaceDN w:val="0"/>
        <w:spacing w:line="360" w:lineRule="auto"/>
        <w:jc w:val="center"/>
        <w:rPr>
          <w:b/>
          <w:bCs/>
          <w:color w:val="000000" w:themeColor="text1"/>
          <w:sz w:val="24"/>
          <w:highlight w:val="none"/>
          <w14:textFill>
            <w14:solidFill>
              <w14:schemeClr w14:val="tx1"/>
            </w14:solidFill>
          </w14:textFill>
        </w:rPr>
      </w:pPr>
    </w:p>
    <w:p>
      <w:pPr>
        <w:snapToGrid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残疾人福利性单位声明函</w:t>
      </w:r>
    </w:p>
    <w:p>
      <w:pPr>
        <w:snapToGrid w:val="0"/>
        <w:spacing w:line="360" w:lineRule="auto"/>
        <w:ind w:firstLine="482" w:firstLineChars="200"/>
        <w:jc w:val="left"/>
        <w:rPr>
          <w:b/>
          <w:bCs/>
          <w:color w:val="000000" w:themeColor="text1"/>
          <w:sz w:val="24"/>
          <w:highlight w:val="none"/>
          <w14:textFill>
            <w14:solidFill>
              <w14:schemeClr w14:val="tx1"/>
            </w14:solidFill>
          </w14:textFill>
        </w:rPr>
      </w:pPr>
    </w:p>
    <w:p>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本单位对上述声明的真实性负责。如有虚假，将依法承担相应责任。</w:t>
      </w:r>
    </w:p>
    <w:p>
      <w:pPr>
        <w:snapToGrid w:val="0"/>
        <w:spacing w:line="360" w:lineRule="auto"/>
        <w:ind w:firstLine="480" w:firstLineChars="200"/>
        <w:jc w:val="left"/>
        <w:rPr>
          <w:bCs/>
          <w:color w:val="000000" w:themeColor="text1"/>
          <w:sz w:val="24"/>
          <w:highlight w:val="none"/>
          <w14:textFill>
            <w14:solidFill>
              <w14:schemeClr w14:val="tx1"/>
            </w14:solidFill>
          </w14:textFill>
        </w:rPr>
      </w:pPr>
    </w:p>
    <w:p>
      <w:pPr>
        <w:snapToGrid w:val="0"/>
        <w:spacing w:line="360" w:lineRule="auto"/>
        <w:ind w:firstLine="480" w:firstLineChars="200"/>
        <w:jc w:val="left"/>
        <w:rPr>
          <w:bCs/>
          <w:color w:val="000000" w:themeColor="text1"/>
          <w:sz w:val="24"/>
          <w:highlight w:val="none"/>
          <w14:textFill>
            <w14:solidFill>
              <w14:schemeClr w14:val="tx1"/>
            </w14:solidFill>
          </w14:textFill>
        </w:rPr>
      </w:pPr>
    </w:p>
    <w:p>
      <w:pPr>
        <w:snapToGrid w:val="0"/>
        <w:spacing w:line="360" w:lineRule="auto"/>
        <w:ind w:firstLine="480" w:firstLineChars="200"/>
        <w:jc w:val="left"/>
        <w:rPr>
          <w:bCs/>
          <w:color w:val="000000" w:themeColor="text1"/>
          <w:sz w:val="24"/>
          <w:highlight w:val="none"/>
          <w14:textFill>
            <w14:solidFill>
              <w14:schemeClr w14:val="tx1"/>
            </w14:solidFill>
          </w14:textFill>
        </w:rPr>
      </w:pPr>
      <w:r>
        <w:rPr>
          <w:bCs/>
          <w:color w:val="000000" w:themeColor="text1"/>
          <w:sz w:val="24"/>
          <w:highlight w:val="none"/>
          <w14:textFill>
            <w14:solidFill>
              <w14:schemeClr w14:val="tx1"/>
            </w14:solidFill>
          </w14:textFill>
        </w:rPr>
        <w:t xml:space="preserve">               </w:t>
      </w:r>
      <w:r>
        <w:rPr>
          <w:color w:val="000000" w:themeColor="text1"/>
          <w:sz w:val="24"/>
          <w:szCs w:val="24"/>
          <w:highlight w:val="none"/>
          <w14:textFill>
            <w14:solidFill>
              <w14:schemeClr w14:val="tx1"/>
            </w14:solidFill>
          </w14:textFill>
        </w:rPr>
        <w:t>投标人名称：</w:t>
      </w:r>
    </w:p>
    <w:p>
      <w:pPr>
        <w:snapToGrid w:val="0"/>
        <w:spacing w:line="360" w:lineRule="auto"/>
        <w:ind w:firstLine="480" w:firstLineChars="200"/>
        <w:jc w:val="left"/>
        <w:rPr>
          <w:bCs/>
          <w:color w:val="000000" w:themeColor="text1"/>
          <w:sz w:val="24"/>
          <w:highlight w:val="none"/>
          <w14:textFill>
            <w14:solidFill>
              <w14:schemeClr w14:val="tx1"/>
            </w14:solidFill>
          </w14:textFill>
        </w:rPr>
      </w:pPr>
    </w:p>
    <w:p>
      <w:pPr>
        <w:snapToGrid w:val="0"/>
        <w:spacing w:line="360" w:lineRule="auto"/>
        <w:ind w:firstLine="480" w:firstLineChars="200"/>
        <w:jc w:val="left"/>
        <w:rPr>
          <w:color w:val="000000" w:themeColor="text1"/>
          <w:sz w:val="24"/>
          <w:szCs w:val="21"/>
          <w:highlight w:val="none"/>
          <w14:textFill>
            <w14:solidFill>
              <w14:schemeClr w14:val="tx1"/>
            </w14:solidFill>
          </w14:textFill>
        </w:rPr>
      </w:pPr>
      <w:r>
        <w:rPr>
          <w:bCs/>
          <w:color w:val="000000" w:themeColor="text1"/>
          <w:sz w:val="24"/>
          <w:highlight w:val="none"/>
          <w14:textFill>
            <w14:solidFill>
              <w14:schemeClr w14:val="tx1"/>
            </w14:solidFill>
          </w14:textFill>
        </w:rPr>
        <w:t xml:space="preserve">               日  期：</w:t>
      </w:r>
    </w:p>
    <w:p>
      <w:pPr>
        <w:snapToGrid w:val="0"/>
        <w:spacing w:line="360" w:lineRule="auto"/>
        <w:ind w:firstLine="480" w:firstLineChars="200"/>
        <w:jc w:val="left"/>
        <w:rPr>
          <w:color w:val="000000" w:themeColor="text1"/>
          <w:sz w:val="24"/>
          <w:szCs w:val="21"/>
          <w:highlight w:val="none"/>
          <w14:textFill>
            <w14:solidFill>
              <w14:schemeClr w14:val="tx1"/>
            </w14:solidFill>
          </w14:textFill>
        </w:rPr>
      </w:pPr>
    </w:p>
    <w:p>
      <w:pPr>
        <w:snapToGrid w:val="0"/>
        <w:spacing w:line="360" w:lineRule="auto"/>
        <w:ind w:firstLine="480"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注：</w:t>
      </w:r>
    </w:p>
    <w:p>
      <w:pPr>
        <w:snapToGrid w:val="0"/>
        <w:spacing w:line="360" w:lineRule="auto"/>
        <w:ind w:firstLine="482" w:firstLineChars="200"/>
        <w:rPr>
          <w:b/>
          <w:color w:val="000000" w:themeColor="text1"/>
          <w:sz w:val="24"/>
          <w:szCs w:val="21"/>
          <w:highlight w:val="none"/>
          <w14:textFill>
            <w14:solidFill>
              <w14:schemeClr w14:val="tx1"/>
            </w14:solidFill>
          </w14:textFill>
        </w:rPr>
      </w:pPr>
      <w:r>
        <w:rPr>
          <w:b/>
          <w:color w:val="000000" w:themeColor="text1"/>
          <w:sz w:val="24"/>
          <w:szCs w:val="21"/>
          <w:highlight w:val="none"/>
          <w14:textFill>
            <w14:solidFill>
              <w14:schemeClr w14:val="tx1"/>
            </w14:solidFill>
          </w14:textFill>
        </w:rPr>
        <w:t>中标（成交）供应商为残疾人福利性单位的，将随中标（成交）结果同时公告其《残疾人福利性单位声明函》，接受社会监督。</w:t>
      </w:r>
    </w:p>
    <w:p>
      <w:pPr>
        <w:snapToGrid w:val="0"/>
        <w:spacing w:line="360" w:lineRule="auto"/>
        <w:ind w:firstLine="482" w:firstLineChars="200"/>
        <w:rPr>
          <w:b/>
          <w:color w:val="000000" w:themeColor="text1"/>
          <w:sz w:val="24"/>
          <w:szCs w:val="21"/>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若不是残疾人福利性单位，响应文件中可不提供此声明函。</w:t>
      </w:r>
    </w:p>
    <w:p>
      <w:pPr>
        <w:spacing w:line="360" w:lineRule="auto"/>
        <w:ind w:firstLine="4080" w:firstLineChars="1700"/>
        <w:rPr>
          <w:color w:val="000000" w:themeColor="text1"/>
          <w:sz w:val="24"/>
          <w:highlight w:val="none"/>
          <w14:textFill>
            <w14:solidFill>
              <w14:schemeClr w14:val="tx1"/>
            </w14:solidFill>
          </w14:textFill>
        </w:rPr>
      </w:pP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jc w:val="left"/>
        <w:rPr>
          <w:b/>
          <w:color w:val="000000" w:themeColor="text1"/>
          <w:sz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附件8</w:t>
      </w:r>
    </w:p>
    <w:p>
      <w:pPr>
        <w:jc w:val="left"/>
        <w:rPr>
          <w:b/>
          <w:bCs/>
          <w:color w:val="000000" w:themeColor="text1"/>
          <w:sz w:val="24"/>
          <w:highlight w:val="none"/>
          <w14:textFill>
            <w14:solidFill>
              <w14:schemeClr w14:val="tx1"/>
            </w14:solidFill>
          </w14:textFill>
        </w:rPr>
      </w:pPr>
    </w:p>
    <w:p>
      <w:pPr>
        <w:tabs>
          <w:tab w:val="left" w:pos="360"/>
        </w:tabs>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书面声明</w:t>
      </w:r>
    </w:p>
    <w:p>
      <w:pPr>
        <w:pStyle w:val="36"/>
        <w:tabs>
          <w:tab w:val="left" w:pos="360"/>
        </w:tabs>
        <w:spacing w:line="360" w:lineRule="auto"/>
        <w:ind w:firstLine="480"/>
        <w:rPr>
          <w:color w:val="000000" w:themeColor="text1"/>
          <w:sz w:val="24"/>
          <w:highlight w:val="none"/>
          <w14:textFill>
            <w14:solidFill>
              <w14:schemeClr w14:val="tx1"/>
            </w14:solidFill>
          </w14:textFill>
        </w:rPr>
      </w:pPr>
    </w:p>
    <w:p>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参加政府采购活动前3年我单位在经营活动中没有重大违法记录。</w:t>
      </w:r>
    </w:p>
    <w:p>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lang w:eastAsia="zh-CN"/>
          <w14:textFill>
            <w14:solidFill>
              <w14:schemeClr w14:val="tx1"/>
            </w14:solidFill>
          </w14:textFill>
        </w:rPr>
        <w:t>我单位具备良好的商业信誉和健全的财务会计制度，依法缴纳税收和社会保障资金。</w:t>
      </w:r>
    </w:p>
    <w:p>
      <w:pPr>
        <w:pStyle w:val="36"/>
        <w:tabs>
          <w:tab w:val="left" w:pos="360"/>
        </w:tabs>
        <w:spacing w:line="360" w:lineRule="auto"/>
        <w:ind w:firstLine="480"/>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pStyle w:val="36"/>
        <w:tabs>
          <w:tab w:val="left" w:pos="360"/>
        </w:tabs>
        <w:spacing w:line="360" w:lineRule="auto"/>
        <w:ind w:firstLine="0" w:firstLineChars="0"/>
        <w:rPr>
          <w:color w:val="000000" w:themeColor="text1"/>
          <w:sz w:val="24"/>
          <w:highlight w:val="none"/>
          <w:u w:val="single"/>
          <w14:textFill>
            <w14:solidFill>
              <w14:schemeClr w14:val="tx1"/>
            </w14:solidFill>
          </w14:textFill>
        </w:rPr>
      </w:pPr>
      <w:r>
        <w:rPr>
          <w:color w:val="000000" w:themeColor="text1"/>
          <w:sz w:val="24"/>
          <w:highlight w:val="none"/>
          <w:u w:val="single"/>
          <w14:textFill>
            <w14:solidFill>
              <w14:schemeClr w14:val="tx1"/>
            </w14:solidFill>
          </w14:textFill>
        </w:rPr>
        <w:t xml:space="preserve">                                                                     </w:t>
      </w:r>
    </w:p>
    <w:p>
      <w:pPr>
        <w:pStyle w:val="36"/>
        <w:tabs>
          <w:tab w:val="left" w:pos="360"/>
        </w:tabs>
        <w:spacing w:line="360" w:lineRule="auto"/>
        <w:ind w:firstLine="480"/>
        <w:rPr>
          <w:color w:val="000000" w:themeColor="text1"/>
          <w:sz w:val="24"/>
          <w:highlight w:val="none"/>
          <w14:textFill>
            <w14:solidFill>
              <w14:schemeClr w14:val="tx1"/>
            </w14:solidFill>
          </w14:textFill>
        </w:rPr>
      </w:pPr>
    </w:p>
    <w:p>
      <w:pPr>
        <w:pStyle w:val="36"/>
        <w:spacing w:line="360" w:lineRule="auto"/>
        <w:ind w:firstLine="0" w:firstLineChars="0"/>
        <w:jc w:val="center"/>
        <w:rPr>
          <w:b/>
          <w:color w:val="000000" w:themeColor="text1"/>
          <w:sz w:val="24"/>
          <w:highlight w:val="none"/>
          <w14:textFill>
            <w14:solidFill>
              <w14:schemeClr w14:val="tx1"/>
            </w14:solidFill>
          </w14:textFill>
        </w:rPr>
      </w:pPr>
    </w:p>
    <w:p>
      <w:pPr>
        <w:pStyle w:val="36"/>
        <w:spacing w:line="360" w:lineRule="auto"/>
        <w:ind w:firstLine="0" w:firstLineChars="0"/>
        <w:jc w:val="center"/>
        <w:rPr>
          <w:b/>
          <w:color w:val="000000" w:themeColor="text1"/>
          <w:sz w:val="24"/>
          <w:highlight w:val="none"/>
          <w14:textFill>
            <w14:solidFill>
              <w14:schemeClr w14:val="tx1"/>
            </w14:solidFill>
          </w14:textFill>
        </w:rPr>
      </w:pPr>
    </w:p>
    <w:p>
      <w:pPr>
        <w:pStyle w:val="36"/>
        <w:spacing w:line="360" w:lineRule="auto"/>
        <w:ind w:firstLine="0" w:firstLineChars="0"/>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证明材料</w:t>
      </w:r>
    </w:p>
    <w:p>
      <w:pPr>
        <w:pStyle w:val="36"/>
        <w:tabs>
          <w:tab w:val="left" w:pos="360"/>
        </w:tabs>
        <w:spacing w:line="360" w:lineRule="auto"/>
        <w:ind w:firstLine="480"/>
        <w:rPr>
          <w:color w:val="000000" w:themeColor="text1"/>
          <w:sz w:val="24"/>
          <w:highlight w:val="none"/>
          <w14:textFill>
            <w14:solidFill>
              <w14:schemeClr w14:val="tx1"/>
            </w14:solidFill>
          </w14:textFill>
        </w:rPr>
      </w:pPr>
    </w:p>
    <w:p>
      <w:pPr>
        <w:pStyle w:val="36"/>
        <w:tabs>
          <w:tab w:val="left" w:pos="360"/>
        </w:tabs>
        <w:spacing w:line="360" w:lineRule="auto"/>
        <w:ind w:firstLine="48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我单位具备履行本项目合同所必需的设备和专业技术能力。</w:t>
      </w:r>
    </w:p>
    <w:p>
      <w:pPr>
        <w:pStyle w:val="36"/>
        <w:tabs>
          <w:tab w:val="left" w:pos="360"/>
        </w:tabs>
        <w:spacing w:line="360" w:lineRule="auto"/>
        <w:ind w:firstLine="480"/>
        <w:rPr>
          <w:color w:val="000000" w:themeColor="text1"/>
          <w:sz w:val="24"/>
          <w:highlight w:val="none"/>
          <w14:textFill>
            <w14:solidFill>
              <w14:schemeClr w14:val="tx1"/>
            </w14:solidFill>
          </w14:textFill>
        </w:rPr>
      </w:pPr>
    </w:p>
    <w:p>
      <w:pPr>
        <w:pStyle w:val="36"/>
        <w:tabs>
          <w:tab w:val="left" w:pos="360"/>
        </w:tabs>
        <w:spacing w:line="360" w:lineRule="auto"/>
        <w:ind w:firstLine="480"/>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b/>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附件9：投标人认为需要提交的其他资料</w:t>
      </w:r>
    </w:p>
    <w:p>
      <w:pPr>
        <w:spacing w:line="460" w:lineRule="exact"/>
        <w:ind w:left="192"/>
        <w:rPr>
          <w:b/>
          <w:color w:val="000000" w:themeColor="text1"/>
          <w:sz w:val="24"/>
          <w:highlight w:val="none"/>
          <w14:textFill>
            <w14:solidFill>
              <w14:schemeClr w14:val="tx1"/>
            </w14:solidFill>
          </w14:textFill>
        </w:rPr>
      </w:pPr>
    </w:p>
    <w:p>
      <w:pPr>
        <w:autoSpaceDE w:val="0"/>
        <w:autoSpaceDN w:val="0"/>
        <w:adjustRightIn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autoSpaceDE w:val="0"/>
        <w:autoSpaceDN w:val="0"/>
        <w:adjustRightInd w:val="0"/>
        <w:jc w:val="center"/>
        <w:rPr>
          <w:rFonts w:eastAsia="华文行楷"/>
          <w:color w:val="000000" w:themeColor="text1"/>
          <w:kern w:val="0"/>
          <w:sz w:val="144"/>
          <w:szCs w:val="144"/>
          <w:highlight w:val="none"/>
          <w14:textFill>
            <w14:solidFill>
              <w14:schemeClr w14:val="tx1"/>
            </w14:solidFill>
          </w14:textFill>
        </w:rPr>
      </w:pPr>
      <w:r>
        <w:rPr>
          <w:rFonts w:eastAsia="方正行楷简体"/>
          <w:color w:val="000000" w:themeColor="text1"/>
          <w:sz w:val="160"/>
          <w:szCs w:val="84"/>
          <w:highlight w:val="none"/>
          <w14:textFill>
            <w14:solidFill>
              <w14:schemeClr w14:val="tx1"/>
            </w14:solidFill>
          </w14:textFill>
        </w:rPr>
        <w:t>响 应</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文</w:t>
      </w:r>
      <w:r>
        <w:rPr>
          <w:rFonts w:eastAsia="方正行楷简体"/>
          <w:color w:val="000000" w:themeColor="text1"/>
          <w:sz w:val="84"/>
          <w:szCs w:val="84"/>
          <w:highlight w:val="none"/>
          <w14:textFill>
            <w14:solidFill>
              <w14:schemeClr w14:val="tx1"/>
            </w14:solidFill>
          </w14:textFill>
        </w:rPr>
        <w:t xml:space="preserve"> </w:t>
      </w:r>
      <w:r>
        <w:rPr>
          <w:rFonts w:eastAsia="方正行楷简体"/>
          <w:color w:val="000000" w:themeColor="text1"/>
          <w:sz w:val="160"/>
          <w:szCs w:val="84"/>
          <w:highlight w:val="none"/>
          <w14:textFill>
            <w14:solidFill>
              <w14:schemeClr w14:val="tx1"/>
            </w14:solidFill>
          </w14:textFill>
        </w:rPr>
        <w:t>件</w:t>
      </w:r>
    </w:p>
    <w:p>
      <w:pPr>
        <w:autoSpaceDE w:val="0"/>
        <w:autoSpaceDN w:val="0"/>
        <w:adjustRightInd w:val="0"/>
        <w:spacing w:line="520" w:lineRule="exact"/>
        <w:jc w:val="center"/>
        <w:rPr>
          <w:rFonts w:eastAsia="楷体_GB2312"/>
          <w:b/>
          <w:color w:val="000000" w:themeColor="text1"/>
          <w:kern w:val="0"/>
          <w:sz w:val="36"/>
          <w:szCs w:val="36"/>
          <w:highlight w:val="none"/>
          <w14:textFill>
            <w14:solidFill>
              <w14:schemeClr w14:val="tx1"/>
            </w14:solidFill>
          </w14:textFill>
        </w:rPr>
      </w:pPr>
      <w:r>
        <w:rPr>
          <w:rFonts w:eastAsia="楷体_GB2312"/>
          <w:b/>
          <w:color w:val="000000" w:themeColor="text1"/>
          <w:kern w:val="0"/>
          <w:sz w:val="36"/>
          <w:szCs w:val="36"/>
          <w:highlight w:val="none"/>
          <w14:textFill>
            <w14:solidFill>
              <w14:schemeClr w14:val="tx1"/>
            </w14:solidFill>
          </w14:textFill>
        </w:rPr>
        <w:t>（ 加盖电子签章 ）</w:t>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第二阶段响应文件</w:t>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编 号：</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项 目 名 称：</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所 投 包 号：</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供应商名称：</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法定代表人姓名：</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投标代表人姓名：</w:t>
      </w: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p>
    <w:p>
      <w:pPr>
        <w:spacing w:before="93" w:beforeLines="30" w:after="218" w:afterLines="70" w:line="540" w:lineRule="exact"/>
        <w:ind w:left="630" w:leftChars="300"/>
        <w:rPr>
          <w:rFonts w:eastAsia="方正楷体简体"/>
          <w:b/>
          <w:color w:val="000000" w:themeColor="text1"/>
          <w:sz w:val="34"/>
          <w:szCs w:val="34"/>
          <w:highlight w:val="none"/>
          <w14:textFill>
            <w14:solidFill>
              <w14:schemeClr w14:val="tx1"/>
            </w14:solidFill>
          </w14:textFill>
        </w:rPr>
      </w:pPr>
      <w:r>
        <w:rPr>
          <w:rFonts w:eastAsia="方正楷体简体"/>
          <w:b/>
          <w:color w:val="000000" w:themeColor="text1"/>
          <w:sz w:val="34"/>
          <w:szCs w:val="34"/>
          <w:highlight w:val="none"/>
          <w14:textFill>
            <w14:solidFill>
              <w14:schemeClr w14:val="tx1"/>
            </w14:solidFill>
          </w14:textFill>
        </w:rPr>
        <w:t>递交日期：</w:t>
      </w:r>
    </w:p>
    <w:p>
      <w:pPr>
        <w:tabs>
          <w:tab w:val="left" w:pos="360"/>
        </w:tabs>
        <w:spacing w:line="560" w:lineRule="exact"/>
        <w:jc w:val="center"/>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报价书</w:t>
      </w:r>
    </w:p>
    <w:p>
      <w:pPr>
        <w:tabs>
          <w:tab w:val="left" w:pos="360"/>
        </w:tabs>
        <w:spacing w:line="560" w:lineRule="exact"/>
        <w:jc w:val="center"/>
        <w:rPr>
          <w:b/>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致：天津市政府采购中心</w:t>
      </w:r>
    </w:p>
    <w:p>
      <w:pPr>
        <w:tabs>
          <w:tab w:val="left" w:pos="540"/>
          <w:tab w:val="left" w:pos="720"/>
        </w:tabs>
        <w:spacing w:line="460" w:lineRule="exact"/>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）的竞争性磋商邀请，签字代表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职务）经正式授权并代表投标人</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（投标人名称、地址）提交网上应答及上传加盖电子签章的响应文件。</w:t>
      </w:r>
    </w:p>
    <w:p>
      <w:pPr>
        <w:spacing w:line="460" w:lineRule="exact"/>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据此函，签字代表宣布同意如下：</w:t>
      </w:r>
    </w:p>
    <w:p>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磋商总价为：</w:t>
      </w:r>
    </w:p>
    <w:p>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第一包：</w:t>
      </w:r>
    </w:p>
    <w:p>
      <w:pPr>
        <w:spacing w:line="460" w:lineRule="exact"/>
        <w:ind w:left="48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报价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元（注明币种）</w:t>
      </w:r>
    </w:p>
    <w:p>
      <w:pPr>
        <w:spacing w:line="460" w:lineRule="exact"/>
        <w:ind w:left="472" w:firstLine="237"/>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大写</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（文字表述）。</w:t>
      </w:r>
    </w:p>
    <w:p>
      <w:pPr>
        <w:spacing w:line="460" w:lineRule="exact"/>
        <w:ind w:firstLine="47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投标人已经对全部价格进行了认真核对，保证本报价真实、准确无误，并承担本价格所对应本项目的一切责任和义务。</w:t>
      </w:r>
    </w:p>
    <w:p>
      <w:pPr>
        <w:spacing w:line="460" w:lineRule="exact"/>
        <w:ind w:firstLine="47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第一、二阶段响应文件一一对应、不可分割，共同构成我方对本项目的所有承诺。</w:t>
      </w:r>
    </w:p>
    <w:p>
      <w:pPr>
        <w:spacing w:line="460" w:lineRule="exact"/>
        <w:ind w:firstLine="471"/>
        <w:rPr>
          <w:color w:val="000000" w:themeColor="text1"/>
          <w:sz w:val="24"/>
          <w:highlight w:val="none"/>
          <w14:textFill>
            <w14:solidFill>
              <w14:schemeClr w14:val="tx1"/>
            </w14:solidFill>
          </w14:textFill>
        </w:rPr>
      </w:pP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4080"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spacing w:line="460" w:lineRule="exact"/>
        <w:ind w:firstLine="471"/>
        <w:rPr>
          <w:color w:val="000000" w:themeColor="text1"/>
          <w:sz w:val="24"/>
          <w:highlight w:val="none"/>
          <w14:textFill>
            <w14:solidFill>
              <w14:schemeClr w14:val="tx1"/>
            </w14:solidFill>
          </w14:textFill>
        </w:rPr>
      </w:pPr>
    </w:p>
    <w:p>
      <w:pPr>
        <w:spacing w:line="460" w:lineRule="exact"/>
        <w:ind w:left="192"/>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工程量清单报价表</w:t>
      </w:r>
    </w:p>
    <w:p>
      <w:pPr>
        <w:spacing w:line="560" w:lineRule="exact"/>
        <w:ind w:firstLine="420"/>
        <w:jc w:val="center"/>
        <w:rPr>
          <w:b/>
          <w:color w:val="000000" w:themeColor="text1"/>
          <w:sz w:val="24"/>
          <w:highlight w:val="none"/>
          <w14:textFill>
            <w14:solidFill>
              <w14:schemeClr w14:val="tx1"/>
            </w14:solidFill>
          </w14:textFill>
        </w:rPr>
      </w:pP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采用工程量清单价报价的有关说明：</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工程量清单应与磋商须知、磋商项目要求、合同条件、合同协议条款和图纸一起使用。</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工程量清单中所填入的单价与合价，应按照现行定额执行。</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工程量清单中的每一项均需填写单价和合价。对没有填写单价或合价的项目的费用，应视为已包括在工程量清单的其他单价或合价之中。</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工程量清单不再重复或概括工程及材料的一般说明，在编制和填写工程量清单的每一项的单价和合价时应参考竞争性磋商文件的有关条款。</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所有报价应以人民币表示。</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工程量清单报价表按工程量清单报价格式及顺序编制。</w:t>
      </w:r>
    </w:p>
    <w:p>
      <w:pPr>
        <w:spacing w:line="560" w:lineRule="exact"/>
        <w:ind w:firstLine="42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工程量清单报价应由工程量清单报价编制人员加盖造价工程师章并由审核人员加盖造价工程师章（注：编制和审核不可为同一人）。此工程量清单报价应打印盖章后，扫描放入电子响应文件。</w:t>
      </w:r>
    </w:p>
    <w:p>
      <w:pPr>
        <w:spacing w:line="560" w:lineRule="exact"/>
        <w:ind w:firstLine="420"/>
        <w:rPr>
          <w:color w:val="000000" w:themeColor="text1"/>
          <w:sz w:val="24"/>
          <w:highlight w:val="none"/>
          <w14:textFill>
            <w14:solidFill>
              <w14:schemeClr w14:val="tx1"/>
            </w14:solidFill>
          </w14:textFill>
        </w:rPr>
      </w:pPr>
    </w:p>
    <w:sectPr>
      <w:head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C240B0-CDE1-4A4D-89CD-386EBC3599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0" w:usb1="00000000" w:usb2="00000000" w:usb3="00000000" w:csb0="00000000" w:csb1="00000000"/>
    <w:embedRegular r:id="rId2" w:fontKey="{161FC319-9EA9-4E02-9928-9C9484A4F0D1}"/>
  </w:font>
  <w:font w:name="华文行楷">
    <w:panose1 w:val="02010800040101010101"/>
    <w:charset w:val="86"/>
    <w:family w:val="auto"/>
    <w:pitch w:val="default"/>
    <w:sig w:usb0="00000001" w:usb1="080F0000" w:usb2="00000000" w:usb3="00000000" w:csb0="00040000" w:csb1="00000000"/>
    <w:embedRegular r:id="rId3" w:fontKey="{BC3FB354-54EE-425F-8C05-884387D368C8}"/>
  </w:font>
  <w:font w:name="方正行楷简体">
    <w:altName w:val="微软雅黑"/>
    <w:panose1 w:val="00000000000000000000"/>
    <w:charset w:val="86"/>
    <w:family w:val="auto"/>
    <w:pitch w:val="default"/>
    <w:sig w:usb0="00000000" w:usb1="00000000" w:usb2="00000010" w:usb3="00000000" w:csb0="00040000" w:csb1="00000000"/>
    <w:embedRegular r:id="rId4" w:fontKey="{621CDF31-5DCC-42EF-87C2-D2B705E15129}"/>
  </w:font>
  <w:font w:name="楷体_GB2312">
    <w:panose1 w:val="02010609030101010101"/>
    <w:charset w:val="86"/>
    <w:family w:val="modern"/>
    <w:pitch w:val="default"/>
    <w:sig w:usb0="00000000" w:usb1="00000000" w:usb2="00000000" w:usb3="00000000" w:csb0="00000000" w:csb1="00000000"/>
    <w:embedRegular r:id="rId5" w:fontKey="{04B506B9-01FE-4931-A375-312EBD2F3333}"/>
  </w:font>
  <w:font w:name="方正楷体简体">
    <w:panose1 w:val="02000000000000000000"/>
    <w:charset w:val="86"/>
    <w:family w:val="auto"/>
    <w:pitch w:val="default"/>
    <w:sig w:usb0="00000000" w:usb1="00000000" w:usb2="00000000" w:usb3="00000000" w:csb0="00000000" w:csb1="00000000"/>
    <w:embedRegular r:id="rId6" w:fontKey="{104568F1-48B3-46B3-9064-A5DC65C497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lang w:eastAsia="zh-CN"/>
      </w:rPr>
    </w:pPr>
    <w:r>
      <w:fldChar w:fldCharType="begin"/>
    </w:r>
    <w:r>
      <w:instrText xml:space="preserve"> PAGE   \* MERGEFORMAT </w:instrText>
    </w:r>
    <w:r>
      <w:fldChar w:fldCharType="separate"/>
    </w:r>
    <w:r>
      <w:t>67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rPr>
      <w:t>竞争性磋商文件                                                      第三部分——供应商须知</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rPr>
      <w:t>竞争性磋商文件                                                        第四部分——合同草案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620672"/>
    <w:multiLevelType w:val="singleLevel"/>
    <w:tmpl w:val="E8620672"/>
    <w:lvl w:ilvl="0" w:tentative="0">
      <w:start w:val="1"/>
      <w:numFmt w:val="decimal"/>
      <w:lvlText w:val="%1."/>
      <w:lvlJc w:val="left"/>
      <w:pPr>
        <w:tabs>
          <w:tab w:val="left" w:pos="312"/>
        </w:tabs>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44507166"/>
    <w:multiLevelType w:val="singleLevel"/>
    <w:tmpl w:val="44507166"/>
    <w:lvl w:ilvl="0" w:tentative="0">
      <w:start w:val="1"/>
      <w:numFmt w:val="japaneseCounting"/>
      <w:lvlText w:val="%1、"/>
      <w:lvlJc w:val="left"/>
      <w:pPr>
        <w:tabs>
          <w:tab w:val="left" w:pos="960"/>
        </w:tabs>
        <w:ind w:left="960" w:hanging="480"/>
      </w:pPr>
      <w:rPr>
        <w:rFonts w:hint="eastAsia"/>
      </w:rPr>
    </w:lvl>
  </w:abstractNum>
  <w:abstractNum w:abstractNumId="3">
    <w:nsid w:val="4B2E55C7"/>
    <w:multiLevelType w:val="singleLevel"/>
    <w:tmpl w:val="4B2E55C7"/>
    <w:lvl w:ilvl="0" w:tentative="0">
      <w:start w:val="1"/>
      <w:numFmt w:val="decimal"/>
      <w:lvlText w:val="%1、"/>
      <w:lvlJc w:val="left"/>
      <w:pPr>
        <w:tabs>
          <w:tab w:val="left" w:pos="360"/>
        </w:tabs>
        <w:ind w:left="360" w:hanging="360"/>
      </w:pPr>
      <w:rPr>
        <w:rFonts w:hint="eastAsia"/>
      </w:rPr>
    </w:lvl>
  </w:abstractNum>
  <w:abstractNum w:abstractNumId="4">
    <w:nsid w:val="5C9D301F"/>
    <w:multiLevelType w:val="singleLevel"/>
    <w:tmpl w:val="5C9D301F"/>
    <w:lvl w:ilvl="0" w:tentative="0">
      <w:start w:val="1"/>
      <w:numFmt w:val="japaneseCounting"/>
      <w:lvlText w:val="%1、"/>
      <w:lvlJc w:val="left"/>
      <w:pPr>
        <w:tabs>
          <w:tab w:val="left" w:pos="480"/>
        </w:tabs>
        <w:ind w:left="480" w:hanging="480"/>
      </w:pPr>
      <w:rPr>
        <w:rFonts w:hint="eastAsia"/>
      </w:rPr>
    </w:lvl>
  </w:abstractNum>
  <w:abstractNum w:abstractNumId="5">
    <w:nsid w:val="5CD80605"/>
    <w:multiLevelType w:val="singleLevel"/>
    <w:tmpl w:val="5CD80605"/>
    <w:lvl w:ilvl="0" w:tentative="0">
      <w:start w:val="1"/>
      <w:numFmt w:val="decimal"/>
      <w:lvlText w:val="%1、"/>
      <w:lvlJc w:val="left"/>
      <w:pPr>
        <w:tabs>
          <w:tab w:val="left" w:pos="360"/>
        </w:tabs>
        <w:ind w:left="360" w:hanging="360"/>
      </w:pPr>
      <w:rPr>
        <w:rFonts w:hint="eastAsia"/>
      </w:rPr>
    </w:lvl>
  </w:abstractNum>
  <w:abstractNum w:abstractNumId="6">
    <w:nsid w:val="6F4A3ED5"/>
    <w:multiLevelType w:val="singleLevel"/>
    <w:tmpl w:val="6F4A3ED5"/>
    <w:lvl w:ilvl="0" w:tentative="0">
      <w:start w:val="1"/>
      <w:numFmt w:val="japaneseCounting"/>
      <w:lvlText w:val="%1、"/>
      <w:lvlJc w:val="left"/>
      <w:pPr>
        <w:tabs>
          <w:tab w:val="left" w:pos="960"/>
        </w:tabs>
        <w:ind w:left="960" w:hanging="480"/>
      </w:pPr>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172A27"/>
    <w:rsid w:val="00000B77"/>
    <w:rsid w:val="0000465D"/>
    <w:rsid w:val="0000587D"/>
    <w:rsid w:val="0000628A"/>
    <w:rsid w:val="00016BF0"/>
    <w:rsid w:val="00016DF5"/>
    <w:rsid w:val="0001764D"/>
    <w:rsid w:val="00020A18"/>
    <w:rsid w:val="000216E9"/>
    <w:rsid w:val="00023A21"/>
    <w:rsid w:val="000267E6"/>
    <w:rsid w:val="00030F7C"/>
    <w:rsid w:val="00032A32"/>
    <w:rsid w:val="00033E76"/>
    <w:rsid w:val="00035C07"/>
    <w:rsid w:val="000419E2"/>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F020D"/>
    <w:rsid w:val="000F1963"/>
    <w:rsid w:val="00100DFA"/>
    <w:rsid w:val="00101429"/>
    <w:rsid w:val="00102CD6"/>
    <w:rsid w:val="001042B0"/>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FE5"/>
    <w:rsid w:val="001A5ACA"/>
    <w:rsid w:val="001A64D8"/>
    <w:rsid w:val="001A6830"/>
    <w:rsid w:val="001B1385"/>
    <w:rsid w:val="001B3245"/>
    <w:rsid w:val="001B382F"/>
    <w:rsid w:val="001B5E15"/>
    <w:rsid w:val="001B6A39"/>
    <w:rsid w:val="001C4B68"/>
    <w:rsid w:val="001C7112"/>
    <w:rsid w:val="001C7C4F"/>
    <w:rsid w:val="001D3B7D"/>
    <w:rsid w:val="001D53D3"/>
    <w:rsid w:val="001D5812"/>
    <w:rsid w:val="001D7BB2"/>
    <w:rsid w:val="001E0D8A"/>
    <w:rsid w:val="001E5D77"/>
    <w:rsid w:val="001E7F28"/>
    <w:rsid w:val="001F054E"/>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1AB7"/>
    <w:rsid w:val="002B3AEF"/>
    <w:rsid w:val="002B3EC5"/>
    <w:rsid w:val="002B435B"/>
    <w:rsid w:val="002B581C"/>
    <w:rsid w:val="002C35DA"/>
    <w:rsid w:val="002C3CED"/>
    <w:rsid w:val="002C3EC4"/>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787E"/>
    <w:rsid w:val="00337B0A"/>
    <w:rsid w:val="00340C50"/>
    <w:rsid w:val="00341878"/>
    <w:rsid w:val="00341972"/>
    <w:rsid w:val="003438C9"/>
    <w:rsid w:val="00343F8E"/>
    <w:rsid w:val="00344BA1"/>
    <w:rsid w:val="00345170"/>
    <w:rsid w:val="00345604"/>
    <w:rsid w:val="00351709"/>
    <w:rsid w:val="003573EE"/>
    <w:rsid w:val="003606FC"/>
    <w:rsid w:val="003618EA"/>
    <w:rsid w:val="00362E72"/>
    <w:rsid w:val="003640FA"/>
    <w:rsid w:val="00367A4A"/>
    <w:rsid w:val="003701FB"/>
    <w:rsid w:val="00370808"/>
    <w:rsid w:val="0037126B"/>
    <w:rsid w:val="00372453"/>
    <w:rsid w:val="00372D9D"/>
    <w:rsid w:val="0037547B"/>
    <w:rsid w:val="0038578B"/>
    <w:rsid w:val="00385ED4"/>
    <w:rsid w:val="00387313"/>
    <w:rsid w:val="003931AF"/>
    <w:rsid w:val="00393DBB"/>
    <w:rsid w:val="00394250"/>
    <w:rsid w:val="003946E5"/>
    <w:rsid w:val="00396C72"/>
    <w:rsid w:val="003A1E55"/>
    <w:rsid w:val="003A22CE"/>
    <w:rsid w:val="003A36B1"/>
    <w:rsid w:val="003A4CA6"/>
    <w:rsid w:val="003A6071"/>
    <w:rsid w:val="003A775A"/>
    <w:rsid w:val="003B2CAE"/>
    <w:rsid w:val="003B4C3A"/>
    <w:rsid w:val="003B6654"/>
    <w:rsid w:val="003B6FA3"/>
    <w:rsid w:val="003B759D"/>
    <w:rsid w:val="003C4CB4"/>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2146F"/>
    <w:rsid w:val="0042248F"/>
    <w:rsid w:val="00423141"/>
    <w:rsid w:val="00423ED6"/>
    <w:rsid w:val="00426D42"/>
    <w:rsid w:val="004278B1"/>
    <w:rsid w:val="00430A55"/>
    <w:rsid w:val="004321E0"/>
    <w:rsid w:val="00434555"/>
    <w:rsid w:val="00435B3D"/>
    <w:rsid w:val="004414E6"/>
    <w:rsid w:val="00441D86"/>
    <w:rsid w:val="00442E1A"/>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B17FD"/>
    <w:rsid w:val="004B1E88"/>
    <w:rsid w:val="004B4E93"/>
    <w:rsid w:val="004B5C68"/>
    <w:rsid w:val="004B675F"/>
    <w:rsid w:val="004B6B14"/>
    <w:rsid w:val="004B787B"/>
    <w:rsid w:val="004C0C1A"/>
    <w:rsid w:val="004C5C3A"/>
    <w:rsid w:val="004C6D18"/>
    <w:rsid w:val="004C7221"/>
    <w:rsid w:val="004C787E"/>
    <w:rsid w:val="004D1434"/>
    <w:rsid w:val="004D1D00"/>
    <w:rsid w:val="004D2271"/>
    <w:rsid w:val="004D3241"/>
    <w:rsid w:val="004D45B7"/>
    <w:rsid w:val="004D5B80"/>
    <w:rsid w:val="004E4951"/>
    <w:rsid w:val="004E69C4"/>
    <w:rsid w:val="004F2716"/>
    <w:rsid w:val="004F4224"/>
    <w:rsid w:val="004F4FD5"/>
    <w:rsid w:val="004F5EA6"/>
    <w:rsid w:val="0050312D"/>
    <w:rsid w:val="00503DFE"/>
    <w:rsid w:val="00505935"/>
    <w:rsid w:val="00511632"/>
    <w:rsid w:val="00521432"/>
    <w:rsid w:val="00523739"/>
    <w:rsid w:val="00524164"/>
    <w:rsid w:val="00525B69"/>
    <w:rsid w:val="0053092B"/>
    <w:rsid w:val="00531C16"/>
    <w:rsid w:val="00532705"/>
    <w:rsid w:val="005374D6"/>
    <w:rsid w:val="00540C6A"/>
    <w:rsid w:val="0054122F"/>
    <w:rsid w:val="00542D19"/>
    <w:rsid w:val="00544AC1"/>
    <w:rsid w:val="00545005"/>
    <w:rsid w:val="00545E39"/>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726B"/>
    <w:rsid w:val="005D1215"/>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7359"/>
    <w:rsid w:val="0062763C"/>
    <w:rsid w:val="0063158C"/>
    <w:rsid w:val="006349C8"/>
    <w:rsid w:val="006354C2"/>
    <w:rsid w:val="006373C4"/>
    <w:rsid w:val="00640411"/>
    <w:rsid w:val="0064212A"/>
    <w:rsid w:val="00645B80"/>
    <w:rsid w:val="006505CD"/>
    <w:rsid w:val="00650800"/>
    <w:rsid w:val="0066050D"/>
    <w:rsid w:val="0066218F"/>
    <w:rsid w:val="006621C9"/>
    <w:rsid w:val="00662F5A"/>
    <w:rsid w:val="00662FFD"/>
    <w:rsid w:val="00665184"/>
    <w:rsid w:val="006726B3"/>
    <w:rsid w:val="0067517A"/>
    <w:rsid w:val="006800F5"/>
    <w:rsid w:val="00681702"/>
    <w:rsid w:val="006817F3"/>
    <w:rsid w:val="00682371"/>
    <w:rsid w:val="006837AD"/>
    <w:rsid w:val="00684C3C"/>
    <w:rsid w:val="006853AD"/>
    <w:rsid w:val="00687143"/>
    <w:rsid w:val="00687BE8"/>
    <w:rsid w:val="0069366F"/>
    <w:rsid w:val="00693D58"/>
    <w:rsid w:val="00693F3A"/>
    <w:rsid w:val="00693FB1"/>
    <w:rsid w:val="00695E07"/>
    <w:rsid w:val="0069696F"/>
    <w:rsid w:val="00696EC0"/>
    <w:rsid w:val="006A440B"/>
    <w:rsid w:val="006A727A"/>
    <w:rsid w:val="006B4716"/>
    <w:rsid w:val="006B4877"/>
    <w:rsid w:val="006B4D99"/>
    <w:rsid w:val="006B5EA6"/>
    <w:rsid w:val="006B76C5"/>
    <w:rsid w:val="006C05EF"/>
    <w:rsid w:val="006C3B0C"/>
    <w:rsid w:val="006C48B3"/>
    <w:rsid w:val="006C5210"/>
    <w:rsid w:val="006C6E37"/>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CED"/>
    <w:rsid w:val="007B7DB2"/>
    <w:rsid w:val="007C1810"/>
    <w:rsid w:val="007C1B00"/>
    <w:rsid w:val="007C3CFF"/>
    <w:rsid w:val="007C418A"/>
    <w:rsid w:val="007C5EE2"/>
    <w:rsid w:val="007C6375"/>
    <w:rsid w:val="007C6859"/>
    <w:rsid w:val="007C7796"/>
    <w:rsid w:val="007C77D0"/>
    <w:rsid w:val="007D45C1"/>
    <w:rsid w:val="007E06D9"/>
    <w:rsid w:val="007E0DE4"/>
    <w:rsid w:val="007E366E"/>
    <w:rsid w:val="007E5B2A"/>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60F27"/>
    <w:rsid w:val="0086117D"/>
    <w:rsid w:val="00866576"/>
    <w:rsid w:val="00870159"/>
    <w:rsid w:val="00870CF0"/>
    <w:rsid w:val="00871606"/>
    <w:rsid w:val="008735F2"/>
    <w:rsid w:val="00874E27"/>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67"/>
    <w:rsid w:val="00971E22"/>
    <w:rsid w:val="00972A53"/>
    <w:rsid w:val="00972AB4"/>
    <w:rsid w:val="009811BB"/>
    <w:rsid w:val="00984D63"/>
    <w:rsid w:val="00985DDE"/>
    <w:rsid w:val="00990DFB"/>
    <w:rsid w:val="00991362"/>
    <w:rsid w:val="0099181F"/>
    <w:rsid w:val="009A0835"/>
    <w:rsid w:val="009A1ECC"/>
    <w:rsid w:val="009A27C1"/>
    <w:rsid w:val="009B22F4"/>
    <w:rsid w:val="009B324F"/>
    <w:rsid w:val="009B3CAF"/>
    <w:rsid w:val="009B7C64"/>
    <w:rsid w:val="009C374E"/>
    <w:rsid w:val="009C4FC8"/>
    <w:rsid w:val="009D308A"/>
    <w:rsid w:val="009D32E2"/>
    <w:rsid w:val="009D34BF"/>
    <w:rsid w:val="009D3FF8"/>
    <w:rsid w:val="009D6F98"/>
    <w:rsid w:val="009D7D10"/>
    <w:rsid w:val="009D7F8F"/>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18C4"/>
    <w:rsid w:val="00A52E21"/>
    <w:rsid w:val="00A53B5E"/>
    <w:rsid w:val="00A53DDA"/>
    <w:rsid w:val="00A53FDE"/>
    <w:rsid w:val="00A55784"/>
    <w:rsid w:val="00A56E1E"/>
    <w:rsid w:val="00A61143"/>
    <w:rsid w:val="00A61A54"/>
    <w:rsid w:val="00A620E0"/>
    <w:rsid w:val="00A62C23"/>
    <w:rsid w:val="00A65180"/>
    <w:rsid w:val="00A6554D"/>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5CE"/>
    <w:rsid w:val="00A93719"/>
    <w:rsid w:val="00A94FE3"/>
    <w:rsid w:val="00A9524E"/>
    <w:rsid w:val="00AA0139"/>
    <w:rsid w:val="00AA05AE"/>
    <w:rsid w:val="00AA3E09"/>
    <w:rsid w:val="00AA4354"/>
    <w:rsid w:val="00AA4AA5"/>
    <w:rsid w:val="00AA6E51"/>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4BA8"/>
    <w:rsid w:val="00B2780D"/>
    <w:rsid w:val="00B30DCA"/>
    <w:rsid w:val="00B31FA4"/>
    <w:rsid w:val="00B32593"/>
    <w:rsid w:val="00B40906"/>
    <w:rsid w:val="00B45822"/>
    <w:rsid w:val="00B47525"/>
    <w:rsid w:val="00B55957"/>
    <w:rsid w:val="00B56D30"/>
    <w:rsid w:val="00B602E3"/>
    <w:rsid w:val="00B62DE5"/>
    <w:rsid w:val="00B62F10"/>
    <w:rsid w:val="00B64ECB"/>
    <w:rsid w:val="00B65ED1"/>
    <w:rsid w:val="00B6611D"/>
    <w:rsid w:val="00B674D7"/>
    <w:rsid w:val="00B715F9"/>
    <w:rsid w:val="00B74DB4"/>
    <w:rsid w:val="00B7503E"/>
    <w:rsid w:val="00B769AF"/>
    <w:rsid w:val="00B81AC3"/>
    <w:rsid w:val="00B81B71"/>
    <w:rsid w:val="00B8228C"/>
    <w:rsid w:val="00B869B2"/>
    <w:rsid w:val="00B92514"/>
    <w:rsid w:val="00B9337F"/>
    <w:rsid w:val="00B9726E"/>
    <w:rsid w:val="00BA0966"/>
    <w:rsid w:val="00BA0CF6"/>
    <w:rsid w:val="00BA0ECA"/>
    <w:rsid w:val="00BA13B1"/>
    <w:rsid w:val="00BA6966"/>
    <w:rsid w:val="00BA6BC0"/>
    <w:rsid w:val="00BB158A"/>
    <w:rsid w:val="00BB1C05"/>
    <w:rsid w:val="00BB35D2"/>
    <w:rsid w:val="00BB37DB"/>
    <w:rsid w:val="00BB3A8D"/>
    <w:rsid w:val="00BB3C70"/>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12F9C"/>
    <w:rsid w:val="00C15961"/>
    <w:rsid w:val="00C20EBD"/>
    <w:rsid w:val="00C22999"/>
    <w:rsid w:val="00C22A18"/>
    <w:rsid w:val="00C24501"/>
    <w:rsid w:val="00C25E73"/>
    <w:rsid w:val="00C261C5"/>
    <w:rsid w:val="00C32976"/>
    <w:rsid w:val="00C33164"/>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90589"/>
    <w:rsid w:val="00C9125A"/>
    <w:rsid w:val="00C9283B"/>
    <w:rsid w:val="00C93BFA"/>
    <w:rsid w:val="00C95EEA"/>
    <w:rsid w:val="00CA07AA"/>
    <w:rsid w:val="00CA0902"/>
    <w:rsid w:val="00CA0FAF"/>
    <w:rsid w:val="00CA2A62"/>
    <w:rsid w:val="00CA2DD0"/>
    <w:rsid w:val="00CA35FC"/>
    <w:rsid w:val="00CB0E25"/>
    <w:rsid w:val="00CC395B"/>
    <w:rsid w:val="00CC420F"/>
    <w:rsid w:val="00CC4597"/>
    <w:rsid w:val="00CC6C7A"/>
    <w:rsid w:val="00CD0442"/>
    <w:rsid w:val="00CD120C"/>
    <w:rsid w:val="00CD35DC"/>
    <w:rsid w:val="00CD4E0D"/>
    <w:rsid w:val="00CD651E"/>
    <w:rsid w:val="00CD691B"/>
    <w:rsid w:val="00CE2661"/>
    <w:rsid w:val="00CE2D10"/>
    <w:rsid w:val="00CE664D"/>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8BC"/>
    <w:rsid w:val="00D3318E"/>
    <w:rsid w:val="00D35415"/>
    <w:rsid w:val="00D35761"/>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2074"/>
    <w:rsid w:val="00DD48B2"/>
    <w:rsid w:val="00DE225B"/>
    <w:rsid w:val="00DE5240"/>
    <w:rsid w:val="00DE5A34"/>
    <w:rsid w:val="00DE6496"/>
    <w:rsid w:val="00DE6DA6"/>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F6"/>
    <w:rsid w:val="00E7351F"/>
    <w:rsid w:val="00E73BFF"/>
    <w:rsid w:val="00E7603E"/>
    <w:rsid w:val="00E84D97"/>
    <w:rsid w:val="00E852C3"/>
    <w:rsid w:val="00E869CB"/>
    <w:rsid w:val="00E87037"/>
    <w:rsid w:val="00E90319"/>
    <w:rsid w:val="00E92969"/>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1ABF"/>
    <w:rsid w:val="00F11EDF"/>
    <w:rsid w:val="00F1600B"/>
    <w:rsid w:val="00F16668"/>
    <w:rsid w:val="00F1685A"/>
    <w:rsid w:val="00F16E05"/>
    <w:rsid w:val="00F20095"/>
    <w:rsid w:val="00F2323F"/>
    <w:rsid w:val="00F23A76"/>
    <w:rsid w:val="00F2698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2922"/>
    <w:rsid w:val="00F8546C"/>
    <w:rsid w:val="00F8647B"/>
    <w:rsid w:val="00F86CFB"/>
    <w:rsid w:val="00F87FDA"/>
    <w:rsid w:val="00F90D8C"/>
    <w:rsid w:val="00F9459C"/>
    <w:rsid w:val="00FA266F"/>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373D"/>
    <w:rsid w:val="00FF4F0F"/>
    <w:rsid w:val="00FF64F8"/>
    <w:rsid w:val="01211AD4"/>
    <w:rsid w:val="0305345B"/>
    <w:rsid w:val="03651AF4"/>
    <w:rsid w:val="03726617"/>
    <w:rsid w:val="060A2B37"/>
    <w:rsid w:val="0C486E03"/>
    <w:rsid w:val="0D0C32CD"/>
    <w:rsid w:val="0D513332"/>
    <w:rsid w:val="0D666B19"/>
    <w:rsid w:val="0DCF15A5"/>
    <w:rsid w:val="0DE72D12"/>
    <w:rsid w:val="0E671419"/>
    <w:rsid w:val="0F8376B2"/>
    <w:rsid w:val="0F931DEF"/>
    <w:rsid w:val="0FA876DC"/>
    <w:rsid w:val="0FEA5774"/>
    <w:rsid w:val="10324DD8"/>
    <w:rsid w:val="11113658"/>
    <w:rsid w:val="12391468"/>
    <w:rsid w:val="12486EC1"/>
    <w:rsid w:val="12E72E8C"/>
    <w:rsid w:val="14D255E4"/>
    <w:rsid w:val="15DD7A73"/>
    <w:rsid w:val="16EE5C01"/>
    <w:rsid w:val="18D46A15"/>
    <w:rsid w:val="19726F19"/>
    <w:rsid w:val="199B021E"/>
    <w:rsid w:val="1C9F0025"/>
    <w:rsid w:val="1D8B05A9"/>
    <w:rsid w:val="1DFF63E9"/>
    <w:rsid w:val="1F7C289F"/>
    <w:rsid w:val="20D81D17"/>
    <w:rsid w:val="21B638B0"/>
    <w:rsid w:val="22087AAA"/>
    <w:rsid w:val="22326AE5"/>
    <w:rsid w:val="22597C5A"/>
    <w:rsid w:val="264055B5"/>
    <w:rsid w:val="268A7862"/>
    <w:rsid w:val="26A30712"/>
    <w:rsid w:val="2783470E"/>
    <w:rsid w:val="27B70A41"/>
    <w:rsid w:val="285847BA"/>
    <w:rsid w:val="29BA46F0"/>
    <w:rsid w:val="2B1C514D"/>
    <w:rsid w:val="2BAD5B8F"/>
    <w:rsid w:val="2F473AA0"/>
    <w:rsid w:val="336E20A7"/>
    <w:rsid w:val="34BB30CA"/>
    <w:rsid w:val="34BB756E"/>
    <w:rsid w:val="35381264"/>
    <w:rsid w:val="36513CE6"/>
    <w:rsid w:val="3810197F"/>
    <w:rsid w:val="39C73A75"/>
    <w:rsid w:val="3B885799"/>
    <w:rsid w:val="3BC46D08"/>
    <w:rsid w:val="3E377C66"/>
    <w:rsid w:val="3EA2653C"/>
    <w:rsid w:val="3F2D3C72"/>
    <w:rsid w:val="3F4E170B"/>
    <w:rsid w:val="3F6912F6"/>
    <w:rsid w:val="40A941DA"/>
    <w:rsid w:val="40C44A5B"/>
    <w:rsid w:val="412025B4"/>
    <w:rsid w:val="454D7F3F"/>
    <w:rsid w:val="456652D4"/>
    <w:rsid w:val="46EE37D3"/>
    <w:rsid w:val="47C47EC9"/>
    <w:rsid w:val="48030BB8"/>
    <w:rsid w:val="4B0E3212"/>
    <w:rsid w:val="4E8A3DE2"/>
    <w:rsid w:val="4EBD5F65"/>
    <w:rsid w:val="4F4C6C86"/>
    <w:rsid w:val="50621475"/>
    <w:rsid w:val="5176530C"/>
    <w:rsid w:val="528C0A30"/>
    <w:rsid w:val="52C22076"/>
    <w:rsid w:val="54FA3492"/>
    <w:rsid w:val="55BD684B"/>
    <w:rsid w:val="57077167"/>
    <w:rsid w:val="57835872"/>
    <w:rsid w:val="582629BD"/>
    <w:rsid w:val="5A641C86"/>
    <w:rsid w:val="5C1D17F9"/>
    <w:rsid w:val="5C4302ED"/>
    <w:rsid w:val="5CDF725D"/>
    <w:rsid w:val="5CF41742"/>
    <w:rsid w:val="5E222B92"/>
    <w:rsid w:val="5F906D7E"/>
    <w:rsid w:val="6045400C"/>
    <w:rsid w:val="63267838"/>
    <w:rsid w:val="63B02751"/>
    <w:rsid w:val="64F778EA"/>
    <w:rsid w:val="652F32A0"/>
    <w:rsid w:val="67485B63"/>
    <w:rsid w:val="683B00C4"/>
    <w:rsid w:val="6C8B0FF9"/>
    <w:rsid w:val="6E5518BE"/>
    <w:rsid w:val="6F321C00"/>
    <w:rsid w:val="729B1AA9"/>
    <w:rsid w:val="74D211AA"/>
    <w:rsid w:val="785C7CED"/>
    <w:rsid w:val="7934779F"/>
    <w:rsid w:val="7AC57DCC"/>
    <w:rsid w:val="7B02692A"/>
    <w:rsid w:val="7B5A6766"/>
    <w:rsid w:val="7BAA15CA"/>
    <w:rsid w:val="7D4F7E21"/>
    <w:rsid w:val="7E5A6A7D"/>
    <w:rsid w:val="7EBB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3"/>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5"/>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semiHidden/>
    <w:unhideWhenUsed/>
    <w:qFormat/>
    <w:uiPriority w:val="99"/>
    <w:pPr>
      <w:jc w:val="left"/>
    </w:pPr>
  </w:style>
  <w:style w:type="paragraph" w:styleId="6">
    <w:name w:val="Body Text"/>
    <w:basedOn w:val="1"/>
    <w:link w:val="76"/>
    <w:semiHidden/>
    <w:unhideWhenUsed/>
    <w:qFormat/>
    <w:uiPriority w:val="99"/>
    <w:pPr>
      <w:spacing w:after="120"/>
    </w:pPr>
  </w:style>
  <w:style w:type="paragraph" w:styleId="7">
    <w:name w:val="Body Text Indent 2"/>
    <w:basedOn w:val="1"/>
    <w:link w:val="31"/>
    <w:qFormat/>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6"/>
    <w:qFormat/>
    <w:uiPriority w:val="99"/>
    <w:rPr>
      <w:sz w:val="18"/>
      <w:szCs w:val="18"/>
      <w:lang w:val="zh-CN" w:eastAsia="zh-CN"/>
    </w:rPr>
  </w:style>
  <w:style w:type="paragraph" w:styleId="9">
    <w:name w:val="footer"/>
    <w:basedOn w:val="1"/>
    <w:link w:val="25"/>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2"/>
    <w:qFormat/>
    <w:uiPriority w:val="0"/>
    <w:pPr>
      <w:tabs>
        <w:tab w:val="left" w:pos="360"/>
      </w:tabs>
      <w:spacing w:line="560" w:lineRule="exact"/>
      <w:ind w:firstLine="360"/>
    </w:pPr>
    <w:rPr>
      <w:rFonts w:ascii="宋体"/>
      <w:sz w:val="24"/>
      <w:lang w:val="zh-CN" w:eastAsia="zh-CN"/>
    </w:rPr>
  </w:style>
  <w:style w:type="paragraph" w:styleId="14">
    <w:name w:val="Body Text 2"/>
    <w:basedOn w:val="1"/>
    <w:link w:val="70"/>
    <w:semiHidden/>
    <w:unhideWhenUsed/>
    <w:qFormat/>
    <w:uiPriority w:val="99"/>
    <w:pPr>
      <w:spacing w:after="120" w:line="480" w:lineRule="auto"/>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22"/>
    <w:rPr>
      <w:b/>
      <w:bCs/>
    </w:rPr>
  </w:style>
  <w:style w:type="character" w:styleId="20">
    <w:name w:val="page number"/>
    <w:basedOn w:val="18"/>
    <w:qFormat/>
    <w:uiPriority w:val="0"/>
  </w:style>
  <w:style w:type="character" w:styleId="21">
    <w:name w:val="Emphasis"/>
    <w:qFormat/>
    <w:uiPriority w:val="20"/>
    <w:rPr>
      <w:i/>
      <w:iCs/>
    </w:rPr>
  </w:style>
  <w:style w:type="character" w:styleId="22">
    <w:name w:val="Hyperlink"/>
    <w:qFormat/>
    <w:uiPriority w:val="0"/>
    <w:rPr>
      <w:rFonts w:hint="default" w:ascii="ˎ̥" w:hAnsi="ˎ̥"/>
      <w:color w:val="3E3E3E"/>
      <w:sz w:val="24"/>
      <w:szCs w:val="24"/>
      <w:u w:val="none"/>
    </w:rPr>
  </w:style>
  <w:style w:type="character" w:customStyle="1" w:styleId="23">
    <w:name w:val="标题 3 Char"/>
    <w:link w:val="2"/>
    <w:qFormat/>
    <w:uiPriority w:val="0"/>
    <w:rPr>
      <w:rFonts w:ascii="Times New Roman" w:hAnsi="Times New Roman" w:eastAsia="宋体" w:cs="Times New Roman"/>
      <w:b/>
      <w:bCs/>
      <w:sz w:val="32"/>
      <w:szCs w:val="32"/>
    </w:rPr>
  </w:style>
  <w:style w:type="character" w:customStyle="1" w:styleId="24">
    <w:name w:val="页眉 Char"/>
    <w:link w:val="10"/>
    <w:qFormat/>
    <w:uiPriority w:val="99"/>
    <w:rPr>
      <w:rFonts w:ascii="Times New Roman" w:hAnsi="Times New Roman" w:eastAsia="宋体" w:cs="Times New Roman"/>
      <w:sz w:val="18"/>
      <w:szCs w:val="18"/>
    </w:rPr>
  </w:style>
  <w:style w:type="character" w:customStyle="1" w:styleId="25">
    <w:name w:val="页脚 Char"/>
    <w:link w:val="9"/>
    <w:qFormat/>
    <w:uiPriority w:val="99"/>
    <w:rPr>
      <w:rFonts w:ascii="Times New Roman" w:hAnsi="Times New Roman" w:eastAsia="宋体" w:cs="Times New Roman"/>
      <w:sz w:val="18"/>
      <w:szCs w:val="18"/>
    </w:rPr>
  </w:style>
  <w:style w:type="character" w:customStyle="1" w:styleId="26">
    <w:name w:val="批注框文本 Char"/>
    <w:link w:val="8"/>
    <w:qFormat/>
    <w:uiPriority w:val="99"/>
    <w:rPr>
      <w:rFonts w:ascii="Times New Roman" w:hAnsi="Times New Roman"/>
      <w:kern w:val="2"/>
      <w:sz w:val="18"/>
      <w:szCs w:val="18"/>
    </w:rPr>
  </w:style>
  <w:style w:type="paragraph" w:customStyle="1" w:styleId="27">
    <w:name w:val="Char"/>
    <w:basedOn w:val="1"/>
    <w:qFormat/>
    <w:uiPriority w:val="0"/>
  </w:style>
  <w:style w:type="paragraph" w:customStyle="1" w:styleId="28">
    <w:name w:val="Default"/>
    <w:link w:val="73"/>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29">
    <w:name w:val="列出段落1"/>
    <w:basedOn w:val="1"/>
    <w:qFormat/>
    <w:uiPriority w:val="0"/>
    <w:pPr>
      <w:ind w:firstLine="420" w:firstLineChars="200"/>
    </w:pPr>
    <w:rPr>
      <w:rFonts w:ascii="Calibri" w:hAnsi="Calibri" w:cs="黑体"/>
      <w:szCs w:val="22"/>
    </w:rPr>
  </w:style>
  <w:style w:type="character" w:customStyle="1" w:styleId="30">
    <w:name w:val="副标题 Char"/>
    <w:link w:val="12"/>
    <w:qFormat/>
    <w:uiPriority w:val="11"/>
    <w:rPr>
      <w:rFonts w:ascii="Cambria" w:hAnsi="Cambria" w:cs="Times New Roman"/>
      <w:b/>
      <w:bCs/>
      <w:kern w:val="28"/>
      <w:sz w:val="32"/>
      <w:szCs w:val="32"/>
    </w:rPr>
  </w:style>
  <w:style w:type="character" w:customStyle="1" w:styleId="31">
    <w:name w:val="正文文本缩进 2 Char"/>
    <w:link w:val="7"/>
    <w:qFormat/>
    <w:uiPriority w:val="0"/>
    <w:rPr>
      <w:rFonts w:ascii="宋体" w:hAnsi="Times New Roman"/>
      <w:kern w:val="2"/>
      <w:sz w:val="28"/>
    </w:rPr>
  </w:style>
  <w:style w:type="character" w:customStyle="1" w:styleId="32">
    <w:name w:val="正文文本缩进 3 Char"/>
    <w:link w:val="13"/>
    <w:qFormat/>
    <w:uiPriority w:val="0"/>
    <w:rPr>
      <w:rFonts w:ascii="宋体" w:hAnsi="Times New Roman"/>
      <w:kern w:val="2"/>
      <w:sz w:val="24"/>
    </w:rPr>
  </w:style>
  <w:style w:type="paragraph" w:customStyle="1" w:styleId="33">
    <w:name w:val="Char1"/>
    <w:basedOn w:val="1"/>
    <w:qFormat/>
    <w:uiPriority w:val="0"/>
    <w:pPr>
      <w:tabs>
        <w:tab w:val="left" w:pos="360"/>
      </w:tabs>
    </w:pPr>
    <w:rPr>
      <w:sz w:val="24"/>
      <w:szCs w:val="24"/>
    </w:rPr>
  </w:style>
  <w:style w:type="character" w:customStyle="1" w:styleId="34">
    <w:name w:val="control-label6"/>
    <w:qFormat/>
    <w:uiPriority w:val="0"/>
    <w:rPr>
      <w:rFonts w:hint="eastAsia" w:ascii="微软雅黑" w:hAnsi="微软雅黑" w:eastAsia="微软雅黑"/>
    </w:rPr>
  </w:style>
  <w:style w:type="character" w:customStyle="1" w:styleId="35">
    <w:name w:val="apple-converted-space"/>
    <w:qFormat/>
    <w:uiPriority w:val="0"/>
  </w:style>
  <w:style w:type="paragraph" w:styleId="36">
    <w:name w:val="List Paragraph"/>
    <w:basedOn w:val="1"/>
    <w:link w:val="37"/>
    <w:qFormat/>
    <w:uiPriority w:val="34"/>
    <w:pPr>
      <w:ind w:firstLine="420" w:firstLineChars="200"/>
    </w:pPr>
    <w:rPr>
      <w:szCs w:val="24"/>
      <w:lang w:val="zh-CN" w:eastAsia="zh-CN"/>
    </w:rPr>
  </w:style>
  <w:style w:type="character" w:customStyle="1" w:styleId="37">
    <w:name w:val="列出段落 Char"/>
    <w:link w:val="36"/>
    <w:qFormat/>
    <w:uiPriority w:val="34"/>
    <w:rPr>
      <w:rFonts w:ascii="Times New Roman" w:hAnsi="Times New Roman"/>
      <w:kern w:val="2"/>
      <w:sz w:val="21"/>
      <w:szCs w:val="24"/>
    </w:rPr>
  </w:style>
  <w:style w:type="paragraph" w:customStyle="1" w:styleId="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1">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2">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5">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0">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7">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4">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5">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0">
    <w:name w:val="正文文本 2 Char"/>
    <w:basedOn w:val="18"/>
    <w:link w:val="14"/>
    <w:semiHidden/>
    <w:qFormat/>
    <w:uiPriority w:val="99"/>
    <w:rPr>
      <w:rFonts w:ascii="Times New Roman" w:hAnsi="Times New Roman"/>
      <w:kern w:val="2"/>
      <w:sz w:val="21"/>
    </w:rPr>
  </w:style>
  <w:style w:type="character" w:customStyle="1" w:styleId="71">
    <w:name w:val="numtype"/>
    <w:basedOn w:val="18"/>
    <w:qFormat/>
    <w:uiPriority w:val="0"/>
  </w:style>
  <w:style w:type="paragraph" w:customStyle="1" w:styleId="72">
    <w:name w:val="Char2"/>
    <w:basedOn w:val="1"/>
    <w:qFormat/>
    <w:uiPriority w:val="0"/>
    <w:pPr>
      <w:tabs>
        <w:tab w:val="left" w:pos="360"/>
      </w:tabs>
    </w:pPr>
    <w:rPr>
      <w:sz w:val="24"/>
      <w:szCs w:val="24"/>
    </w:rPr>
  </w:style>
  <w:style w:type="character" w:customStyle="1" w:styleId="73">
    <w:name w:val="Default Char"/>
    <w:link w:val="28"/>
    <w:qFormat/>
    <w:locked/>
    <w:uiPriority w:val="0"/>
    <w:rPr>
      <w:rFonts w:ascii="......." w:hAnsi="......." w:eastAsia="......." w:cs="......."/>
      <w:color w:val="000000"/>
      <w:sz w:val="24"/>
      <w:szCs w:val="24"/>
    </w:rPr>
  </w:style>
  <w:style w:type="character" w:customStyle="1" w:styleId="74">
    <w:name w:val="NormalCharacter"/>
    <w:qFormat/>
    <w:uiPriority w:val="0"/>
  </w:style>
  <w:style w:type="character" w:customStyle="1" w:styleId="75">
    <w:name w:val="标题 9 Char"/>
    <w:basedOn w:val="18"/>
    <w:link w:val="3"/>
    <w:qFormat/>
    <w:uiPriority w:val="0"/>
    <w:rPr>
      <w:rFonts w:asciiTheme="majorHAnsi" w:hAnsiTheme="majorHAnsi" w:eastAsiaTheme="majorEastAsia" w:cstheme="majorBidi"/>
      <w:kern w:val="2"/>
      <w:sz w:val="21"/>
      <w:szCs w:val="21"/>
    </w:rPr>
  </w:style>
  <w:style w:type="character" w:customStyle="1" w:styleId="76">
    <w:name w:val="正文文本 Char"/>
    <w:basedOn w:val="18"/>
    <w:link w:val="6"/>
    <w:semiHidden/>
    <w:qFormat/>
    <w:uiPriority w:val="99"/>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6930</Words>
  <Characters>7796</Characters>
  <Lines>251</Lines>
  <Paragraphs>70</Paragraphs>
  <TotalTime>9</TotalTime>
  <ScaleCrop>false</ScaleCrop>
  <LinksUpToDate>false</LinksUpToDate>
  <CharactersWithSpaces>7930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2024-06-12T06:41:00Z</dcterms:created>
  <dc:creator>未定义</dc:creator>
  <cp:lastModifiedBy>Administrator</cp:lastModifiedBy>
  <cp:lastPrinted>2015-08-04T03:01:00Z</cp:lastPrinted>
  <dcterms:modified xsi:type="dcterms:W3CDTF">2024-12-09T01:04:23Z</dcterms:modified>
  <dc:title>2015年天津市政府债券</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E5CCD0437D2E4B75994C1C2EBF7BC7F3_12</vt:lpwstr>
  </property>
</Properties>
</file>