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p>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r>
        <w:rPr>
          <w:rFonts w:hint="eastAsia" w:ascii="宋体" w:hAnsi="宋体" w:eastAsia="宋体" w:cs="宋体"/>
          <w:b/>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项目名称：</w:t>
      </w:r>
      <w:bookmarkStart w:id="0" w:name="项目名称_projectName"/>
      <w:r>
        <w:rPr>
          <w:rFonts w:hint="eastAsia" w:ascii="宋体" w:hAnsi="宋体" w:eastAsia="宋体" w:cs="宋体"/>
          <w:b/>
          <w:sz w:val="30"/>
          <w:szCs w:val="30"/>
          <w:lang w:eastAsia="zh-CN"/>
        </w:rPr>
        <w:t>国家税务总局天津市北辰区税务局2025年度12366纳税缴费服务热线远程座席服务项目</w:t>
      </w:r>
      <w:bookmarkEnd w:id="0"/>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sz w:val="32"/>
          <w:szCs w:val="32"/>
          <w:lang w:eastAsia="zh-CN"/>
        </w:rPr>
      </w:pPr>
    </w:p>
    <w:p>
      <w:pPr>
        <w:spacing w:before="0" w:after="0" w:line="360" w:lineRule="auto"/>
        <w:jc w:val="center"/>
        <w:rPr>
          <w:rFonts w:eastAsia="宋体"/>
        </w:rPr>
      </w:pPr>
      <w:bookmarkStart w:id="1" w:name="生成日期_currentDateTime_ym"/>
      <w:r>
        <w:rPr>
          <w:rFonts w:hint="eastAsia" w:ascii="宋体" w:hAnsi="宋体" w:eastAsia="宋体" w:cs="宋体"/>
          <w:sz w:val="36"/>
          <w:szCs w:val="36"/>
          <w:lang w:eastAsia="zh-CN"/>
        </w:rPr>
        <w:t>2024年12月</w:t>
      </w:r>
      <w:bookmarkEnd w:id="1"/>
    </w:p>
    <w:p>
      <w:pPr>
        <w:spacing w:before="0" w:after="0" w:line="360" w:lineRule="auto"/>
        <w:jc w:val="center"/>
        <w:rPr>
          <w:rFonts w:ascii="宋体" w:hAnsi="宋体" w:eastAsia="宋体" w:cs="宋体"/>
          <w:sz w:val="32"/>
        </w:rPr>
      </w:pPr>
      <w:r>
        <w:br w:type="page"/>
      </w:r>
      <w:r>
        <w:rPr>
          <w:rFonts w:ascii="宋体" w:hAnsi="宋体" w:eastAsia="宋体" w:cs="宋体"/>
          <w:sz w:val="32"/>
        </w:rPr>
        <w:t>目 录</w:t>
      </w:r>
    </w:p>
    <w:p>
      <w:pPr>
        <w:pStyle w:val="7"/>
        <w:tabs>
          <w:tab w:val="right" w:leader="dot" w:pos="9026"/>
        </w:tabs>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rPr>
          <w:rFonts w:ascii="宋体" w:hAnsi="宋体" w:eastAsia="宋体" w:cs="宋体"/>
        </w:rPr>
        <w:fldChar w:fldCharType="begin"/>
      </w:r>
      <w:r>
        <w:rPr>
          <w:rFonts w:ascii="宋体" w:hAnsi="宋体" w:eastAsia="宋体" w:cs="宋体"/>
        </w:rPr>
        <w:instrText xml:space="preserve"> HYPERLINK \l _Toc25054 </w:instrText>
      </w:r>
      <w:r>
        <w:rPr>
          <w:rFonts w:ascii="宋体" w:hAnsi="宋体" w:eastAsia="宋体" w:cs="宋体"/>
        </w:rPr>
        <w:fldChar w:fldCharType="separate"/>
      </w:r>
      <w:r>
        <w:rPr>
          <w:rFonts w:ascii="仿宋_GB2312" w:hAnsi="仿宋_GB2312" w:eastAsia="仿宋_GB2312" w:cs="仿宋_GB2312"/>
          <w:kern w:val="36"/>
        </w:rPr>
        <w:t>1项目概述</w:t>
      </w:r>
      <w:r>
        <w:tab/>
      </w:r>
      <w:r>
        <w:fldChar w:fldCharType="begin"/>
      </w:r>
      <w:r>
        <w:instrText xml:space="preserve"> PAGEREF _Toc25054 \h </w:instrText>
      </w:r>
      <w:r>
        <w:fldChar w:fldCharType="separate"/>
      </w:r>
      <w:r>
        <w:t>3</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_Toc29695 </w:instrText>
      </w:r>
      <w:r>
        <w:rPr>
          <w:rFonts w:ascii="宋体" w:hAnsi="宋体" w:eastAsia="宋体" w:cs="宋体"/>
        </w:rPr>
        <w:fldChar w:fldCharType="separate"/>
      </w:r>
      <w:r>
        <w:rPr>
          <w:rFonts w:ascii="仿宋_GB2312" w:hAnsi="仿宋_GB2312" w:eastAsia="仿宋_GB2312" w:cs="仿宋_GB2312"/>
          <w:i w:val="0"/>
          <w:iCs w:val="0"/>
        </w:rPr>
        <w:t>1.1项目背景</w:t>
      </w:r>
      <w:r>
        <w:tab/>
      </w:r>
      <w:r>
        <w:fldChar w:fldCharType="begin"/>
      </w:r>
      <w:r>
        <w:instrText xml:space="preserve"> PAGEREF _Toc29695 \h </w:instrText>
      </w:r>
      <w:r>
        <w:fldChar w:fldCharType="separate"/>
      </w:r>
      <w:r>
        <w:t>3</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_Toc15982 </w:instrText>
      </w:r>
      <w:r>
        <w:rPr>
          <w:rFonts w:ascii="宋体" w:hAnsi="宋体" w:eastAsia="宋体" w:cs="宋体"/>
        </w:rPr>
        <w:fldChar w:fldCharType="separate"/>
      </w:r>
      <w:r>
        <w:rPr>
          <w:rFonts w:ascii="仿宋_GB2312" w:hAnsi="仿宋_GB2312" w:eastAsia="仿宋_GB2312" w:cs="仿宋_GB2312"/>
          <w:szCs w:val="28"/>
        </w:rPr>
        <w:t>1.1.1项目目的、意义及背景</w:t>
      </w:r>
      <w:r>
        <w:tab/>
      </w:r>
      <w:r>
        <w:fldChar w:fldCharType="begin"/>
      </w:r>
      <w:r>
        <w:instrText xml:space="preserve"> PAGEREF _Toc15982 \h </w:instrText>
      </w:r>
      <w:r>
        <w:fldChar w:fldCharType="separate"/>
      </w:r>
      <w:r>
        <w:t>3</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_Toc26135 </w:instrText>
      </w:r>
      <w:r>
        <w:rPr>
          <w:rFonts w:ascii="宋体" w:hAnsi="宋体" w:eastAsia="宋体" w:cs="宋体"/>
        </w:rPr>
        <w:fldChar w:fldCharType="separate"/>
      </w:r>
      <w:r>
        <w:rPr>
          <w:rFonts w:ascii="仿宋_GB2312" w:hAnsi="仿宋_GB2312" w:eastAsia="仿宋_GB2312" w:cs="仿宋_GB2312"/>
          <w:i w:val="0"/>
          <w:iCs w:val="0"/>
        </w:rPr>
        <w:t>1.2项目内容</w:t>
      </w:r>
      <w:r>
        <w:tab/>
      </w:r>
      <w:r>
        <w:fldChar w:fldCharType="begin"/>
      </w:r>
      <w:r>
        <w:instrText xml:space="preserve"> PAGEREF _Toc26135 \h </w:instrText>
      </w:r>
      <w:r>
        <w:fldChar w:fldCharType="separate"/>
      </w:r>
      <w:r>
        <w:t>3</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_Toc32239 </w:instrText>
      </w:r>
      <w:r>
        <w:rPr>
          <w:rFonts w:ascii="宋体" w:hAnsi="宋体" w:eastAsia="宋体" w:cs="宋体"/>
        </w:rPr>
        <w:fldChar w:fldCharType="separate"/>
      </w:r>
      <w:r>
        <w:rPr>
          <w:rFonts w:ascii="仿宋_GB2312" w:hAnsi="仿宋_GB2312" w:eastAsia="仿宋_GB2312" w:cs="仿宋_GB2312"/>
          <w:szCs w:val="28"/>
        </w:rPr>
        <w:t>1.2.1项目建设思路</w:t>
      </w:r>
      <w:r>
        <w:tab/>
      </w:r>
      <w:r>
        <w:fldChar w:fldCharType="begin"/>
      </w:r>
      <w:r>
        <w:instrText xml:space="preserve"> PAGEREF _Toc32239 \h </w:instrText>
      </w:r>
      <w:r>
        <w:fldChar w:fldCharType="separate"/>
      </w:r>
      <w:r>
        <w:t>3</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_Toc24293 </w:instrText>
      </w:r>
      <w:r>
        <w:rPr>
          <w:rFonts w:ascii="宋体" w:hAnsi="宋体" w:eastAsia="宋体" w:cs="宋体"/>
        </w:rPr>
        <w:fldChar w:fldCharType="separate"/>
      </w:r>
      <w:r>
        <w:rPr>
          <w:rFonts w:ascii="仿宋_GB2312" w:hAnsi="仿宋_GB2312" w:eastAsia="仿宋_GB2312" w:cs="仿宋_GB2312"/>
          <w:szCs w:val="28"/>
        </w:rPr>
        <w:t>1.2.2采购内容</w:t>
      </w:r>
      <w:r>
        <w:tab/>
      </w:r>
      <w:r>
        <w:fldChar w:fldCharType="begin"/>
      </w:r>
      <w:r>
        <w:instrText xml:space="preserve"> PAGEREF _Toc24293 \h </w:instrText>
      </w:r>
      <w:r>
        <w:fldChar w:fldCharType="separate"/>
      </w:r>
      <w:r>
        <w:t>3</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_Toc950 </w:instrText>
      </w:r>
      <w:r>
        <w:rPr>
          <w:rFonts w:ascii="宋体" w:hAnsi="宋体" w:eastAsia="宋体" w:cs="宋体"/>
        </w:rPr>
        <w:fldChar w:fldCharType="separate"/>
      </w:r>
      <w:r>
        <w:rPr>
          <w:rFonts w:ascii="仿宋_GB2312" w:hAnsi="仿宋_GB2312" w:eastAsia="仿宋_GB2312" w:cs="仿宋_GB2312"/>
          <w:szCs w:val="28"/>
        </w:rPr>
        <w:t>1.2.3项目实施要求</w:t>
      </w:r>
      <w:r>
        <w:tab/>
      </w:r>
      <w:r>
        <w:fldChar w:fldCharType="begin"/>
      </w:r>
      <w:r>
        <w:instrText xml:space="preserve"> PAGEREF _Toc950 \h </w:instrText>
      </w:r>
      <w:r>
        <w:fldChar w:fldCharType="separate"/>
      </w:r>
      <w:r>
        <w:t>3</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_Toc14997 </w:instrText>
      </w:r>
      <w:r>
        <w:rPr>
          <w:rFonts w:ascii="宋体" w:hAnsi="宋体" w:eastAsia="宋体" w:cs="宋体"/>
        </w:rPr>
        <w:fldChar w:fldCharType="separate"/>
      </w:r>
      <w:r>
        <w:rPr>
          <w:rFonts w:ascii="仿宋_GB2312" w:hAnsi="仿宋_GB2312" w:eastAsia="仿宋_GB2312" w:cs="仿宋_GB2312"/>
          <w:i w:val="0"/>
          <w:iCs w:val="0"/>
        </w:rPr>
        <w:t>1.3其他要求</w:t>
      </w:r>
      <w:r>
        <w:tab/>
      </w:r>
      <w:r>
        <w:fldChar w:fldCharType="begin"/>
      </w:r>
      <w:r>
        <w:instrText xml:space="preserve"> PAGEREF _Toc14997 \h </w:instrText>
      </w:r>
      <w:r>
        <w:fldChar w:fldCharType="separate"/>
      </w:r>
      <w:r>
        <w:t>4</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_Toc28849 </w:instrText>
      </w:r>
      <w:r>
        <w:rPr>
          <w:rFonts w:ascii="宋体" w:hAnsi="宋体" w:eastAsia="宋体" w:cs="宋体"/>
        </w:rPr>
        <w:fldChar w:fldCharType="separate"/>
      </w:r>
      <w:r>
        <w:rPr>
          <w:rFonts w:ascii="仿宋_GB2312" w:hAnsi="仿宋_GB2312" w:eastAsia="仿宋_GB2312" w:cs="仿宋_GB2312"/>
          <w:szCs w:val="28"/>
        </w:rPr>
        <w:t>1.3.1采购标的需执行的相关标准规范</w:t>
      </w:r>
      <w:r>
        <w:tab/>
      </w:r>
      <w:r>
        <w:fldChar w:fldCharType="begin"/>
      </w:r>
      <w:r>
        <w:instrText xml:space="preserve"> PAGEREF _Toc28849 \h </w:instrText>
      </w:r>
      <w:r>
        <w:fldChar w:fldCharType="separate"/>
      </w:r>
      <w:r>
        <w:t>4</w:t>
      </w:r>
      <w:r>
        <w:fldChar w:fldCharType="end"/>
      </w:r>
      <w:r>
        <w:rPr>
          <w:rFonts w:ascii="宋体" w:hAnsi="宋体" w:eastAsia="宋体" w:cs="宋体"/>
        </w:rPr>
        <w:fldChar w:fldCharType="end"/>
      </w:r>
    </w:p>
    <w:p>
      <w:pPr>
        <w:pStyle w:val="7"/>
        <w:tabs>
          <w:tab w:val="right" w:leader="dot" w:pos="9026"/>
        </w:tabs>
      </w:pPr>
      <w:r>
        <w:rPr>
          <w:rFonts w:ascii="宋体" w:hAnsi="宋体" w:eastAsia="宋体" w:cs="宋体"/>
        </w:rPr>
        <w:fldChar w:fldCharType="begin"/>
      </w:r>
      <w:r>
        <w:rPr>
          <w:rFonts w:ascii="宋体" w:hAnsi="宋体" w:eastAsia="宋体" w:cs="宋体"/>
        </w:rPr>
        <w:instrText xml:space="preserve"> HYPERLINK \l _Toc7719 </w:instrText>
      </w:r>
      <w:r>
        <w:rPr>
          <w:rFonts w:ascii="宋体" w:hAnsi="宋体" w:eastAsia="宋体" w:cs="宋体"/>
        </w:rPr>
        <w:fldChar w:fldCharType="separate"/>
      </w:r>
      <w:r>
        <w:rPr>
          <w:rFonts w:ascii="仿宋_GB2312" w:hAnsi="仿宋_GB2312" w:eastAsia="仿宋_GB2312" w:cs="仿宋_GB2312"/>
          <w:kern w:val="36"/>
        </w:rPr>
        <w:t>2投标/响应要求</w:t>
      </w:r>
      <w:r>
        <w:tab/>
      </w:r>
      <w:r>
        <w:fldChar w:fldCharType="begin"/>
      </w:r>
      <w:r>
        <w:instrText xml:space="preserve"> PAGEREF _Toc7719 \h </w:instrText>
      </w:r>
      <w:r>
        <w:fldChar w:fldCharType="separate"/>
      </w:r>
      <w:r>
        <w:t>4</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_Toc18069 </w:instrText>
      </w:r>
      <w:r>
        <w:rPr>
          <w:rFonts w:ascii="宋体" w:hAnsi="宋体" w:eastAsia="宋体" w:cs="宋体"/>
        </w:rPr>
        <w:fldChar w:fldCharType="separate"/>
      </w:r>
      <w:r>
        <w:rPr>
          <w:rFonts w:ascii="仿宋_GB2312" w:hAnsi="仿宋_GB2312" w:eastAsia="仿宋_GB2312" w:cs="仿宋_GB2312"/>
          <w:i w:val="0"/>
          <w:iCs w:val="0"/>
        </w:rPr>
        <w:t>2.1对供应商的要求</w:t>
      </w:r>
      <w:r>
        <w:tab/>
      </w:r>
      <w:r>
        <w:fldChar w:fldCharType="begin"/>
      </w:r>
      <w:r>
        <w:instrText xml:space="preserve"> PAGEREF _Toc18069 \h </w:instrText>
      </w:r>
      <w:r>
        <w:fldChar w:fldCharType="separate"/>
      </w:r>
      <w:r>
        <w:t>4</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_Toc6728 </w:instrText>
      </w:r>
      <w:r>
        <w:rPr>
          <w:rFonts w:ascii="宋体" w:hAnsi="宋体" w:eastAsia="宋体" w:cs="宋体"/>
        </w:rPr>
        <w:fldChar w:fldCharType="separate"/>
      </w:r>
      <w:r>
        <w:rPr>
          <w:rFonts w:ascii="仿宋_GB2312" w:hAnsi="仿宋_GB2312" w:eastAsia="仿宋_GB2312" w:cs="仿宋_GB2312"/>
          <w:szCs w:val="28"/>
        </w:rPr>
        <w:t>2.1.1必备资质</w:t>
      </w:r>
      <w:r>
        <w:tab/>
      </w:r>
      <w:r>
        <w:fldChar w:fldCharType="begin"/>
      </w:r>
      <w:r>
        <w:instrText xml:space="preserve"> PAGEREF _Toc6728 \h </w:instrText>
      </w:r>
      <w:r>
        <w:fldChar w:fldCharType="separate"/>
      </w:r>
      <w:r>
        <w:t>4</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_Toc23017 </w:instrText>
      </w:r>
      <w:r>
        <w:rPr>
          <w:rFonts w:ascii="宋体" w:hAnsi="宋体" w:eastAsia="宋体" w:cs="宋体"/>
        </w:rPr>
        <w:fldChar w:fldCharType="separate"/>
      </w:r>
      <w:r>
        <w:rPr>
          <w:rFonts w:ascii="仿宋_GB2312" w:hAnsi="仿宋_GB2312" w:eastAsia="仿宋_GB2312" w:cs="仿宋_GB2312"/>
          <w:szCs w:val="28"/>
        </w:rPr>
        <w:t>2.1.2优选资质/优选指标</w:t>
      </w:r>
      <w:r>
        <w:tab/>
      </w:r>
      <w:r>
        <w:fldChar w:fldCharType="begin"/>
      </w:r>
      <w:r>
        <w:instrText xml:space="preserve"> PAGEREF _Toc23017 \h </w:instrText>
      </w:r>
      <w:r>
        <w:fldChar w:fldCharType="separate"/>
      </w:r>
      <w:r>
        <w:t>4</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_Toc17865 </w:instrText>
      </w:r>
      <w:r>
        <w:rPr>
          <w:rFonts w:ascii="宋体" w:hAnsi="宋体" w:eastAsia="宋体" w:cs="宋体"/>
        </w:rPr>
        <w:fldChar w:fldCharType="separate"/>
      </w:r>
      <w:r>
        <w:rPr>
          <w:rFonts w:ascii="仿宋_GB2312" w:hAnsi="仿宋_GB2312" w:eastAsia="仿宋_GB2312" w:cs="仿宋_GB2312"/>
          <w:szCs w:val="28"/>
        </w:rPr>
        <w:t>2.1.3是否允许联合体</w:t>
      </w:r>
      <w:r>
        <w:tab/>
      </w:r>
      <w:r>
        <w:fldChar w:fldCharType="begin"/>
      </w:r>
      <w:r>
        <w:instrText xml:space="preserve"> PAGEREF _Toc17865 \h </w:instrText>
      </w:r>
      <w:r>
        <w:fldChar w:fldCharType="separate"/>
      </w:r>
      <w:r>
        <w:t>5</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_Toc12564 </w:instrText>
      </w:r>
      <w:r>
        <w:rPr>
          <w:rFonts w:ascii="宋体" w:hAnsi="宋体" w:eastAsia="宋体" w:cs="宋体"/>
        </w:rPr>
        <w:fldChar w:fldCharType="separate"/>
      </w:r>
      <w:r>
        <w:rPr>
          <w:rFonts w:ascii="仿宋_GB2312" w:hAnsi="仿宋_GB2312" w:eastAsia="仿宋_GB2312" w:cs="仿宋_GB2312"/>
          <w:szCs w:val="28"/>
        </w:rPr>
        <w:t>2.1.4是否专门面向中小企业</w:t>
      </w:r>
      <w:r>
        <w:tab/>
      </w:r>
      <w:r>
        <w:fldChar w:fldCharType="begin"/>
      </w:r>
      <w:r>
        <w:instrText xml:space="preserve"> PAGEREF _Toc12564 \h </w:instrText>
      </w:r>
      <w:r>
        <w:fldChar w:fldCharType="separate"/>
      </w:r>
      <w:r>
        <w:t>5</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_Toc5349 </w:instrText>
      </w:r>
      <w:r>
        <w:rPr>
          <w:rFonts w:ascii="宋体" w:hAnsi="宋体" w:eastAsia="宋体" w:cs="宋体"/>
        </w:rPr>
        <w:fldChar w:fldCharType="separate"/>
      </w:r>
      <w:r>
        <w:rPr>
          <w:rFonts w:ascii="仿宋_GB2312" w:hAnsi="仿宋_GB2312" w:eastAsia="仿宋_GB2312" w:cs="仿宋_GB2312"/>
          <w:szCs w:val="28"/>
        </w:rPr>
        <w:t>2.1.5其他要求</w:t>
      </w:r>
      <w:r>
        <w:tab/>
      </w:r>
      <w:r>
        <w:fldChar w:fldCharType="begin"/>
      </w:r>
      <w:r>
        <w:instrText xml:space="preserve"> PAGEREF _Toc5349 \h </w:instrText>
      </w:r>
      <w:r>
        <w:fldChar w:fldCharType="separate"/>
      </w:r>
      <w:r>
        <w:t>5</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_Toc8458 </w:instrText>
      </w:r>
      <w:r>
        <w:rPr>
          <w:rFonts w:ascii="宋体" w:hAnsi="宋体" w:eastAsia="宋体" w:cs="宋体"/>
        </w:rPr>
        <w:fldChar w:fldCharType="separate"/>
      </w:r>
      <w:r>
        <w:rPr>
          <w:rFonts w:ascii="仿宋_GB2312" w:hAnsi="仿宋_GB2312" w:eastAsia="仿宋_GB2312" w:cs="仿宋_GB2312"/>
          <w:i w:val="0"/>
          <w:iCs w:val="0"/>
        </w:rPr>
        <w:t>2.2技术部分投标/响应内容</w:t>
      </w:r>
      <w:r>
        <w:tab/>
      </w:r>
      <w:r>
        <w:fldChar w:fldCharType="begin"/>
      </w:r>
      <w:r>
        <w:instrText xml:space="preserve"> PAGEREF _Toc8458 \h </w:instrText>
      </w:r>
      <w:r>
        <w:fldChar w:fldCharType="separate"/>
      </w:r>
      <w:r>
        <w:t>5</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_Toc7104 </w:instrText>
      </w:r>
      <w:r>
        <w:rPr>
          <w:rFonts w:ascii="宋体" w:hAnsi="宋体" w:eastAsia="宋体" w:cs="宋体"/>
        </w:rPr>
        <w:fldChar w:fldCharType="separate"/>
      </w:r>
      <w:r>
        <w:rPr>
          <w:rFonts w:ascii="仿宋_GB2312" w:hAnsi="仿宋_GB2312" w:eastAsia="仿宋_GB2312" w:cs="仿宋_GB2312"/>
          <w:szCs w:val="28"/>
        </w:rPr>
        <w:t>2.2.1技术投标/响应总要求</w:t>
      </w:r>
      <w:r>
        <w:tab/>
      </w:r>
      <w:r>
        <w:fldChar w:fldCharType="begin"/>
      </w:r>
      <w:r>
        <w:instrText xml:space="preserve"> PAGEREF _Toc7104 \h </w:instrText>
      </w:r>
      <w:r>
        <w:fldChar w:fldCharType="separate"/>
      </w:r>
      <w:r>
        <w:t>5</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_Toc15451 </w:instrText>
      </w:r>
      <w:r>
        <w:rPr>
          <w:rFonts w:ascii="宋体" w:hAnsi="宋体" w:eastAsia="宋体" w:cs="宋体"/>
        </w:rPr>
        <w:fldChar w:fldCharType="separate"/>
      </w:r>
      <w:r>
        <w:rPr>
          <w:rFonts w:ascii="仿宋_GB2312" w:hAnsi="仿宋_GB2312" w:eastAsia="仿宋_GB2312" w:cs="仿宋_GB2312"/>
          <w:szCs w:val="28"/>
        </w:rPr>
        <w:t>2.2.2投标/响应方案要求</w:t>
      </w:r>
      <w:r>
        <w:tab/>
      </w:r>
      <w:r>
        <w:fldChar w:fldCharType="begin"/>
      </w:r>
      <w:r>
        <w:instrText xml:space="preserve"> PAGEREF _Toc15451 \h </w:instrText>
      </w:r>
      <w:r>
        <w:fldChar w:fldCharType="separate"/>
      </w:r>
      <w:r>
        <w:t>5</w:t>
      </w:r>
      <w:r>
        <w:fldChar w:fldCharType="end"/>
      </w:r>
      <w:r>
        <w:rPr>
          <w:rFonts w:ascii="宋体" w:hAnsi="宋体" w:eastAsia="宋体" w:cs="宋体"/>
        </w:rPr>
        <w:fldChar w:fldCharType="end"/>
      </w:r>
    </w:p>
    <w:p>
      <w:pPr>
        <w:pStyle w:val="7"/>
        <w:tabs>
          <w:tab w:val="right" w:leader="dot" w:pos="9026"/>
        </w:tabs>
      </w:pPr>
      <w:r>
        <w:rPr>
          <w:rFonts w:ascii="宋体" w:hAnsi="宋体" w:eastAsia="宋体" w:cs="宋体"/>
        </w:rPr>
        <w:fldChar w:fldCharType="begin"/>
      </w:r>
      <w:r>
        <w:rPr>
          <w:rFonts w:ascii="宋体" w:hAnsi="宋体" w:eastAsia="宋体" w:cs="宋体"/>
        </w:rPr>
        <w:instrText xml:space="preserve"> HYPERLINK \l _Toc7615 </w:instrText>
      </w:r>
      <w:r>
        <w:rPr>
          <w:rFonts w:ascii="宋体" w:hAnsi="宋体" w:eastAsia="宋体" w:cs="宋体"/>
        </w:rPr>
        <w:fldChar w:fldCharType="separate"/>
      </w:r>
      <w:r>
        <w:rPr>
          <w:rFonts w:ascii="仿宋_GB2312" w:hAnsi="仿宋_GB2312" w:eastAsia="仿宋_GB2312" w:cs="仿宋_GB2312"/>
          <w:kern w:val="36"/>
        </w:rPr>
        <w:t>3项目需求</w:t>
      </w:r>
      <w:r>
        <w:tab/>
      </w:r>
      <w:r>
        <w:fldChar w:fldCharType="begin"/>
      </w:r>
      <w:r>
        <w:instrText xml:space="preserve"> PAGEREF _Toc7615 \h </w:instrText>
      </w:r>
      <w:r>
        <w:fldChar w:fldCharType="separate"/>
      </w:r>
      <w:r>
        <w:t>5</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_Toc4009 </w:instrText>
      </w:r>
      <w:r>
        <w:rPr>
          <w:rFonts w:ascii="宋体" w:hAnsi="宋体" w:eastAsia="宋体" w:cs="宋体"/>
        </w:rPr>
        <w:fldChar w:fldCharType="separate"/>
      </w:r>
      <w:r>
        <w:rPr>
          <w:rFonts w:ascii="仿宋_GB2312" w:hAnsi="仿宋_GB2312" w:eastAsia="仿宋_GB2312" w:cs="仿宋_GB2312"/>
          <w:i w:val="0"/>
          <w:iCs w:val="0"/>
        </w:rPr>
        <w:t>3.1总体要求</w:t>
      </w:r>
      <w:r>
        <w:tab/>
      </w:r>
      <w:r>
        <w:fldChar w:fldCharType="begin"/>
      </w:r>
      <w:r>
        <w:instrText xml:space="preserve"> PAGEREF _Toc4009 \h </w:instrText>
      </w:r>
      <w:r>
        <w:fldChar w:fldCharType="separate"/>
      </w:r>
      <w:r>
        <w:t>5</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_Toc6304 </w:instrText>
      </w:r>
      <w:r>
        <w:rPr>
          <w:rFonts w:ascii="宋体" w:hAnsi="宋体" w:eastAsia="宋体" w:cs="宋体"/>
        </w:rPr>
        <w:fldChar w:fldCharType="separate"/>
      </w:r>
      <w:r>
        <w:rPr>
          <w:rFonts w:ascii="仿宋_GB2312" w:hAnsi="仿宋_GB2312" w:eastAsia="仿宋_GB2312" w:cs="仿宋_GB2312"/>
          <w:i w:val="0"/>
          <w:iCs w:val="0"/>
        </w:rPr>
        <w:t>3.2服务内容和要求</w:t>
      </w:r>
      <w:r>
        <w:tab/>
      </w:r>
      <w:r>
        <w:fldChar w:fldCharType="begin"/>
      </w:r>
      <w:r>
        <w:instrText xml:space="preserve"> PAGEREF _Toc6304 \h </w:instrText>
      </w:r>
      <w:r>
        <w:fldChar w:fldCharType="separate"/>
      </w:r>
      <w:r>
        <w:t>6</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_Toc16074 </w:instrText>
      </w:r>
      <w:r>
        <w:rPr>
          <w:rFonts w:ascii="宋体" w:hAnsi="宋体" w:eastAsia="宋体" w:cs="宋体"/>
        </w:rPr>
        <w:fldChar w:fldCharType="separate"/>
      </w:r>
      <w:r>
        <w:rPr>
          <w:rFonts w:ascii="仿宋_GB2312" w:hAnsi="仿宋_GB2312" w:eastAsia="仿宋_GB2312" w:cs="仿宋_GB2312"/>
          <w:szCs w:val="28"/>
        </w:rPr>
        <w:t>3.2.1技术和服务客观指标</w:t>
      </w:r>
      <w:r>
        <w:tab/>
      </w:r>
      <w:r>
        <w:fldChar w:fldCharType="begin"/>
      </w:r>
      <w:r>
        <w:instrText xml:space="preserve"> PAGEREF _Toc16074 \h </w:instrText>
      </w:r>
      <w:r>
        <w:fldChar w:fldCharType="separate"/>
      </w:r>
      <w:r>
        <w:t>6</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_Toc12684 </w:instrText>
      </w:r>
      <w:r>
        <w:rPr>
          <w:rFonts w:ascii="宋体" w:hAnsi="宋体" w:eastAsia="宋体" w:cs="宋体"/>
        </w:rPr>
        <w:fldChar w:fldCharType="separate"/>
      </w:r>
      <w:r>
        <w:rPr>
          <w:rFonts w:ascii="仿宋_GB2312" w:hAnsi="仿宋_GB2312" w:eastAsia="仿宋_GB2312" w:cs="仿宋_GB2312"/>
          <w:szCs w:val="28"/>
        </w:rPr>
        <w:t>3.2.2技术和服务其他要求</w:t>
      </w:r>
      <w:r>
        <w:tab/>
      </w:r>
      <w:r>
        <w:fldChar w:fldCharType="begin"/>
      </w:r>
      <w:r>
        <w:instrText xml:space="preserve"> PAGEREF _Toc12684 \h </w:instrText>
      </w:r>
      <w:r>
        <w:fldChar w:fldCharType="separate"/>
      </w:r>
      <w:r>
        <w:t>6</w:t>
      </w:r>
      <w:r>
        <w:fldChar w:fldCharType="end"/>
      </w:r>
      <w:r>
        <w:rPr>
          <w:rFonts w:ascii="宋体" w:hAnsi="宋体" w:eastAsia="宋体" w:cs="宋体"/>
        </w:rPr>
        <w:fldChar w:fldCharType="end"/>
      </w:r>
    </w:p>
    <w:p>
      <w:pPr>
        <w:pStyle w:val="7"/>
        <w:tabs>
          <w:tab w:val="right" w:leader="dot" w:pos="9026"/>
        </w:tabs>
      </w:pPr>
      <w:r>
        <w:rPr>
          <w:rFonts w:ascii="宋体" w:hAnsi="宋体" w:eastAsia="宋体" w:cs="宋体"/>
        </w:rPr>
        <w:fldChar w:fldCharType="begin"/>
      </w:r>
      <w:r>
        <w:rPr>
          <w:rFonts w:ascii="宋体" w:hAnsi="宋体" w:eastAsia="宋体" w:cs="宋体"/>
        </w:rPr>
        <w:instrText xml:space="preserve"> HYPERLINK \l _Toc28721 </w:instrText>
      </w:r>
      <w:r>
        <w:rPr>
          <w:rFonts w:ascii="宋体" w:hAnsi="宋体" w:eastAsia="宋体" w:cs="宋体"/>
        </w:rPr>
        <w:fldChar w:fldCharType="separate"/>
      </w:r>
      <w:r>
        <w:rPr>
          <w:rFonts w:ascii="仿宋_GB2312" w:hAnsi="仿宋_GB2312" w:eastAsia="仿宋_GB2312" w:cs="仿宋_GB2312"/>
          <w:kern w:val="36"/>
        </w:rPr>
        <w:t>4人员要求</w:t>
      </w:r>
      <w:r>
        <w:tab/>
      </w:r>
      <w:r>
        <w:fldChar w:fldCharType="begin"/>
      </w:r>
      <w:r>
        <w:instrText xml:space="preserve"> PAGEREF _Toc28721 \h </w:instrText>
      </w:r>
      <w:r>
        <w:fldChar w:fldCharType="separate"/>
      </w:r>
      <w:r>
        <w:t>7</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_Toc23412 </w:instrText>
      </w:r>
      <w:r>
        <w:rPr>
          <w:rFonts w:ascii="宋体" w:hAnsi="宋体" w:eastAsia="宋体" w:cs="宋体"/>
        </w:rPr>
        <w:fldChar w:fldCharType="separate"/>
      </w:r>
      <w:r>
        <w:rPr>
          <w:rFonts w:ascii="仿宋_GB2312" w:hAnsi="仿宋_GB2312" w:eastAsia="仿宋_GB2312" w:cs="仿宋_GB2312"/>
          <w:i w:val="0"/>
          <w:iCs w:val="0"/>
        </w:rPr>
        <w:t>4.1总体要求</w:t>
      </w:r>
      <w:r>
        <w:tab/>
      </w:r>
      <w:r>
        <w:fldChar w:fldCharType="begin"/>
      </w:r>
      <w:r>
        <w:instrText xml:space="preserve"> PAGEREF _Toc23412 \h </w:instrText>
      </w:r>
      <w:r>
        <w:fldChar w:fldCharType="separate"/>
      </w:r>
      <w:r>
        <w:t>7</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_Toc8262 </w:instrText>
      </w:r>
      <w:r>
        <w:rPr>
          <w:rFonts w:ascii="宋体" w:hAnsi="宋体" w:eastAsia="宋体" w:cs="宋体"/>
        </w:rPr>
        <w:fldChar w:fldCharType="separate"/>
      </w:r>
      <w:r>
        <w:rPr>
          <w:rFonts w:ascii="仿宋_GB2312" w:hAnsi="仿宋_GB2312" w:eastAsia="仿宋_GB2312" w:cs="仿宋_GB2312"/>
          <w:i w:val="0"/>
          <w:iCs w:val="0"/>
        </w:rPr>
        <w:t>4.2管理团队</w:t>
      </w:r>
      <w:r>
        <w:tab/>
      </w:r>
      <w:r>
        <w:fldChar w:fldCharType="begin"/>
      </w:r>
      <w:r>
        <w:instrText xml:space="preserve"> PAGEREF _Toc8262 \h </w:instrText>
      </w:r>
      <w:r>
        <w:fldChar w:fldCharType="separate"/>
      </w:r>
      <w:r>
        <w:t>7</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_Toc2412 </w:instrText>
      </w:r>
      <w:r>
        <w:rPr>
          <w:rFonts w:ascii="宋体" w:hAnsi="宋体" w:eastAsia="宋体" w:cs="宋体"/>
        </w:rPr>
        <w:fldChar w:fldCharType="separate"/>
      </w:r>
      <w:r>
        <w:rPr>
          <w:rFonts w:ascii="仿宋_GB2312" w:hAnsi="仿宋_GB2312" w:eastAsia="仿宋_GB2312" w:cs="仿宋_GB2312"/>
          <w:szCs w:val="28"/>
        </w:rPr>
        <w:t>4.2.1项目经理</w:t>
      </w:r>
      <w:r>
        <w:tab/>
      </w:r>
      <w:r>
        <w:fldChar w:fldCharType="begin"/>
      </w:r>
      <w:r>
        <w:instrText xml:space="preserve"> PAGEREF _Toc2412 \h </w:instrText>
      </w:r>
      <w:r>
        <w:fldChar w:fldCharType="separate"/>
      </w:r>
      <w:r>
        <w:t>7</w:t>
      </w:r>
      <w:r>
        <w:fldChar w:fldCharType="end"/>
      </w:r>
      <w:r>
        <w:rPr>
          <w:rFonts w:ascii="宋体" w:hAnsi="宋体" w:eastAsia="宋体" w:cs="宋体"/>
        </w:rPr>
        <w:fldChar w:fldCharType="end"/>
      </w:r>
    </w:p>
    <w:p>
      <w:pPr>
        <w:pStyle w:val="7"/>
        <w:tabs>
          <w:tab w:val="right" w:leader="dot" w:pos="9026"/>
        </w:tabs>
      </w:pPr>
      <w:r>
        <w:rPr>
          <w:rFonts w:ascii="宋体" w:hAnsi="宋体" w:eastAsia="宋体" w:cs="宋体"/>
        </w:rPr>
        <w:fldChar w:fldCharType="begin"/>
      </w:r>
      <w:r>
        <w:rPr>
          <w:rFonts w:ascii="宋体" w:hAnsi="宋体" w:eastAsia="宋体" w:cs="宋体"/>
        </w:rPr>
        <w:instrText xml:space="preserve"> HYPERLINK \l _Toc1240 </w:instrText>
      </w:r>
      <w:r>
        <w:rPr>
          <w:rFonts w:ascii="宋体" w:hAnsi="宋体" w:eastAsia="宋体" w:cs="宋体"/>
        </w:rPr>
        <w:fldChar w:fldCharType="separate"/>
      </w:r>
      <w:r>
        <w:rPr>
          <w:rFonts w:ascii="仿宋_GB2312" w:hAnsi="仿宋_GB2312" w:eastAsia="仿宋_GB2312" w:cs="仿宋_GB2312"/>
          <w:kern w:val="36"/>
        </w:rPr>
        <w:t>5管理实施要求</w:t>
      </w:r>
      <w:r>
        <w:tab/>
      </w:r>
      <w:r>
        <w:fldChar w:fldCharType="begin"/>
      </w:r>
      <w:r>
        <w:instrText xml:space="preserve"> PAGEREF _Toc1240 \h </w:instrText>
      </w:r>
      <w:r>
        <w:fldChar w:fldCharType="separate"/>
      </w:r>
      <w:r>
        <w:t>8</w:t>
      </w:r>
      <w:r>
        <w:fldChar w:fldCharType="end"/>
      </w:r>
      <w:r>
        <w:rPr>
          <w:rFonts w:ascii="宋体" w:hAnsi="宋体" w:eastAsia="宋体" w:cs="宋体"/>
        </w:rPr>
        <w:fldChar w:fldCharType="end"/>
      </w:r>
    </w:p>
    <w:p>
      <w:pPr>
        <w:pStyle w:val="7"/>
        <w:tabs>
          <w:tab w:val="right" w:leader="dot" w:pos="9026"/>
        </w:tabs>
      </w:pPr>
      <w:r>
        <w:rPr>
          <w:rFonts w:ascii="宋体" w:hAnsi="宋体" w:eastAsia="宋体" w:cs="宋体"/>
        </w:rPr>
        <w:fldChar w:fldCharType="begin"/>
      </w:r>
      <w:r>
        <w:rPr>
          <w:rFonts w:ascii="宋体" w:hAnsi="宋体" w:eastAsia="宋体" w:cs="宋体"/>
        </w:rPr>
        <w:instrText xml:space="preserve"> HYPERLINK \l _Toc5357 </w:instrText>
      </w:r>
      <w:r>
        <w:rPr>
          <w:rFonts w:ascii="宋体" w:hAnsi="宋体" w:eastAsia="宋体" w:cs="宋体"/>
        </w:rPr>
        <w:fldChar w:fldCharType="separate"/>
      </w:r>
      <w:r>
        <w:rPr>
          <w:rFonts w:ascii="仿宋_GB2312" w:hAnsi="仿宋_GB2312" w:eastAsia="仿宋_GB2312" w:cs="仿宋_GB2312"/>
          <w:kern w:val="36"/>
        </w:rPr>
        <w:t>6风险管控要求</w:t>
      </w:r>
      <w:r>
        <w:tab/>
      </w:r>
      <w:r>
        <w:fldChar w:fldCharType="begin"/>
      </w:r>
      <w:r>
        <w:instrText xml:space="preserve"> PAGEREF _Toc5357 \h </w:instrText>
      </w:r>
      <w:r>
        <w:fldChar w:fldCharType="separate"/>
      </w:r>
      <w:r>
        <w:t>11</w:t>
      </w:r>
      <w:r>
        <w:fldChar w:fldCharType="end"/>
      </w:r>
      <w:r>
        <w:rPr>
          <w:rFonts w:ascii="宋体" w:hAnsi="宋体" w:eastAsia="宋体" w:cs="宋体"/>
        </w:rPr>
        <w:fldChar w:fldCharType="end"/>
      </w:r>
    </w:p>
    <w:p>
      <w:pPr>
        <w:pStyle w:val="7"/>
        <w:tabs>
          <w:tab w:val="right" w:leader="dot" w:pos="9026"/>
        </w:tabs>
      </w:pPr>
      <w:r>
        <w:rPr>
          <w:rFonts w:ascii="宋体" w:hAnsi="宋体" w:eastAsia="宋体" w:cs="宋体"/>
        </w:rPr>
        <w:fldChar w:fldCharType="begin"/>
      </w:r>
      <w:r>
        <w:rPr>
          <w:rFonts w:ascii="宋体" w:hAnsi="宋体" w:eastAsia="宋体" w:cs="宋体"/>
        </w:rPr>
        <w:instrText xml:space="preserve"> HYPERLINK \l _Toc10449 </w:instrText>
      </w:r>
      <w:r>
        <w:rPr>
          <w:rFonts w:ascii="宋体" w:hAnsi="宋体" w:eastAsia="宋体" w:cs="宋体"/>
        </w:rPr>
        <w:fldChar w:fldCharType="separate"/>
      </w:r>
      <w:r>
        <w:rPr>
          <w:rFonts w:ascii="仿宋_GB2312" w:hAnsi="仿宋_GB2312" w:eastAsia="仿宋_GB2312" w:cs="仿宋_GB2312"/>
          <w:kern w:val="36"/>
        </w:rPr>
        <w:t>7履约验收要求</w:t>
      </w:r>
      <w:r>
        <w:tab/>
      </w:r>
      <w:r>
        <w:fldChar w:fldCharType="begin"/>
      </w:r>
      <w:r>
        <w:instrText xml:space="preserve"> PAGEREF _Toc10449 \h </w:instrText>
      </w:r>
      <w:r>
        <w:fldChar w:fldCharType="separate"/>
      </w:r>
      <w:r>
        <w:t>12</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_Toc32551 </w:instrText>
      </w:r>
      <w:r>
        <w:rPr>
          <w:rFonts w:ascii="宋体" w:hAnsi="宋体" w:eastAsia="宋体" w:cs="宋体"/>
        </w:rPr>
        <w:fldChar w:fldCharType="separate"/>
      </w:r>
      <w:r>
        <w:rPr>
          <w:rFonts w:ascii="仿宋_GB2312" w:hAnsi="仿宋_GB2312" w:eastAsia="仿宋_GB2312" w:cs="仿宋_GB2312"/>
          <w:i w:val="0"/>
          <w:iCs w:val="0"/>
        </w:rPr>
        <w:t>7.1总体要求</w:t>
      </w:r>
      <w:r>
        <w:tab/>
      </w:r>
      <w:r>
        <w:fldChar w:fldCharType="begin"/>
      </w:r>
      <w:r>
        <w:instrText xml:space="preserve"> PAGEREF _Toc32551 \h </w:instrText>
      </w:r>
      <w:r>
        <w:fldChar w:fldCharType="separate"/>
      </w:r>
      <w:r>
        <w:t>12</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_Toc27345 </w:instrText>
      </w:r>
      <w:r>
        <w:rPr>
          <w:rFonts w:ascii="宋体" w:hAnsi="宋体" w:eastAsia="宋体" w:cs="宋体"/>
        </w:rPr>
        <w:fldChar w:fldCharType="separate"/>
      </w:r>
      <w:r>
        <w:rPr>
          <w:rFonts w:ascii="仿宋_GB2312" w:hAnsi="仿宋_GB2312" w:eastAsia="仿宋_GB2312" w:cs="仿宋_GB2312"/>
          <w:i w:val="0"/>
          <w:iCs w:val="0"/>
        </w:rPr>
        <w:t>7.2具体要求</w:t>
      </w:r>
      <w:r>
        <w:tab/>
      </w:r>
      <w:r>
        <w:fldChar w:fldCharType="begin"/>
      </w:r>
      <w:r>
        <w:instrText xml:space="preserve"> PAGEREF _Toc27345 \h </w:instrText>
      </w:r>
      <w:r>
        <w:fldChar w:fldCharType="separate"/>
      </w:r>
      <w:r>
        <w:t>12</w:t>
      </w:r>
      <w:r>
        <w:fldChar w:fldCharType="end"/>
      </w:r>
      <w:r>
        <w:rPr>
          <w:rFonts w:ascii="宋体" w:hAnsi="宋体" w:eastAsia="宋体" w:cs="宋体"/>
        </w:rPr>
        <w:fldChar w:fldCharType="end"/>
      </w:r>
    </w:p>
    <w:p>
      <w:pPr>
        <w:pStyle w:val="7"/>
        <w:tabs>
          <w:tab w:val="right" w:leader="dot" w:pos="9026"/>
        </w:tabs>
      </w:pPr>
      <w:r>
        <w:rPr>
          <w:rFonts w:ascii="宋体" w:hAnsi="宋体" w:eastAsia="宋体" w:cs="宋体"/>
        </w:rPr>
        <w:fldChar w:fldCharType="begin"/>
      </w:r>
      <w:r>
        <w:rPr>
          <w:rFonts w:ascii="宋体" w:hAnsi="宋体" w:eastAsia="宋体" w:cs="宋体"/>
        </w:rPr>
        <w:instrText xml:space="preserve"> HYPERLINK \l _Toc11712 </w:instrText>
      </w:r>
      <w:r>
        <w:rPr>
          <w:rFonts w:ascii="宋体" w:hAnsi="宋体" w:eastAsia="宋体" w:cs="宋体"/>
        </w:rPr>
        <w:fldChar w:fldCharType="separate"/>
      </w:r>
      <w:r>
        <w:rPr>
          <w:rFonts w:ascii="仿宋_GB2312" w:hAnsi="仿宋_GB2312" w:eastAsia="仿宋_GB2312" w:cs="仿宋_GB2312"/>
          <w:kern w:val="36"/>
        </w:rPr>
        <w:t>8其他要求</w:t>
      </w:r>
      <w:r>
        <w:tab/>
      </w:r>
      <w:r>
        <w:fldChar w:fldCharType="begin"/>
      </w:r>
      <w:r>
        <w:instrText xml:space="preserve"> PAGEREF _Toc11712 \h </w:instrText>
      </w:r>
      <w:r>
        <w:fldChar w:fldCharType="separate"/>
      </w:r>
      <w:r>
        <w:t>12</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_Toc7518 </w:instrText>
      </w:r>
      <w:r>
        <w:rPr>
          <w:rFonts w:ascii="宋体" w:hAnsi="宋体" w:eastAsia="宋体" w:cs="宋体"/>
        </w:rPr>
        <w:fldChar w:fldCharType="separate"/>
      </w:r>
      <w:r>
        <w:rPr>
          <w:rFonts w:ascii="仿宋_GB2312" w:hAnsi="仿宋_GB2312" w:eastAsia="仿宋_GB2312" w:cs="仿宋_GB2312"/>
          <w:i w:val="0"/>
          <w:iCs w:val="0"/>
        </w:rPr>
        <w:t>8.1必备要求</w:t>
      </w:r>
      <w:r>
        <w:tab/>
      </w:r>
      <w:r>
        <w:fldChar w:fldCharType="begin"/>
      </w:r>
      <w:r>
        <w:instrText xml:space="preserve"> PAGEREF _Toc7518 \h </w:instrText>
      </w:r>
      <w:r>
        <w:fldChar w:fldCharType="separate"/>
      </w:r>
      <w:r>
        <w:t>12</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_Toc1718 </w:instrText>
      </w:r>
      <w:r>
        <w:rPr>
          <w:rFonts w:ascii="宋体" w:hAnsi="宋体" w:eastAsia="宋体" w:cs="宋体"/>
        </w:rPr>
        <w:fldChar w:fldCharType="separate"/>
      </w:r>
      <w:r>
        <w:rPr>
          <w:rFonts w:ascii="仿宋_GB2312" w:hAnsi="仿宋_GB2312" w:eastAsia="仿宋_GB2312" w:cs="仿宋_GB2312"/>
          <w:szCs w:val="28"/>
        </w:rPr>
        <w:t>8.1.1通用必备要求</w:t>
      </w:r>
      <w:r>
        <w:tab/>
      </w:r>
      <w:r>
        <w:fldChar w:fldCharType="begin"/>
      </w:r>
      <w:r>
        <w:instrText xml:space="preserve"> PAGEREF _Toc1718 \h </w:instrText>
      </w:r>
      <w:r>
        <w:fldChar w:fldCharType="separate"/>
      </w:r>
      <w:r>
        <w:t>12</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_Toc15811 </w:instrText>
      </w:r>
      <w:r>
        <w:rPr>
          <w:rFonts w:ascii="宋体" w:hAnsi="宋体" w:eastAsia="宋体" w:cs="宋体"/>
        </w:rPr>
        <w:fldChar w:fldCharType="separate"/>
      </w:r>
      <w:r>
        <w:rPr>
          <w:rFonts w:ascii="仿宋_GB2312" w:hAnsi="仿宋_GB2312" w:eastAsia="仿宋_GB2312" w:cs="仿宋_GB2312"/>
          <w:i w:val="0"/>
          <w:iCs w:val="0"/>
        </w:rPr>
        <w:t>8.2付款安排建议</w:t>
      </w:r>
      <w:r>
        <w:tab/>
      </w:r>
      <w:r>
        <w:fldChar w:fldCharType="begin"/>
      </w:r>
      <w:r>
        <w:instrText xml:space="preserve"> PAGEREF _Toc15811 \h </w:instrText>
      </w:r>
      <w:r>
        <w:fldChar w:fldCharType="separate"/>
      </w:r>
      <w:r>
        <w:t>13</w:t>
      </w:r>
      <w:r>
        <w:fldChar w:fldCharType="end"/>
      </w:r>
      <w:r>
        <w:rPr>
          <w:rFonts w:ascii="宋体" w:hAnsi="宋体" w:eastAsia="宋体" w:cs="宋体"/>
        </w:rPr>
        <w:fldChar w:fldCharType="end"/>
      </w:r>
    </w:p>
    <w:p>
      <w:pPr>
        <w:pStyle w:val="8"/>
        <w:tabs>
          <w:tab w:val="right" w:leader="dot" w:pos="9026"/>
        </w:tabs>
      </w:pPr>
      <w:r>
        <w:rPr>
          <w:rFonts w:ascii="宋体" w:hAnsi="宋体" w:eastAsia="宋体" w:cs="宋体"/>
        </w:rPr>
        <w:fldChar w:fldCharType="begin"/>
      </w:r>
      <w:r>
        <w:rPr>
          <w:rFonts w:ascii="宋体" w:hAnsi="宋体" w:eastAsia="宋体" w:cs="宋体"/>
        </w:rPr>
        <w:instrText xml:space="preserve"> HYPERLINK \l _Toc11337 </w:instrText>
      </w:r>
      <w:r>
        <w:rPr>
          <w:rFonts w:ascii="宋体" w:hAnsi="宋体" w:eastAsia="宋体" w:cs="宋体"/>
        </w:rPr>
        <w:fldChar w:fldCharType="separate"/>
      </w:r>
      <w:r>
        <w:rPr>
          <w:rFonts w:ascii="仿宋_GB2312" w:hAnsi="仿宋_GB2312" w:eastAsia="仿宋_GB2312" w:cs="仿宋_GB2312"/>
          <w:i w:val="0"/>
          <w:iCs w:val="0"/>
        </w:rPr>
        <w:t>8.3其他要求</w:t>
      </w:r>
      <w:r>
        <w:tab/>
      </w:r>
      <w:r>
        <w:fldChar w:fldCharType="begin"/>
      </w:r>
      <w:r>
        <w:instrText xml:space="preserve"> PAGEREF _Toc11337 \h </w:instrText>
      </w:r>
      <w:r>
        <w:fldChar w:fldCharType="separate"/>
      </w:r>
      <w:r>
        <w:t>13</w:t>
      </w:r>
      <w:r>
        <w:fldChar w:fldCharType="end"/>
      </w:r>
      <w:r>
        <w:rPr>
          <w:rFonts w:ascii="宋体" w:hAnsi="宋体" w:eastAsia="宋体" w:cs="宋体"/>
        </w:rPr>
        <w:fldChar w:fldCharType="end"/>
      </w:r>
    </w:p>
    <w:p>
      <w:pPr>
        <w:pStyle w:val="6"/>
        <w:tabs>
          <w:tab w:val="right" w:leader="dot" w:pos="9026"/>
        </w:tabs>
      </w:pPr>
      <w:r>
        <w:rPr>
          <w:rFonts w:ascii="宋体" w:hAnsi="宋体" w:eastAsia="宋体" w:cs="宋体"/>
        </w:rPr>
        <w:fldChar w:fldCharType="begin"/>
      </w:r>
      <w:r>
        <w:rPr>
          <w:rFonts w:ascii="宋体" w:hAnsi="宋体" w:eastAsia="宋体" w:cs="宋体"/>
        </w:rPr>
        <w:instrText xml:space="preserve"> HYPERLINK \l _Toc7907 </w:instrText>
      </w:r>
      <w:r>
        <w:rPr>
          <w:rFonts w:ascii="宋体" w:hAnsi="宋体" w:eastAsia="宋体" w:cs="宋体"/>
        </w:rPr>
        <w:fldChar w:fldCharType="separate"/>
      </w:r>
      <w:r>
        <w:rPr>
          <w:rFonts w:ascii="仿宋_GB2312" w:hAnsi="仿宋_GB2312" w:eastAsia="仿宋_GB2312" w:cs="仿宋_GB2312"/>
          <w:szCs w:val="28"/>
        </w:rPr>
        <w:t>8.3.1保密要求</w:t>
      </w:r>
      <w:r>
        <w:tab/>
      </w:r>
      <w:r>
        <w:fldChar w:fldCharType="begin"/>
      </w:r>
      <w:r>
        <w:instrText xml:space="preserve"> PAGEREF _Toc7907 \h </w:instrText>
      </w:r>
      <w:r>
        <w:fldChar w:fldCharType="separate"/>
      </w:r>
      <w:r>
        <w:t>13</w:t>
      </w:r>
      <w:r>
        <w:fldChar w:fldCharType="end"/>
      </w:r>
      <w:r>
        <w:rPr>
          <w:rFonts w:ascii="宋体" w:hAnsi="宋体" w:eastAsia="宋体" w:cs="宋体"/>
        </w:rPr>
        <w:fldChar w:fldCharType="end"/>
      </w:r>
    </w:p>
    <w:p>
      <w:pPr>
        <w:spacing w:before="0" w:after="0" w:line="360" w:lineRule="auto"/>
        <w:jc w:val="left"/>
      </w:pPr>
      <w:r>
        <w:rPr>
          <w:rFonts w:ascii="宋体" w:hAnsi="宋体" w:eastAsia="宋体" w:cs="宋体"/>
        </w:rPr>
        <w:fldChar w:fldCharType="end"/>
      </w:r>
      <w:r>
        <w:br w:type="page"/>
      </w:r>
    </w:p>
    <w:p>
      <w:pPr>
        <w:pStyle w:val="2"/>
        <w:keepNext w:val="0"/>
        <w:spacing w:before="0" w:after="0" w:line="360" w:lineRule="auto"/>
        <w:jc w:val="center"/>
        <w:rPr>
          <w:rFonts w:ascii="仿宋_GB2312" w:hAnsi="仿宋_GB2312" w:eastAsia="仿宋_GB2312" w:cs="仿宋_GB2312"/>
          <w:b/>
          <w:bCs/>
          <w:sz w:val="32"/>
          <w:szCs w:val="32"/>
        </w:rPr>
      </w:pPr>
      <w:bookmarkStart w:id="2" w:name="_Toc25054"/>
      <w:r>
        <w:rPr>
          <w:rFonts w:ascii="仿宋_GB2312" w:hAnsi="仿宋_GB2312" w:eastAsia="仿宋_GB2312" w:cs="仿宋_GB2312"/>
          <w:kern w:val="36"/>
        </w:rPr>
        <w:t>1项目概述</w:t>
      </w:r>
      <w:bookmarkEnd w:id="2"/>
    </w:p>
    <w:p>
      <w:pPr>
        <w:pStyle w:val="3"/>
        <w:keepNext w:val="0"/>
        <w:spacing w:before="0" w:after="0" w:line="360" w:lineRule="auto"/>
        <w:rPr>
          <w:rFonts w:ascii="仿宋_GB2312" w:hAnsi="仿宋_GB2312" w:eastAsia="仿宋_GB2312" w:cs="仿宋_GB2312"/>
          <w:b/>
          <w:bCs/>
          <w:sz w:val="28"/>
          <w:szCs w:val="28"/>
        </w:rPr>
      </w:pPr>
      <w:bookmarkStart w:id="3" w:name="_Toc29695"/>
      <w:r>
        <w:rPr>
          <w:rFonts w:ascii="仿宋_GB2312" w:hAnsi="仿宋_GB2312" w:eastAsia="仿宋_GB2312" w:cs="仿宋_GB2312"/>
          <w:i w:val="0"/>
          <w:iCs w:val="0"/>
        </w:rPr>
        <w:t>1.1项目背景</w:t>
      </w:r>
      <w:bookmarkEnd w:id="3"/>
    </w:p>
    <w:p>
      <w:pPr>
        <w:pStyle w:val="4"/>
        <w:keepNext w:val="0"/>
        <w:spacing w:before="0" w:after="0" w:line="360" w:lineRule="auto"/>
        <w:rPr>
          <w:rFonts w:ascii="仿宋_GB2312" w:hAnsi="仿宋_GB2312" w:eastAsia="仿宋_GB2312" w:cs="仿宋_GB2312"/>
          <w:b/>
          <w:bCs/>
          <w:sz w:val="28"/>
          <w:szCs w:val="28"/>
        </w:rPr>
      </w:pPr>
      <w:bookmarkStart w:id="4" w:name="_Toc15982"/>
      <w:r>
        <w:rPr>
          <w:rFonts w:ascii="仿宋_GB2312" w:hAnsi="仿宋_GB2312" w:eastAsia="仿宋_GB2312" w:cs="仿宋_GB2312"/>
          <w:sz w:val="28"/>
          <w:szCs w:val="28"/>
        </w:rPr>
        <w:t>1.1.1项目目的、意义及背景</w:t>
      </w:r>
      <w:bookmarkEnd w:id="4"/>
    </w:p>
    <w:p>
      <w:pPr>
        <w:pStyle w:val="12"/>
        <w:spacing w:before="0" w:after="0" w:line="360" w:lineRule="auto"/>
        <w:ind w:left="0" w:firstLine="640"/>
        <w:jc w:val="both"/>
        <w:rPr>
          <w:rFonts w:ascii="Times New Roman" w:hAnsi="Times New Roman" w:eastAsia="Times New Roman" w:cs="Times New Roman"/>
          <w:sz w:val="28"/>
          <w:szCs w:val="28"/>
        </w:rPr>
      </w:pPr>
      <w:r>
        <w:rPr>
          <w:rFonts w:ascii="仿宋_GB2312" w:hAnsi="仿宋_GB2312" w:eastAsia="仿宋_GB2312" w:cs="仿宋_GB2312"/>
          <w:sz w:val="28"/>
          <w:szCs w:val="28"/>
        </w:rPr>
        <w:t>12366热线自成立以来，始终秉承“用心倾听、真诚服务”的宗旨，为纳税人缴费人提供高效、便捷、规范、全面的专业化咨询服务。国家税务总局天津市北辰区税务局12366纳税缴费服务热线远程坐席咨询服务，是为纳税人缴费人提供咨询服务的重要平台，已实现工作日5×8小时人工服务，是区局面向纳税人缴费人提供税费服务的重要窗口，是区局与纳税人缴费人、社会各界相互沟通联系的桥梁。</w:t>
      </w:r>
    </w:p>
    <w:p>
      <w:pPr>
        <w:pStyle w:val="3"/>
        <w:keepNext w:val="0"/>
        <w:spacing w:before="0" w:after="0" w:line="360" w:lineRule="auto"/>
        <w:rPr>
          <w:rFonts w:ascii="仿宋_GB2312" w:hAnsi="仿宋_GB2312" w:eastAsia="仿宋_GB2312" w:cs="仿宋_GB2312"/>
          <w:b/>
          <w:bCs/>
          <w:sz w:val="28"/>
          <w:szCs w:val="28"/>
        </w:rPr>
      </w:pPr>
      <w:bookmarkStart w:id="5" w:name="_Toc26135"/>
      <w:r>
        <w:rPr>
          <w:rFonts w:ascii="仿宋_GB2312" w:hAnsi="仿宋_GB2312" w:eastAsia="仿宋_GB2312" w:cs="仿宋_GB2312"/>
          <w:i w:val="0"/>
          <w:iCs w:val="0"/>
        </w:rPr>
        <w:t>1.2项目内容</w:t>
      </w:r>
      <w:bookmarkEnd w:id="5"/>
    </w:p>
    <w:p>
      <w:pPr>
        <w:pStyle w:val="4"/>
        <w:keepNext w:val="0"/>
        <w:spacing w:before="0" w:after="0" w:line="360" w:lineRule="auto"/>
        <w:rPr>
          <w:rFonts w:ascii="仿宋_GB2312" w:hAnsi="仿宋_GB2312" w:eastAsia="仿宋_GB2312" w:cs="仿宋_GB2312"/>
          <w:b/>
          <w:bCs/>
          <w:sz w:val="28"/>
          <w:szCs w:val="28"/>
        </w:rPr>
      </w:pPr>
      <w:bookmarkStart w:id="6" w:name="_Toc32239"/>
      <w:r>
        <w:rPr>
          <w:rFonts w:ascii="仿宋_GB2312" w:hAnsi="仿宋_GB2312" w:eastAsia="仿宋_GB2312" w:cs="仿宋_GB2312"/>
          <w:sz w:val="28"/>
          <w:szCs w:val="28"/>
        </w:rPr>
        <w:t>1.2.1项目建设思路</w:t>
      </w:r>
      <w:bookmarkEnd w:id="6"/>
    </w:p>
    <w:p>
      <w:pPr>
        <w:pStyle w:val="13"/>
        <w:spacing w:before="0" w:after="0" w:line="360" w:lineRule="auto"/>
        <w:jc w:val="both"/>
        <w:rPr>
          <w:rFonts w:ascii="Times New Roman" w:hAnsi="Times New Roman" w:eastAsia="Times New Roman" w:cs="Times New Roman"/>
        </w:rPr>
      </w:pPr>
      <w:r>
        <w:rPr>
          <w:rFonts w:ascii="仿宋_GB2312" w:hAnsi="仿宋_GB2312" w:eastAsia="仿宋_GB2312" w:cs="仿宋_GB2312"/>
          <w:sz w:val="28"/>
          <w:szCs w:val="28"/>
        </w:rPr>
        <w:t>   </w:t>
      </w:r>
      <w:r>
        <w:rPr>
          <w:rFonts w:hint="eastAsia" w:ascii="仿宋_GB2312" w:hAnsi="仿宋_GB2312" w:eastAsia="仿宋_GB2312" w:cs="仿宋_GB2312"/>
          <w:sz w:val="28"/>
          <w:szCs w:val="28"/>
          <w:lang w:val="en-US" w:eastAsia="zh-CN"/>
        </w:rPr>
        <w:t xml:space="preserve"> </w:t>
      </w:r>
      <w:r>
        <w:rPr>
          <w:rFonts w:ascii="仿宋_GB2312" w:hAnsi="仿宋_GB2312" w:eastAsia="仿宋_GB2312" w:cs="仿宋_GB2312"/>
          <w:sz w:val="28"/>
          <w:szCs w:val="28"/>
        </w:rPr>
        <w:t>本项目以建设全市一流的12366热线为目标，为纳税人缴费人提供专业化、规范化、标准化服务，持续提升纳税人缴费人的满意度和获得感。</w:t>
      </w:r>
    </w:p>
    <w:p>
      <w:pPr>
        <w:pStyle w:val="4"/>
        <w:keepNext w:val="0"/>
        <w:spacing w:before="0" w:after="0" w:line="360" w:lineRule="auto"/>
        <w:rPr>
          <w:rFonts w:ascii="仿宋_GB2312" w:hAnsi="仿宋_GB2312" w:eastAsia="仿宋_GB2312" w:cs="仿宋_GB2312"/>
          <w:b/>
          <w:bCs/>
          <w:sz w:val="28"/>
          <w:szCs w:val="28"/>
        </w:rPr>
      </w:pPr>
      <w:bookmarkStart w:id="7" w:name="_Toc24293"/>
      <w:r>
        <w:rPr>
          <w:rFonts w:ascii="仿宋_GB2312" w:hAnsi="仿宋_GB2312" w:eastAsia="仿宋_GB2312" w:cs="仿宋_GB2312"/>
          <w:sz w:val="28"/>
          <w:szCs w:val="28"/>
        </w:rPr>
        <w:t>1.2.2采购内容</w:t>
      </w:r>
      <w:bookmarkEnd w:id="7"/>
    </w:p>
    <w:p>
      <w:pPr>
        <w:pStyle w:val="13"/>
        <w:spacing w:before="0" w:after="0" w:line="360" w:lineRule="auto"/>
        <w:jc w:val="both"/>
        <w:rPr>
          <w:rFonts w:ascii="Times New Roman" w:hAnsi="Times New Roman" w:eastAsia="Times New Roman" w:cs="Times New Roman"/>
          <w:sz w:val="28"/>
          <w:szCs w:val="28"/>
        </w:rPr>
      </w:pPr>
      <w:r>
        <w:rPr>
          <w:rFonts w:ascii="仿宋_GB2312" w:hAnsi="仿宋_GB2312" w:eastAsia="仿宋_GB2312" w:cs="仿宋_GB2312"/>
          <w:sz w:val="28"/>
          <w:szCs w:val="28"/>
        </w:rPr>
        <w:t>     国家税务总局天津市北辰区税务局12366纳税缴费服务热线远程坐席咨询服务项目，服务地点：国家税务总局天津市北辰区税务局第一税务所税费服务中心。本项目服务采购内容为：天津市北辰区税务局12366纳税缴费服务热线远程坐席咨询服务。项目服务期限为自签订合同之日起一年。</w:t>
      </w:r>
    </w:p>
    <w:p>
      <w:pPr>
        <w:pStyle w:val="13"/>
        <w:spacing w:before="0" w:after="0" w:line="360" w:lineRule="auto"/>
        <w:ind w:firstLine="640"/>
        <w:textAlignment w:val="baseline"/>
        <w:rPr>
          <w:rFonts w:ascii="Times New Roman" w:hAnsi="Times New Roman" w:eastAsia="Times New Roman" w:cs="Times New Roman"/>
        </w:rPr>
      </w:pPr>
      <w:r>
        <w:rPr>
          <w:rFonts w:ascii="Times New Roman" w:hAnsi="Times New Roman" w:eastAsia="Times New Roman" w:cs="Times New Roman"/>
        </w:rPr>
        <w:t> </w:t>
      </w:r>
    </w:p>
    <w:p>
      <w:pPr>
        <w:pStyle w:val="4"/>
        <w:keepNext w:val="0"/>
        <w:spacing w:before="0" w:after="0" w:line="360" w:lineRule="auto"/>
        <w:rPr>
          <w:rFonts w:ascii="仿宋_GB2312" w:hAnsi="仿宋_GB2312" w:eastAsia="仿宋_GB2312" w:cs="仿宋_GB2312"/>
          <w:b/>
          <w:bCs/>
          <w:sz w:val="28"/>
          <w:szCs w:val="28"/>
        </w:rPr>
      </w:pPr>
      <w:bookmarkStart w:id="8" w:name="_Toc950"/>
      <w:r>
        <w:rPr>
          <w:rFonts w:ascii="仿宋_GB2312" w:hAnsi="仿宋_GB2312" w:eastAsia="仿宋_GB2312" w:cs="仿宋_GB2312"/>
          <w:sz w:val="28"/>
          <w:szCs w:val="28"/>
        </w:rPr>
        <w:t>1.2.3项目实施要求</w:t>
      </w:r>
      <w:bookmarkEnd w:id="8"/>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pPr>
        <w:pStyle w:val="13"/>
        <w:spacing w:before="0" w:after="0" w:line="360" w:lineRule="auto"/>
        <w:rPr>
          <w:rFonts w:ascii="Times New Roman" w:hAnsi="Times New Roman" w:eastAsia="Times New Roman" w:cs="Times New Roman"/>
          <w:sz w:val="28"/>
          <w:szCs w:val="28"/>
        </w:rPr>
      </w:pPr>
      <w:r>
        <w:rPr>
          <w:rFonts w:ascii="仿宋_GB2312" w:hAnsi="仿宋_GB2312" w:eastAsia="仿宋_GB2312" w:cs="仿宋_GB2312"/>
          <w:sz w:val="28"/>
          <w:szCs w:val="28"/>
        </w:rPr>
        <w:t>   </w:t>
      </w:r>
      <w:r>
        <w:rPr>
          <w:rFonts w:hint="eastAsia" w:ascii="仿宋_GB2312" w:hAnsi="仿宋_GB2312" w:eastAsia="仿宋_GB2312" w:cs="仿宋_GB2312"/>
          <w:sz w:val="28"/>
          <w:szCs w:val="28"/>
          <w:lang w:val="en-US" w:eastAsia="zh-CN"/>
        </w:rPr>
        <w:t xml:space="preserve">  </w:t>
      </w:r>
      <w:r>
        <w:rPr>
          <w:rFonts w:ascii="仿宋_GB2312" w:hAnsi="仿宋_GB2312" w:eastAsia="仿宋_GB2312" w:cs="仿宋_GB2312"/>
          <w:sz w:val="28"/>
          <w:szCs w:val="28"/>
        </w:rPr>
        <w:t>根据纳税服务规范、征管规范要求，提供相当于15名服务人员为纳税人缴费人提供咨询服务。服务内容包括：税费咨询、涉税费查询、纳税缴费程序咨询辅导、意见建议受理、税费政策宣传、满意度回访、需求收集、数据分析应用等。</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1.2.3.2实施时间要求</w:t>
      </w:r>
    </w:p>
    <w:p>
      <w:pPr>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自签订合同之日起一年。</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1.2.3.3实施地点要求</w:t>
      </w:r>
    </w:p>
    <w:p>
      <w:pPr>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  国家税务总局天津市北辰区税务局第一税务所税费服务中心。</w:t>
      </w:r>
    </w:p>
    <w:p>
      <w:pPr>
        <w:pStyle w:val="3"/>
        <w:keepNext w:val="0"/>
        <w:spacing w:before="0" w:after="0" w:line="360" w:lineRule="auto"/>
        <w:rPr>
          <w:rFonts w:ascii="仿宋_GB2312" w:hAnsi="仿宋_GB2312" w:eastAsia="仿宋_GB2312" w:cs="仿宋_GB2312"/>
          <w:b/>
          <w:bCs/>
          <w:sz w:val="28"/>
          <w:szCs w:val="28"/>
        </w:rPr>
      </w:pPr>
      <w:bookmarkStart w:id="9" w:name="_Toc14997"/>
      <w:r>
        <w:rPr>
          <w:rFonts w:ascii="仿宋_GB2312" w:hAnsi="仿宋_GB2312" w:eastAsia="仿宋_GB2312" w:cs="仿宋_GB2312"/>
          <w:i w:val="0"/>
          <w:iCs w:val="0"/>
        </w:rPr>
        <w:t>1.3其他要求</w:t>
      </w:r>
      <w:bookmarkEnd w:id="9"/>
    </w:p>
    <w:p>
      <w:pPr>
        <w:pStyle w:val="4"/>
        <w:keepNext w:val="0"/>
        <w:spacing w:before="0" w:after="0" w:line="360" w:lineRule="auto"/>
        <w:rPr>
          <w:rFonts w:ascii="仿宋_GB2312" w:hAnsi="仿宋_GB2312" w:eastAsia="仿宋_GB2312" w:cs="仿宋_GB2312"/>
          <w:b/>
          <w:bCs/>
          <w:sz w:val="28"/>
          <w:szCs w:val="28"/>
        </w:rPr>
      </w:pPr>
      <w:bookmarkStart w:id="10" w:name="_Toc28849"/>
      <w:r>
        <w:rPr>
          <w:rFonts w:ascii="仿宋_GB2312" w:hAnsi="仿宋_GB2312" w:eastAsia="仿宋_GB2312" w:cs="仿宋_GB2312"/>
          <w:sz w:val="28"/>
          <w:szCs w:val="28"/>
        </w:rPr>
        <w:t>1.3.1采购标的需执行的相关标准规范</w:t>
      </w:r>
      <w:bookmarkEnd w:id="10"/>
    </w:p>
    <w:p>
      <w:pPr>
        <w:pStyle w:val="2"/>
        <w:keepNext w:val="0"/>
        <w:spacing w:before="0" w:after="0" w:line="360" w:lineRule="auto"/>
        <w:jc w:val="center"/>
        <w:rPr>
          <w:rFonts w:ascii="仿宋_GB2312" w:hAnsi="仿宋_GB2312" w:eastAsia="仿宋_GB2312" w:cs="仿宋_GB2312"/>
          <w:b/>
          <w:bCs/>
          <w:sz w:val="32"/>
          <w:szCs w:val="32"/>
        </w:rPr>
      </w:pPr>
      <w:bookmarkStart w:id="11" w:name="_Toc7719"/>
      <w:r>
        <w:rPr>
          <w:rFonts w:ascii="仿宋_GB2312" w:hAnsi="仿宋_GB2312" w:eastAsia="仿宋_GB2312" w:cs="仿宋_GB2312"/>
          <w:kern w:val="36"/>
        </w:rPr>
        <w:t>2投标/响应要求</w:t>
      </w:r>
      <w:bookmarkEnd w:id="11"/>
    </w:p>
    <w:p>
      <w:pPr>
        <w:pStyle w:val="3"/>
        <w:keepNext w:val="0"/>
        <w:spacing w:before="0" w:after="0" w:line="360" w:lineRule="auto"/>
        <w:rPr>
          <w:rFonts w:ascii="仿宋_GB2312" w:hAnsi="仿宋_GB2312" w:eastAsia="仿宋_GB2312" w:cs="仿宋_GB2312"/>
          <w:b/>
          <w:bCs/>
          <w:sz w:val="28"/>
          <w:szCs w:val="28"/>
        </w:rPr>
      </w:pPr>
      <w:bookmarkStart w:id="12" w:name="_Toc18069"/>
      <w:r>
        <w:rPr>
          <w:rFonts w:ascii="仿宋_GB2312" w:hAnsi="仿宋_GB2312" w:eastAsia="仿宋_GB2312" w:cs="仿宋_GB2312"/>
          <w:i w:val="0"/>
          <w:iCs w:val="0"/>
        </w:rPr>
        <w:t>2.1对供应商的要求</w:t>
      </w:r>
      <w:bookmarkEnd w:id="12"/>
    </w:p>
    <w:p>
      <w:pPr>
        <w:pStyle w:val="4"/>
        <w:keepNext w:val="0"/>
        <w:spacing w:before="0" w:after="0" w:line="360" w:lineRule="auto"/>
        <w:rPr>
          <w:rFonts w:ascii="仿宋_GB2312" w:hAnsi="仿宋_GB2312" w:eastAsia="仿宋_GB2312" w:cs="仿宋_GB2312"/>
          <w:b/>
          <w:bCs/>
          <w:sz w:val="28"/>
          <w:szCs w:val="28"/>
        </w:rPr>
      </w:pPr>
      <w:bookmarkStart w:id="13" w:name="_Toc6728"/>
      <w:r>
        <w:rPr>
          <w:rFonts w:ascii="仿宋_GB2312" w:hAnsi="仿宋_GB2312" w:eastAsia="仿宋_GB2312" w:cs="仿宋_GB2312"/>
          <w:sz w:val="28"/>
          <w:szCs w:val="28"/>
        </w:rPr>
        <w:t>2.1.1必备资质</w:t>
      </w:r>
      <w:bookmarkEnd w:id="13"/>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2.1.1.2本项目的特定资格要求</w:t>
      </w:r>
    </w:p>
    <w:p>
      <w:pPr>
        <w:pStyle w:val="4"/>
        <w:keepNext w:val="0"/>
        <w:spacing w:before="0" w:after="0" w:line="360" w:lineRule="auto"/>
        <w:ind w:firstLine="562" w:firstLineChars="200"/>
        <w:rPr>
          <w:rFonts w:hint="eastAsia" w:ascii="仿宋_GB2312" w:hAnsi="仿宋_GB2312" w:eastAsia="仿宋_GB2312" w:cs="仿宋_GB2312"/>
          <w:sz w:val="28"/>
          <w:szCs w:val="28"/>
          <w:lang w:val="en-US" w:eastAsia="zh-CN"/>
        </w:rPr>
      </w:pPr>
      <w:bookmarkStart w:id="14" w:name="_Toc23017"/>
      <w:r>
        <w:rPr>
          <w:rFonts w:hint="eastAsia" w:ascii="仿宋_GB2312" w:hAnsi="仿宋_GB2312" w:eastAsia="仿宋_GB2312" w:cs="仿宋_GB2312"/>
          <w:sz w:val="28"/>
          <w:szCs w:val="28"/>
          <w:lang w:val="en-US" w:eastAsia="zh-CN"/>
        </w:rPr>
        <w:t>无</w:t>
      </w:r>
    </w:p>
    <w:p>
      <w:pPr>
        <w:pStyle w:val="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2.1.2优选资质/优选指标</w:t>
      </w:r>
      <w:bookmarkEnd w:id="1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pPr>
        <w:spacing w:before="0" w:after="0" w:line="360" w:lineRule="auto"/>
        <w:ind w:firstLine="0"/>
        <w:rPr>
          <w:rFonts w:ascii="Times New Roman" w:hAnsi="Times New Roman" w:eastAsia="Times New Roman" w:cs="Times New Roman"/>
        </w:rPr>
      </w:pPr>
      <w:r>
        <w:rPr>
          <w:rFonts w:ascii="Times New Roman" w:hAnsi="Times New Roman" w:eastAsia="Times New Roman" w:cs="Times New Roman"/>
          <w:color w:val="95A5A6"/>
          <w:sz w:val="28"/>
          <w:szCs w:val="28"/>
        </w:rPr>
        <w:t>   </w:t>
      </w:r>
      <w:r>
        <w:rPr>
          <w:rFonts w:ascii="Times New Roman" w:hAnsi="Times New Roman" w:eastAsia="Times New Roman" w:cs="Times New Roman"/>
          <w:color w:val="000000"/>
          <w:sz w:val="28"/>
          <w:szCs w:val="28"/>
        </w:rPr>
        <w:t>  </w:t>
      </w:r>
      <w:r>
        <w:rPr>
          <w:rFonts w:hint="eastAsia" w:eastAsia="宋体" w:cs="Times New Roman"/>
          <w:color w:val="000000"/>
          <w:sz w:val="28"/>
          <w:szCs w:val="28"/>
          <w:lang w:val="en-US" w:eastAsia="zh-CN"/>
        </w:rPr>
        <w:t xml:space="preserve"> </w:t>
      </w:r>
      <w:r>
        <w:rPr>
          <w:rFonts w:ascii="仿宋_GB2312" w:hAnsi="仿宋_GB2312" w:eastAsia="仿宋_GB2312" w:cs="仿宋_GB2312"/>
          <w:sz w:val="28"/>
          <w:szCs w:val="28"/>
        </w:rPr>
        <w:t>投标人提供以下资料的为优选资质：</w:t>
      </w:r>
    </w:p>
    <w:p>
      <w:pPr>
        <w:spacing w:before="0" w:after="0" w:line="360" w:lineRule="auto"/>
        <w:ind w:firstLine="0"/>
        <w:rPr>
          <w:rFonts w:ascii="Times New Roman" w:hAnsi="Times New Roman" w:eastAsia="Times New Roman" w:cs="Times New Roman"/>
        </w:rPr>
      </w:pPr>
      <w:r>
        <w:rPr>
          <w:rFonts w:ascii="仿宋_GB2312" w:hAnsi="仿宋_GB2312" w:eastAsia="仿宋_GB2312" w:cs="仿宋_GB2312"/>
          <w:color w:val="000000"/>
          <w:sz w:val="28"/>
          <w:szCs w:val="28"/>
        </w:rPr>
        <w:t>     1.完全按照以下要求提供曾实施服务业绩的，提供的证明材料均不得遮挡涂黑。</w:t>
      </w:r>
    </w:p>
    <w:p>
      <w:pPr>
        <w:pStyle w:val="12"/>
        <w:spacing w:before="0" w:after="0" w:line="360" w:lineRule="auto"/>
        <w:ind w:firstLine="560" w:firstLineChars="200"/>
        <w:jc w:val="both"/>
        <w:rPr>
          <w:rFonts w:ascii="Times New Roman" w:hAnsi="Times New Roman" w:eastAsia="Times New Roman" w:cs="Times New Roman"/>
        </w:rPr>
      </w:pPr>
      <w:r>
        <w:rPr>
          <w:rFonts w:ascii="仿宋_GB2312" w:hAnsi="仿宋_GB2312" w:eastAsia="仿宋_GB2312" w:cs="仿宋_GB2312"/>
          <w:color w:val="000000"/>
          <w:sz w:val="28"/>
          <w:szCs w:val="28"/>
        </w:rPr>
        <w:t>2.合同原件扫描件。投标人提供的2021年1月以来（以合同签订日期为准）独立承担的与本项目相类似且已完成的案例、买卖双方名称及盖章、服务期限（合同服务起始日期为2021年1月1日或以后，且履行至少1年的时间）。</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color w:val="000000"/>
          <w:sz w:val="28"/>
          <w:szCs w:val="28"/>
        </w:rPr>
        <w:t>3.已完成的合同，提供加盖合同甲方单位公章的成功履行合同的相关证明材料原件扫描件，合同正在实施的，提供加盖合同甲方单位公章的合同履行情况良好的相关证明材料原件扫描件。</w:t>
      </w:r>
    </w:p>
    <w:p>
      <w:pPr>
        <w:pStyle w:val="4"/>
        <w:keepNext w:val="0"/>
        <w:spacing w:before="0" w:after="0" w:line="360" w:lineRule="auto"/>
        <w:rPr>
          <w:rFonts w:ascii="仿宋_GB2312" w:hAnsi="仿宋_GB2312" w:eastAsia="仿宋_GB2312" w:cs="仿宋_GB2312"/>
          <w:b/>
          <w:bCs/>
          <w:sz w:val="28"/>
          <w:szCs w:val="28"/>
        </w:rPr>
      </w:pPr>
      <w:bookmarkStart w:id="15" w:name="_Toc17865"/>
      <w:r>
        <w:rPr>
          <w:rFonts w:ascii="仿宋_GB2312" w:hAnsi="仿宋_GB2312" w:eastAsia="仿宋_GB2312" w:cs="仿宋_GB2312"/>
          <w:sz w:val="28"/>
          <w:szCs w:val="28"/>
        </w:rPr>
        <w:t>2.1.3是否允许联合体</w:t>
      </w:r>
      <w:bookmarkEnd w:id="15"/>
    </w:p>
    <w:p>
      <w:pPr>
        <w:pStyle w:val="12"/>
        <w:spacing w:before="0" w:after="0" w:line="360" w:lineRule="auto"/>
        <w:ind w:firstLine="640"/>
        <w:jc w:val="both"/>
        <w:rPr>
          <w:rFonts w:ascii="仿宋_GB2312" w:hAnsi="仿宋_GB2312" w:eastAsia="仿宋_GB2312" w:cs="仿宋_GB2312"/>
          <w:sz w:val="28"/>
          <w:szCs w:val="28"/>
        </w:rPr>
      </w:pPr>
      <w:r>
        <w:rPr>
          <w:rFonts w:ascii="仿宋_GB2312" w:hAnsi="仿宋_GB2312" w:eastAsia="仿宋_GB2312" w:cs="仿宋_GB2312"/>
          <w:sz w:val="28"/>
          <w:szCs w:val="28"/>
        </w:rPr>
        <w:t>否</w:t>
      </w:r>
    </w:p>
    <w:p>
      <w:pPr>
        <w:pStyle w:val="4"/>
        <w:keepNext w:val="0"/>
        <w:spacing w:before="0" w:after="0" w:line="360" w:lineRule="auto"/>
        <w:rPr>
          <w:rFonts w:ascii="仿宋_GB2312" w:hAnsi="仿宋_GB2312" w:eastAsia="仿宋_GB2312" w:cs="仿宋_GB2312"/>
          <w:b/>
          <w:bCs/>
          <w:sz w:val="28"/>
          <w:szCs w:val="28"/>
        </w:rPr>
      </w:pPr>
      <w:bookmarkStart w:id="16" w:name="_Toc12564"/>
      <w:r>
        <w:rPr>
          <w:rFonts w:ascii="仿宋_GB2312" w:hAnsi="仿宋_GB2312" w:eastAsia="仿宋_GB2312" w:cs="仿宋_GB2312"/>
          <w:sz w:val="28"/>
          <w:szCs w:val="28"/>
        </w:rPr>
        <w:t>2.1.4是否专门面向中小企业</w:t>
      </w:r>
      <w:bookmarkEnd w:id="16"/>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本项目专门面向中小企业采购项目</w:t>
      </w:r>
    </w:p>
    <w:p>
      <w:pPr>
        <w:pStyle w:val="4"/>
        <w:keepNext w:val="0"/>
        <w:spacing w:before="0" w:after="0" w:line="360" w:lineRule="auto"/>
        <w:rPr>
          <w:rFonts w:ascii="仿宋_GB2312" w:hAnsi="仿宋_GB2312" w:eastAsia="仿宋_GB2312" w:cs="仿宋_GB2312"/>
          <w:b/>
          <w:bCs/>
          <w:sz w:val="28"/>
          <w:szCs w:val="28"/>
        </w:rPr>
      </w:pPr>
      <w:bookmarkStart w:id="17" w:name="_Toc5349"/>
      <w:r>
        <w:rPr>
          <w:rFonts w:ascii="仿宋_GB2312" w:hAnsi="仿宋_GB2312" w:eastAsia="仿宋_GB2312" w:cs="仿宋_GB2312"/>
          <w:sz w:val="28"/>
          <w:szCs w:val="28"/>
        </w:rPr>
        <w:t>2.1.5其他要求</w:t>
      </w:r>
      <w:bookmarkEnd w:id="17"/>
    </w:p>
    <w:p>
      <w:pPr>
        <w:pStyle w:val="3"/>
        <w:keepNext w:val="0"/>
        <w:spacing w:before="0" w:after="0" w:line="360" w:lineRule="auto"/>
        <w:rPr>
          <w:rFonts w:ascii="仿宋_GB2312" w:hAnsi="仿宋_GB2312" w:eastAsia="仿宋_GB2312" w:cs="仿宋_GB2312"/>
          <w:b/>
          <w:bCs/>
          <w:sz w:val="28"/>
          <w:szCs w:val="28"/>
        </w:rPr>
      </w:pPr>
      <w:bookmarkStart w:id="18" w:name="_Toc8458"/>
      <w:r>
        <w:rPr>
          <w:rFonts w:ascii="仿宋_GB2312" w:hAnsi="仿宋_GB2312" w:eastAsia="仿宋_GB2312" w:cs="仿宋_GB2312"/>
          <w:i w:val="0"/>
          <w:iCs w:val="0"/>
        </w:rPr>
        <w:t>2.2技术部分投标/响应内容</w:t>
      </w:r>
      <w:bookmarkEnd w:id="18"/>
    </w:p>
    <w:p>
      <w:pPr>
        <w:pStyle w:val="4"/>
        <w:keepNext w:val="0"/>
        <w:spacing w:before="0" w:after="0" w:line="360" w:lineRule="auto"/>
        <w:rPr>
          <w:rFonts w:ascii="仿宋_GB2312" w:hAnsi="仿宋_GB2312" w:eastAsia="仿宋_GB2312" w:cs="仿宋_GB2312"/>
          <w:b/>
          <w:bCs/>
          <w:sz w:val="28"/>
          <w:szCs w:val="28"/>
        </w:rPr>
      </w:pPr>
      <w:bookmarkStart w:id="19" w:name="_Toc7104"/>
      <w:r>
        <w:rPr>
          <w:rFonts w:ascii="仿宋_GB2312" w:hAnsi="仿宋_GB2312" w:eastAsia="仿宋_GB2312" w:cs="仿宋_GB2312"/>
          <w:sz w:val="28"/>
          <w:szCs w:val="28"/>
        </w:rPr>
        <w:t>2.2.1技术投标/响应总要求</w:t>
      </w:r>
      <w:bookmarkEnd w:id="19"/>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投标人应根据项目需求对服务方案及内容、项目需求理解、实施方案、保密管理、培训方案、应急保障方案、验收方案等内容进行响应。</w:t>
      </w:r>
    </w:p>
    <w:p>
      <w:pPr>
        <w:pStyle w:val="4"/>
        <w:keepNext w:val="0"/>
        <w:spacing w:before="0" w:after="0" w:line="360" w:lineRule="auto"/>
        <w:rPr>
          <w:rFonts w:ascii="仿宋_GB2312" w:hAnsi="仿宋_GB2312" w:eastAsia="仿宋_GB2312" w:cs="仿宋_GB2312"/>
          <w:b/>
          <w:bCs/>
          <w:sz w:val="28"/>
          <w:szCs w:val="28"/>
        </w:rPr>
      </w:pPr>
      <w:bookmarkStart w:id="20" w:name="_Toc15451"/>
      <w:r>
        <w:rPr>
          <w:rFonts w:ascii="仿宋_GB2312" w:hAnsi="仿宋_GB2312" w:eastAsia="仿宋_GB2312" w:cs="仿宋_GB2312"/>
          <w:sz w:val="28"/>
          <w:szCs w:val="28"/>
        </w:rPr>
        <w:t>2.2.2投标/响应方案要求</w:t>
      </w:r>
      <w:bookmarkEnd w:id="20"/>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以下相关方案，若作为评审因素，则投标人应在满足★关键指标项要求的前提下，根据项目特点和采购需求，制定更为完整、详细、可操作性强的方案。</w:t>
      </w:r>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投标人应根据项目需求对服务方案及内容、项目需求理解、实施方案、保密管理、培训方案、应急保障方案、验收方案等内容进行响应。</w:t>
      </w:r>
    </w:p>
    <w:p>
      <w:pPr>
        <w:pStyle w:val="2"/>
        <w:keepNext w:val="0"/>
        <w:spacing w:before="0" w:after="0" w:line="360" w:lineRule="auto"/>
        <w:jc w:val="center"/>
        <w:rPr>
          <w:rFonts w:ascii="仿宋_GB2312" w:hAnsi="仿宋_GB2312" w:eastAsia="仿宋_GB2312" w:cs="仿宋_GB2312"/>
          <w:b/>
          <w:bCs/>
          <w:sz w:val="32"/>
          <w:szCs w:val="32"/>
        </w:rPr>
      </w:pPr>
      <w:bookmarkStart w:id="21" w:name="_Toc7615"/>
      <w:r>
        <w:rPr>
          <w:rFonts w:ascii="仿宋_GB2312" w:hAnsi="仿宋_GB2312" w:eastAsia="仿宋_GB2312" w:cs="仿宋_GB2312"/>
          <w:kern w:val="36"/>
        </w:rPr>
        <w:t>3项目需求</w:t>
      </w:r>
      <w:bookmarkEnd w:id="21"/>
    </w:p>
    <w:p>
      <w:pPr>
        <w:pStyle w:val="3"/>
        <w:keepNext w:val="0"/>
        <w:spacing w:before="0" w:after="0" w:line="360" w:lineRule="auto"/>
        <w:rPr>
          <w:rFonts w:ascii="仿宋_GB2312" w:hAnsi="仿宋_GB2312" w:eastAsia="仿宋_GB2312" w:cs="仿宋_GB2312"/>
          <w:b/>
          <w:bCs/>
          <w:sz w:val="28"/>
          <w:szCs w:val="28"/>
        </w:rPr>
      </w:pPr>
      <w:bookmarkStart w:id="22" w:name="_Toc4009"/>
      <w:r>
        <w:rPr>
          <w:rFonts w:ascii="仿宋_GB2312" w:hAnsi="仿宋_GB2312" w:eastAsia="仿宋_GB2312" w:cs="仿宋_GB2312"/>
          <w:i w:val="0"/>
          <w:iCs w:val="0"/>
        </w:rPr>
        <w:t>3.1总体要求</w:t>
      </w:r>
      <w:bookmarkEnd w:id="22"/>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    为构建天津税务系统“一键接入、市区联动、规范统一”的12366税费咨询服务体系，协同服务新模式，持续推进办税缴费服务提质增效，提升纳税人缴费人（以下简称“纳税人”）满意度和获得感。</w:t>
      </w:r>
    </w:p>
    <w:p>
      <w:pPr>
        <w:pStyle w:val="3"/>
        <w:keepNext w:val="0"/>
        <w:spacing w:before="0" w:after="0" w:line="360" w:lineRule="auto"/>
        <w:rPr>
          <w:rFonts w:ascii="仿宋_GB2312" w:hAnsi="仿宋_GB2312" w:eastAsia="仿宋_GB2312" w:cs="仿宋_GB2312"/>
          <w:b/>
          <w:bCs/>
          <w:sz w:val="28"/>
          <w:szCs w:val="28"/>
        </w:rPr>
      </w:pPr>
      <w:bookmarkStart w:id="23" w:name="_Toc6304"/>
      <w:r>
        <w:rPr>
          <w:rFonts w:ascii="仿宋_GB2312" w:hAnsi="仿宋_GB2312" w:eastAsia="仿宋_GB2312" w:cs="仿宋_GB2312"/>
          <w:i w:val="0"/>
          <w:iCs w:val="0"/>
        </w:rPr>
        <w:t>3.2服务内容和要求</w:t>
      </w:r>
      <w:bookmarkEnd w:id="23"/>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采购文件（技术部分）中有标注★号的，为必备服务要求，必须满足，如未作出响应，将导致响应无效；#为重要服务内容、△为一般服务内容。</w:t>
      </w:r>
    </w:p>
    <w:p>
      <w:pPr>
        <w:pStyle w:val="4"/>
        <w:keepNext w:val="0"/>
        <w:spacing w:before="0" w:after="0" w:line="360" w:lineRule="auto"/>
        <w:rPr>
          <w:rFonts w:ascii="仿宋_GB2312" w:hAnsi="仿宋_GB2312" w:eastAsia="仿宋_GB2312" w:cs="仿宋_GB2312"/>
          <w:b/>
          <w:bCs/>
          <w:sz w:val="28"/>
          <w:szCs w:val="28"/>
        </w:rPr>
      </w:pPr>
      <w:bookmarkStart w:id="24" w:name="_Toc16074"/>
      <w:r>
        <w:rPr>
          <w:rFonts w:ascii="仿宋_GB2312" w:hAnsi="仿宋_GB2312" w:eastAsia="仿宋_GB2312" w:cs="仿宋_GB2312"/>
          <w:sz w:val="28"/>
          <w:szCs w:val="28"/>
        </w:rPr>
        <w:t>3.2.1技术和服务客观指标</w:t>
      </w:r>
      <w:bookmarkEnd w:id="2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3.2.1.1服务1</w:t>
      </w:r>
    </w:p>
    <w:p>
      <w:pPr>
        <w:pStyle w:val="4"/>
        <w:keepNext w:val="0"/>
        <w:spacing w:before="0" w:after="0" w:line="360" w:lineRule="auto"/>
        <w:rPr>
          <w:rFonts w:ascii="仿宋_GB2312" w:hAnsi="仿宋_GB2312" w:eastAsia="仿宋_GB2312" w:cs="仿宋_GB2312"/>
          <w:b/>
          <w:bCs/>
          <w:sz w:val="28"/>
          <w:szCs w:val="28"/>
        </w:rPr>
      </w:pPr>
      <w:bookmarkStart w:id="25" w:name="_Toc12684"/>
      <w:r>
        <w:rPr>
          <w:rFonts w:ascii="仿宋_GB2312" w:hAnsi="仿宋_GB2312" w:eastAsia="仿宋_GB2312" w:cs="仿宋_GB2312"/>
          <w:sz w:val="28"/>
          <w:szCs w:val="28"/>
        </w:rPr>
        <w:t>3.2.2技术和服务其他要求</w:t>
      </w:r>
      <w:bookmarkEnd w:id="25"/>
    </w:p>
    <w:p>
      <w:pPr>
        <w:numPr>
          <w:ilvl w:val="0"/>
          <w:numId w:val="0"/>
        </w:numPr>
        <w:spacing w:before="0" w:after="0"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ascii="仿宋_GB2312" w:hAnsi="仿宋_GB2312" w:eastAsia="仿宋_GB2312" w:cs="仿宋_GB2312"/>
          <w:sz w:val="28"/>
          <w:szCs w:val="28"/>
        </w:rPr>
        <w:t xml:space="preserve">热线电话服务。主要包括解答纳税人缴费人向12366远程座席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天津税务APP等系统以及服务期内新增的各类系统。                                                                                   2.电话回呼。通过人工主动呼出的方式向纳税人缴费人提供涉税费咨询服务。电话回呼包括留言回呼、纠错回呼、承诺回呼、遇忙（呼损）回呼等。                                                                      </w:t>
      </w:r>
    </w:p>
    <w:p>
      <w:pPr>
        <w:numPr>
          <w:ilvl w:val="0"/>
          <w:numId w:val="0"/>
        </w:numPr>
        <w:spacing w:before="0" w:after="0" w:line="360" w:lineRule="auto"/>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 xml:space="preserve">3. 后台支撑服务。主要解决热线人员无法及时回复或解决的问题，包括但不限于疑难问题的解答、业务工单等。        </w:t>
      </w:r>
    </w:p>
    <w:p>
      <w:pPr>
        <w:numPr>
          <w:ilvl w:val="0"/>
          <w:numId w:val="0"/>
        </w:numPr>
        <w:spacing w:before="0" w:after="0" w:line="360" w:lineRule="auto"/>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 4. 宣传培训服务。包括相关涉税涉费热点问题的整理、编辑以及配合宣传和发布服务。                 </w:t>
      </w:r>
    </w:p>
    <w:p>
      <w:pPr>
        <w:numPr>
          <w:ilvl w:val="0"/>
          <w:numId w:val="0"/>
        </w:numPr>
        <w:spacing w:before="0" w:after="0" w:line="360" w:lineRule="auto"/>
        <w:ind w:firstLine="560" w:firstLineChars="200"/>
        <w:rPr>
          <w:rFonts w:ascii="Times New Roman" w:hAnsi="Times New Roman" w:eastAsia="Times New Roman" w:cs="Times New Roman"/>
        </w:rPr>
      </w:pPr>
      <w:r>
        <w:rPr>
          <w:rFonts w:ascii="仿宋_GB2312" w:hAnsi="仿宋_GB2312" w:eastAsia="仿宋_GB2312" w:cs="仿宋_GB2312"/>
          <w:sz w:val="28"/>
          <w:szCs w:val="28"/>
        </w:rPr>
        <w:t xml:space="preserve"> 5. 需求采集服务。作为税务局和纳税人缴费人之间的沟通桥梁，了解纳税人缴费人的实际需求，利用服务纳税人缴费人时获得的需求信息和数据，定期提供需求报告，为税务局提高纳税服务水平提供决策依据。</w:t>
      </w:r>
    </w:p>
    <w:p>
      <w:pPr>
        <w:pStyle w:val="2"/>
        <w:keepNext w:val="0"/>
        <w:spacing w:before="0" w:after="0" w:line="360" w:lineRule="auto"/>
        <w:jc w:val="center"/>
        <w:rPr>
          <w:rFonts w:ascii="仿宋_GB2312" w:hAnsi="仿宋_GB2312" w:eastAsia="仿宋_GB2312" w:cs="仿宋_GB2312"/>
          <w:b/>
          <w:bCs/>
          <w:sz w:val="32"/>
          <w:szCs w:val="32"/>
        </w:rPr>
      </w:pPr>
      <w:bookmarkStart w:id="26" w:name="_Toc28721"/>
      <w:r>
        <w:rPr>
          <w:rFonts w:ascii="仿宋_GB2312" w:hAnsi="仿宋_GB2312" w:eastAsia="仿宋_GB2312" w:cs="仿宋_GB2312"/>
          <w:kern w:val="36"/>
        </w:rPr>
        <w:t>4人员要求</w:t>
      </w:r>
      <w:bookmarkEnd w:id="26"/>
    </w:p>
    <w:p>
      <w:pPr>
        <w:pStyle w:val="3"/>
        <w:keepNext w:val="0"/>
        <w:spacing w:before="0" w:after="0" w:line="360" w:lineRule="auto"/>
        <w:rPr>
          <w:rFonts w:ascii="仿宋_GB2312" w:hAnsi="仿宋_GB2312" w:eastAsia="仿宋_GB2312" w:cs="仿宋_GB2312"/>
          <w:b/>
          <w:bCs/>
          <w:sz w:val="28"/>
          <w:szCs w:val="28"/>
        </w:rPr>
      </w:pPr>
      <w:bookmarkStart w:id="27" w:name="_Toc23412"/>
      <w:r>
        <w:rPr>
          <w:rFonts w:ascii="仿宋_GB2312" w:hAnsi="仿宋_GB2312" w:eastAsia="仿宋_GB2312" w:cs="仿宋_GB2312"/>
          <w:i w:val="0"/>
          <w:iCs w:val="0"/>
        </w:rPr>
        <w:t>4.1总体要求</w:t>
      </w:r>
      <w:bookmarkEnd w:id="27"/>
    </w:p>
    <w:p>
      <w:pPr>
        <w:pStyle w:val="12"/>
        <w:spacing w:before="0" w:after="0" w:line="360" w:lineRule="auto"/>
        <w:ind w:firstLine="561"/>
        <w:rPr>
          <w:rFonts w:ascii="Times New Roman" w:hAnsi="Times New Roman" w:eastAsia="Times New Roman" w:cs="Times New Roman"/>
        </w:rPr>
      </w:pPr>
      <w:r>
        <w:rPr>
          <w:rFonts w:ascii="仿宋_GB2312" w:hAnsi="仿宋_GB2312" w:eastAsia="仿宋_GB2312" w:cs="仿宋_GB2312"/>
          <w:sz w:val="28"/>
          <w:szCs w:val="28"/>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招聘、培训、管理坐席人员，配合区局完成各项服务内容，完善服务规范，落实关于12366热线绩效管理要求。</w:t>
      </w:r>
    </w:p>
    <w:p>
      <w:pPr>
        <w:pStyle w:val="13"/>
        <w:spacing w:before="0" w:after="0" w:line="360" w:lineRule="auto"/>
        <w:ind w:firstLine="640"/>
        <w:jc w:val="both"/>
        <w:textAlignment w:val="baseline"/>
        <w:rPr>
          <w:rFonts w:ascii="Times New Roman" w:hAnsi="Times New Roman" w:eastAsia="Times New Roman" w:cs="Times New Roman"/>
        </w:rPr>
      </w:pPr>
      <w:r>
        <w:rPr>
          <w:rFonts w:ascii="Times New Roman" w:hAnsi="Times New Roman" w:eastAsia="Times New Roman" w:cs="Times New Roman"/>
        </w:rPr>
        <w:t> </w:t>
      </w:r>
    </w:p>
    <w:p>
      <w:pPr>
        <w:pStyle w:val="3"/>
        <w:keepNext w:val="0"/>
        <w:spacing w:before="0" w:after="0" w:line="360" w:lineRule="auto"/>
        <w:rPr>
          <w:rFonts w:ascii="仿宋_GB2312" w:hAnsi="仿宋_GB2312" w:eastAsia="仿宋_GB2312" w:cs="仿宋_GB2312"/>
          <w:b/>
          <w:bCs/>
          <w:sz w:val="28"/>
          <w:szCs w:val="28"/>
        </w:rPr>
      </w:pPr>
      <w:bookmarkStart w:id="28" w:name="_Toc8262"/>
      <w:r>
        <w:rPr>
          <w:rFonts w:ascii="仿宋_GB2312" w:hAnsi="仿宋_GB2312" w:eastAsia="仿宋_GB2312" w:cs="仿宋_GB2312"/>
          <w:i w:val="0"/>
          <w:iCs w:val="0"/>
        </w:rPr>
        <w:t>4.2管理团队</w:t>
      </w:r>
      <w:bookmarkEnd w:id="28"/>
    </w:p>
    <w:p>
      <w:pPr>
        <w:pStyle w:val="4"/>
        <w:keepNext w:val="0"/>
        <w:spacing w:before="0" w:after="0" w:line="360" w:lineRule="auto"/>
        <w:rPr>
          <w:rFonts w:ascii="仿宋_GB2312" w:hAnsi="仿宋_GB2312" w:eastAsia="仿宋_GB2312" w:cs="仿宋_GB2312"/>
          <w:b/>
          <w:bCs/>
          <w:sz w:val="28"/>
          <w:szCs w:val="28"/>
        </w:rPr>
      </w:pPr>
      <w:bookmarkStart w:id="29" w:name="_Toc2412"/>
      <w:r>
        <w:rPr>
          <w:rFonts w:ascii="仿宋_GB2312" w:hAnsi="仿宋_GB2312" w:eastAsia="仿宋_GB2312" w:cs="仿宋_GB2312"/>
          <w:sz w:val="28"/>
          <w:szCs w:val="28"/>
        </w:rPr>
        <w:t>4.2.1项目经理</w:t>
      </w:r>
      <w:bookmarkEnd w:id="29"/>
    </w:p>
    <w:p>
      <w:pPr>
        <w:spacing w:before="0" w:after="0" w:line="360" w:lineRule="auto"/>
        <w:jc w:val="both"/>
        <w:rPr>
          <w:rFonts w:ascii="仿宋_GB2312" w:hAnsi="仿宋_GB2312" w:eastAsia="仿宋_GB2312" w:cs="仿宋_GB2312"/>
          <w:sz w:val="28"/>
          <w:szCs w:val="28"/>
        </w:rPr>
      </w:pPr>
      <w:r>
        <w:rPr>
          <w:rFonts w:ascii="仿宋_GB2312" w:hAnsi="仿宋_GB2312" w:eastAsia="仿宋_GB2312" w:cs="仿宋_GB2312"/>
          <w:sz w:val="32"/>
          <w:szCs w:val="32"/>
        </w:rPr>
        <w:t>   </w:t>
      </w:r>
      <w:r>
        <w:rPr>
          <w:rFonts w:ascii="FangSong_GB2312" w:hAnsi="FangSong_GB2312" w:eastAsia="FangSong_GB2312" w:cs="FangSong_GB2312"/>
          <w:sz w:val="28"/>
          <w:szCs w:val="28"/>
        </w:rPr>
        <w:t xml:space="preserve"> 提供热线咨询服务人员15人，指定其中1人为组长。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其他14名12366热线咨询服务人员负责通过12366热线电话向纳税人解答关于税收法律、行政法规、纳税程序以及社会保险费和税务机关管辖的非税收入征管有关问题，引导投诉举报等。    </w:t>
      </w:r>
    </w:p>
    <w:p>
      <w:pPr>
        <w:spacing w:before="0" w:after="0" w:line="360" w:lineRule="auto"/>
        <w:ind w:firstLine="560" w:firstLineChars="200"/>
        <w:jc w:val="both"/>
        <w:rPr>
          <w:rFonts w:ascii="仿宋_GB2312" w:hAnsi="仿宋_GB2312" w:eastAsia="仿宋_GB2312" w:cs="仿宋_GB2312"/>
          <w:sz w:val="28"/>
          <w:szCs w:val="28"/>
        </w:rPr>
      </w:pPr>
      <w:r>
        <w:rPr>
          <w:rFonts w:ascii="FangSong_GB2312" w:hAnsi="FangSong_GB2312" w:eastAsia="FangSong_GB2312" w:cs="FangSong_GB2312"/>
          <w:sz w:val="28"/>
          <w:szCs w:val="28"/>
        </w:rPr>
        <w:t>中标供应商提供的服务人员需要符合以下条件：</w:t>
      </w:r>
    </w:p>
    <w:p>
      <w:pPr>
        <w:spacing w:before="0" w:after="0" w:line="360" w:lineRule="auto"/>
        <w:ind w:firstLine="560" w:firstLineChars="200"/>
        <w:jc w:val="both"/>
        <w:rPr>
          <w:rFonts w:ascii="仿宋_GB2312" w:hAnsi="仿宋_GB2312" w:eastAsia="仿宋_GB2312" w:cs="仿宋_GB2312"/>
          <w:sz w:val="28"/>
          <w:szCs w:val="28"/>
        </w:rPr>
      </w:pPr>
      <w:r>
        <w:rPr>
          <w:rFonts w:ascii="FangSong_GB2312" w:hAnsi="FangSong_GB2312" w:eastAsia="FangSong_GB2312" w:cs="FangSong_GB2312"/>
          <w:sz w:val="28"/>
          <w:szCs w:val="28"/>
        </w:rPr>
        <w:t> 1.能熟练运用电脑办公软件，汉字录入速度不低于80字/分钟；</w:t>
      </w:r>
    </w:p>
    <w:p>
      <w:pPr>
        <w:spacing w:before="0" w:after="0" w:line="360" w:lineRule="auto"/>
        <w:jc w:val="both"/>
        <w:rPr>
          <w:rFonts w:ascii="仿宋_GB2312" w:hAnsi="仿宋_GB2312" w:eastAsia="仿宋_GB2312" w:cs="仿宋_GB2312"/>
          <w:sz w:val="28"/>
          <w:szCs w:val="28"/>
        </w:rPr>
      </w:pPr>
      <w:r>
        <w:rPr>
          <w:rFonts w:ascii="FangSong_GB2312" w:hAnsi="FangSong_GB2312" w:eastAsia="FangSong_GB2312" w:cs="FangSong_GB2312"/>
          <w:sz w:val="28"/>
          <w:szCs w:val="28"/>
        </w:rPr>
        <w:t> </w:t>
      </w:r>
      <w:r>
        <w:rPr>
          <w:rFonts w:hint="eastAsia" w:ascii="FangSong_GB2312" w:hAnsi="FangSong_GB2312" w:eastAsia="FangSong_GB2312" w:cs="FangSong_GB2312"/>
          <w:sz w:val="28"/>
          <w:szCs w:val="28"/>
          <w:lang w:val="en-US" w:eastAsia="zh-CN"/>
        </w:rPr>
        <w:t xml:space="preserve">    </w:t>
      </w:r>
      <w:r>
        <w:rPr>
          <w:rFonts w:ascii="FangSong_GB2312" w:hAnsi="FangSong_GB2312" w:eastAsia="FangSong_GB2312" w:cs="FangSong_GB2312"/>
          <w:sz w:val="28"/>
          <w:szCs w:val="28"/>
        </w:rPr>
        <w:t>2.具有一定的税收基本业务知识，取得会计、税务类相关证书或考试合格证明，具备电话热线工作经验，其中财会、税收等财税经济类专业或具有相关财税工作经验的人员，不得少于11人；</w:t>
      </w:r>
    </w:p>
    <w:p>
      <w:pPr>
        <w:spacing w:before="0" w:after="0" w:line="360" w:lineRule="auto"/>
        <w:jc w:val="both"/>
        <w:rPr>
          <w:rFonts w:ascii="仿宋_GB2312" w:hAnsi="仿宋_GB2312" w:eastAsia="仿宋_GB2312" w:cs="仿宋_GB2312"/>
          <w:sz w:val="28"/>
          <w:szCs w:val="28"/>
        </w:rPr>
      </w:pPr>
      <w:r>
        <w:rPr>
          <w:rFonts w:ascii="FangSong_GB2312" w:hAnsi="FangSong_GB2312" w:eastAsia="FangSong_GB2312" w:cs="FangSong_GB2312"/>
          <w:sz w:val="28"/>
          <w:szCs w:val="28"/>
        </w:rPr>
        <w:t> </w:t>
      </w:r>
      <w:r>
        <w:rPr>
          <w:rFonts w:hint="eastAsia" w:ascii="FangSong_GB2312" w:hAnsi="FangSong_GB2312" w:eastAsia="FangSong_GB2312" w:cs="FangSong_GB2312"/>
          <w:sz w:val="28"/>
          <w:szCs w:val="28"/>
          <w:lang w:val="en-US" w:eastAsia="zh-CN"/>
        </w:rPr>
        <w:t xml:space="preserve">    </w:t>
      </w:r>
      <w:r>
        <w:rPr>
          <w:rFonts w:ascii="FangSong_GB2312" w:hAnsi="FangSong_GB2312" w:eastAsia="FangSong_GB2312" w:cs="FangSong_GB2312"/>
          <w:sz w:val="28"/>
          <w:szCs w:val="28"/>
        </w:rPr>
        <w:t>3.普通话发音基本标准，语调自然，表达流畅，具备较强的服务意识和良好的语言表达能力、沟通能力、记忆能力、心理承受能力和学习能力；</w:t>
      </w:r>
    </w:p>
    <w:p>
      <w:pPr>
        <w:spacing w:before="0" w:after="0" w:line="360" w:lineRule="auto"/>
        <w:ind w:firstLine="560" w:firstLineChars="200"/>
        <w:jc w:val="both"/>
        <w:rPr>
          <w:rFonts w:ascii="仿宋_GB2312" w:hAnsi="仿宋_GB2312" w:eastAsia="仿宋_GB2312" w:cs="仿宋_GB2312"/>
          <w:sz w:val="28"/>
          <w:szCs w:val="28"/>
        </w:rPr>
      </w:pPr>
      <w:r>
        <w:rPr>
          <w:rFonts w:ascii="FangSong_GB2312" w:hAnsi="FangSong_GB2312" w:eastAsia="FangSong_GB2312" w:cs="FangSong_GB2312"/>
          <w:sz w:val="28"/>
          <w:szCs w:val="28"/>
        </w:rPr>
        <w:t> 4.身体健康；</w:t>
      </w:r>
    </w:p>
    <w:p>
      <w:pPr>
        <w:spacing w:before="0" w:after="0" w:line="360" w:lineRule="auto"/>
        <w:jc w:val="both"/>
        <w:rPr>
          <w:rFonts w:ascii="仿宋_GB2312" w:hAnsi="仿宋_GB2312" w:eastAsia="仿宋_GB2312" w:cs="仿宋_GB2312"/>
          <w:sz w:val="28"/>
          <w:szCs w:val="28"/>
        </w:rPr>
      </w:pPr>
      <w:r>
        <w:rPr>
          <w:rFonts w:ascii="FangSong_GB2312" w:hAnsi="FangSong_GB2312" w:eastAsia="FangSong_GB2312" w:cs="FangSong_GB2312"/>
          <w:sz w:val="28"/>
          <w:szCs w:val="28"/>
        </w:rPr>
        <w:t> </w:t>
      </w:r>
      <w:r>
        <w:rPr>
          <w:rFonts w:hint="eastAsia" w:ascii="FangSong_GB2312" w:hAnsi="FangSong_GB2312" w:eastAsia="FangSong_GB2312" w:cs="FangSong_GB2312"/>
          <w:sz w:val="28"/>
          <w:szCs w:val="28"/>
          <w:lang w:val="en-US" w:eastAsia="zh-CN"/>
        </w:rPr>
        <w:t xml:space="preserve">    </w:t>
      </w:r>
      <w:r>
        <w:rPr>
          <w:rFonts w:ascii="FangSong_GB2312" w:hAnsi="FangSong_GB2312" w:eastAsia="FangSong_GB2312" w:cs="FangSong_GB2312"/>
          <w:sz w:val="28"/>
          <w:szCs w:val="28"/>
        </w:rPr>
        <w:t>5.12366热线人员上岗前由中标方组织培训，经考核通过后方能上岗。</w:t>
      </w:r>
    </w:p>
    <w:p>
      <w:pPr>
        <w:spacing w:before="0" w:after="0" w:line="360" w:lineRule="auto"/>
        <w:jc w:val="both"/>
        <w:rPr>
          <w:rFonts w:ascii="仿宋_GB2312" w:hAnsi="仿宋_GB2312" w:eastAsia="仿宋_GB2312" w:cs="仿宋_GB2312"/>
          <w:sz w:val="28"/>
          <w:szCs w:val="28"/>
        </w:rPr>
      </w:pPr>
      <w:r>
        <w:rPr>
          <w:rFonts w:ascii="FangSong_GB2312" w:hAnsi="FangSong_GB2312" w:eastAsia="FangSong_GB2312" w:cs="FangSong_GB2312"/>
          <w:sz w:val="28"/>
          <w:szCs w:val="28"/>
        </w:rPr>
        <w:t> </w:t>
      </w:r>
      <w:r>
        <w:rPr>
          <w:rFonts w:hint="eastAsia" w:ascii="FangSong_GB2312" w:hAnsi="FangSong_GB2312" w:eastAsia="FangSong_GB2312" w:cs="FangSong_GB2312"/>
          <w:sz w:val="28"/>
          <w:szCs w:val="28"/>
          <w:lang w:val="en-US" w:eastAsia="zh-CN"/>
        </w:rPr>
        <w:t xml:space="preserve">    </w:t>
      </w:r>
      <w:r>
        <w:rPr>
          <w:rFonts w:ascii="FangSong_GB2312" w:hAnsi="FangSong_GB2312" w:eastAsia="FangSong_GB2312" w:cs="FangSong_GB2312"/>
          <w:sz w:val="28"/>
          <w:szCs w:val="28"/>
        </w:rPr>
        <w:t>6.符合采购方要求及日常管理工作规范。</w:t>
      </w:r>
    </w:p>
    <w:p>
      <w:pPr>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 </w:t>
      </w:r>
    </w:p>
    <w:p>
      <w:pPr>
        <w:pStyle w:val="2"/>
        <w:keepNext w:val="0"/>
        <w:spacing w:before="0" w:after="0" w:line="360" w:lineRule="auto"/>
        <w:jc w:val="center"/>
        <w:rPr>
          <w:rFonts w:ascii="仿宋_GB2312" w:hAnsi="仿宋_GB2312" w:eastAsia="仿宋_GB2312" w:cs="仿宋_GB2312"/>
          <w:b/>
          <w:bCs/>
          <w:sz w:val="32"/>
          <w:szCs w:val="32"/>
        </w:rPr>
      </w:pPr>
      <w:bookmarkStart w:id="30" w:name="_Toc1240"/>
      <w:r>
        <w:rPr>
          <w:rFonts w:ascii="仿宋_GB2312" w:hAnsi="仿宋_GB2312" w:eastAsia="仿宋_GB2312" w:cs="仿宋_GB2312"/>
          <w:kern w:val="36"/>
        </w:rPr>
        <w:t>5管理实施要求</w:t>
      </w:r>
      <w:bookmarkEnd w:id="30"/>
    </w:p>
    <w:p>
      <w:pPr>
        <w:pStyle w:val="13"/>
        <w:numPr>
          <w:ilvl w:val="0"/>
          <w:numId w:val="1"/>
        </w:numPr>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 xml:space="preserve">实施要求                                                              </w:t>
      </w:r>
    </w:p>
    <w:p>
      <w:pPr>
        <w:pStyle w:val="13"/>
        <w:numPr>
          <w:ilvl w:val="0"/>
          <w:numId w:val="2"/>
        </w:numPr>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 xml:space="preserve">中标方应提供所有座席人员的身份信息资料。                          </w:t>
      </w:r>
    </w:p>
    <w:p>
      <w:pPr>
        <w:pStyle w:val="13"/>
        <w:numPr>
          <w:ilvl w:val="0"/>
          <w:numId w:val="2"/>
        </w:numPr>
        <w:spacing w:before="0" w:after="0" w:line="360" w:lineRule="auto"/>
        <w:ind w:left="0" w:leftChars="0" w:firstLine="0" w:firstLineChars="0"/>
        <w:rPr>
          <w:rFonts w:ascii="仿宋_GB2312" w:hAnsi="仿宋_GB2312" w:eastAsia="仿宋_GB2312" w:cs="仿宋_GB2312"/>
          <w:sz w:val="28"/>
          <w:szCs w:val="28"/>
        </w:rPr>
      </w:pPr>
      <w:r>
        <w:rPr>
          <w:rFonts w:ascii="仿宋_GB2312" w:hAnsi="仿宋_GB2312" w:eastAsia="仿宋_GB2312" w:cs="仿宋_GB2312"/>
          <w:sz w:val="28"/>
          <w:szCs w:val="28"/>
        </w:rPr>
        <w:t xml:space="preserve">服务期内发生各种事故：包括安全、交通、防火和劳资纠纷等事件均由中标方承担相应责任。        </w:t>
      </w:r>
    </w:p>
    <w:p>
      <w:pPr>
        <w:pStyle w:val="13"/>
        <w:numPr>
          <w:ilvl w:val="0"/>
          <w:numId w:val="2"/>
        </w:numPr>
        <w:spacing w:before="0" w:after="0" w:line="360" w:lineRule="auto"/>
        <w:ind w:left="0" w:leftChars="0" w:firstLine="0" w:firstLineChars="0"/>
        <w:rPr>
          <w:rFonts w:ascii="Times New Roman" w:hAnsi="Times New Roman" w:eastAsia="Times New Roman" w:cs="Times New Roman"/>
        </w:rPr>
      </w:pPr>
      <w:r>
        <w:rPr>
          <w:rFonts w:ascii="仿宋_GB2312" w:hAnsi="仿宋_GB2312" w:eastAsia="仿宋_GB2312" w:cs="仿宋_GB2312"/>
          <w:sz w:val="28"/>
          <w:szCs w:val="28"/>
        </w:rPr>
        <w:t> 中标方需确保所提供服务的工作时长，工作期间不得擅离职守，注重仪容仪表、工作态度，保证为纳税人提供准确、快捷的纳税服务。   </w:t>
      </w:r>
    </w:p>
    <w:p>
      <w:pPr>
        <w:pStyle w:val="13"/>
        <w:numPr>
          <w:ilvl w:val="0"/>
          <w:numId w:val="2"/>
        </w:numPr>
        <w:spacing w:before="0" w:after="0" w:line="360" w:lineRule="auto"/>
        <w:ind w:left="0" w:leftChars="0" w:firstLine="0" w:firstLineChars="0"/>
        <w:rPr>
          <w:rFonts w:ascii="仿宋_GB2312" w:hAnsi="仿宋_GB2312" w:eastAsia="仿宋_GB2312" w:cs="仿宋_GB2312"/>
          <w:sz w:val="28"/>
          <w:szCs w:val="28"/>
        </w:rPr>
      </w:pPr>
      <w:r>
        <w:rPr>
          <w:rFonts w:ascii="仿宋_GB2312" w:hAnsi="仿宋_GB2312" w:eastAsia="仿宋_GB2312" w:cs="仿宋_GB2312"/>
          <w:sz w:val="28"/>
          <w:szCs w:val="28"/>
        </w:rPr>
        <w:t xml:space="preserve">中标方需确保提供座席服务过程中遵守采购方各项廉洁纪律，做到认真履行工作职责，谨言慎行，坚决不做损害纳税人利益和损害税务机关形象的事情。    </w:t>
      </w:r>
    </w:p>
    <w:p>
      <w:pPr>
        <w:pStyle w:val="13"/>
        <w:numPr>
          <w:ilvl w:val="0"/>
          <w:numId w:val="2"/>
        </w:numPr>
        <w:spacing w:before="0" w:after="0" w:line="360" w:lineRule="auto"/>
        <w:ind w:left="0" w:leftChars="0" w:firstLine="0" w:firstLineChars="0"/>
        <w:rPr>
          <w:rFonts w:ascii="Times New Roman" w:hAnsi="Times New Roman" w:eastAsia="Times New Roman" w:cs="Times New Roman"/>
        </w:rPr>
      </w:pPr>
      <w:r>
        <w:rPr>
          <w:rFonts w:ascii="仿宋_GB2312" w:hAnsi="仿宋_GB2312" w:eastAsia="仿宋_GB2312" w:cs="仿宋_GB2312"/>
          <w:sz w:val="28"/>
          <w:szCs w:val="28"/>
        </w:rPr>
        <w:t>如采购方对中标方提供的人员出现3次不服从管理、违反采购方制定的相关规章制度，采购方可以要求更换，中标方必须及时且无条件的为采购方更换合格的人员。                                 </w:t>
      </w:r>
    </w:p>
    <w:p>
      <w:pPr>
        <w:pStyle w:val="13"/>
        <w:numPr>
          <w:ilvl w:val="0"/>
          <w:numId w:val="2"/>
        </w:numPr>
        <w:spacing w:before="0" w:after="0" w:line="360" w:lineRule="auto"/>
        <w:ind w:left="0" w:leftChars="0" w:firstLine="0" w:firstLineChars="0"/>
        <w:rPr>
          <w:rFonts w:ascii="Times New Roman" w:hAnsi="Times New Roman" w:eastAsia="Times New Roman" w:cs="Times New Roman"/>
        </w:rPr>
      </w:pPr>
      <w:r>
        <w:rPr>
          <w:rFonts w:ascii="仿宋_GB2312" w:hAnsi="仿宋_GB2312" w:eastAsia="仿宋_GB2312" w:cs="仿宋_GB2312"/>
          <w:sz w:val="28"/>
          <w:szCs w:val="28"/>
        </w:rPr>
        <w:t>服务期内，采购方按月度对中标方的工作质量、履约情况、工作配合度等进行综合评价，评价合格则继续履行服务合同。如项目服务未达到要求，则采购方上报监管部门终止服务合同。                       </w:t>
      </w:r>
    </w:p>
    <w:p>
      <w:pPr>
        <w:pStyle w:val="13"/>
        <w:numPr>
          <w:ilvl w:val="0"/>
          <w:numId w:val="2"/>
        </w:numPr>
        <w:spacing w:before="0" w:after="0" w:line="360" w:lineRule="auto"/>
        <w:ind w:left="0" w:leftChars="0" w:firstLine="0" w:firstLineChars="0"/>
        <w:rPr>
          <w:rFonts w:ascii="仿宋_GB2312" w:hAnsi="仿宋_GB2312" w:eastAsia="仿宋_GB2312" w:cs="仿宋_GB2312"/>
          <w:sz w:val="28"/>
          <w:szCs w:val="28"/>
        </w:rPr>
      </w:pPr>
      <w:r>
        <w:rPr>
          <w:rFonts w:ascii="仿宋_GB2312" w:hAnsi="仿宋_GB2312" w:eastAsia="仿宋_GB2312" w:cs="仿宋_GB2312"/>
          <w:sz w:val="28"/>
          <w:szCs w:val="28"/>
        </w:rPr>
        <w:t xml:space="preserve">对服务人员的撤换或辞退等须经采购方同意认可。              </w:t>
      </w:r>
    </w:p>
    <w:p>
      <w:pPr>
        <w:pStyle w:val="13"/>
        <w:numPr>
          <w:ilvl w:val="0"/>
          <w:numId w:val="1"/>
        </w:numPr>
        <w:spacing w:before="0" w:after="0" w:line="360" w:lineRule="auto"/>
        <w:ind w:left="0" w:leftChars="0" w:firstLine="0" w:firstLineChars="0"/>
        <w:rPr>
          <w:rFonts w:ascii="仿宋_GB2312" w:hAnsi="仿宋_GB2312" w:eastAsia="仿宋_GB2312" w:cs="仿宋_GB2312"/>
          <w:sz w:val="28"/>
          <w:szCs w:val="28"/>
        </w:rPr>
      </w:pPr>
      <w:r>
        <w:rPr>
          <w:rFonts w:ascii="仿宋_GB2312" w:hAnsi="仿宋_GB2312" w:eastAsia="仿宋_GB2312" w:cs="仿宋_GB2312"/>
          <w:sz w:val="28"/>
          <w:szCs w:val="28"/>
        </w:rPr>
        <w:t>应急服务要求                                               </w:t>
      </w:r>
    </w:p>
    <w:p>
      <w:pPr>
        <w:pStyle w:val="13"/>
        <w:numPr>
          <w:ilvl w:val="0"/>
          <w:numId w:val="0"/>
        </w:numPr>
        <w:spacing w:before="0" w:after="0" w:line="360" w:lineRule="auto"/>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 xml:space="preserve">  要求中标方必须建立和完善突发事件的应急预案和处理机制，防患于未然。当出现不可预知的紧急情况时，保证服务正常开展。    </w:t>
      </w:r>
    </w:p>
    <w:p>
      <w:pPr>
        <w:pStyle w:val="13"/>
        <w:numPr>
          <w:ilvl w:val="0"/>
          <w:numId w:val="1"/>
        </w:numPr>
        <w:spacing w:before="0" w:after="0" w:line="360" w:lineRule="auto"/>
        <w:ind w:left="0" w:leftChars="0" w:firstLine="0" w:firstLineChars="0"/>
        <w:rPr>
          <w:rFonts w:ascii="仿宋_GB2312" w:hAnsi="仿宋_GB2312" w:eastAsia="仿宋_GB2312" w:cs="仿宋_GB2312"/>
          <w:sz w:val="28"/>
          <w:szCs w:val="28"/>
        </w:rPr>
      </w:pPr>
      <w:r>
        <w:rPr>
          <w:rFonts w:ascii="仿宋_GB2312" w:hAnsi="仿宋_GB2312" w:eastAsia="仿宋_GB2312" w:cs="仿宋_GB2312"/>
          <w:sz w:val="28"/>
          <w:szCs w:val="28"/>
        </w:rPr>
        <w:t xml:space="preserve">人员保密要求                                          </w:t>
      </w:r>
    </w:p>
    <w:p>
      <w:pPr>
        <w:pStyle w:val="13"/>
        <w:numPr>
          <w:ilvl w:val="0"/>
          <w:numId w:val="0"/>
        </w:numPr>
        <w:spacing w:before="0" w:after="0"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ascii="仿宋_GB2312" w:hAnsi="仿宋_GB2312" w:eastAsia="仿宋_GB2312" w:cs="仿宋_GB2312"/>
          <w:sz w:val="28"/>
          <w:szCs w:val="28"/>
        </w:rPr>
        <w:t>中标方签订合同前必须按照国家相关保密规定和采购方签订《保密协议》，对违反《保密协议》相关内容规定的，采购方有权追究其法律责任。所有服务人员必须严格遵守国家、地方、行业相关保密管理政策规定。 </w:t>
      </w:r>
    </w:p>
    <w:p>
      <w:pPr>
        <w:pStyle w:val="13"/>
        <w:numPr>
          <w:ilvl w:val="0"/>
          <w:numId w:val="0"/>
        </w:numPr>
        <w:spacing w:before="0" w:after="0"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ascii="仿宋_GB2312" w:hAnsi="仿宋_GB2312" w:eastAsia="仿宋_GB2312" w:cs="仿宋_GB2312"/>
          <w:sz w:val="28"/>
          <w:szCs w:val="28"/>
        </w:rPr>
        <w:t xml:space="preserve">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        </w:t>
      </w:r>
    </w:p>
    <w:p>
      <w:pPr>
        <w:pStyle w:val="13"/>
        <w:numPr>
          <w:ilvl w:val="0"/>
          <w:numId w:val="0"/>
        </w:numPr>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（四）人员稳定性要求                                       </w:t>
      </w:r>
    </w:p>
    <w:p>
      <w:pPr>
        <w:pStyle w:val="13"/>
        <w:numPr>
          <w:ilvl w:val="0"/>
          <w:numId w:val="0"/>
        </w:numPr>
        <w:spacing w:before="0" w:after="0" w:line="360" w:lineRule="auto"/>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 xml:space="preserve">在服务期间，未经采购方同意，中标方不得随意更换座席人员。座席人员因为请假、调走、辞职或被中标方辞退等原因导致座席人员不足时，需及时安排替接人员以满足区局接听需求。服务人员因为调走、辞职或被中标方辞退等原因导致服务人员不足时，需在三天内补充，缺席人数不能同时超过2人，中标方在3天内未能及时补齐符合完成项目需求的服务人员，每月不得超过二次，否则视为中标方违约，采购方有权终止合同。    </w:t>
      </w:r>
    </w:p>
    <w:p>
      <w:pPr>
        <w:pStyle w:val="13"/>
        <w:numPr>
          <w:ilvl w:val="0"/>
          <w:numId w:val="0"/>
        </w:numPr>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 xml:space="preserve">（五）保密要求                                          </w:t>
      </w:r>
    </w:p>
    <w:p>
      <w:pPr>
        <w:pStyle w:val="13"/>
        <w:numPr>
          <w:ilvl w:val="0"/>
          <w:numId w:val="0"/>
        </w:numPr>
        <w:spacing w:before="0" w:after="0" w:line="360" w:lineRule="auto"/>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 xml:space="preserve">  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                                                                            （六）进驻和接管要求                                            </w:t>
      </w:r>
    </w:p>
    <w:p>
      <w:pPr>
        <w:pStyle w:val="13"/>
        <w:numPr>
          <w:ilvl w:val="0"/>
          <w:numId w:val="0"/>
        </w:numPr>
        <w:spacing w:before="0" w:after="0" w:line="360" w:lineRule="auto"/>
        <w:ind w:firstLine="280" w:firstLineChars="100"/>
        <w:rPr>
          <w:rFonts w:ascii="仿宋_GB2312" w:hAnsi="仿宋_GB2312" w:eastAsia="仿宋_GB2312" w:cs="仿宋_GB2312"/>
          <w:sz w:val="28"/>
          <w:szCs w:val="28"/>
        </w:rPr>
      </w:pPr>
      <w:r>
        <w:rPr>
          <w:rFonts w:ascii="仿宋_GB2312" w:hAnsi="仿宋_GB2312" w:eastAsia="仿宋_GB2312" w:cs="仿宋_GB2312"/>
          <w:sz w:val="28"/>
          <w:szCs w:val="28"/>
        </w:rPr>
        <w:t xml:space="preserve">   签订合同之日起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    </w:t>
      </w:r>
    </w:p>
    <w:p>
      <w:pPr>
        <w:pStyle w:val="13"/>
        <w:numPr>
          <w:ilvl w:val="0"/>
          <w:numId w:val="3"/>
        </w:numPr>
        <w:spacing w:before="0" w:after="0" w:line="360" w:lineRule="auto"/>
        <w:ind w:firstLine="280" w:firstLineChars="100"/>
        <w:rPr>
          <w:rFonts w:ascii="仿宋_GB2312" w:hAnsi="仿宋_GB2312" w:eastAsia="仿宋_GB2312" w:cs="仿宋_GB2312"/>
          <w:sz w:val="28"/>
          <w:szCs w:val="28"/>
        </w:rPr>
      </w:pPr>
      <w:r>
        <w:rPr>
          <w:rFonts w:ascii="仿宋_GB2312" w:hAnsi="仿宋_GB2312" w:eastAsia="仿宋_GB2312" w:cs="仿宋_GB2312"/>
          <w:sz w:val="28"/>
          <w:szCs w:val="28"/>
        </w:rPr>
        <w:t xml:space="preserve">费用分割     </w:t>
      </w:r>
    </w:p>
    <w:p>
      <w:pPr>
        <w:pStyle w:val="13"/>
        <w:numPr>
          <w:ilvl w:val="0"/>
          <w:numId w:val="4"/>
        </w:numPr>
        <w:spacing w:before="0" w:after="0" w:line="360" w:lineRule="auto"/>
        <w:ind w:left="357" w:leftChars="0" w:firstLine="0" w:firstLineChars="0"/>
        <w:jc w:val="both"/>
        <w:rPr>
          <w:rFonts w:ascii="仿宋_GB2312" w:hAnsi="仿宋_GB2312" w:eastAsia="仿宋_GB2312" w:cs="仿宋_GB2312"/>
          <w:sz w:val="28"/>
          <w:szCs w:val="28"/>
        </w:rPr>
      </w:pPr>
      <w:r>
        <w:rPr>
          <w:rFonts w:ascii="仿宋_GB2312" w:hAnsi="仿宋_GB2312" w:eastAsia="仿宋_GB2312" w:cs="仿宋_GB2312"/>
          <w:sz w:val="28"/>
          <w:szCs w:val="28"/>
        </w:rPr>
        <w:t>如因中标方引起的劳资纠纷问题，影响正常工作的，采购方有权另</w:t>
      </w:r>
    </w:p>
    <w:p>
      <w:pPr>
        <w:pStyle w:val="13"/>
        <w:numPr>
          <w:ilvl w:val="0"/>
          <w:numId w:val="0"/>
        </w:numPr>
        <w:spacing w:before="0" w:after="0" w:line="360" w:lineRule="auto"/>
        <w:jc w:val="both"/>
        <w:rPr>
          <w:rFonts w:ascii="仿宋_GB2312" w:hAnsi="仿宋_GB2312" w:eastAsia="仿宋_GB2312" w:cs="仿宋_GB2312"/>
          <w:sz w:val="28"/>
          <w:szCs w:val="28"/>
        </w:rPr>
      </w:pPr>
      <w:r>
        <w:rPr>
          <w:rFonts w:ascii="仿宋_GB2312" w:hAnsi="仿宋_GB2312" w:eastAsia="仿宋_GB2312" w:cs="仿宋_GB2312"/>
          <w:sz w:val="28"/>
          <w:szCs w:val="28"/>
        </w:rPr>
        <w:t>行聘请人员确保正常工作，所产生的费用由中标方承担，采购方不承担所产生的任何费用。                                                 </w:t>
      </w:r>
    </w:p>
    <w:p>
      <w:pPr>
        <w:pStyle w:val="13"/>
        <w:numPr>
          <w:ilvl w:val="0"/>
          <w:numId w:val="0"/>
        </w:numPr>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 xml:space="preserve">    2.中标方在合同生效前对全部座席人员完成岗前培训，保障本项目在合同生效后顺利开展。培训实施后，对参加培训的座席人员进行考核，要求事先编制详细的考核计划和考核标准，考核通过后方可正式上岗。</w:t>
      </w:r>
    </w:p>
    <w:p>
      <w:pPr>
        <w:spacing w:before="0" w:after="0" w:line="360" w:lineRule="auto"/>
        <w:ind w:firstLine="280" w:firstLineChars="100"/>
        <w:rPr>
          <w:rFonts w:ascii="FangSong_GB2312" w:hAnsi="FangSong_GB2312" w:eastAsia="FangSong_GB2312" w:cs="FangSong_GB2312"/>
          <w:sz w:val="28"/>
          <w:szCs w:val="28"/>
        </w:rPr>
      </w:pPr>
      <w:r>
        <w:rPr>
          <w:rFonts w:ascii="FangSong_GB2312" w:hAnsi="FangSong_GB2312" w:eastAsia="FangSong_GB2312" w:cs="FangSong_GB2312"/>
          <w:sz w:val="28"/>
          <w:szCs w:val="28"/>
        </w:rPr>
        <w:t xml:space="preserve"> 3. </w:t>
      </w:r>
      <w:r>
        <w:rPr>
          <w:rFonts w:ascii="仿宋_GB2312" w:hAnsi="仿宋_GB2312" w:eastAsia="仿宋_GB2312" w:cs="仿宋_GB2312"/>
          <w:sz w:val="28"/>
          <w:szCs w:val="28"/>
        </w:rPr>
        <w:t>本项目开展工作所需的场地、办公家具、软硬件设备、水电费用、网络费用等由采购人承担。</w:t>
      </w:r>
    </w:p>
    <w:p>
      <w:pPr>
        <w:pStyle w:val="13"/>
        <w:spacing w:before="0" w:after="0" w:line="360" w:lineRule="auto"/>
        <w:ind w:firstLine="280" w:firstLineChars="100"/>
        <w:rPr>
          <w:rFonts w:ascii="Times New Roman" w:hAnsi="Times New Roman" w:eastAsia="Times New Roman" w:cs="Times New Roman"/>
        </w:rPr>
      </w:pPr>
      <w:r>
        <w:rPr>
          <w:rFonts w:ascii="仿宋_GB2312" w:hAnsi="仿宋_GB2312" w:eastAsia="仿宋_GB2312" w:cs="仿宋_GB2312"/>
          <w:sz w:val="28"/>
          <w:szCs w:val="28"/>
        </w:rPr>
        <w:t> 4. 项目座席人员工装费用、15套接听设备</w:t>
      </w:r>
      <w:bookmarkStart w:id="41" w:name="_GoBack"/>
      <w:bookmarkEnd w:id="41"/>
      <w:r>
        <w:rPr>
          <w:rFonts w:ascii="仿宋_GB2312" w:hAnsi="仿宋_GB2312" w:eastAsia="仿宋_GB2312" w:cs="仿宋_GB2312"/>
          <w:sz w:val="28"/>
          <w:szCs w:val="28"/>
        </w:rPr>
        <w:t>由中标供应商承担。</w:t>
      </w:r>
    </w:p>
    <w:p>
      <w:pPr>
        <w:pStyle w:val="13"/>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 xml:space="preserve"> （八）履约责任                                                    </w:t>
      </w:r>
    </w:p>
    <w:p>
      <w:pPr>
        <w:pStyle w:val="13"/>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ascii="仿宋_GB2312" w:hAnsi="仿宋_GB2312" w:eastAsia="仿宋_GB2312" w:cs="仿宋_GB2312"/>
          <w:sz w:val="28"/>
          <w:szCs w:val="28"/>
        </w:rPr>
        <w:t> 1.中标供应商在服务过程中应满足本需求书提出的运行质量标准，若出现重大失误或重大事故并给国家税务总局天津市北辰区税务局造成损失，国家税务总局天津市北辰区税务局有权终止合同，停止付款并要求中标供应商赔偿实际造成的损失。                                                                             </w:t>
      </w:r>
      <w:r>
        <w:rPr>
          <w:rFonts w:hint="eastAsia" w:ascii="仿宋_GB2312" w:hAnsi="仿宋_GB2312" w:eastAsia="仿宋_GB2312" w:cs="仿宋_GB2312"/>
          <w:sz w:val="28"/>
          <w:szCs w:val="28"/>
          <w:lang w:val="en-US" w:eastAsia="zh-CN"/>
        </w:rPr>
        <w:t xml:space="preserve">   </w:t>
      </w:r>
      <w:r>
        <w:rPr>
          <w:rFonts w:ascii="仿宋_GB2312" w:hAnsi="仿宋_GB2312" w:eastAsia="仿宋_GB2312" w:cs="仿宋_GB2312"/>
          <w:sz w:val="28"/>
          <w:szCs w:val="28"/>
        </w:rPr>
        <w:t>2.中标供应商每月度服务质效考核验收未达到规定标准的，国家税务总局天津市北辰区税务局按照供应商月度服务费的1‰-5‰进行扣减。     </w:t>
      </w:r>
    </w:p>
    <w:p>
      <w:pPr>
        <w:pStyle w:val="13"/>
        <w:spacing w:before="0" w:after="0" w:line="360" w:lineRule="auto"/>
        <w:ind w:firstLine="280" w:firstLineChars="100"/>
        <w:rPr>
          <w:rFonts w:ascii="仿宋_GB2312" w:hAnsi="仿宋_GB2312" w:eastAsia="仿宋_GB2312" w:cs="仿宋_GB2312"/>
          <w:sz w:val="28"/>
          <w:szCs w:val="28"/>
        </w:rPr>
      </w:pPr>
      <w:r>
        <w:rPr>
          <w:rFonts w:ascii="仿宋_GB2312" w:hAnsi="仿宋_GB2312" w:eastAsia="仿宋_GB2312" w:cs="仿宋_GB2312"/>
          <w:sz w:val="28"/>
          <w:szCs w:val="28"/>
        </w:rPr>
        <w:t xml:space="preserve"> 3.中标供应商每月度评价满意率低于要求的，国家税务总局天津市北辰区税务局按照供应商月度服务费的1‰-5‰进行扣减。                  </w:t>
      </w:r>
    </w:p>
    <w:p>
      <w:pPr>
        <w:pStyle w:val="13"/>
        <w:spacing w:before="0" w:after="0" w:line="360" w:lineRule="auto"/>
        <w:rPr>
          <w:rFonts w:ascii="仿宋_GB2312" w:hAnsi="仿宋_GB2312" w:eastAsia="仿宋_GB2312" w:cs="仿宋_GB2312"/>
          <w:sz w:val="28"/>
          <w:szCs w:val="28"/>
        </w:rPr>
      </w:pP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ascii="仿宋_GB2312" w:hAnsi="仿宋_GB2312" w:eastAsia="仿宋_GB2312" w:cs="仿宋_GB2312"/>
          <w:sz w:val="28"/>
          <w:szCs w:val="28"/>
        </w:rPr>
        <w:t>4.中标供应商每月度被投诉数量超过来电总量的万分之一，经国家税务总局天津市北辰区税务局调查属实且认为投诉合理则按照供应商月度服务费的1‰-5‰进行扣减。                                               </w:t>
      </w:r>
    </w:p>
    <w:p>
      <w:pPr>
        <w:pStyle w:val="13"/>
        <w:spacing w:before="0" w:after="0" w:line="360" w:lineRule="auto"/>
        <w:ind w:firstLine="280" w:firstLineChars="100"/>
        <w:rPr>
          <w:rFonts w:ascii="仿宋_GB2312" w:hAnsi="仿宋_GB2312" w:eastAsia="仿宋_GB2312" w:cs="仿宋_GB2312"/>
          <w:sz w:val="28"/>
          <w:szCs w:val="28"/>
        </w:rPr>
      </w:pPr>
      <w:r>
        <w:rPr>
          <w:rFonts w:ascii="仿宋_GB2312" w:hAnsi="仿宋_GB2312" w:eastAsia="仿宋_GB2312" w:cs="仿宋_GB2312"/>
          <w:sz w:val="28"/>
          <w:szCs w:val="28"/>
        </w:rPr>
        <w:t xml:space="preserve"> 5.中标供应商运行管理不到位、服务不规范、未按照要求履行工作职责产生负面影响的，或被通报批评产生负面影响的，国家税务总局天津市北辰区税务局按照供应商月度服务费的1‰-5‰进行扣减。            </w:t>
      </w:r>
    </w:p>
    <w:p>
      <w:pPr>
        <w:pStyle w:val="13"/>
        <w:spacing w:before="0" w:after="0" w:line="360" w:lineRule="auto"/>
        <w:ind w:firstLine="280" w:firstLineChars="100"/>
        <w:rPr>
          <w:rFonts w:ascii="仿宋_GB2312" w:hAnsi="仿宋_GB2312" w:eastAsia="仿宋_GB2312" w:cs="仿宋_GB2312"/>
          <w:sz w:val="28"/>
          <w:szCs w:val="28"/>
        </w:rPr>
      </w:pPr>
      <w:r>
        <w:rPr>
          <w:rFonts w:ascii="仿宋_GB2312" w:hAnsi="仿宋_GB2312" w:eastAsia="仿宋_GB2312" w:cs="仿宋_GB2312"/>
          <w:sz w:val="28"/>
          <w:szCs w:val="28"/>
        </w:rPr>
        <w:t xml:space="preserve"> 6.未经采购方同意，中标方不得将承包项目发包或转包，否则，视为中标方违约，采购方有权解除服务合同。 7.若中标方在1年内违反其服务承诺或以下情况三次或以上，则视为中标方违约，采购方有权拒绝支付本期项目服务费，并终止合同。                                  </w:t>
      </w:r>
    </w:p>
    <w:p>
      <w:pPr>
        <w:pStyle w:val="13"/>
        <w:spacing w:before="0" w:after="0" w:line="360" w:lineRule="auto"/>
        <w:ind w:firstLine="280" w:firstLineChars="100"/>
        <w:rPr>
          <w:rFonts w:ascii="仿宋_GB2312" w:hAnsi="仿宋_GB2312" w:eastAsia="仿宋_GB2312" w:cs="仿宋_GB2312"/>
          <w:sz w:val="28"/>
          <w:szCs w:val="28"/>
        </w:rPr>
      </w:pPr>
      <w:r>
        <w:rPr>
          <w:rFonts w:ascii="仿宋_GB2312" w:hAnsi="仿宋_GB2312" w:eastAsia="仿宋_GB2312" w:cs="仿宋_GB2312"/>
          <w:sz w:val="28"/>
          <w:szCs w:val="28"/>
        </w:rPr>
        <w:t>（1）非税务机关责任，导致服务出现质量问题。             </w:t>
      </w:r>
    </w:p>
    <w:p>
      <w:pPr>
        <w:pStyle w:val="13"/>
        <w:spacing w:before="0" w:after="0" w:line="360" w:lineRule="auto"/>
        <w:ind w:firstLine="280" w:firstLineChars="100"/>
        <w:rPr>
          <w:rFonts w:ascii="Times New Roman" w:hAnsi="Times New Roman" w:eastAsia="Times New Roman" w:cs="Times New Roman"/>
        </w:rPr>
      </w:pPr>
      <w:r>
        <w:rPr>
          <w:rFonts w:ascii="仿宋_GB2312" w:hAnsi="仿宋_GB2312" w:eastAsia="仿宋_GB2312" w:cs="仿宋_GB2312"/>
          <w:sz w:val="28"/>
          <w:szCs w:val="28"/>
        </w:rPr>
        <w:t>（2）没有按照采购方要求对服务人员进行管理、培训、调配。</w:t>
      </w:r>
    </w:p>
    <w:p>
      <w:pPr>
        <w:pStyle w:val="2"/>
        <w:keepNext w:val="0"/>
        <w:spacing w:before="0" w:after="0" w:line="360" w:lineRule="auto"/>
        <w:jc w:val="center"/>
        <w:rPr>
          <w:rFonts w:ascii="仿宋_GB2312" w:hAnsi="仿宋_GB2312" w:eastAsia="仿宋_GB2312" w:cs="仿宋_GB2312"/>
          <w:b/>
          <w:bCs/>
          <w:sz w:val="32"/>
          <w:szCs w:val="32"/>
        </w:rPr>
      </w:pPr>
      <w:bookmarkStart w:id="31" w:name="_Toc5357"/>
      <w:r>
        <w:rPr>
          <w:rFonts w:ascii="仿宋_GB2312" w:hAnsi="仿宋_GB2312" w:eastAsia="仿宋_GB2312" w:cs="仿宋_GB2312"/>
          <w:kern w:val="36"/>
        </w:rPr>
        <w:t>6风险管控要求</w:t>
      </w:r>
      <w:bookmarkEnd w:id="31"/>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 </w:t>
      </w:r>
      <w:r>
        <w:rPr>
          <w:rFonts w:hint="eastAsia" w:ascii="仿宋_GB2312" w:hAnsi="仿宋_GB2312" w:eastAsia="仿宋_GB2312" w:cs="仿宋_GB2312"/>
          <w:sz w:val="28"/>
          <w:szCs w:val="28"/>
          <w:lang w:val="en-US" w:eastAsia="zh-CN"/>
        </w:rPr>
        <w:t xml:space="preserve">  </w:t>
      </w:r>
      <w:r>
        <w:rPr>
          <w:rFonts w:ascii="仿宋_GB2312" w:hAnsi="仿宋_GB2312" w:eastAsia="仿宋_GB2312" w:cs="仿宋_GB2312"/>
          <w:sz w:val="28"/>
          <w:szCs w:val="28"/>
        </w:rPr>
        <w:t xml:space="preserve">  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采取应急措施,最大限度减少各方损失。</w:t>
      </w:r>
    </w:p>
    <w:p>
      <w:pPr>
        <w:pStyle w:val="2"/>
        <w:keepNext w:val="0"/>
        <w:spacing w:before="0" w:after="0" w:line="360" w:lineRule="auto"/>
        <w:jc w:val="center"/>
        <w:rPr>
          <w:rFonts w:ascii="仿宋_GB2312" w:hAnsi="仿宋_GB2312" w:eastAsia="仿宋_GB2312" w:cs="仿宋_GB2312"/>
          <w:b/>
          <w:bCs/>
          <w:sz w:val="32"/>
          <w:szCs w:val="32"/>
        </w:rPr>
      </w:pPr>
      <w:bookmarkStart w:id="32" w:name="_Toc10449"/>
      <w:r>
        <w:rPr>
          <w:rFonts w:ascii="仿宋_GB2312" w:hAnsi="仿宋_GB2312" w:eastAsia="仿宋_GB2312" w:cs="仿宋_GB2312"/>
          <w:kern w:val="36"/>
        </w:rPr>
        <w:t>7履约验收要求</w:t>
      </w:r>
      <w:bookmarkEnd w:id="32"/>
    </w:p>
    <w:p>
      <w:pPr>
        <w:pStyle w:val="3"/>
        <w:keepNext w:val="0"/>
        <w:spacing w:before="0" w:after="0" w:line="360" w:lineRule="auto"/>
        <w:rPr>
          <w:rFonts w:ascii="仿宋_GB2312" w:hAnsi="仿宋_GB2312" w:eastAsia="仿宋_GB2312" w:cs="仿宋_GB2312"/>
          <w:b/>
          <w:bCs/>
          <w:sz w:val="28"/>
          <w:szCs w:val="28"/>
        </w:rPr>
      </w:pPr>
      <w:bookmarkStart w:id="33" w:name="_Toc32551"/>
      <w:r>
        <w:rPr>
          <w:rFonts w:ascii="仿宋_GB2312" w:hAnsi="仿宋_GB2312" w:eastAsia="仿宋_GB2312" w:cs="仿宋_GB2312"/>
          <w:i w:val="0"/>
          <w:iCs w:val="0"/>
        </w:rPr>
        <w:t>7.1总体要求</w:t>
      </w:r>
      <w:bookmarkEnd w:id="33"/>
    </w:p>
    <w:tbl>
      <w:tblPr>
        <w:tblStyle w:val="9"/>
        <w:tblW w:w="5000" w:type="pct"/>
        <w:tblInd w:w="30" w:type="dxa"/>
        <w:tblLayout w:type="autofit"/>
        <w:tblCellMar>
          <w:top w:w="15" w:type="dxa"/>
          <w:left w:w="15" w:type="dxa"/>
          <w:bottom w:w="15" w:type="dxa"/>
          <w:right w:w="15" w:type="dxa"/>
        </w:tblCellMar>
      </w:tblPr>
      <w:tblGrid>
        <w:gridCol w:w="4535"/>
        <w:gridCol w:w="453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合同签订生效后，甲方按月进行服务质量验收，根据阶段性验收结果按季度支付服务费。</w:t>
            </w:r>
          </w:p>
        </w:tc>
      </w:tr>
    </w:tbl>
    <w:p>
      <w:pPr>
        <w:pStyle w:val="3"/>
        <w:keepNext w:val="0"/>
        <w:spacing w:before="0" w:after="0" w:line="360" w:lineRule="auto"/>
        <w:rPr>
          <w:rFonts w:ascii="仿宋_GB2312" w:hAnsi="仿宋_GB2312" w:eastAsia="仿宋_GB2312" w:cs="仿宋_GB2312"/>
          <w:b/>
          <w:bCs/>
          <w:sz w:val="28"/>
          <w:szCs w:val="28"/>
        </w:rPr>
      </w:pPr>
      <w:bookmarkStart w:id="34" w:name="_Toc27345"/>
      <w:r>
        <w:rPr>
          <w:rFonts w:ascii="仿宋_GB2312" w:hAnsi="仿宋_GB2312" w:eastAsia="仿宋_GB2312" w:cs="仿宋_GB2312"/>
          <w:i w:val="0"/>
          <w:iCs w:val="0"/>
        </w:rPr>
        <w:t>7.2具体要求</w:t>
      </w:r>
      <w:bookmarkEnd w:id="34"/>
    </w:p>
    <w:p>
      <w:pPr>
        <w:pStyle w:val="12"/>
        <w:spacing w:before="0" w:after="0" w:line="360" w:lineRule="auto"/>
        <w:ind w:firstLine="640"/>
        <w:rPr>
          <w:rFonts w:ascii="仿宋_GB2312" w:hAnsi="仿宋_GB2312" w:eastAsia="仿宋_GB2312" w:cs="仿宋_GB2312"/>
          <w:sz w:val="28"/>
          <w:szCs w:val="28"/>
        </w:rPr>
      </w:pPr>
      <w:r>
        <w:rPr>
          <w:rFonts w:hint="eastAsia" w:ascii="仿宋_GB2312" w:hAnsi="仿宋_GB2312" w:eastAsia="仿宋_GB2312" w:cs="仿宋_GB2312"/>
          <w:sz w:val="28"/>
          <w:szCs w:val="28"/>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pStyle w:val="2"/>
        <w:keepNext w:val="0"/>
        <w:spacing w:before="0" w:after="0" w:line="360" w:lineRule="auto"/>
        <w:jc w:val="center"/>
        <w:rPr>
          <w:rFonts w:ascii="仿宋_GB2312" w:hAnsi="仿宋_GB2312" w:eastAsia="仿宋_GB2312" w:cs="仿宋_GB2312"/>
          <w:b/>
          <w:bCs/>
          <w:sz w:val="32"/>
          <w:szCs w:val="32"/>
        </w:rPr>
      </w:pPr>
      <w:bookmarkStart w:id="35" w:name="_Toc11712"/>
      <w:r>
        <w:rPr>
          <w:rFonts w:ascii="仿宋_GB2312" w:hAnsi="仿宋_GB2312" w:eastAsia="仿宋_GB2312" w:cs="仿宋_GB2312"/>
          <w:kern w:val="36"/>
        </w:rPr>
        <w:t>8其他要求</w:t>
      </w:r>
      <w:bookmarkEnd w:id="35"/>
    </w:p>
    <w:p>
      <w:pPr>
        <w:pStyle w:val="3"/>
        <w:keepNext w:val="0"/>
        <w:spacing w:before="0" w:after="0" w:line="360" w:lineRule="auto"/>
        <w:rPr>
          <w:rFonts w:ascii="仿宋_GB2312" w:hAnsi="仿宋_GB2312" w:eastAsia="仿宋_GB2312" w:cs="仿宋_GB2312"/>
          <w:b/>
          <w:bCs/>
          <w:sz w:val="28"/>
          <w:szCs w:val="28"/>
        </w:rPr>
      </w:pPr>
      <w:bookmarkStart w:id="36" w:name="_Toc7518"/>
      <w:r>
        <w:rPr>
          <w:rFonts w:ascii="仿宋_GB2312" w:hAnsi="仿宋_GB2312" w:eastAsia="仿宋_GB2312" w:cs="仿宋_GB2312"/>
          <w:i w:val="0"/>
          <w:iCs w:val="0"/>
        </w:rPr>
        <w:t>8.1必备要求</w:t>
      </w:r>
      <w:bookmarkEnd w:id="36"/>
    </w:p>
    <w:p>
      <w:pPr>
        <w:pStyle w:val="4"/>
        <w:keepNext w:val="0"/>
        <w:spacing w:before="0" w:after="0" w:line="360" w:lineRule="auto"/>
        <w:rPr>
          <w:rFonts w:ascii="仿宋_GB2312" w:hAnsi="仿宋_GB2312" w:eastAsia="仿宋_GB2312" w:cs="仿宋_GB2312"/>
          <w:b/>
          <w:bCs/>
          <w:sz w:val="28"/>
          <w:szCs w:val="28"/>
        </w:rPr>
      </w:pPr>
      <w:bookmarkStart w:id="37" w:name="_Toc1718"/>
      <w:r>
        <w:rPr>
          <w:rFonts w:ascii="仿宋_GB2312" w:hAnsi="仿宋_GB2312" w:eastAsia="仿宋_GB2312" w:cs="仿宋_GB2312"/>
          <w:sz w:val="28"/>
          <w:szCs w:val="28"/>
        </w:rPr>
        <w:t>8.1.1通用必备要求</w:t>
      </w:r>
      <w:bookmarkEnd w:id="37"/>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3"/>
        <w:keepNext w:val="0"/>
        <w:spacing w:before="0" w:after="0" w:line="360" w:lineRule="auto"/>
        <w:rPr>
          <w:rFonts w:ascii="仿宋_GB2312" w:hAnsi="仿宋_GB2312" w:eastAsia="仿宋_GB2312" w:cs="仿宋_GB2312"/>
          <w:b/>
          <w:bCs/>
          <w:sz w:val="28"/>
          <w:szCs w:val="28"/>
        </w:rPr>
      </w:pPr>
      <w:bookmarkStart w:id="38" w:name="_Toc15811"/>
      <w:r>
        <w:rPr>
          <w:rFonts w:ascii="仿宋_GB2312" w:hAnsi="仿宋_GB2312" w:eastAsia="仿宋_GB2312" w:cs="仿宋_GB2312"/>
          <w:i w:val="0"/>
          <w:iCs w:val="0"/>
        </w:rPr>
        <w:t>8.2付款安排建议</w:t>
      </w:r>
      <w:bookmarkEnd w:id="38"/>
    </w:p>
    <w:tbl>
      <w:tblPr>
        <w:tblStyle w:val="9"/>
        <w:tblW w:w="5000" w:type="pct"/>
        <w:tblInd w:w="30" w:type="dxa"/>
        <w:tblLayout w:type="autofit"/>
        <w:tblCellMar>
          <w:top w:w="15" w:type="dxa"/>
          <w:left w:w="15" w:type="dxa"/>
          <w:bottom w:w="15" w:type="dxa"/>
          <w:right w:w="15" w:type="dxa"/>
        </w:tblCellMar>
      </w:tblPr>
      <w:tblGrid>
        <w:gridCol w:w="1814"/>
        <w:gridCol w:w="5442"/>
        <w:gridCol w:w="1814"/>
      </w:tblGrid>
      <w:tr>
        <w:tblPrEx>
          <w:tblCellMar>
            <w:top w:w="15" w:type="dxa"/>
            <w:left w:w="15" w:type="dxa"/>
            <w:bottom w:w="15" w:type="dxa"/>
            <w:right w:w="15" w:type="dxa"/>
          </w:tblCellMar>
        </w:tblPrEx>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合同签订生效后，甲方按月进行服务质量验收，根据阶段性验收结果按季度支付服务费。乙方向甲方提供正式发票，甲方在收到发票后10个工作日内支付乙方服务费（特殊情况以签订合同为准）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100.0</w:t>
            </w:r>
          </w:p>
        </w:tc>
      </w:tr>
    </w:tbl>
    <w:p>
      <w:pPr>
        <w:pStyle w:val="3"/>
        <w:keepNext w:val="0"/>
        <w:spacing w:before="0" w:after="0" w:line="360" w:lineRule="auto"/>
        <w:rPr>
          <w:rFonts w:ascii="仿宋_GB2312" w:hAnsi="仿宋_GB2312" w:eastAsia="仿宋_GB2312" w:cs="仿宋_GB2312"/>
          <w:b/>
          <w:bCs/>
          <w:sz w:val="28"/>
          <w:szCs w:val="28"/>
        </w:rPr>
      </w:pPr>
      <w:bookmarkStart w:id="39" w:name="_Toc11337"/>
      <w:r>
        <w:rPr>
          <w:rFonts w:ascii="仿宋_GB2312" w:hAnsi="仿宋_GB2312" w:eastAsia="仿宋_GB2312" w:cs="仿宋_GB2312"/>
          <w:i w:val="0"/>
          <w:iCs w:val="0"/>
        </w:rPr>
        <w:t>8.3其他要求</w:t>
      </w:r>
      <w:bookmarkEnd w:id="39"/>
    </w:p>
    <w:p>
      <w:pPr>
        <w:pStyle w:val="4"/>
        <w:keepNext w:val="0"/>
        <w:spacing w:before="0" w:after="0" w:line="360" w:lineRule="auto"/>
        <w:rPr>
          <w:rFonts w:ascii="仿宋_GB2312" w:hAnsi="仿宋_GB2312" w:eastAsia="仿宋_GB2312" w:cs="仿宋_GB2312"/>
          <w:b/>
          <w:bCs/>
          <w:sz w:val="28"/>
          <w:szCs w:val="28"/>
        </w:rPr>
      </w:pPr>
      <w:bookmarkStart w:id="40" w:name="_Toc7907"/>
      <w:r>
        <w:rPr>
          <w:rFonts w:ascii="仿宋_GB2312" w:hAnsi="仿宋_GB2312" w:eastAsia="仿宋_GB2312" w:cs="仿宋_GB2312"/>
          <w:sz w:val="28"/>
          <w:szCs w:val="28"/>
        </w:rPr>
        <w:t>8.3.1保密要求</w:t>
      </w:r>
      <w:bookmarkEnd w:id="40"/>
    </w:p>
    <w:p>
      <w:pPr>
        <w:pStyle w:val="14"/>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1.中标方签订合同前必须按照国家相关保密规定和采购方签订《保密协议》，对违反《保密协议》相关内容规定的，采购方有权追究其法律责任。所有服务人员必须严格遵守国家、地方、行业相关保密管理政策规定。</w:t>
      </w:r>
    </w:p>
    <w:p>
      <w:pPr>
        <w:pStyle w:val="14"/>
        <w:spacing w:before="0" w:after="0" w:line="360" w:lineRule="auto"/>
        <w:ind w:left="0" w:firstLine="640"/>
        <w:jc w:val="both"/>
        <w:rPr>
          <w:rFonts w:ascii="Times New Roman" w:hAnsi="Times New Roman" w:eastAsia="Times New Roman" w:cs="Times New Roman"/>
        </w:rPr>
      </w:pPr>
      <w:r>
        <w:rPr>
          <w:rFonts w:ascii="仿宋_GB2312" w:hAnsi="仿宋_GB2312" w:eastAsia="仿宋_GB2312" w:cs="仿宋_GB2312"/>
          <w:sz w:val="28"/>
          <w:szCs w:val="28"/>
        </w:rPr>
        <w:t>2.中标方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pPr>
        <w:spacing w:before="0" w:after="0" w:line="360" w:lineRule="auto"/>
        <w:jc w:val="left"/>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13</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C0D275"/>
    <w:multiLevelType w:val="singleLevel"/>
    <w:tmpl w:val="88C0D275"/>
    <w:lvl w:ilvl="0" w:tentative="0">
      <w:start w:val="7"/>
      <w:numFmt w:val="chineseCounting"/>
      <w:suff w:val="nothing"/>
      <w:lvlText w:val="（%1）"/>
      <w:lvlJc w:val="left"/>
      <w:rPr>
        <w:rFonts w:hint="eastAsia"/>
      </w:rPr>
    </w:lvl>
  </w:abstractNum>
  <w:abstractNum w:abstractNumId="1">
    <w:nsid w:val="E8FBCFDA"/>
    <w:multiLevelType w:val="singleLevel"/>
    <w:tmpl w:val="E8FBCFDA"/>
    <w:lvl w:ilvl="0" w:tentative="0">
      <w:start w:val="1"/>
      <w:numFmt w:val="decimal"/>
      <w:lvlText w:val="%1."/>
      <w:lvlJc w:val="left"/>
      <w:pPr>
        <w:tabs>
          <w:tab w:val="left" w:pos="312"/>
        </w:tabs>
        <w:ind w:left="357" w:leftChars="0" w:firstLine="0" w:firstLineChars="0"/>
      </w:pPr>
    </w:lvl>
  </w:abstractNum>
  <w:abstractNum w:abstractNumId="2">
    <w:nsid w:val="6A97C616"/>
    <w:multiLevelType w:val="singleLevel"/>
    <w:tmpl w:val="6A97C616"/>
    <w:lvl w:ilvl="0" w:tentative="0">
      <w:start w:val="1"/>
      <w:numFmt w:val="chineseCounting"/>
      <w:suff w:val="nothing"/>
      <w:lvlText w:val="（%1）"/>
      <w:lvlJc w:val="left"/>
      <w:rPr>
        <w:rFonts w:hint="eastAsia"/>
      </w:rPr>
    </w:lvl>
  </w:abstractNum>
  <w:abstractNum w:abstractNumId="3">
    <w:nsid w:val="6B79FFB3"/>
    <w:multiLevelType w:val="singleLevel"/>
    <w:tmpl w:val="6B79FFB3"/>
    <w:lvl w:ilvl="0" w:tentative="0">
      <w:start w:val="1"/>
      <w:numFmt w:val="decimal"/>
      <w:lvlText w:val="%1."/>
      <w:lvlJc w:val="left"/>
      <w:pPr>
        <w:tabs>
          <w:tab w:val="left" w:pos="312"/>
        </w:tabs>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05F613C7"/>
    <w:rsid w:val="05FA7CFA"/>
    <w:rsid w:val="080F49BC"/>
    <w:rsid w:val="0B676BC5"/>
    <w:rsid w:val="1093553E"/>
    <w:rsid w:val="1423579A"/>
    <w:rsid w:val="14950F51"/>
    <w:rsid w:val="18636F7E"/>
    <w:rsid w:val="196056B2"/>
    <w:rsid w:val="1FA75A7B"/>
    <w:rsid w:val="221D779E"/>
    <w:rsid w:val="22A41BE1"/>
    <w:rsid w:val="281B425C"/>
    <w:rsid w:val="28FF7D52"/>
    <w:rsid w:val="2973228F"/>
    <w:rsid w:val="2A583806"/>
    <w:rsid w:val="2BB53743"/>
    <w:rsid w:val="2F9A7BA6"/>
    <w:rsid w:val="35577112"/>
    <w:rsid w:val="3A572A48"/>
    <w:rsid w:val="3B690306"/>
    <w:rsid w:val="3E8527A2"/>
    <w:rsid w:val="3EDD53AF"/>
    <w:rsid w:val="410A302B"/>
    <w:rsid w:val="41471FA6"/>
    <w:rsid w:val="41BF2EE9"/>
    <w:rsid w:val="42092064"/>
    <w:rsid w:val="442D0F7F"/>
    <w:rsid w:val="45EB6847"/>
    <w:rsid w:val="4B356A42"/>
    <w:rsid w:val="4B411887"/>
    <w:rsid w:val="508C0AB4"/>
    <w:rsid w:val="51203526"/>
    <w:rsid w:val="513037C0"/>
    <w:rsid w:val="532838FB"/>
    <w:rsid w:val="5D40278C"/>
    <w:rsid w:val="616131D1"/>
    <w:rsid w:val="65931931"/>
    <w:rsid w:val="65BE6493"/>
    <w:rsid w:val="69D925B6"/>
    <w:rsid w:val="6AB91C24"/>
    <w:rsid w:val="6BBF2F4D"/>
    <w:rsid w:val="6BDE1A06"/>
    <w:rsid w:val="73707BF4"/>
    <w:rsid w:val="76741165"/>
    <w:rsid w:val="7A9A6032"/>
    <w:rsid w:val="7D1763C6"/>
    <w:rsid w:val="7F063673"/>
    <w:rsid w:val="7F3659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0"/>
    <w:pPr>
      <w:ind w:left="480"/>
    </w:pPr>
  </w:style>
  <w:style w:type="paragraph" w:styleId="7">
    <w:name w:val="toc 1"/>
    <w:basedOn w:val="1"/>
    <w:next w:val="1"/>
    <w:qFormat/>
    <w:uiPriority w:val="0"/>
  </w:style>
  <w:style w:type="paragraph" w:styleId="8">
    <w:name w:val="toc 2"/>
    <w:basedOn w:val="1"/>
    <w:next w:val="1"/>
    <w:qFormat/>
    <w:uiPriority w:val="0"/>
    <w:pPr>
      <w:ind w:left="240"/>
    </w:pPr>
  </w:style>
  <w:style w:type="character" w:styleId="11">
    <w:name w:val="Hyperlink"/>
    <w:basedOn w:val="10"/>
    <w:qFormat/>
    <w:uiPriority w:val="0"/>
    <w:rPr>
      <w:color w:val="0000FF"/>
      <w:u w:val="single"/>
    </w:rPr>
  </w:style>
  <w:style w:type="paragraph" w:customStyle="1" w:styleId="12">
    <w:name w:val="15"/>
    <w:basedOn w:val="1"/>
    <w:qFormat/>
    <w:uiPriority w:val="0"/>
  </w:style>
  <w:style w:type="paragraph" w:customStyle="1" w:styleId="13">
    <w:name w:val="MsoNormal"/>
    <w:basedOn w:val="1"/>
    <w:qFormat/>
    <w:uiPriority w:val="0"/>
  </w:style>
  <w:style w:type="paragraph" w:customStyle="1" w:styleId="14">
    <w:name w:val="16"/>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13</Pages>
  <Words>0</Words>
  <Characters>0</Characters>
  <Lines>1</Lines>
  <Paragraphs>1</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2024-12-12T06:44:00Z</dcterms:created>
  <dc:creator>Administrator</dc:creator>
  <cp:lastModifiedBy>刘光娟</cp:lastModifiedBy>
  <dcterms:modified xsi:type="dcterms:W3CDTF">2024-12-13T05:54:28Z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2A6194E29DD643A4A0B9CC68B83F71DF</vt:lpwstr>
  </property>
</Properties>
</file>