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sz w:val="84"/>
        </w:rPr>
      </w:pPr>
    </w:p>
    <w:p>
      <w:pPr>
        <w:ind w:right="105"/>
        <w:jc w:val="right"/>
        <w:rPr>
          <w:rFonts w:eastAsia="黑体"/>
          <w:b/>
          <w:spacing w:val="40"/>
          <w:w w:val="66"/>
          <w:sz w:val="60"/>
          <w:szCs w:val="60"/>
        </w:rPr>
      </w:pPr>
      <w:r>
        <w:rPr>
          <w:rFonts w:hint="eastAsia" w:eastAsia="黑体"/>
          <w:b/>
          <w:spacing w:val="40"/>
          <w:w w:val="66"/>
          <w:sz w:val="60"/>
          <w:szCs w:val="60"/>
        </w:rPr>
        <w:t>国家税务总局天津市河西区税务局越秀路、浦口道及徽州道办公区物业管理项目</w:t>
      </w:r>
    </w:p>
    <w:p>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pPr>
        <w:ind w:right="1025"/>
        <w:jc w:val="center"/>
        <w:rPr>
          <w:rFonts w:eastAsia="黑体"/>
          <w:b/>
          <w:spacing w:val="40"/>
          <w:w w:val="66"/>
          <w:sz w:val="60"/>
          <w:szCs w:val="60"/>
        </w:rPr>
      </w:pPr>
    </w:p>
    <w:p>
      <w:pPr>
        <w:jc w:val="center"/>
        <w:rPr>
          <w:rFonts w:eastAsia="黑体"/>
          <w:b/>
          <w:spacing w:val="40"/>
          <w:w w:val="66"/>
          <w:sz w:val="15"/>
          <w:szCs w:val="15"/>
        </w:rPr>
      </w:pPr>
      <w:r>
        <w:rPr>
          <w:rFonts w:eastAsia="黑体"/>
          <w:b/>
          <w:spacing w:val="40"/>
          <w:w w:val="66"/>
          <w:sz w:val="56"/>
          <w:szCs w:val="56"/>
        </w:rPr>
        <w:t xml:space="preserve">            </w:t>
      </w:r>
    </w:p>
    <w:p>
      <w:pPr>
        <w:jc w:val="center"/>
        <w:rPr>
          <w:rFonts w:eastAsia="黑体"/>
          <w:color w:val="FF0000"/>
          <w:spacing w:val="40"/>
          <w:w w:val="66"/>
          <w:sz w:val="32"/>
          <w:szCs w:val="32"/>
        </w:rPr>
      </w:pPr>
      <w:r>
        <w:rPr>
          <w:rFonts w:eastAsia="黑体"/>
          <w:spacing w:val="40"/>
          <w:w w:val="66"/>
          <w:sz w:val="32"/>
          <w:szCs w:val="32"/>
        </w:rPr>
        <w:t>（项目编号：TGPC-2024-</w:t>
      </w:r>
      <w:r>
        <w:rPr>
          <w:rFonts w:hint="eastAsia" w:eastAsia="黑体"/>
          <w:spacing w:val="40"/>
          <w:w w:val="66"/>
          <w:sz w:val="32"/>
          <w:szCs w:val="32"/>
        </w:rPr>
        <w:t>D</w:t>
      </w:r>
      <w:r>
        <w:rPr>
          <w:rFonts w:eastAsia="黑体"/>
          <w:spacing w:val="40"/>
          <w:w w:val="66"/>
          <w:sz w:val="32"/>
          <w:szCs w:val="32"/>
        </w:rPr>
        <w:t>-0</w:t>
      </w:r>
      <w:r>
        <w:rPr>
          <w:rFonts w:hint="eastAsia" w:eastAsia="黑体"/>
          <w:spacing w:val="40"/>
          <w:w w:val="66"/>
          <w:sz w:val="32"/>
          <w:szCs w:val="32"/>
        </w:rPr>
        <w:t>932</w:t>
      </w:r>
      <w:r>
        <w:rPr>
          <w:rFonts w:eastAsia="黑体"/>
          <w:spacing w:val="40"/>
          <w:w w:val="66"/>
          <w:sz w:val="32"/>
          <w:szCs w:val="32"/>
        </w:rPr>
        <w:t>）</w:t>
      </w:r>
    </w:p>
    <w:p>
      <w:pPr>
        <w:rPr>
          <w:sz w:val="40"/>
        </w:rPr>
      </w:pPr>
    </w:p>
    <w:p>
      <w:pPr>
        <w:rPr>
          <w:sz w:val="36"/>
        </w:rPr>
      </w:pPr>
    </w:p>
    <w:p>
      <w:pPr>
        <w:rPr>
          <w:sz w:val="36"/>
        </w:rPr>
      </w:pPr>
    </w:p>
    <w:p>
      <w:pPr>
        <w:rPr>
          <w:sz w:val="36"/>
        </w:rPr>
      </w:pPr>
    </w:p>
    <w:p>
      <w:pPr>
        <w:rPr>
          <w:sz w:val="36"/>
        </w:rPr>
      </w:pPr>
    </w:p>
    <w:p>
      <w:pPr>
        <w:rPr>
          <w:sz w:val="36"/>
        </w:rPr>
      </w:pPr>
    </w:p>
    <w:p>
      <w:pPr>
        <w:rPr>
          <w:sz w:val="36"/>
        </w:rPr>
      </w:pPr>
    </w:p>
    <w:p>
      <w:pPr>
        <w:rPr>
          <w:sz w:val="36"/>
        </w:rPr>
      </w:pPr>
    </w:p>
    <w:p>
      <w:pPr>
        <w:rPr>
          <w:sz w:val="36"/>
        </w:rPr>
      </w:pPr>
    </w:p>
    <w:p>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pPr>
        <w:tabs>
          <w:tab w:val="left" w:pos="3281"/>
          <w:tab w:val="center" w:pos="4711"/>
        </w:tabs>
        <w:jc w:val="center"/>
        <w:rPr>
          <w:rFonts w:eastAsia="仿宋_GB2312"/>
          <w:b/>
          <w:bCs/>
          <w:kern w:val="0"/>
          <w:sz w:val="44"/>
          <w:szCs w:val="44"/>
        </w:rPr>
      </w:pPr>
      <w:r>
        <w:rPr>
          <w:rFonts w:eastAsia="仿宋_GB2312"/>
          <w:b/>
          <w:bCs/>
          <w:kern w:val="0"/>
          <w:sz w:val="44"/>
          <w:szCs w:val="44"/>
        </w:rPr>
        <w:t>2024.</w:t>
      </w:r>
      <w:r>
        <w:rPr>
          <w:rFonts w:hint="eastAsia" w:eastAsia="仿宋_GB2312"/>
          <w:b/>
          <w:bCs/>
          <w:kern w:val="0"/>
          <w:sz w:val="44"/>
          <w:szCs w:val="44"/>
        </w:rPr>
        <w:t>11</w:t>
      </w:r>
    </w:p>
    <w:p>
      <w:pPr>
        <w:widowControl/>
        <w:jc w:val="left"/>
        <w:rPr>
          <w:rFonts w:eastAsia="仿宋_GB2312"/>
          <w:b/>
          <w:bCs/>
          <w:kern w:val="0"/>
          <w:sz w:val="44"/>
          <w:szCs w:val="44"/>
        </w:rPr>
      </w:pPr>
    </w:p>
    <w:p>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pPr>
        <w:ind w:firstLine="408" w:firstLineChars="100"/>
        <w:jc w:val="center"/>
        <w:rPr>
          <w:b/>
          <w:spacing w:val="20"/>
          <w:w w:val="80"/>
          <w:sz w:val="48"/>
          <w:szCs w:val="48"/>
        </w:rPr>
      </w:pPr>
      <w:r>
        <w:rPr>
          <w:b/>
          <w:spacing w:val="20"/>
          <w:w w:val="80"/>
          <w:sz w:val="48"/>
          <w:szCs w:val="48"/>
        </w:rPr>
        <w:t>目  录</w:t>
      </w:r>
    </w:p>
    <w:p>
      <w:pPr>
        <w:spacing w:line="560" w:lineRule="exact"/>
        <w:ind w:right="-141" w:rightChars="-73"/>
        <w:rPr>
          <w:b/>
          <w:sz w:val="24"/>
        </w:rPr>
      </w:pPr>
      <w:r>
        <w:rPr>
          <w:b/>
          <w:sz w:val="24"/>
        </w:rPr>
        <w:t>第一部分  投标邀请函</w:t>
      </w:r>
    </w:p>
    <w:p>
      <w:pPr>
        <w:spacing w:line="560" w:lineRule="exact"/>
        <w:ind w:right="-141" w:rightChars="-73"/>
        <w:rPr>
          <w:b/>
          <w:sz w:val="24"/>
        </w:rPr>
      </w:pPr>
    </w:p>
    <w:p>
      <w:pPr>
        <w:spacing w:line="560" w:lineRule="exact"/>
        <w:ind w:right="-141" w:rightChars="-73"/>
        <w:rPr>
          <w:b/>
          <w:sz w:val="24"/>
        </w:rPr>
      </w:pPr>
      <w:r>
        <w:rPr>
          <w:b/>
          <w:sz w:val="24"/>
        </w:rPr>
        <w:t>第二部分  招标项目要求</w:t>
      </w:r>
    </w:p>
    <w:p>
      <w:pPr>
        <w:spacing w:line="560" w:lineRule="exact"/>
        <w:ind w:right="-141" w:rightChars="-73"/>
        <w:rPr>
          <w:b/>
          <w:sz w:val="24"/>
        </w:rPr>
      </w:pPr>
    </w:p>
    <w:p>
      <w:pPr>
        <w:spacing w:line="560" w:lineRule="exact"/>
        <w:ind w:right="-141" w:rightChars="-73"/>
        <w:rPr>
          <w:b/>
          <w:sz w:val="24"/>
        </w:rPr>
      </w:pPr>
      <w:r>
        <w:rPr>
          <w:b/>
          <w:sz w:val="24"/>
        </w:rPr>
        <w:t>第三部分  投标须知</w:t>
      </w:r>
    </w:p>
    <w:p>
      <w:pPr>
        <w:spacing w:line="560" w:lineRule="exact"/>
        <w:ind w:right="-141" w:rightChars="-73"/>
        <w:rPr>
          <w:sz w:val="24"/>
        </w:rPr>
      </w:pPr>
    </w:p>
    <w:p>
      <w:pPr>
        <w:spacing w:line="560" w:lineRule="exact"/>
        <w:rPr>
          <w:b/>
          <w:sz w:val="24"/>
        </w:rPr>
      </w:pPr>
      <w:r>
        <w:rPr>
          <w:b/>
          <w:sz w:val="24"/>
        </w:rPr>
        <w:t>第四部分  合同条款</w:t>
      </w:r>
    </w:p>
    <w:p>
      <w:pPr>
        <w:spacing w:line="560" w:lineRule="exact"/>
        <w:rPr>
          <w:sz w:val="24"/>
        </w:rPr>
      </w:pPr>
    </w:p>
    <w:p>
      <w:pPr>
        <w:spacing w:line="560" w:lineRule="exact"/>
        <w:rPr>
          <w:sz w:val="24"/>
        </w:rPr>
      </w:pPr>
      <w:r>
        <w:rPr>
          <w:b/>
          <w:sz w:val="24"/>
        </w:rPr>
        <w:t>第五部分  投标文件格式</w:t>
      </w:r>
    </w:p>
    <w:p>
      <w:pPr>
        <w:rPr>
          <w:sz w:val="24"/>
        </w:rPr>
      </w:pPr>
    </w:p>
    <w:p>
      <w:pPr>
        <w:rPr>
          <w:sz w:val="24"/>
        </w:rPr>
      </w:pPr>
    </w:p>
    <w:p>
      <w:pPr>
        <w:rPr>
          <w:sz w:val="24"/>
        </w:rPr>
      </w:pPr>
    </w:p>
    <w:p>
      <w:pPr>
        <w:rPr>
          <w:sz w:val="24"/>
        </w:rPr>
      </w:pPr>
    </w:p>
    <w:p>
      <w:pPr>
        <w:rPr>
          <w:sz w:val="24"/>
        </w:rPr>
      </w:pPr>
    </w:p>
    <w:p>
      <w:pPr>
        <w:rPr>
          <w:sz w:val="24"/>
        </w:rPr>
      </w:pPr>
    </w:p>
    <w:p>
      <w:pPr>
        <w:rPr>
          <w:b/>
        </w:rPr>
      </w:pPr>
    </w:p>
    <w:p>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pPr>
        <w:pStyle w:val="16"/>
        <w:rPr>
          <w:rFonts w:ascii="Times New Roman" w:hAnsi="Times New Roman"/>
        </w:rPr>
      </w:pPr>
      <w:r>
        <w:rPr>
          <w:rFonts w:ascii="Times New Roman" w:hAnsi="Times New Roman"/>
        </w:rPr>
        <w:t>第一部分  投标邀请函</w:t>
      </w:r>
      <w:bookmarkEnd w:id="0"/>
    </w:p>
    <w:p>
      <w:pPr>
        <w:pStyle w:val="29"/>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国家税务总局天津市河西区税务局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国家税务总局天津市河西区税务局越秀路、浦口道及徽州道办公区物业管理项目</w:t>
      </w:r>
      <w:r>
        <w:rPr>
          <w:rFonts w:ascii="Times New Roman" w:hAnsi="Times New Roman" w:cs="Times New Roman" w:eastAsiaTheme="minorEastAsia"/>
          <w:color w:val="auto"/>
          <w:szCs w:val="32"/>
        </w:rPr>
        <w:t>实施政府采购。现欢迎合格的供应商参加投标。</w:t>
      </w:r>
    </w:p>
    <w:p>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国家税务总局天津市河西区税务局越秀路、浦口道及徽州道办公区物业管理项目</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（二）项目编号：TGPC-2024-</w:t>
      </w:r>
      <w:r>
        <w:rPr>
          <w:rFonts w:hint="eastAsia" w:ascii="Times New Roman" w:hAnsi="Times New Roman" w:eastAsia="宋体" w:cs="Times New Roman"/>
          <w:color w:val="auto"/>
        </w:rPr>
        <w:t>D</w:t>
      </w:r>
      <w:r>
        <w:rPr>
          <w:rFonts w:ascii="Times New Roman" w:hAnsi="Times New Roman" w:eastAsia="宋体" w:cs="Times New Roman"/>
          <w:color w:val="auto"/>
        </w:rPr>
        <w:t>-0</w:t>
      </w:r>
      <w:r>
        <w:rPr>
          <w:rFonts w:hint="eastAsia" w:ascii="Times New Roman" w:hAnsi="Times New Roman" w:eastAsia="宋体" w:cs="Times New Roman"/>
          <w:color w:val="auto"/>
        </w:rPr>
        <w:t>932</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国家税务总局天津市河西区税务局越秀路、浦口道及徽州道办公区物业管理，合同履行期限：一年</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第一包：1415491.65元</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pPr>
        <w:pStyle w:val="29"/>
        <w:spacing w:line="360" w:lineRule="auto"/>
        <w:ind w:firstLine="448" w:firstLineChars="200"/>
        <w:rPr>
          <w:rFonts w:ascii="Times New Roman" w:hAnsi="Times New Roman" w:cs="Times New Roman" w:eastAsiaTheme="minorEastAsia"/>
          <w:color w:val="auto"/>
        </w:rPr>
      </w:pPr>
      <w:r>
        <w:rPr>
          <w:rFonts w:ascii="Times New Roman" w:hAnsi="Times New Roman" w:cs="Times New Roman" w:eastAsiaTheme="minorEastAsia"/>
          <w:color w:val="auto"/>
        </w:rPr>
        <w:t>（一）</w:t>
      </w:r>
      <w:r>
        <w:rPr>
          <w:rFonts w:hint="eastAsia" w:ascii="Times New Roman" w:hAnsi="Times New Roman" w:eastAsia="宋体" w:cs="Times New Roman"/>
          <w:color w:val="auto"/>
        </w:rPr>
        <w:t>供应商应具备独立法人资格</w:t>
      </w:r>
      <w:r>
        <w:rPr>
          <w:rFonts w:hint="eastAsia"/>
          <w:color w:val="auto"/>
        </w:rPr>
        <w:t>。</w:t>
      </w:r>
    </w:p>
    <w:p>
      <w:pPr>
        <w:pStyle w:val="29"/>
        <w:spacing w:line="360" w:lineRule="auto"/>
        <w:ind w:firstLine="448" w:firstLineChars="200"/>
        <w:rPr>
          <w:rFonts w:ascii="Times New Roman" w:hAnsi="Times New Roman" w:eastAsia="宋体" w:cs="Times New Roman"/>
          <w:color w:val="auto"/>
        </w:rPr>
      </w:pPr>
      <w:bookmarkStart w:id="1" w:name="OLE_LINK1"/>
      <w:bookmarkStart w:id="2" w:name="OLE_LINK2"/>
      <w:r>
        <w:rPr>
          <w:rFonts w:hint="eastAsia" w:ascii="Times New Roman" w:hAnsi="Times New Roman" w:eastAsia="宋体" w:cs="Times New Roman"/>
          <w:color w:val="auto"/>
        </w:rPr>
        <w:t>（二）投标人须具备《中华人民共和国政府采购法》第二十二条第一款规定的条件，提供以下材料：</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财务状况报告等相关材料：</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A.经第三方会计师事务所审计的2023年度财务报告扫描件。</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B. 具有良好的商业信誉和健全的财务会计制度的书面声明。</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注：A、B两项提供任意一项均可。</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依法缴纳税收和社会保障资金的书面声明。</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投标截止日前3年在经营活动中没有重大违法记录的书面声明（截至开标日成立不足3年的供应商可提供自成立以来无重大违法记录的书面声明）。</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5. 提交具备履行合同所必需的设备和专业技术能力证明材料。</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（三）本项目不接受联合体投标。</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（四）本项目专门面向中小企业采购，提供《中小企业声明函》。</w:t>
      </w:r>
    </w:p>
    <w:bookmarkEnd w:id="1"/>
    <w:bookmarkEnd w:id="2"/>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pPr>
        <w:pStyle w:val="29"/>
        <w:spacing w:line="360" w:lineRule="auto"/>
        <w:ind w:firstLine="448" w:firstLineChars="200"/>
        <w:rPr>
          <w:rFonts w:ascii="Times New Roman" w:hAnsi="Times New Roman" w:eastAsia="宋体" w:cs="Times New Roman"/>
          <w:color w:val="auto"/>
        </w:rPr>
      </w:pPr>
      <w:bookmarkStart w:id="3" w:name="OLE_LINK3"/>
      <w:bookmarkStart w:id="4" w:name="OLE_LINK4"/>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r>
        <w:rPr>
          <w:rFonts w:ascii="Times New Roman" w:hAnsi="Times New Roman" w:eastAsia="宋体" w:cs="Times New Roman"/>
          <w:color w:val="auto"/>
        </w:rPr>
        <w:t>。</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w:t>
      </w:r>
      <w:r>
        <w:rPr>
          <w:rFonts w:ascii="Arial" w:hAnsi="Arial" w:cs="Arial"/>
        </w:rPr>
        <w:t>监狱企业视同小微企业</w:t>
      </w:r>
      <w:r>
        <w:rPr>
          <w:rFonts w:ascii="Times New Roman" w:hAnsi="Times New Roman" w:eastAsia="宋体" w:cs="Times New Roman"/>
          <w:color w:val="auto"/>
        </w:rPr>
        <w:t>。</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pPr>
        <w:pStyle w:val="29"/>
        <w:spacing w:line="360" w:lineRule="auto"/>
        <w:ind w:firstLine="448"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（一）获取招标文件时间：2024年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11</w:t>
      </w:r>
      <w:r>
        <w:rPr>
          <w:rFonts w:ascii="Times New Roman" w:hAnsi="Times New Roman" w:eastAsia="宋体" w:cs="Times New Roman"/>
          <w:color w:val="auto"/>
        </w:rPr>
        <w:t>日至2024年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18</w:t>
      </w:r>
      <w:r>
        <w:rPr>
          <w:rFonts w:ascii="Times New Roman" w:hAnsi="Times New Roman" w:eastAsia="宋体" w:cs="Times New Roman"/>
          <w:color w:val="auto"/>
        </w:rPr>
        <w:t>日，每日9:00至17:00（北京时间，法定节假日除外）。</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rPr>
        <w:t>http://tjgpc.zwfwb.tj.gov.cn</w:t>
      </w:r>
      <w:r>
        <w:rPr>
          <w:rStyle w:val="26"/>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供应商注册、</w:t>
      </w:r>
      <w:r>
        <w:rPr>
          <w:rFonts w:ascii="Times New Roman" w:hAnsi="Times New Roman" w:eastAsia="宋体" w:cs="Times New Roman"/>
          <w:color w:val="auto"/>
        </w:rPr>
        <w:t>CA数字证书（USBKey）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hint="eastAsia" w:ascii="Times New Roman" w:hAnsi="Times New Roman" w:eastAsia="宋体" w:cs="Times New Roman"/>
          <w:color w:val="auto"/>
        </w:rPr>
        <w:t>24538167</w:t>
      </w:r>
      <w:r>
        <w:rPr>
          <w:rFonts w:hint="eastAsia" w:ascii="Times New Roman" w:hAnsi="Times New Roman" w:eastAsia="宋体"/>
          <w:color w:val="auto"/>
        </w:rPr>
        <w:t>。</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（2）CA数字证书（USBKey）领取及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：参见天津市政府采购中心网（http://tjgpc.zwfwb.tj.gov.cn）--服务指南--供应商注册、领取CA数字证书（USBKey）及电子签章制章的流程。</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CA数字证书办理联系电话：400-0566-110或022-24538059。</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电子签章办理联系电话：022-24538059。</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2024年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18</w:t>
      </w:r>
      <w:r>
        <w:rPr>
          <w:rFonts w:ascii="Times New Roman" w:hAnsi="Times New Roman" w:eastAsia="宋体" w:cs="Times New Roman"/>
          <w:color w:val="auto"/>
        </w:rPr>
        <w:t>日9:00至2024年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时间：2024年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（一）开标解密时间：2024年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（三）网上开标公示时间：2024年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联系人：杨光、鲁志强、范志刚</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国家税务总局天津市河西区税务局</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天津市河西区广东路65号</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蔡明宇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（四）采购人联系电话： </w:t>
      </w:r>
      <w:r>
        <w:rPr>
          <w:rFonts w:hint="eastAsia" w:ascii="Times New Roman" w:hAnsi="Times New Roman" w:eastAsia="宋体" w:cs="Times New Roman"/>
          <w:color w:val="auto"/>
        </w:rPr>
        <w:t>022-</w:t>
      </w:r>
      <w:r>
        <w:rPr>
          <w:rFonts w:ascii="Times New Roman" w:hAnsi="Times New Roman" w:eastAsia="宋体" w:cs="Times New Roman"/>
          <w:color w:val="auto"/>
        </w:rPr>
        <w:t>23261900</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联系部门：国家税务总局天津市河西区税务局</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联系地址：天津市河西区广东路65号</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人：蔡明宇</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联系方式：022-</w:t>
      </w:r>
      <w:r>
        <w:rPr>
          <w:rFonts w:ascii="Times New Roman" w:hAnsi="Times New Roman" w:eastAsia="宋体" w:cs="Times New Roman"/>
          <w:color w:val="auto"/>
        </w:rPr>
        <w:t>23261900</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pPr>
              <w:tabs>
                <w:tab w:val="left" w:pos="750"/>
                <w:tab w:val="left" w:pos="840"/>
              </w:tabs>
              <w:adjustRightInd w:val="0"/>
              <w:snapToGrid w:val="0"/>
              <w:jc w:val="center"/>
              <w:rPr>
                <w:sz w:val="24"/>
              </w:rPr>
            </w:pPr>
            <w:r>
              <w:rPr>
                <w:sz w:val="24"/>
              </w:rPr>
              <w:t>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100以下</w:t>
            </w:r>
          </w:p>
        </w:tc>
        <w:tc>
          <w:tcPr>
            <w:tcW w:w="3657" w:type="dxa"/>
            <w:vAlign w:val="center"/>
          </w:tcPr>
          <w:p>
            <w:pPr>
              <w:tabs>
                <w:tab w:val="left" w:pos="750"/>
                <w:tab w:val="left" w:pos="840"/>
              </w:tabs>
              <w:adjustRightInd w:val="0"/>
              <w:snapToGrid w:val="0"/>
              <w:jc w:val="center"/>
              <w:rPr>
                <w:sz w:val="24"/>
              </w:rPr>
            </w:pPr>
            <w:r>
              <w:rPr>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100-500</w:t>
            </w:r>
          </w:p>
        </w:tc>
        <w:tc>
          <w:tcPr>
            <w:tcW w:w="3657" w:type="dxa"/>
            <w:vAlign w:val="center"/>
          </w:tcPr>
          <w:p>
            <w:pPr>
              <w:tabs>
                <w:tab w:val="left" w:pos="750"/>
                <w:tab w:val="left" w:pos="840"/>
              </w:tabs>
              <w:adjustRightInd w:val="0"/>
              <w:snapToGrid w:val="0"/>
              <w:jc w:val="center"/>
              <w:rPr>
                <w:sz w:val="24"/>
              </w:rPr>
            </w:pPr>
            <w:r>
              <w:rPr>
                <w:rFonts w:hint="eastAsia"/>
                <w:sz w:val="24"/>
              </w:rPr>
              <w:t>0.8</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500-1000</w:t>
            </w:r>
          </w:p>
        </w:tc>
        <w:tc>
          <w:tcPr>
            <w:tcW w:w="3657" w:type="dxa"/>
            <w:vAlign w:val="center"/>
          </w:tcPr>
          <w:p>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pPr>
              <w:tabs>
                <w:tab w:val="left" w:pos="750"/>
                <w:tab w:val="left" w:pos="840"/>
              </w:tabs>
              <w:adjustRightInd w:val="0"/>
              <w:snapToGrid w:val="0"/>
              <w:jc w:val="center"/>
              <w:rPr>
                <w:sz w:val="24"/>
              </w:rPr>
            </w:pPr>
            <w:r>
              <w:rPr>
                <w:rFonts w:hint="eastAsia"/>
                <w:sz w:val="24"/>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rFonts w:hint="eastAsia"/>
                <w:sz w:val="24"/>
              </w:rPr>
              <w:t>5000-10000</w:t>
            </w:r>
          </w:p>
        </w:tc>
        <w:tc>
          <w:tcPr>
            <w:tcW w:w="3657" w:type="dxa"/>
            <w:vAlign w:val="center"/>
          </w:tcPr>
          <w:p>
            <w:pPr>
              <w:tabs>
                <w:tab w:val="left" w:pos="750"/>
                <w:tab w:val="left" w:pos="840"/>
              </w:tabs>
              <w:adjustRightInd w:val="0"/>
              <w:snapToGrid w:val="0"/>
              <w:jc w:val="center"/>
              <w:rPr>
                <w:sz w:val="24"/>
              </w:rPr>
            </w:pPr>
            <w:r>
              <w:rPr>
                <w:rFonts w:hint="eastAsia"/>
                <w:sz w:val="24"/>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rFonts w:hint="eastAsia"/>
                <w:sz w:val="24"/>
              </w:rPr>
              <w:t>10000-100000</w:t>
            </w:r>
          </w:p>
        </w:tc>
        <w:tc>
          <w:tcPr>
            <w:tcW w:w="3657" w:type="dxa"/>
            <w:vAlign w:val="center"/>
          </w:tcPr>
          <w:p>
            <w:pPr>
              <w:tabs>
                <w:tab w:val="left" w:pos="750"/>
                <w:tab w:val="left" w:pos="840"/>
              </w:tabs>
              <w:adjustRightInd w:val="0"/>
              <w:snapToGrid w:val="0"/>
              <w:jc w:val="center"/>
              <w:rPr>
                <w:sz w:val="24"/>
              </w:rPr>
            </w:pPr>
            <w:r>
              <w:rPr>
                <w:rFonts w:hint="eastAsia"/>
                <w:sz w:val="24"/>
              </w:rPr>
              <w:t>0.05%</w:t>
            </w:r>
          </w:p>
        </w:tc>
      </w:tr>
    </w:tbl>
    <w:p>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pPr>
        <w:pStyle w:val="29"/>
        <w:spacing w:line="360" w:lineRule="auto"/>
        <w:ind w:firstLine="448" w:firstLineChars="200"/>
        <w:jc w:val="both"/>
        <w:rPr>
          <w:rFonts w:ascii="Times New Roman" w:hAnsi="Times New Roman" w:eastAsia="宋体" w:cs="Times New Roman"/>
          <w:color w:val="auto"/>
          <w:kern w:val="2"/>
          <w:lang w:val="zh-CN"/>
        </w:rPr>
      </w:pPr>
      <w:r>
        <w:rPr>
          <w:rFonts w:hint="eastAsia" w:ascii="Times New Roman" w:hAnsi="Times New Roman" w:eastAsia="宋体" w:cs="Times New Roman"/>
          <w:color w:val="auto"/>
          <w:kern w:val="2"/>
          <w:lang w:val="zh-CN"/>
        </w:rPr>
        <w:t>缴费及开票咨询电话：022-24532012</w:t>
      </w:r>
    </w:p>
    <w:p>
      <w:pPr>
        <w:pStyle w:val="29"/>
        <w:spacing w:line="360" w:lineRule="auto"/>
        <w:ind w:firstLine="448" w:firstLineChars="200"/>
        <w:jc w:val="both"/>
        <w:rPr>
          <w:rFonts w:ascii="Times New Roman" w:hAnsi="Times New Roman" w:eastAsia="宋体" w:cs="Times New Roman"/>
          <w:color w:val="FF0000"/>
        </w:rPr>
      </w:pPr>
    </w:p>
    <w:p>
      <w:pPr>
        <w:pStyle w:val="29"/>
        <w:spacing w:line="360" w:lineRule="auto"/>
        <w:ind w:firstLine="448" w:firstLineChars="200"/>
        <w:jc w:val="both"/>
        <w:rPr>
          <w:rFonts w:ascii="Times New Roman" w:hAnsi="Times New Roman" w:eastAsia="宋体" w:cs="Times New Roman"/>
          <w:color w:val="auto"/>
        </w:rPr>
      </w:pPr>
    </w:p>
    <w:p>
      <w:pPr>
        <w:pStyle w:val="29"/>
        <w:spacing w:line="360" w:lineRule="auto"/>
        <w:jc w:val="both"/>
        <w:rPr>
          <w:rFonts w:ascii="Times New Roman" w:hAnsi="Times New Roman" w:eastAsia="宋体" w:cs="Times New Roman"/>
          <w:color w:val="auto"/>
        </w:rPr>
      </w:pPr>
    </w:p>
    <w:p>
      <w:pPr>
        <w:pStyle w:val="29"/>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2024年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18</w:t>
      </w:r>
      <w:r>
        <w:rPr>
          <w:rFonts w:ascii="Times New Roman" w:hAnsi="Times New Roman" w:eastAsia="宋体" w:cs="Times New Roman"/>
          <w:color w:val="auto"/>
        </w:rPr>
        <w:t>日</w:t>
      </w:r>
    </w:p>
    <w:p>
      <w:pPr>
        <w:pStyle w:val="29"/>
        <w:spacing w:line="360" w:lineRule="auto"/>
        <w:ind w:right="892"/>
        <w:rPr>
          <w:rFonts w:ascii="Times New Roman" w:hAnsi="Times New Roman" w:eastAsia="宋体" w:cs="Times New Roman"/>
          <w:color w:val="auto"/>
        </w:rPr>
      </w:pPr>
    </w:p>
    <w:p>
      <w:pPr>
        <w:widowControl/>
        <w:jc w:val="left"/>
        <w:rPr>
          <w:kern w:val="0"/>
          <w:sz w:val="24"/>
          <w:szCs w:val="24"/>
        </w:rPr>
      </w:pPr>
      <w:r>
        <w:br w:type="page"/>
      </w:r>
    </w:p>
    <w:p>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5"/>
    </w:p>
    <w:p>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pPr>
        <w:autoSpaceDE w:val="0"/>
        <w:autoSpaceDN w:val="0"/>
        <w:adjustRightInd w:val="0"/>
        <w:spacing w:line="360" w:lineRule="auto"/>
        <w:ind w:firstLine="448" w:firstLineChars="200"/>
        <w:rPr>
          <w:sz w:val="24"/>
        </w:rPr>
      </w:pPr>
      <w:r>
        <w:rPr>
          <w:rFonts w:eastAsia="......."/>
          <w:kern w:val="0"/>
          <w:sz w:val="24"/>
          <w:szCs w:val="24"/>
        </w:rPr>
        <w:t>（一）</w:t>
      </w:r>
      <w:r>
        <w:rPr>
          <w:sz w:val="24"/>
        </w:rPr>
        <w:t>报价要求</w:t>
      </w:r>
    </w:p>
    <w:p>
      <w:pPr>
        <w:autoSpaceDE w:val="0"/>
        <w:autoSpaceDN w:val="0"/>
        <w:adjustRightInd w:val="0"/>
        <w:spacing w:line="360" w:lineRule="auto"/>
        <w:ind w:firstLine="448" w:firstLineChars="200"/>
        <w:rPr>
          <w:sz w:val="24"/>
        </w:rPr>
      </w:pPr>
      <w:r>
        <w:rPr>
          <w:sz w:val="24"/>
        </w:rPr>
        <w:t>1. 投标报价以人民币填列。</w:t>
      </w:r>
    </w:p>
    <w:p>
      <w:pPr>
        <w:autoSpaceDE w:val="0"/>
        <w:autoSpaceDN w:val="0"/>
        <w:adjustRightInd w:val="0"/>
        <w:spacing w:line="360" w:lineRule="auto"/>
        <w:ind w:firstLine="448" w:firstLineChars="200"/>
        <w:rPr>
          <w:sz w:val="24"/>
        </w:rPr>
      </w:pPr>
      <w:r>
        <w:rPr>
          <w:sz w:val="24"/>
        </w:rPr>
        <w:t>2. 投标人的报价应包括：人员工资、福利、社险</w:t>
      </w:r>
      <w:r>
        <w:rPr>
          <w:rFonts w:hint="eastAsia"/>
          <w:sz w:val="24"/>
        </w:rPr>
        <w:t>、住房公积金</w:t>
      </w:r>
      <w:r>
        <w:rPr>
          <w:sz w:val="24"/>
        </w:rPr>
        <w:t>等人工费用、服装费、工具耗材费、办公费、企业利润及税金等为完成招标文件规定的一切工作所需的全部费用。投标人所报价格应为最终优惠价格。</w:t>
      </w:r>
    </w:p>
    <w:p>
      <w:pPr>
        <w:spacing w:line="360" w:lineRule="auto"/>
        <w:ind w:firstLine="448" w:firstLineChars="200"/>
        <w:rPr>
          <w:kern w:val="0"/>
          <w:sz w:val="24"/>
          <w:szCs w:val="24"/>
        </w:rPr>
      </w:pPr>
      <w:r>
        <w:rPr>
          <w:rFonts w:hint="eastAsia"/>
          <w:kern w:val="0"/>
          <w:sz w:val="24"/>
          <w:szCs w:val="24"/>
        </w:rPr>
        <w:t>3. 投标报价在不超采购预算的前提下，其合理性由评标委员会在评分中予以考虑。</w:t>
      </w:r>
    </w:p>
    <w:p>
      <w:pPr>
        <w:spacing w:line="360" w:lineRule="auto"/>
        <w:ind w:firstLine="448" w:firstLineChars="200"/>
        <w:rPr>
          <w:kern w:val="0"/>
          <w:sz w:val="24"/>
          <w:szCs w:val="24"/>
        </w:rPr>
      </w:pPr>
      <w:r>
        <w:rPr>
          <w:rFonts w:hint="eastAsia"/>
          <w:kern w:val="0"/>
          <w:sz w:val="24"/>
          <w:szCs w:val="24"/>
        </w:rPr>
        <w:t xml:space="preserve">4. </w:t>
      </w:r>
      <w:r>
        <w:rPr>
          <w:sz w:val="24"/>
        </w:rPr>
        <w:t>验收相关费用由投标人负责。</w:t>
      </w:r>
    </w:p>
    <w:p>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pPr>
        <w:autoSpaceDE w:val="0"/>
        <w:autoSpaceDN w:val="0"/>
        <w:adjustRightInd w:val="0"/>
        <w:spacing w:line="360" w:lineRule="auto"/>
        <w:ind w:firstLine="448" w:firstLineChars="200"/>
        <w:rPr>
          <w:sz w:val="24"/>
        </w:rPr>
      </w:pPr>
      <w:r>
        <w:rPr>
          <w:sz w:val="24"/>
        </w:rPr>
        <w:t>1. 时间要求：</w:t>
      </w:r>
      <w:r>
        <w:rPr>
          <w:rFonts w:hint="eastAsia"/>
          <w:sz w:val="24"/>
        </w:rPr>
        <w:t>服务期2025年1月1日至2025年12月31日</w:t>
      </w:r>
      <w:r>
        <w:rPr>
          <w:sz w:val="24"/>
        </w:rPr>
        <w:t>（特殊情况以合同为准）。</w:t>
      </w:r>
    </w:p>
    <w:p>
      <w:pPr>
        <w:autoSpaceDE w:val="0"/>
        <w:autoSpaceDN w:val="0"/>
        <w:adjustRightInd w:val="0"/>
        <w:spacing w:line="360" w:lineRule="auto"/>
        <w:ind w:firstLine="448" w:firstLineChars="200"/>
        <w:rPr>
          <w:sz w:val="24"/>
        </w:rPr>
      </w:pPr>
      <w:r>
        <w:rPr>
          <w:sz w:val="24"/>
        </w:rPr>
        <w:t>2. 服务地点：</w:t>
      </w:r>
      <w:r>
        <w:rPr>
          <w:rFonts w:hint="eastAsia"/>
          <w:sz w:val="24"/>
        </w:rPr>
        <w:t>天津市河西区越秀路越秀大厦B座、浦口道70号增1号、徽州道35号</w:t>
      </w:r>
      <w:r>
        <w:rPr>
          <w:sz w:val="24"/>
        </w:rPr>
        <w:t>（特殊情况以合同为准）。</w:t>
      </w:r>
    </w:p>
    <w:p>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pPr>
        <w:autoSpaceDE w:val="0"/>
        <w:autoSpaceDN w:val="0"/>
        <w:adjustRightInd w:val="0"/>
        <w:spacing w:line="360" w:lineRule="auto"/>
        <w:ind w:firstLine="448" w:firstLineChars="200"/>
        <w:rPr>
          <w:sz w:val="24"/>
        </w:rPr>
      </w:pPr>
      <w:r>
        <w:rPr>
          <w:sz w:val="24"/>
        </w:rPr>
        <w:t>按</w:t>
      </w:r>
      <w:r>
        <w:rPr>
          <w:rFonts w:hint="eastAsia"/>
          <w:sz w:val="24"/>
        </w:rPr>
        <w:t>季度</w:t>
      </w:r>
      <w:r>
        <w:rPr>
          <w:sz w:val="24"/>
        </w:rPr>
        <w:t>付款，经采购人验收合格，每季度第一个月</w:t>
      </w:r>
      <w:r>
        <w:rPr>
          <w:rFonts w:hint="eastAsia"/>
          <w:sz w:val="24"/>
        </w:rPr>
        <w:t>15</w:t>
      </w:r>
      <w:r>
        <w:rPr>
          <w:sz w:val="24"/>
        </w:rPr>
        <w:t>日前支付上季度费用，</w:t>
      </w:r>
      <w:r>
        <w:rPr>
          <w:rFonts w:hint="eastAsia"/>
          <w:sz w:val="24"/>
        </w:rPr>
        <w:t>中标供应商提供正规发票</w:t>
      </w:r>
      <w:r>
        <w:rPr>
          <w:sz w:val="24"/>
        </w:rPr>
        <w:t>（特殊情况以合同为准）。</w:t>
      </w:r>
    </w:p>
    <w:p>
      <w:pPr>
        <w:autoSpaceDE w:val="0"/>
        <w:autoSpaceDN w:val="0"/>
        <w:adjustRightInd w:val="0"/>
        <w:spacing w:line="360" w:lineRule="auto"/>
        <w:ind w:firstLine="448" w:firstLineChars="200"/>
        <w:rPr>
          <w:sz w:val="24"/>
        </w:rPr>
      </w:pPr>
      <w:r>
        <w:rPr>
          <w:sz w:val="24"/>
        </w:rPr>
        <w:t>（</w:t>
      </w:r>
      <w:r>
        <w:rPr>
          <w:rFonts w:hint="eastAsia"/>
          <w:sz w:val="24"/>
        </w:rPr>
        <w:t>四</w:t>
      </w:r>
      <w:r>
        <w:rPr>
          <w:sz w:val="24"/>
        </w:rPr>
        <w:t>）投标保证金和履约保证金</w:t>
      </w:r>
    </w:p>
    <w:p>
      <w:pPr>
        <w:autoSpaceDE w:val="0"/>
        <w:autoSpaceDN w:val="0"/>
        <w:adjustRightInd w:val="0"/>
        <w:spacing w:line="360" w:lineRule="auto"/>
        <w:ind w:firstLine="448" w:firstLineChars="200"/>
        <w:rPr>
          <w:sz w:val="24"/>
        </w:rPr>
      </w:pPr>
      <w:r>
        <w:rPr>
          <w:sz w:val="24"/>
        </w:rPr>
        <w:t>本项目不收取投标保证金和履约保证金。</w:t>
      </w:r>
    </w:p>
    <w:p>
      <w:pPr>
        <w:autoSpaceDE w:val="0"/>
        <w:autoSpaceDN w:val="0"/>
        <w:adjustRightInd w:val="0"/>
        <w:spacing w:line="360" w:lineRule="auto"/>
        <w:ind w:firstLine="448" w:firstLineChars="200"/>
        <w:rPr>
          <w:color w:val="000000"/>
          <w:sz w:val="24"/>
        </w:rPr>
      </w:pPr>
      <w:r>
        <w:rPr>
          <w:rFonts w:hint="eastAsia"/>
          <w:color w:val="000000"/>
          <w:sz w:val="24"/>
        </w:rPr>
        <w:t>（五）验收方法及标准</w:t>
      </w:r>
    </w:p>
    <w:p>
      <w:pPr>
        <w:autoSpaceDE w:val="0"/>
        <w:autoSpaceDN w:val="0"/>
        <w:adjustRightInd w:val="0"/>
        <w:spacing w:line="360" w:lineRule="auto"/>
        <w:ind w:firstLine="448" w:firstLineChars="200"/>
        <w:rPr>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w:t>
      </w:r>
      <w:r>
        <w:rPr>
          <w:rFonts w:hint="eastAsia"/>
          <w:sz w:val="24"/>
        </w:rPr>
        <w:t>项目总体评价，由验收双方共同签署。</w:t>
      </w:r>
    </w:p>
    <w:p>
      <w:pPr>
        <w:autoSpaceDE w:val="0"/>
        <w:autoSpaceDN w:val="0"/>
        <w:adjustRightInd w:val="0"/>
        <w:spacing w:line="360" w:lineRule="auto"/>
        <w:ind w:firstLine="448" w:firstLineChars="200"/>
        <w:rPr>
          <w:sz w:val="24"/>
        </w:rPr>
      </w:pPr>
      <w:r>
        <w:rPr>
          <w:sz w:val="24"/>
        </w:rPr>
        <w:t>验收时，采购人通过查询发证机关官网、</w:t>
      </w:r>
      <w:r>
        <w:rPr>
          <w:rFonts w:hint="eastAsia"/>
          <w:sz w:val="24"/>
        </w:rPr>
        <w:t>核对原件、向相关第三方核实等方式对中标供应商相关专业人员证书予以查验，若发现提供虚假材料的，采购人保留终止采购合同，并追求其违约责任的权利。</w:t>
      </w:r>
    </w:p>
    <w:p>
      <w:pPr>
        <w:autoSpaceDE w:val="0"/>
        <w:autoSpaceDN w:val="0"/>
        <w:adjustRightInd w:val="0"/>
        <w:spacing w:line="360" w:lineRule="auto"/>
        <w:ind w:firstLine="448" w:firstLineChars="200"/>
        <w:rPr>
          <w:bCs/>
          <w:sz w:val="24"/>
        </w:rPr>
      </w:pPr>
      <w:r>
        <w:rPr>
          <w:sz w:val="24"/>
        </w:rPr>
        <w:t>二</w:t>
      </w:r>
      <w:r>
        <w:rPr>
          <w:bCs/>
          <w:sz w:val="24"/>
        </w:rPr>
        <w:t>、技术要求</w:t>
      </w:r>
    </w:p>
    <w:p>
      <w:pPr>
        <w:spacing w:line="360" w:lineRule="auto"/>
        <w:ind w:firstLine="448" w:firstLineChars="200"/>
        <w:outlineLvl w:val="0"/>
        <w:rPr>
          <w:sz w:val="24"/>
        </w:rPr>
      </w:pPr>
      <w:r>
        <w:rPr>
          <w:rFonts w:hint="eastAsia"/>
          <w:sz w:val="24"/>
        </w:rPr>
        <w:t>★</w:t>
      </w:r>
      <w:r>
        <w:rPr>
          <w:sz w:val="24"/>
        </w:rPr>
        <w:t>（一）投标人须承诺所提供的服务、人员</w:t>
      </w:r>
      <w:r>
        <w:rPr>
          <w:rFonts w:hint="eastAsia"/>
          <w:sz w:val="24"/>
        </w:rPr>
        <w:t>、</w:t>
      </w:r>
      <w:r>
        <w:rPr>
          <w:sz w:val="24"/>
        </w:rPr>
        <w:t>设备</w:t>
      </w:r>
      <w:r>
        <w:rPr>
          <w:rFonts w:hint="eastAsia"/>
          <w:sz w:val="24"/>
        </w:rPr>
        <w:t>及耗材等均</w:t>
      </w:r>
      <w:r>
        <w:rPr>
          <w:sz w:val="24"/>
        </w:rPr>
        <w:t>符合相关强制性规定。</w:t>
      </w:r>
    </w:p>
    <w:p>
      <w:pPr>
        <w:autoSpaceDE w:val="0"/>
        <w:autoSpaceDN w:val="0"/>
        <w:adjustRightInd w:val="0"/>
        <w:spacing w:line="360" w:lineRule="auto"/>
        <w:ind w:firstLine="448" w:firstLineChars="200"/>
        <w:rPr>
          <w:sz w:val="24"/>
        </w:rPr>
      </w:pPr>
      <w:r>
        <w:rPr>
          <w:rFonts w:hint="eastAsia"/>
          <w:color w:val="000000"/>
          <w:sz w:val="24"/>
        </w:rPr>
        <w:t>★</w:t>
      </w:r>
      <w:r>
        <w:rPr>
          <w:color w:val="000000"/>
          <w:sz w:val="24"/>
        </w:rPr>
        <w:t>（二）</w:t>
      </w:r>
      <w:r>
        <w:rPr>
          <w:sz w:val="24"/>
        </w:rPr>
        <w:t>投标人须承诺</w:t>
      </w:r>
      <w:r>
        <w:rPr>
          <w:rFonts w:hint="eastAsia"/>
          <w:sz w:val="24"/>
        </w:rPr>
        <w:t>一旦中标，</w:t>
      </w:r>
      <w:r>
        <w:rPr>
          <w:color w:val="000000"/>
          <w:sz w:val="24"/>
        </w:rPr>
        <w:t>根据《中华人民共和国劳动合同法》及其他法</w:t>
      </w:r>
      <w:r>
        <w:rPr>
          <w:sz w:val="24"/>
        </w:rPr>
        <w:t>律法规的要求与服务人员签订</w:t>
      </w:r>
      <w:r>
        <w:rPr>
          <w:rFonts w:hint="eastAsia"/>
          <w:sz w:val="24"/>
        </w:rPr>
        <w:t>劳动</w:t>
      </w:r>
      <w:r>
        <w:rPr>
          <w:sz w:val="24"/>
        </w:rPr>
        <w:t>合同</w:t>
      </w:r>
      <w:r>
        <w:rPr>
          <w:rFonts w:hint="eastAsia"/>
          <w:sz w:val="24"/>
        </w:rPr>
        <w:t>，按国家及天津市相关政策规定，支付工资、加班费和福利费、</w:t>
      </w:r>
      <w:r>
        <w:rPr>
          <w:sz w:val="24"/>
        </w:rPr>
        <w:t>缴纳社会保险</w:t>
      </w:r>
      <w:r>
        <w:rPr>
          <w:rFonts w:hint="eastAsia"/>
          <w:sz w:val="24"/>
        </w:rPr>
        <w:t>及住房公积金等</w:t>
      </w:r>
      <w:r>
        <w:rPr>
          <w:sz w:val="24"/>
        </w:rPr>
        <w:t>。</w:t>
      </w:r>
    </w:p>
    <w:p>
      <w:pPr>
        <w:autoSpaceDE w:val="0"/>
        <w:autoSpaceDN w:val="0"/>
        <w:adjustRightInd w:val="0"/>
        <w:spacing w:line="360" w:lineRule="auto"/>
        <w:ind w:firstLine="448" w:firstLineChars="200"/>
        <w:rPr>
          <w:sz w:val="24"/>
        </w:rPr>
      </w:pPr>
      <w:r>
        <w:rPr>
          <w:rFonts w:hint="eastAsia"/>
          <w:sz w:val="24"/>
        </w:rPr>
        <w:t>★</w:t>
      </w:r>
      <w:r>
        <w:rPr>
          <w:sz w:val="24"/>
        </w:rPr>
        <w:t>（三）投标人须承诺</w:t>
      </w:r>
      <w:r>
        <w:rPr>
          <w:rFonts w:hint="eastAsia"/>
          <w:sz w:val="24"/>
        </w:rPr>
        <w:t>相应专业</w:t>
      </w:r>
      <w:r>
        <w:rPr>
          <w:sz w:val="24"/>
        </w:rPr>
        <w:t>人员须具备国家相关部门颁发的在有效期内的资质证书，项目实施过程中保证持证上岗。履约验收时，向采购人提供</w:t>
      </w:r>
      <w:r>
        <w:rPr>
          <w:rFonts w:hint="eastAsia"/>
          <w:sz w:val="24"/>
        </w:rPr>
        <w:t>上述</w:t>
      </w:r>
      <w:r>
        <w:rPr>
          <w:sz w:val="24"/>
        </w:rPr>
        <w:t>人员相关资质证书原件（以及发证机关官网查询结果）和缴纳社会保险证明等相关资料。</w:t>
      </w:r>
    </w:p>
    <w:p>
      <w:pPr>
        <w:spacing w:line="360" w:lineRule="auto"/>
        <w:ind w:firstLine="448" w:firstLineChars="200"/>
        <w:outlineLvl w:val="0"/>
        <w:rPr>
          <w:sz w:val="24"/>
        </w:rPr>
      </w:pPr>
      <w:r>
        <w:rPr>
          <w:sz w:val="24"/>
        </w:rPr>
        <w:t>（四）具体需求详见本部分项目需求书。</w:t>
      </w:r>
    </w:p>
    <w:p>
      <w:pPr>
        <w:spacing w:line="360" w:lineRule="auto"/>
        <w:ind w:firstLine="448"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shd w:val="clear" w:color="auto" w:fill="auto"/>
            <w:vAlign w:val="center"/>
          </w:tcPr>
          <w:p>
            <w:pPr>
              <w:widowControl/>
              <w:adjustRightInd w:val="0"/>
              <w:snapToGrid w:val="0"/>
              <w:jc w:val="center"/>
              <w:rPr>
                <w:color w:val="000000"/>
                <w:kern w:val="0"/>
                <w:sz w:val="24"/>
                <w:szCs w:val="24"/>
              </w:rPr>
            </w:pPr>
            <w:r>
              <w:rPr>
                <w:color w:val="000000"/>
                <w:kern w:val="0"/>
                <w:sz w:val="24"/>
                <w:szCs w:val="24"/>
              </w:rPr>
              <w:t>第一部分 价格（20分）</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pPr>
              <w:widowControl/>
              <w:adjustRightInd w:val="0"/>
              <w:snapToGrid w:val="0"/>
              <w:rPr>
                <w:kern w:val="0"/>
                <w:sz w:val="24"/>
                <w:szCs w:val="24"/>
              </w:rPr>
            </w:pPr>
            <w:r>
              <w:rPr>
                <w:kern w:val="0"/>
                <w:sz w:val="24"/>
                <w:szCs w:val="24"/>
              </w:rPr>
              <w:t>（2）投标报价得分=（评标基准价/投标报价）×20</w:t>
            </w:r>
          </w:p>
          <w:p>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393" w:type="dxa"/>
            <w:gridSpan w:val="3"/>
            <w:shd w:val="clear" w:color="auto" w:fill="auto"/>
            <w:noWrap/>
            <w:vAlign w:val="center"/>
          </w:tcPr>
          <w:p>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50</w:t>
            </w:r>
            <w:r>
              <w:rPr>
                <w:color w:val="000000"/>
                <w:kern w:val="0"/>
                <w:sz w:val="24"/>
                <w:szCs w:val="24"/>
              </w:rPr>
              <w:t>分）</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完全按照以下要求提供投标人曾实施的非住宅物业管理服务业绩，提供的证明材料均不得遮挡涂黑，否则不予认定加分。</w:t>
            </w:r>
          </w:p>
          <w:p>
            <w:pPr>
              <w:widowControl/>
              <w:adjustRightInd w:val="0"/>
              <w:snapToGrid w:val="0"/>
              <w:rPr>
                <w:kern w:val="0"/>
                <w:sz w:val="24"/>
                <w:szCs w:val="24"/>
              </w:rPr>
            </w:pPr>
            <w:r>
              <w:rPr>
                <w:rFonts w:hint="eastAsia"/>
                <w:kern w:val="0"/>
                <w:sz w:val="24"/>
                <w:szCs w:val="24"/>
              </w:rPr>
              <w:t>A. 合同原件扫描件。包括买卖双方名称及盖章、物业服务期限（合同服务起始日期为2021年1月1日或以后，且已经履行至少1年的时间）、物业服务内容</w:t>
            </w:r>
          </w:p>
          <w:p>
            <w:pPr>
              <w:widowControl/>
              <w:adjustRightInd w:val="0"/>
              <w:snapToGrid w:val="0"/>
              <w:rPr>
                <w:kern w:val="0"/>
                <w:sz w:val="24"/>
                <w:szCs w:val="24"/>
              </w:rPr>
            </w:pPr>
            <w:r>
              <w:rPr>
                <w:rFonts w:hint="eastAsia"/>
                <w:kern w:val="0"/>
                <w:sz w:val="24"/>
                <w:szCs w:val="24"/>
              </w:rPr>
              <w:t>B. 提供上述合同服务期限内至少一个月的服务方开具的物业费发票凭证原件扫描件。</w:t>
            </w:r>
          </w:p>
          <w:p>
            <w:pPr>
              <w:widowControl/>
              <w:adjustRightInd w:val="0"/>
              <w:snapToGrid w:val="0"/>
              <w:rPr>
                <w:color w:val="FF0000"/>
                <w:kern w:val="0"/>
                <w:sz w:val="24"/>
                <w:szCs w:val="24"/>
              </w:rPr>
            </w:pPr>
            <w:r>
              <w:rPr>
                <w:kern w:val="0"/>
                <w:sz w:val="24"/>
                <w:szCs w:val="24"/>
              </w:rPr>
              <w:t>每个业绩2分，最多</w:t>
            </w:r>
            <w:r>
              <w:rPr>
                <w:rFonts w:hint="eastAsia"/>
                <w:kern w:val="0"/>
                <w:sz w:val="24"/>
                <w:szCs w:val="24"/>
              </w:rPr>
              <w:t>10</w:t>
            </w:r>
            <w:r>
              <w:rPr>
                <w:kern w:val="0"/>
                <w:sz w:val="24"/>
                <w:szCs w:val="24"/>
              </w:rPr>
              <w:t>分</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投标人相关证书评价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投标人具备质量管理体系认证、环境管理体系认证、职业健康安全管理体系认证，提供证书扫描件。</w:t>
            </w:r>
          </w:p>
          <w:p>
            <w:pPr>
              <w:widowControl/>
              <w:adjustRightInd w:val="0"/>
              <w:snapToGrid w:val="0"/>
              <w:rPr>
                <w:kern w:val="0"/>
                <w:sz w:val="24"/>
                <w:szCs w:val="24"/>
              </w:rPr>
            </w:pPr>
            <w:r>
              <w:rPr>
                <w:rFonts w:hint="eastAsia"/>
                <w:kern w:val="0"/>
                <w:sz w:val="24"/>
                <w:szCs w:val="24"/>
              </w:rPr>
              <w:t>具备1个证书得2分，最高6分</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pPr>
              <w:widowControl/>
              <w:adjustRightInd w:val="0"/>
              <w:snapToGrid w:val="0"/>
              <w:jc w:val="center"/>
              <w:rPr>
                <w:kern w:val="0"/>
                <w:sz w:val="24"/>
                <w:szCs w:val="24"/>
              </w:rPr>
            </w:pPr>
            <w:r>
              <w:rPr>
                <w:rFonts w:hint="eastAsia"/>
                <w:kern w:val="0"/>
                <w:sz w:val="24"/>
                <w:szCs w:val="24"/>
              </w:rPr>
              <w:t>派驻项目经理评价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投入的项目经理为投标单位正式员工，提供项目经理姓名、开标日前三个月中连续两个月的由投标单位或其分公司为该项目经理缴纳社会保险证明扫描件，否则不予认定加分。</w:t>
            </w:r>
          </w:p>
          <w:p>
            <w:pPr>
              <w:widowControl/>
              <w:adjustRightInd w:val="0"/>
              <w:snapToGrid w:val="0"/>
              <w:rPr>
                <w:kern w:val="0"/>
                <w:sz w:val="24"/>
                <w:szCs w:val="24"/>
              </w:rPr>
            </w:pPr>
            <w:r>
              <w:rPr>
                <w:rFonts w:hint="eastAsia"/>
                <w:kern w:val="0"/>
                <w:sz w:val="24"/>
                <w:szCs w:val="24"/>
              </w:rPr>
              <w:t>（1）提供项目经理毕业证书扫描件，该项目经理具有大本以上（含大本）学历的：2分，其他：0分；</w:t>
            </w:r>
          </w:p>
          <w:p>
            <w:pPr>
              <w:widowControl/>
              <w:adjustRightInd w:val="0"/>
              <w:snapToGrid w:val="0"/>
              <w:rPr>
                <w:kern w:val="0"/>
                <w:sz w:val="24"/>
                <w:szCs w:val="24"/>
              </w:rPr>
            </w:pPr>
            <w:r>
              <w:rPr>
                <w:rFonts w:hint="eastAsia"/>
                <w:kern w:val="0"/>
                <w:sz w:val="24"/>
                <w:szCs w:val="24"/>
              </w:rPr>
              <w:t>（2）提供项目经理用户服务证明扫描件（加盖用户单位公章），用户服务证明能表明该项目经理具备三年（含三年）以上非住宅物业管理经验的：2分，其他：0分。</w:t>
            </w:r>
          </w:p>
          <w:p>
            <w:pPr>
              <w:widowControl/>
              <w:adjustRightInd w:val="0"/>
              <w:snapToGrid w:val="0"/>
              <w:rPr>
                <w:kern w:val="0"/>
                <w:sz w:val="24"/>
                <w:szCs w:val="24"/>
              </w:rPr>
            </w:pPr>
            <w:r>
              <w:rPr>
                <w:rFonts w:hint="eastAsia"/>
                <w:kern w:val="0"/>
                <w:sz w:val="24"/>
                <w:szCs w:val="24"/>
              </w:rPr>
              <w:t>（3）提供项目经理身份证扫描件，该项目经理年龄在45周岁或以下的：1分，其他：0分；</w:t>
            </w:r>
          </w:p>
          <w:p>
            <w:pPr>
              <w:widowControl/>
              <w:adjustRightInd w:val="0"/>
              <w:snapToGrid w:val="0"/>
              <w:rPr>
                <w:kern w:val="0"/>
                <w:sz w:val="24"/>
                <w:szCs w:val="24"/>
              </w:rPr>
            </w:pPr>
            <w:r>
              <w:rPr>
                <w:rFonts w:hint="eastAsia"/>
                <w:kern w:val="0"/>
                <w:sz w:val="24"/>
                <w:szCs w:val="24"/>
              </w:rPr>
              <w:t>（4）项目经理具备卫生防疫部门或医疗机构颁发的健康证，提供合格的证书扫描件：1分，其他0分。</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pPr>
              <w:widowControl/>
              <w:adjustRightInd w:val="0"/>
              <w:snapToGrid w:val="0"/>
              <w:jc w:val="center"/>
              <w:rPr>
                <w:kern w:val="0"/>
                <w:sz w:val="24"/>
                <w:szCs w:val="24"/>
              </w:rPr>
            </w:pPr>
            <w:r>
              <w:rPr>
                <w:rFonts w:hint="eastAsia"/>
                <w:kern w:val="0"/>
                <w:sz w:val="24"/>
                <w:szCs w:val="24"/>
              </w:rPr>
              <w:t>派驻服务人员评价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（1）电工：提供《特种作业操作证（高压电工作业）》扫描件和《特种作业操作证（低压电工作业）》扫描件，且满足招标文件要求，每个合格的人员得1分，最多3分；</w:t>
            </w:r>
          </w:p>
          <w:p>
            <w:pPr>
              <w:widowControl/>
              <w:adjustRightInd w:val="0"/>
              <w:snapToGrid w:val="0"/>
              <w:rPr>
                <w:kern w:val="0"/>
                <w:sz w:val="24"/>
                <w:szCs w:val="24"/>
              </w:rPr>
            </w:pPr>
            <w:r>
              <w:rPr>
                <w:rFonts w:hint="eastAsia"/>
                <w:kern w:val="0"/>
                <w:sz w:val="24"/>
                <w:szCs w:val="24"/>
              </w:rPr>
              <w:t>（2）电工：提供上述电工（已提供合格证书扫描件的）开标日当月或上一月由投标单位或其分公司缴纳社会保险证明扫描件，每个合格的人员社保证明扫描件得1分，最多3分；</w:t>
            </w:r>
          </w:p>
          <w:p>
            <w:pPr>
              <w:widowControl/>
              <w:adjustRightInd w:val="0"/>
              <w:snapToGrid w:val="0"/>
              <w:rPr>
                <w:kern w:val="0"/>
                <w:sz w:val="24"/>
                <w:szCs w:val="24"/>
              </w:rPr>
            </w:pPr>
            <w:r>
              <w:rPr>
                <w:rFonts w:hint="eastAsia"/>
                <w:kern w:val="0"/>
                <w:sz w:val="24"/>
                <w:szCs w:val="24"/>
              </w:rPr>
              <w:t>（3）维修工：提供《特种作业操作证（焊接与热切割作业）》扫描件、《特种作业操作证（低压电工作业）》扫描件和卫生防疫部门或医疗机构颁发的健康证扫描件，且满足招标文件要求，每个合格的人员得1分，最多1分；</w:t>
            </w:r>
          </w:p>
          <w:p>
            <w:pPr>
              <w:widowControl/>
              <w:adjustRightInd w:val="0"/>
              <w:snapToGrid w:val="0"/>
              <w:rPr>
                <w:kern w:val="0"/>
                <w:sz w:val="24"/>
                <w:szCs w:val="24"/>
              </w:rPr>
            </w:pPr>
            <w:r>
              <w:rPr>
                <w:rFonts w:hint="eastAsia"/>
                <w:kern w:val="0"/>
                <w:sz w:val="24"/>
                <w:szCs w:val="24"/>
              </w:rPr>
              <w:t>（4）维修工：提供上述维修工（已提供合格证书扫描件的）开标日当月或上一月由投标单位或其分公司缴纳社会保险证明扫描件，每个合格的人员社保证明扫描件得1分，最多1分；</w:t>
            </w:r>
          </w:p>
          <w:p>
            <w:pPr>
              <w:widowControl/>
              <w:adjustRightInd w:val="0"/>
              <w:snapToGrid w:val="0"/>
              <w:rPr>
                <w:kern w:val="0"/>
                <w:sz w:val="24"/>
                <w:szCs w:val="24"/>
              </w:rPr>
            </w:pPr>
            <w:r>
              <w:rPr>
                <w:rFonts w:hint="eastAsia"/>
                <w:kern w:val="0"/>
                <w:sz w:val="24"/>
                <w:szCs w:val="24"/>
              </w:rPr>
              <w:t>（5）做水工、送水工、保洁、秩序维护员：提供卫生防疫部门或医疗机构颁发的健康证扫描件，且满足招标文件要求，每个合格的人员得1分，最多10分。</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pPr>
              <w:widowControl/>
              <w:adjustRightInd w:val="0"/>
              <w:snapToGrid w:val="0"/>
              <w:jc w:val="center"/>
              <w:rPr>
                <w:kern w:val="0"/>
                <w:sz w:val="24"/>
                <w:szCs w:val="24"/>
              </w:rPr>
            </w:pPr>
            <w:r>
              <w:rPr>
                <w:color w:val="000000" w:themeColor="text1"/>
                <w:sz w:val="24"/>
                <w14:textFill>
                  <w14:solidFill>
                    <w14:schemeClr w14:val="tx1"/>
                  </w14:solidFill>
                </w14:textFill>
              </w:rPr>
              <w:t>人员培训方案</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人员培训方案应包含培训计划、培训方式、培训目标、言行规范、仪表仪容、公众形象等。</w:t>
            </w:r>
          </w:p>
          <w:p>
            <w:pPr>
              <w:widowControl/>
              <w:adjustRightInd w:val="0"/>
              <w:snapToGrid w:val="0"/>
              <w:rPr>
                <w:kern w:val="0"/>
                <w:sz w:val="24"/>
                <w:szCs w:val="24"/>
              </w:rPr>
            </w:pPr>
            <w:r>
              <w:rPr>
                <w:rFonts w:hint="eastAsia"/>
                <w:kern w:val="0"/>
                <w:sz w:val="24"/>
                <w:szCs w:val="24"/>
              </w:rPr>
              <w:t>每提供上述1项内容的得0.5分，最多3分。</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pPr>
              <w:widowControl/>
              <w:adjustRightInd w:val="0"/>
              <w:snapToGrid w:val="0"/>
              <w:jc w:val="center"/>
              <w:rPr>
                <w:color w:val="000000" w:themeColor="text1"/>
                <w:sz w:val="24"/>
                <w14:textFill>
                  <w14:solidFill>
                    <w14:schemeClr w14:val="tx1"/>
                  </w14:solidFill>
                </w14:textFill>
              </w:rPr>
            </w:pPr>
            <w:r>
              <w:rPr>
                <w:rFonts w:hint="eastAsia"/>
                <w:kern w:val="0"/>
                <w:sz w:val="24"/>
                <w:szCs w:val="24"/>
              </w:rPr>
              <w:t>保洁耗材评价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提供具有检测资质的第三方检测机构出具的针对拟投入本项目保洁耗材的CMA检测报告扫描件，每个合格的扫描件得0.5分，最多1分。</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承诺完全满足招标文件“报价要求”、“时间地点要求”、“付款方式要求”和技术要求中非“★”号要求的：6分，其他0分。</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9393" w:type="dxa"/>
            <w:gridSpan w:val="3"/>
            <w:shd w:val="clear" w:color="auto" w:fill="auto"/>
            <w:noWrap/>
            <w:vAlign w:val="center"/>
          </w:tcPr>
          <w:p>
            <w:pPr>
              <w:widowControl/>
              <w:adjustRightInd w:val="0"/>
              <w:snapToGrid w:val="0"/>
              <w:jc w:val="center"/>
              <w:rPr>
                <w:kern w:val="0"/>
                <w:sz w:val="24"/>
                <w:szCs w:val="24"/>
              </w:rPr>
            </w:pPr>
            <w:r>
              <w:rPr>
                <w:kern w:val="0"/>
                <w:sz w:val="24"/>
                <w:szCs w:val="24"/>
              </w:rPr>
              <w:t>第三部分 主观分（</w:t>
            </w:r>
            <w:r>
              <w:rPr>
                <w:rFonts w:hint="eastAsia"/>
                <w:kern w:val="0"/>
                <w:sz w:val="24"/>
                <w:szCs w:val="24"/>
              </w:rPr>
              <w:t>30</w:t>
            </w:r>
            <w:r>
              <w:rPr>
                <w:kern w:val="0"/>
                <w:sz w:val="24"/>
                <w:szCs w:val="24"/>
              </w:rPr>
              <w:t>分）</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人员、岗位配置方案评价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至少包含各岗位投入人员数量、各岗位内部人员安排配置方案</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kern w:val="0"/>
                <w:sz w:val="24"/>
                <w:szCs w:val="24"/>
              </w:rPr>
            </w:pPr>
            <w:r>
              <w:rPr>
                <w:kern w:val="0"/>
                <w:sz w:val="24"/>
                <w:szCs w:val="24"/>
              </w:rPr>
              <w:t>2</w:t>
            </w:r>
          </w:p>
        </w:tc>
        <w:tc>
          <w:tcPr>
            <w:tcW w:w="1419" w:type="dxa"/>
            <w:shd w:val="clear" w:color="auto" w:fill="auto"/>
            <w:vAlign w:val="center"/>
          </w:tcPr>
          <w:p>
            <w:pPr>
              <w:widowControl/>
              <w:adjustRightInd w:val="0"/>
              <w:snapToGrid w:val="0"/>
              <w:jc w:val="center"/>
              <w:rPr>
                <w:kern w:val="0"/>
                <w:sz w:val="24"/>
                <w:szCs w:val="24"/>
              </w:rPr>
            </w:pPr>
            <w:r>
              <w:rPr>
                <w:rFonts w:hint="eastAsia"/>
                <w:sz w:val="24"/>
              </w:rPr>
              <w:t>针对本项目特点的专业化管理方案评价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w:t>
            </w:r>
            <w:r>
              <w:rPr>
                <w:kern w:val="0"/>
                <w:sz w:val="24"/>
                <w:szCs w:val="24"/>
              </w:rPr>
              <w:t>包含针对本项目的电工、</w:t>
            </w:r>
            <w:r>
              <w:rPr>
                <w:rFonts w:hint="eastAsia"/>
                <w:kern w:val="0"/>
                <w:sz w:val="24"/>
                <w:szCs w:val="24"/>
              </w:rPr>
              <w:t>维修、保洁和秩序维护服务</w:t>
            </w:r>
            <w:r>
              <w:rPr>
                <w:kern w:val="0"/>
                <w:sz w:val="24"/>
                <w:szCs w:val="24"/>
              </w:rPr>
              <w:t>方案</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kern w:val="0"/>
                <w:sz w:val="24"/>
                <w:szCs w:val="24"/>
              </w:rPr>
            </w:pPr>
            <w:r>
              <w:rPr>
                <w:rFonts w:hint="eastAsia"/>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color w:val="000000"/>
                <w:kern w:val="0"/>
                <w:sz w:val="24"/>
                <w:szCs w:val="24"/>
              </w:rPr>
              <w:t>3</w:t>
            </w:r>
          </w:p>
        </w:tc>
        <w:tc>
          <w:tcPr>
            <w:tcW w:w="1419" w:type="dxa"/>
            <w:shd w:val="clear" w:color="auto" w:fill="auto"/>
            <w:vAlign w:val="center"/>
          </w:tcPr>
          <w:p>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对项目重点、难点的理解评价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color w:val="000000"/>
                <w:kern w:val="0"/>
                <w:sz w:val="24"/>
                <w:szCs w:val="24"/>
              </w:rPr>
              <w:t>4</w:t>
            </w:r>
          </w:p>
        </w:tc>
        <w:tc>
          <w:tcPr>
            <w:tcW w:w="1419" w:type="dxa"/>
            <w:shd w:val="clear" w:color="auto" w:fill="auto"/>
            <w:vAlign w:val="center"/>
          </w:tcPr>
          <w:p>
            <w:pPr>
              <w:widowControl/>
              <w:adjustRightInd w:val="0"/>
              <w:snapToGrid w:val="0"/>
              <w:jc w:val="center"/>
              <w:rPr>
                <w:kern w:val="0"/>
                <w:sz w:val="24"/>
                <w:szCs w:val="24"/>
              </w:rPr>
            </w:pPr>
            <w:r>
              <w:rPr>
                <w:rFonts w:hint="eastAsia"/>
                <w:kern w:val="0"/>
                <w:sz w:val="24"/>
                <w:szCs w:val="24"/>
              </w:rPr>
              <w:t>进驻和接管方案评价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至少包含中标后如何</w:t>
            </w:r>
            <w:r>
              <w:rPr>
                <w:rFonts w:hint="eastAsia"/>
                <w:sz w:val="24"/>
                <w:szCs w:val="24"/>
              </w:rPr>
              <w:t>及时配齐所需人员、工具、设备等，在规定的时间内保证全体服务人员按时进场服务的措施，如果为新任服务公司，则还应包含与前任公司交接措施，保留相关记录，如何做到服务平稳过渡，对采购人工作无不良影响。</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color w:val="000000" w:themeColor="text1"/>
                <w:sz w:val="24"/>
                <w14:textFill>
                  <w14:solidFill>
                    <w14:schemeClr w14:val="tx1"/>
                  </w14:solidFill>
                </w14:textFill>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pPr>
              <w:widowControl/>
              <w:adjustRightInd w:val="0"/>
              <w:snapToGrid w:val="0"/>
              <w:jc w:val="center"/>
              <w:rPr>
                <w:kern w:val="0"/>
                <w:sz w:val="24"/>
                <w:szCs w:val="24"/>
              </w:rPr>
            </w:pPr>
            <w:r>
              <w:rPr>
                <w:rFonts w:hint="eastAsia"/>
                <w:kern w:val="0"/>
                <w:sz w:val="24"/>
                <w:szCs w:val="24"/>
              </w:rPr>
              <w:t>应急预案评价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至少包含当出现不可预知紧急情况时（例如停水停电、极端天气、群体事件、自然灾害等），如何保证服务正常运转的措施，临时增配人员设备、现有人员岗位职责临时增加、与相关政府部门协调配合等措施。</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人员保密管理方案评价</w:t>
            </w:r>
          </w:p>
        </w:tc>
        <w:tc>
          <w:tcPr>
            <w:tcW w:w="7311" w:type="dxa"/>
            <w:shd w:val="clear" w:color="auto" w:fill="auto"/>
            <w:vAlign w:val="center"/>
          </w:tcPr>
          <w:p>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至少包含保证服务过程中有可能获取的保密信息不泄露的措施：制定保密制度、服务人员保密培训、重点岗位双人服务、泄密惩罚办法。</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人员稳定性方案评价</w:t>
            </w:r>
          </w:p>
        </w:tc>
        <w:tc>
          <w:tcPr>
            <w:tcW w:w="7311" w:type="dxa"/>
            <w:shd w:val="clear" w:color="auto" w:fill="auto"/>
            <w:vAlign w:val="center"/>
          </w:tcPr>
          <w:p>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至少包含服务期内保证人员更换率不得超过招标文件要求的措施，保证更换人员不得低于采购需求，且应经采购人同意的措施</w:t>
            </w:r>
          </w:p>
          <w:p>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663" w:type="dxa"/>
            <w:shd w:val="clear" w:color="auto" w:fill="auto"/>
            <w:noWrap/>
            <w:vAlign w:val="center"/>
          </w:tcPr>
          <w:p>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pPr>
              <w:widowControl/>
              <w:adjustRightInd w:val="0"/>
              <w:snapToGrid w:val="0"/>
              <w:jc w:val="center"/>
              <w:rPr>
                <w:sz w:val="24"/>
              </w:rPr>
            </w:pPr>
            <w:r>
              <w:rPr>
                <w:rFonts w:hint="eastAsia"/>
                <w:sz w:val="24"/>
              </w:rPr>
              <w:t>价格测算方案评价</w:t>
            </w:r>
          </w:p>
        </w:tc>
        <w:tc>
          <w:tcPr>
            <w:tcW w:w="7311" w:type="dxa"/>
            <w:shd w:val="clear" w:color="auto" w:fill="auto"/>
            <w:vAlign w:val="center"/>
          </w:tcPr>
          <w:p>
            <w:pPr>
              <w:widowControl/>
              <w:adjustRightInd w:val="0"/>
              <w:snapToGrid w:val="0"/>
              <w:rPr>
                <w:sz w:val="24"/>
              </w:rPr>
            </w:pPr>
            <w:r>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pPr>
              <w:widowControl/>
              <w:adjustRightInd w:val="0"/>
              <w:snapToGrid w:val="0"/>
              <w:rPr>
                <w:sz w:val="24"/>
              </w:rPr>
            </w:pPr>
            <w:r>
              <w:rPr>
                <w:rFonts w:hint="eastAsia"/>
                <w:sz w:val="24"/>
              </w:rPr>
              <w:t>价格测算方案科学合理，无瑕疵：3分；</w:t>
            </w:r>
          </w:p>
          <w:p>
            <w:pPr>
              <w:widowControl/>
              <w:adjustRightInd w:val="0"/>
              <w:snapToGrid w:val="0"/>
              <w:rPr>
                <w:sz w:val="24"/>
              </w:rPr>
            </w:pPr>
            <w:r>
              <w:rPr>
                <w:rFonts w:hint="eastAsia"/>
                <w:sz w:val="24"/>
              </w:rPr>
              <w:t>内容存在1处瑕疵：2分；</w:t>
            </w:r>
          </w:p>
          <w:p>
            <w:pPr>
              <w:widowControl/>
              <w:adjustRightInd w:val="0"/>
              <w:snapToGrid w:val="0"/>
              <w:rPr>
                <w:sz w:val="24"/>
              </w:rPr>
            </w:pPr>
            <w:r>
              <w:rPr>
                <w:rFonts w:hint="eastAsia"/>
                <w:sz w:val="24"/>
              </w:rPr>
              <w:t>内容存在2处瑕疵：1分；</w:t>
            </w:r>
          </w:p>
          <w:p>
            <w:pPr>
              <w:widowControl/>
              <w:adjustRightInd w:val="0"/>
              <w:snapToGrid w:val="0"/>
              <w:rPr>
                <w:sz w:val="24"/>
              </w:rPr>
            </w:pPr>
            <w:r>
              <w:rPr>
                <w:rFonts w:hint="eastAsia"/>
                <w:sz w:val="24"/>
              </w:rPr>
              <w:t>未提供测算方案或方案存在3处及以上瑕疵或社会保险、住房公积金应缴未缴的：0分。</w:t>
            </w:r>
          </w:p>
          <w:p>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pPr>
              <w:widowControl/>
              <w:adjustRightInd w:val="0"/>
              <w:snapToGrid w:val="0"/>
              <w:jc w:val="center"/>
              <w:rPr>
                <w:color w:val="000000"/>
                <w:kern w:val="0"/>
                <w:sz w:val="24"/>
                <w:szCs w:val="24"/>
              </w:rPr>
            </w:pPr>
            <w:r>
              <w:rPr>
                <w:rFonts w:hint="eastAsia"/>
                <w:color w:val="000000"/>
                <w:kern w:val="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9393" w:type="dxa"/>
            <w:gridSpan w:val="3"/>
            <w:shd w:val="clear" w:color="auto" w:fill="auto"/>
            <w:noWrap/>
            <w:vAlign w:val="center"/>
          </w:tcPr>
          <w:p>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pPr>
              <w:widowControl/>
              <w:adjustRightInd w:val="0"/>
              <w:snapToGrid w:val="0"/>
              <w:jc w:val="center"/>
              <w:rPr>
                <w:color w:val="000000"/>
                <w:kern w:val="0"/>
                <w:sz w:val="24"/>
                <w:szCs w:val="24"/>
              </w:rPr>
            </w:pPr>
            <w:r>
              <w:rPr>
                <w:color w:val="000000"/>
                <w:kern w:val="0"/>
                <w:sz w:val="24"/>
                <w:szCs w:val="24"/>
              </w:rPr>
              <w:t>100</w:t>
            </w:r>
          </w:p>
        </w:tc>
      </w:tr>
    </w:tbl>
    <w:p>
      <w:pPr>
        <w:spacing w:line="360" w:lineRule="auto"/>
        <w:ind w:firstLine="448" w:firstLineChars="200"/>
        <w:outlineLvl w:val="0"/>
        <w:rPr>
          <w:sz w:val="24"/>
        </w:rPr>
      </w:pPr>
      <w:r>
        <w:rPr>
          <w:sz w:val="24"/>
        </w:rPr>
        <w:t>四、投标文件内容要求</w:t>
      </w:r>
    </w:p>
    <w:p>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pPr>
        <w:spacing w:line="360" w:lineRule="auto"/>
        <w:jc w:val="center"/>
        <w:rPr>
          <w:b/>
          <w:sz w:val="24"/>
        </w:rPr>
      </w:pPr>
      <w:r>
        <w:rPr>
          <w:sz w:val="24"/>
          <w:u w:val="single"/>
        </w:rPr>
        <w:br w:type="page"/>
      </w:r>
      <w:r>
        <w:rPr>
          <w:b/>
          <w:sz w:val="24"/>
        </w:rPr>
        <w:t>项目需求书</w:t>
      </w:r>
    </w:p>
    <w:p>
      <w:pPr>
        <w:widowControl/>
        <w:ind w:firstLine="448" w:firstLineChars="200"/>
        <w:jc w:val="left"/>
        <w:rPr>
          <w:sz w:val="24"/>
        </w:rPr>
      </w:pPr>
      <w:r>
        <w:rPr>
          <w:rFonts w:hint="eastAsia"/>
          <w:sz w:val="24"/>
        </w:rPr>
        <w:t>一、项目背景</w:t>
      </w:r>
    </w:p>
    <w:p>
      <w:pPr>
        <w:widowControl/>
        <w:ind w:firstLine="448" w:firstLineChars="200"/>
        <w:jc w:val="left"/>
        <w:rPr>
          <w:sz w:val="24"/>
        </w:rPr>
      </w:pPr>
      <w:r>
        <w:rPr>
          <w:rFonts w:hint="eastAsia"/>
          <w:sz w:val="24"/>
        </w:rPr>
        <w:t>为国家税务总局天津市河西区税务局越秀路、浦口道办公区提供保洁安保和设备运维服务，为天津市河西区税务局徽州道办公区提供保洁安保服务。</w:t>
      </w:r>
    </w:p>
    <w:p>
      <w:pPr>
        <w:widowControl/>
        <w:ind w:firstLine="448" w:firstLineChars="200"/>
        <w:jc w:val="left"/>
        <w:rPr>
          <w:sz w:val="24"/>
        </w:rPr>
      </w:pPr>
      <w:r>
        <w:rPr>
          <w:rFonts w:hint="eastAsia"/>
          <w:sz w:val="24"/>
        </w:rPr>
        <w:t>项目采购需求：1.河西区越秀大厦B座（含天津市稽查局）主楼地上1层至18层、地库及院落保洁、秩序维护、设备运维。办公面积5959㎡。2.浦口道办公区全栋及院落保洁、秩序维护、设备运维。办公面积747㎡。3.徽州道办公区1层至3层保洁、秩序维护。办公面积2390㎡。</w:t>
      </w:r>
    </w:p>
    <w:p>
      <w:pPr>
        <w:widowControl/>
        <w:ind w:firstLine="448" w:firstLineChars="200"/>
        <w:jc w:val="left"/>
        <w:rPr>
          <w:sz w:val="24"/>
        </w:rPr>
      </w:pPr>
      <w:r>
        <w:rPr>
          <w:rFonts w:hint="eastAsia"/>
          <w:sz w:val="24"/>
        </w:rPr>
        <w:t>本项目属于物业管理行业</w:t>
      </w:r>
    </w:p>
    <w:p>
      <w:pPr>
        <w:widowControl/>
        <w:ind w:firstLine="448" w:firstLineChars="200"/>
        <w:jc w:val="left"/>
        <w:rPr>
          <w:sz w:val="24"/>
        </w:rPr>
      </w:pPr>
      <w:r>
        <w:rPr>
          <w:sz w:val="24"/>
        </w:rPr>
        <w:t>二</w:t>
      </w:r>
      <w:r>
        <w:rPr>
          <w:rFonts w:hint="eastAsia"/>
          <w:sz w:val="24"/>
        </w:rPr>
        <w:t>、</w:t>
      </w:r>
      <w:r>
        <w:rPr>
          <w:sz w:val="24"/>
        </w:rPr>
        <w:t>人员及岗位要求</w:t>
      </w:r>
    </w:p>
    <w:tbl>
      <w:tblPr>
        <w:tblStyle w:val="22"/>
        <w:tblW w:w="10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1580"/>
        <w:gridCol w:w="734"/>
        <w:gridCol w:w="5149"/>
        <w:gridCol w:w="1043"/>
        <w:gridCol w:w="1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81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Cs w:val="21"/>
              </w:rPr>
            </w:pPr>
            <w:r>
              <w:rPr>
                <w:b/>
                <w:bCs/>
                <w:szCs w:val="21"/>
              </w:rPr>
              <w:t>序号</w:t>
            </w:r>
          </w:p>
        </w:tc>
        <w:tc>
          <w:tcPr>
            <w:tcW w:w="15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Cs w:val="21"/>
              </w:rPr>
            </w:pPr>
            <w:r>
              <w:rPr>
                <w:b/>
                <w:bCs/>
                <w:szCs w:val="21"/>
              </w:rPr>
              <w:t>岗位名称</w:t>
            </w:r>
          </w:p>
        </w:tc>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Cs w:val="21"/>
              </w:rPr>
            </w:pPr>
            <w:r>
              <w:rPr>
                <w:b/>
                <w:bCs/>
                <w:szCs w:val="21"/>
              </w:rPr>
              <w:t>人数</w:t>
            </w:r>
          </w:p>
        </w:tc>
        <w:tc>
          <w:tcPr>
            <w:tcW w:w="51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Cs w:val="21"/>
              </w:rPr>
            </w:pPr>
            <w:r>
              <w:rPr>
                <w:b/>
                <w:bCs/>
                <w:szCs w:val="21"/>
              </w:rPr>
              <w:t>要求</w:t>
            </w:r>
          </w:p>
        </w:tc>
        <w:tc>
          <w:tcPr>
            <w:tcW w:w="104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Cs w:val="21"/>
              </w:rPr>
            </w:pPr>
            <w:r>
              <w:rPr>
                <w:b/>
                <w:bCs/>
                <w:szCs w:val="21"/>
              </w:rPr>
              <w:t>是否接受退休人员</w:t>
            </w: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bCs/>
                <w:szCs w:val="21"/>
              </w:rPr>
            </w:pPr>
            <w:r>
              <w:rPr>
                <w:b/>
                <w:bCs/>
                <w:szCs w:val="21"/>
              </w:rPr>
              <w:t>工作时间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1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1</w:t>
            </w:r>
          </w:p>
        </w:tc>
        <w:tc>
          <w:tcPr>
            <w:tcW w:w="15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项目经理</w:t>
            </w:r>
          </w:p>
        </w:tc>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1</w:t>
            </w:r>
          </w:p>
        </w:tc>
        <w:tc>
          <w:tcPr>
            <w:tcW w:w="51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szCs w:val="21"/>
              </w:rPr>
            </w:pPr>
            <w:r>
              <w:rPr>
                <w:szCs w:val="21"/>
              </w:rPr>
              <w:t>1.性别不限，45周岁或以下。</w:t>
            </w:r>
            <w:r>
              <w:rPr>
                <w:rFonts w:hint="eastAsia"/>
                <w:szCs w:val="21"/>
              </w:rPr>
              <w:t>大本</w:t>
            </w:r>
            <w:r>
              <w:rPr>
                <w:szCs w:val="21"/>
              </w:rPr>
              <w:t>（或以上）学历，身体健康，无前科劣迹；</w:t>
            </w:r>
          </w:p>
          <w:p>
            <w:pPr>
              <w:adjustRightInd w:val="0"/>
              <w:snapToGrid w:val="0"/>
              <w:jc w:val="left"/>
              <w:rPr>
                <w:szCs w:val="21"/>
              </w:rPr>
            </w:pPr>
            <w:r>
              <w:rPr>
                <w:szCs w:val="21"/>
              </w:rPr>
              <w:t>2.持卫生防疫部门或医疗机构颁发的健康证上岗；</w:t>
            </w:r>
          </w:p>
          <w:p>
            <w:pPr>
              <w:adjustRightInd w:val="0"/>
              <w:snapToGrid w:val="0"/>
              <w:jc w:val="left"/>
              <w:rPr>
                <w:szCs w:val="21"/>
              </w:rPr>
            </w:pPr>
            <w:r>
              <w:rPr>
                <w:szCs w:val="21"/>
              </w:rPr>
              <w:t>3.三年以上（含三年）非住宅物业项目管理经验；</w:t>
            </w:r>
          </w:p>
          <w:p>
            <w:pPr>
              <w:adjustRightInd w:val="0"/>
              <w:snapToGrid w:val="0"/>
              <w:jc w:val="left"/>
              <w:rPr>
                <w:szCs w:val="21"/>
              </w:rPr>
            </w:pPr>
            <w:r>
              <w:rPr>
                <w:szCs w:val="21"/>
              </w:rPr>
              <w:t>4.驻场服务，不得兼任其他项目。</w:t>
            </w:r>
          </w:p>
        </w:tc>
        <w:tc>
          <w:tcPr>
            <w:tcW w:w="104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否</w:t>
            </w: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Theme="majorEastAsia"/>
                <w:szCs w:val="21"/>
              </w:rPr>
            </w:pPr>
            <w:r>
              <w:rPr>
                <w:rFonts w:eastAsiaTheme="majorEastAsia"/>
                <w:szCs w:val="21"/>
              </w:rPr>
              <w:t>每日8小时</w:t>
            </w:r>
          </w:p>
          <w:p>
            <w:pPr>
              <w:adjustRightInd w:val="0"/>
              <w:snapToGrid w:val="0"/>
              <w:jc w:val="center"/>
              <w:rPr>
                <w:rFonts w:eastAsiaTheme="majorEastAsia"/>
                <w:szCs w:val="21"/>
              </w:rPr>
            </w:pPr>
            <w:r>
              <w:rPr>
                <w:rFonts w:eastAsiaTheme="majorEastAsia"/>
                <w:szCs w:val="21"/>
              </w:rPr>
              <w:t>每周5日</w:t>
            </w:r>
          </w:p>
          <w:p>
            <w:pPr>
              <w:adjustRightInd w:val="0"/>
              <w:snapToGrid w:val="0"/>
              <w:jc w:val="center"/>
              <w:rPr>
                <w:szCs w:val="21"/>
              </w:rPr>
            </w:pPr>
            <w:r>
              <w:rPr>
                <w:rFonts w:eastAsiaTheme="majorEastAsia"/>
                <w:szCs w:val="21"/>
              </w:rPr>
              <w:t>特殊情况需加班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1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2</w:t>
            </w:r>
          </w:p>
        </w:tc>
        <w:tc>
          <w:tcPr>
            <w:tcW w:w="15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电工</w:t>
            </w:r>
          </w:p>
        </w:tc>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5</w:t>
            </w:r>
          </w:p>
        </w:tc>
        <w:tc>
          <w:tcPr>
            <w:tcW w:w="51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eastAsiaTheme="majorEastAsia"/>
                <w:szCs w:val="21"/>
              </w:rPr>
            </w:pPr>
            <w:r>
              <w:rPr>
                <w:rFonts w:eastAsiaTheme="majorEastAsia"/>
                <w:szCs w:val="21"/>
              </w:rPr>
              <w:t>1.男性，身体健康。</w:t>
            </w:r>
          </w:p>
          <w:p>
            <w:pPr>
              <w:adjustRightInd w:val="0"/>
              <w:snapToGrid w:val="0"/>
              <w:jc w:val="left"/>
              <w:rPr>
                <w:rFonts w:eastAsiaTheme="majorEastAsia"/>
                <w:szCs w:val="21"/>
              </w:rPr>
            </w:pPr>
            <w:r>
              <w:rPr>
                <w:rFonts w:eastAsiaTheme="majorEastAsia"/>
                <w:szCs w:val="21"/>
              </w:rPr>
              <w:t>2.具备3年以上（含3年）机关单位运行电工工作经验。</w:t>
            </w:r>
          </w:p>
          <w:p>
            <w:pPr>
              <w:adjustRightInd w:val="0"/>
              <w:snapToGrid w:val="0"/>
              <w:jc w:val="left"/>
              <w:rPr>
                <w:szCs w:val="21"/>
              </w:rPr>
            </w:pPr>
            <w:r>
              <w:rPr>
                <w:rFonts w:eastAsiaTheme="majorEastAsia"/>
                <w:szCs w:val="21"/>
              </w:rPr>
              <w:t>3.</w:t>
            </w:r>
            <w:r>
              <w:rPr>
                <w:rFonts w:hint="eastAsia"/>
              </w:rPr>
              <w:t xml:space="preserve"> </w:t>
            </w:r>
            <w:r>
              <w:rPr>
                <w:rFonts w:hint="eastAsia" w:eastAsiaTheme="majorEastAsia"/>
                <w:szCs w:val="21"/>
              </w:rPr>
              <w:t>★</w:t>
            </w:r>
            <w:r>
              <w:rPr>
                <w:rFonts w:eastAsiaTheme="majorEastAsia"/>
                <w:szCs w:val="21"/>
              </w:rPr>
              <w:t>持《特种作业操作证（高压电工作业）》及《特种作业操作证（低压电工作业）》上岗。</w:t>
            </w:r>
          </w:p>
        </w:tc>
        <w:tc>
          <w:tcPr>
            <w:tcW w:w="104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否</w:t>
            </w: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r>
              <w:rPr>
                <w:rFonts w:eastAsiaTheme="majorEastAsia"/>
                <w:szCs w:val="21"/>
              </w:rPr>
              <w:t>4人24小时值守，四班三运转；1人常日班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1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3</w:t>
            </w:r>
          </w:p>
        </w:tc>
        <w:tc>
          <w:tcPr>
            <w:tcW w:w="15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维修工</w:t>
            </w:r>
          </w:p>
        </w:tc>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1</w:t>
            </w:r>
          </w:p>
        </w:tc>
        <w:tc>
          <w:tcPr>
            <w:tcW w:w="51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eastAsiaTheme="majorEastAsia"/>
                <w:szCs w:val="21"/>
              </w:rPr>
            </w:pPr>
            <w:r>
              <w:rPr>
                <w:rFonts w:eastAsiaTheme="majorEastAsia"/>
                <w:szCs w:val="21"/>
              </w:rPr>
              <w:t>1.男性，身体健康</w:t>
            </w:r>
          </w:p>
          <w:p>
            <w:pPr>
              <w:adjustRightInd w:val="0"/>
              <w:snapToGrid w:val="0"/>
              <w:jc w:val="left"/>
              <w:rPr>
                <w:rFonts w:eastAsiaTheme="majorEastAsia"/>
                <w:szCs w:val="21"/>
              </w:rPr>
            </w:pPr>
            <w:r>
              <w:rPr>
                <w:rFonts w:eastAsiaTheme="majorEastAsia"/>
                <w:szCs w:val="21"/>
              </w:rPr>
              <w:t>2.具备3年以上（含3年）机关单位日常另行维修工作经验。</w:t>
            </w:r>
          </w:p>
          <w:p>
            <w:pPr>
              <w:adjustRightInd w:val="0"/>
              <w:snapToGrid w:val="0"/>
              <w:jc w:val="left"/>
              <w:rPr>
                <w:szCs w:val="21"/>
              </w:rPr>
            </w:pPr>
            <w:r>
              <w:rPr>
                <w:rFonts w:eastAsiaTheme="majorEastAsia"/>
                <w:szCs w:val="21"/>
              </w:rPr>
              <w:t>3.</w:t>
            </w:r>
            <w:r>
              <w:rPr>
                <w:rFonts w:hint="eastAsia" w:eastAsiaTheme="majorEastAsia"/>
                <w:szCs w:val="21"/>
              </w:rPr>
              <w:t xml:space="preserve"> ★</w:t>
            </w:r>
            <w:r>
              <w:rPr>
                <w:rFonts w:eastAsiaTheme="majorEastAsia"/>
                <w:szCs w:val="21"/>
              </w:rPr>
              <w:t>持《特种作业操作证（低压电工作业）》、卫生防疫部门或医疗机构颁发的健康证和《特种作业操作证（焊接与热切割作业）》上岗。</w:t>
            </w:r>
          </w:p>
        </w:tc>
        <w:tc>
          <w:tcPr>
            <w:tcW w:w="104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否</w:t>
            </w: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Theme="majorEastAsia"/>
                <w:szCs w:val="21"/>
              </w:rPr>
            </w:pPr>
            <w:r>
              <w:rPr>
                <w:rFonts w:eastAsiaTheme="majorEastAsia"/>
                <w:szCs w:val="21"/>
              </w:rPr>
              <w:t>每日8小时</w:t>
            </w:r>
          </w:p>
          <w:p>
            <w:pPr>
              <w:adjustRightInd w:val="0"/>
              <w:snapToGrid w:val="0"/>
              <w:jc w:val="center"/>
              <w:rPr>
                <w:szCs w:val="21"/>
              </w:rPr>
            </w:pPr>
            <w:r>
              <w:rPr>
                <w:rFonts w:eastAsiaTheme="majorEastAsia"/>
                <w:szCs w:val="21"/>
              </w:rPr>
              <w:t>每周5日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1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4</w:t>
            </w:r>
          </w:p>
        </w:tc>
        <w:tc>
          <w:tcPr>
            <w:tcW w:w="15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做水工</w:t>
            </w:r>
          </w:p>
        </w:tc>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1</w:t>
            </w:r>
          </w:p>
        </w:tc>
        <w:tc>
          <w:tcPr>
            <w:tcW w:w="51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eastAsiaTheme="majorEastAsia"/>
                <w:szCs w:val="21"/>
              </w:rPr>
            </w:pPr>
            <w:r>
              <w:rPr>
                <w:rFonts w:eastAsiaTheme="majorEastAsia"/>
                <w:szCs w:val="21"/>
              </w:rPr>
              <w:t>1.具备3年以上（含3年）机关单位相关岗位工作经验。</w:t>
            </w:r>
          </w:p>
          <w:p>
            <w:pPr>
              <w:adjustRightInd w:val="0"/>
              <w:snapToGrid w:val="0"/>
              <w:jc w:val="left"/>
              <w:rPr>
                <w:szCs w:val="21"/>
              </w:rPr>
            </w:pPr>
            <w:r>
              <w:rPr>
                <w:rFonts w:eastAsiaTheme="majorEastAsia"/>
                <w:szCs w:val="21"/>
              </w:rPr>
              <w:t>2.持卫生防疫部门或医疗机构颁发的健康证上岗。</w:t>
            </w:r>
          </w:p>
        </w:tc>
        <w:tc>
          <w:tcPr>
            <w:tcW w:w="104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否</w:t>
            </w: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Theme="majorEastAsia"/>
                <w:szCs w:val="21"/>
              </w:rPr>
            </w:pPr>
            <w:r>
              <w:rPr>
                <w:rFonts w:eastAsiaTheme="majorEastAsia"/>
                <w:szCs w:val="21"/>
              </w:rPr>
              <w:t>每日8小时</w:t>
            </w:r>
          </w:p>
          <w:p>
            <w:pPr>
              <w:adjustRightInd w:val="0"/>
              <w:snapToGrid w:val="0"/>
              <w:jc w:val="center"/>
              <w:rPr>
                <w:szCs w:val="21"/>
              </w:rPr>
            </w:pPr>
            <w:r>
              <w:rPr>
                <w:rFonts w:eastAsiaTheme="majorEastAsia"/>
                <w:szCs w:val="21"/>
              </w:rPr>
              <w:t>每周5日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1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5</w:t>
            </w:r>
          </w:p>
        </w:tc>
        <w:tc>
          <w:tcPr>
            <w:tcW w:w="15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送水工</w:t>
            </w:r>
          </w:p>
        </w:tc>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1</w:t>
            </w:r>
          </w:p>
        </w:tc>
        <w:tc>
          <w:tcPr>
            <w:tcW w:w="51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eastAsiaTheme="majorEastAsia"/>
                <w:szCs w:val="21"/>
              </w:rPr>
            </w:pPr>
            <w:r>
              <w:rPr>
                <w:rFonts w:eastAsiaTheme="majorEastAsia"/>
                <w:szCs w:val="21"/>
              </w:rPr>
              <w:t>1.具备3年以上（含3年）机关单位相关岗位工作经验。</w:t>
            </w:r>
          </w:p>
          <w:p>
            <w:pPr>
              <w:adjustRightInd w:val="0"/>
              <w:snapToGrid w:val="0"/>
              <w:jc w:val="left"/>
              <w:rPr>
                <w:szCs w:val="21"/>
              </w:rPr>
            </w:pPr>
            <w:r>
              <w:rPr>
                <w:rFonts w:eastAsiaTheme="majorEastAsia"/>
                <w:szCs w:val="21"/>
              </w:rPr>
              <w:t>2.持卫生防疫部门或医疗机构颁发的健康证上岗。</w:t>
            </w:r>
          </w:p>
        </w:tc>
        <w:tc>
          <w:tcPr>
            <w:tcW w:w="104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否</w:t>
            </w: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Theme="majorEastAsia"/>
                <w:szCs w:val="21"/>
              </w:rPr>
            </w:pPr>
            <w:r>
              <w:rPr>
                <w:rFonts w:eastAsiaTheme="majorEastAsia"/>
                <w:szCs w:val="21"/>
              </w:rPr>
              <w:t>每日8小时</w:t>
            </w:r>
          </w:p>
          <w:p>
            <w:pPr>
              <w:adjustRightInd w:val="0"/>
              <w:snapToGrid w:val="0"/>
              <w:jc w:val="center"/>
              <w:rPr>
                <w:szCs w:val="21"/>
              </w:rPr>
            </w:pPr>
            <w:r>
              <w:rPr>
                <w:rFonts w:eastAsiaTheme="majorEastAsia"/>
                <w:szCs w:val="21"/>
              </w:rPr>
              <w:t>每周5日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1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6</w:t>
            </w:r>
          </w:p>
        </w:tc>
        <w:tc>
          <w:tcPr>
            <w:tcW w:w="15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保洁员</w:t>
            </w:r>
          </w:p>
        </w:tc>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10</w:t>
            </w:r>
          </w:p>
        </w:tc>
        <w:tc>
          <w:tcPr>
            <w:tcW w:w="51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eastAsiaTheme="majorEastAsia"/>
                <w:szCs w:val="21"/>
              </w:rPr>
            </w:pPr>
            <w:r>
              <w:rPr>
                <w:rFonts w:eastAsiaTheme="majorEastAsia"/>
                <w:szCs w:val="21"/>
              </w:rPr>
              <w:t>越秀路办公区5人，友谊路1人，蒲口道1人，徽州道3人</w:t>
            </w:r>
          </w:p>
          <w:p>
            <w:pPr>
              <w:adjustRightInd w:val="0"/>
              <w:snapToGrid w:val="0"/>
              <w:jc w:val="left"/>
              <w:rPr>
                <w:rFonts w:eastAsiaTheme="majorEastAsia"/>
                <w:szCs w:val="21"/>
              </w:rPr>
            </w:pPr>
            <w:r>
              <w:rPr>
                <w:rFonts w:eastAsiaTheme="majorEastAsia"/>
                <w:szCs w:val="21"/>
              </w:rPr>
              <w:t>1.女性，初中及以上学历。身体健康，无前科劣迹。</w:t>
            </w:r>
          </w:p>
          <w:p>
            <w:pPr>
              <w:adjustRightInd w:val="0"/>
              <w:snapToGrid w:val="0"/>
              <w:jc w:val="left"/>
              <w:rPr>
                <w:rFonts w:eastAsiaTheme="majorEastAsia"/>
                <w:szCs w:val="21"/>
              </w:rPr>
            </w:pPr>
            <w:r>
              <w:rPr>
                <w:rFonts w:eastAsiaTheme="majorEastAsia"/>
                <w:szCs w:val="21"/>
              </w:rPr>
              <w:t>2.有相关保洁工作经验。</w:t>
            </w:r>
          </w:p>
          <w:p>
            <w:pPr>
              <w:adjustRightInd w:val="0"/>
              <w:snapToGrid w:val="0"/>
              <w:jc w:val="left"/>
              <w:rPr>
                <w:szCs w:val="21"/>
              </w:rPr>
            </w:pPr>
            <w:r>
              <w:rPr>
                <w:rFonts w:eastAsiaTheme="majorEastAsia"/>
                <w:szCs w:val="21"/>
              </w:rPr>
              <w:t>3.持卫生防疫部门或医疗机构颁发的健康证上岗</w:t>
            </w:r>
          </w:p>
        </w:tc>
        <w:tc>
          <w:tcPr>
            <w:tcW w:w="104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rFonts w:eastAsiaTheme="majorEastAsia"/>
                <w:szCs w:val="21"/>
              </w:rPr>
              <w:t>是</w:t>
            </w: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Theme="majorEastAsia"/>
                <w:szCs w:val="21"/>
              </w:rPr>
            </w:pPr>
            <w:r>
              <w:rPr>
                <w:rFonts w:eastAsiaTheme="majorEastAsia"/>
                <w:szCs w:val="21"/>
              </w:rPr>
              <w:t>每日8小时</w:t>
            </w:r>
          </w:p>
          <w:p>
            <w:pPr>
              <w:adjustRightInd w:val="0"/>
              <w:snapToGrid w:val="0"/>
              <w:jc w:val="center"/>
              <w:rPr>
                <w:szCs w:val="21"/>
              </w:rPr>
            </w:pPr>
            <w:r>
              <w:rPr>
                <w:rFonts w:eastAsiaTheme="majorEastAsia"/>
                <w:szCs w:val="21"/>
              </w:rPr>
              <w:t>每周5日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1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7</w:t>
            </w:r>
          </w:p>
        </w:tc>
        <w:tc>
          <w:tcPr>
            <w:tcW w:w="15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秩序维护员</w:t>
            </w:r>
          </w:p>
        </w:tc>
        <w:tc>
          <w:tcPr>
            <w:tcW w:w="7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11</w:t>
            </w:r>
          </w:p>
        </w:tc>
        <w:tc>
          <w:tcPr>
            <w:tcW w:w="51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eastAsiaTheme="majorEastAsia"/>
                <w:szCs w:val="21"/>
              </w:rPr>
            </w:pPr>
            <w:r>
              <w:rPr>
                <w:rFonts w:eastAsiaTheme="majorEastAsia"/>
                <w:szCs w:val="21"/>
              </w:rPr>
              <w:t>1.男性，身体健康，无前科劣迹。</w:t>
            </w:r>
          </w:p>
          <w:p>
            <w:pPr>
              <w:adjustRightInd w:val="0"/>
              <w:snapToGrid w:val="0"/>
              <w:jc w:val="left"/>
              <w:rPr>
                <w:rFonts w:eastAsiaTheme="majorEastAsia"/>
                <w:szCs w:val="21"/>
              </w:rPr>
            </w:pPr>
            <w:r>
              <w:rPr>
                <w:rFonts w:eastAsiaTheme="majorEastAsia"/>
                <w:szCs w:val="21"/>
              </w:rPr>
              <w:t>2.持卫生防疫部门或医疗机构颁发的健康证上岗</w:t>
            </w:r>
          </w:p>
          <w:p>
            <w:pPr>
              <w:adjustRightInd w:val="0"/>
              <w:snapToGrid w:val="0"/>
              <w:jc w:val="left"/>
              <w:rPr>
                <w:rFonts w:eastAsiaTheme="majorEastAsia"/>
                <w:szCs w:val="21"/>
              </w:rPr>
            </w:pPr>
            <w:r>
              <w:rPr>
                <w:rFonts w:eastAsiaTheme="majorEastAsia"/>
                <w:szCs w:val="21"/>
              </w:rPr>
              <w:t>3.越秀路5人、徽州道办公区2人、浦口道办公区4人</w:t>
            </w:r>
          </w:p>
          <w:p>
            <w:pPr>
              <w:adjustRightInd w:val="0"/>
              <w:snapToGrid w:val="0"/>
              <w:jc w:val="left"/>
              <w:rPr>
                <w:szCs w:val="21"/>
              </w:rPr>
            </w:pPr>
            <w:r>
              <w:rPr>
                <w:rFonts w:hint="eastAsia" w:eastAsiaTheme="majorEastAsia"/>
                <w:szCs w:val="21"/>
              </w:rPr>
              <w:t>徽州道办公区同采购方人员共同值班</w:t>
            </w:r>
            <w:r>
              <w:rPr>
                <w:rFonts w:eastAsiaTheme="majorEastAsia"/>
                <w:szCs w:val="21"/>
              </w:rPr>
              <w:t>。</w:t>
            </w:r>
          </w:p>
        </w:tc>
        <w:tc>
          <w:tcPr>
            <w:tcW w:w="104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rFonts w:eastAsiaTheme="majorEastAsia"/>
                <w:szCs w:val="21"/>
              </w:rPr>
              <w:t>是</w:t>
            </w: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rFonts w:hint="eastAsia" w:eastAsiaTheme="majorEastAsia"/>
                <w:szCs w:val="21"/>
              </w:rPr>
              <w:t>24小时值守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39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Cs w:val="21"/>
              </w:rPr>
            </w:pPr>
            <w:r>
              <w:rPr>
                <w:szCs w:val="21"/>
              </w:rPr>
              <w:t>合计</w:t>
            </w:r>
          </w:p>
        </w:tc>
        <w:tc>
          <w:tcPr>
            <w:tcW w:w="8381" w:type="dxa"/>
            <w:gridSpan w:val="4"/>
            <w:tcBorders>
              <w:top w:val="single" w:color="auto" w:sz="4" w:space="0"/>
              <w:left w:val="single" w:color="auto" w:sz="4" w:space="0"/>
              <w:bottom w:val="single" w:color="auto" w:sz="4" w:space="0"/>
              <w:right w:val="single" w:color="auto" w:sz="4" w:space="0"/>
            </w:tcBorders>
          </w:tcPr>
          <w:p>
            <w:pPr>
              <w:adjustRightInd w:val="0"/>
              <w:snapToGrid w:val="0"/>
              <w:jc w:val="center"/>
              <w:rPr>
                <w:szCs w:val="21"/>
              </w:rPr>
            </w:pPr>
            <w:r>
              <w:rPr>
                <w:szCs w:val="21"/>
              </w:rPr>
              <w:t>30</w:t>
            </w:r>
          </w:p>
        </w:tc>
      </w:tr>
    </w:tbl>
    <w:p>
      <w:pPr>
        <w:widowControl/>
        <w:ind w:firstLine="448" w:firstLineChars="200"/>
        <w:jc w:val="left"/>
        <w:rPr>
          <w:sz w:val="24"/>
        </w:rPr>
      </w:pPr>
    </w:p>
    <w:p>
      <w:pPr>
        <w:widowControl/>
        <w:ind w:firstLine="448" w:firstLineChars="200"/>
        <w:jc w:val="left"/>
        <w:rPr>
          <w:sz w:val="24"/>
        </w:rPr>
      </w:pPr>
      <w:r>
        <w:rPr>
          <w:rFonts w:hint="eastAsia"/>
          <w:sz w:val="24"/>
        </w:rPr>
        <w:t>注：</w:t>
      </w:r>
    </w:p>
    <w:p>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按劳动法和国务院关于职工工作时间的规定，正常情况下，上述人员每日工作不超过8小时，每周工作不超过40小时。需安排加班的，中标供应商应配合并向劳动者支付加班费。</w:t>
      </w:r>
    </w:p>
    <w:p>
      <w:pPr>
        <w:widowControl/>
        <w:ind w:firstLine="448" w:firstLineChars="200"/>
        <w:jc w:val="left"/>
        <w:rPr>
          <w:sz w:val="24"/>
        </w:rPr>
      </w:pPr>
      <w:r>
        <w:rPr>
          <w:rFonts w:hint="eastAsia"/>
          <w:sz w:val="24"/>
        </w:rPr>
        <w:t>一旦获得中标资格，上述人员按要求投入本项目服务，非经采购人同意，不随意更换人员。</w:t>
      </w:r>
    </w:p>
    <w:p>
      <w:pPr>
        <w:widowControl/>
        <w:ind w:firstLine="448" w:firstLineChars="200"/>
        <w:jc w:val="left"/>
        <w:rPr>
          <w:sz w:val="24"/>
        </w:rPr>
      </w:pPr>
      <w:r>
        <w:rPr>
          <w:rFonts w:hint="eastAsia"/>
          <w:sz w:val="24"/>
        </w:rPr>
        <w:t>采购合同履行过程中，如遇国家和我市相关政策调整等法定情形的，采购人可以与供应商签订补充合同，补充合同应当按照政府采购法律法规的相关要求报同级财政部门备案。</w:t>
      </w:r>
    </w:p>
    <w:p>
      <w:pPr>
        <w:widowControl/>
        <w:ind w:firstLine="448" w:firstLineChars="200"/>
        <w:jc w:val="left"/>
        <w:rPr>
          <w:sz w:val="24"/>
        </w:rPr>
      </w:pPr>
      <w:r>
        <w:rPr>
          <w:rFonts w:hint="eastAsia"/>
          <w:sz w:val="24"/>
        </w:rPr>
        <w:t>三、各岗位人员具体工作内容、职责及服务标准</w:t>
      </w:r>
    </w:p>
    <w:p>
      <w:pPr>
        <w:widowControl/>
        <w:ind w:firstLine="448" w:firstLineChars="200"/>
        <w:jc w:val="left"/>
        <w:rPr>
          <w:sz w:val="24"/>
        </w:rPr>
      </w:pPr>
      <w:r>
        <w:rPr>
          <w:rFonts w:hint="eastAsia"/>
          <w:sz w:val="24"/>
        </w:rPr>
        <w:t>（一）服务标准</w:t>
      </w:r>
    </w:p>
    <w:p>
      <w:pPr>
        <w:widowControl/>
        <w:ind w:firstLine="448" w:firstLineChars="200"/>
        <w:jc w:val="left"/>
        <w:rPr>
          <w:sz w:val="24"/>
        </w:rPr>
      </w:pPr>
      <w:r>
        <w:rPr>
          <w:rFonts w:hint="eastAsia"/>
          <w:sz w:val="24"/>
        </w:rPr>
        <w:t>1.保洁服务内容</w:t>
      </w:r>
    </w:p>
    <w:p>
      <w:pPr>
        <w:widowControl/>
        <w:ind w:firstLine="448" w:firstLineChars="200"/>
        <w:jc w:val="left"/>
        <w:rPr>
          <w:sz w:val="24"/>
        </w:rPr>
      </w:pPr>
      <w:r>
        <w:rPr>
          <w:rFonts w:hint="eastAsia"/>
          <w:sz w:val="24"/>
        </w:rPr>
        <w:t>（1）维护本项目公共地方设施（例如门窗、玻璃等）完好无损，并及时制止任何人对上述物品及设施进行破坏。</w:t>
      </w:r>
    </w:p>
    <w:p>
      <w:pPr>
        <w:widowControl/>
        <w:ind w:firstLine="448" w:firstLineChars="200"/>
        <w:jc w:val="left"/>
        <w:rPr>
          <w:sz w:val="24"/>
        </w:rPr>
      </w:pPr>
      <w:r>
        <w:rPr>
          <w:rFonts w:hint="eastAsia"/>
          <w:sz w:val="24"/>
        </w:rPr>
        <w:t>（2）一经发现任何在托管物业内大厅、走道及墙面等处乱写乱画或进行任何形式的破坏，均有责任制止，以确保整个托管物业的干净整洁。</w:t>
      </w:r>
    </w:p>
    <w:p>
      <w:pPr>
        <w:widowControl/>
        <w:ind w:firstLine="448" w:firstLineChars="200"/>
        <w:jc w:val="left"/>
        <w:rPr>
          <w:sz w:val="24"/>
        </w:rPr>
      </w:pPr>
      <w:r>
        <w:rPr>
          <w:rFonts w:hint="eastAsia"/>
          <w:sz w:val="24"/>
        </w:rPr>
        <w:t>（3）有责任维护托管物业周围之环境秩序，无乱堆杂物、无乱贴、乱画及广告。</w:t>
      </w:r>
    </w:p>
    <w:p>
      <w:pPr>
        <w:widowControl/>
        <w:ind w:firstLine="448" w:firstLineChars="200"/>
        <w:jc w:val="left"/>
        <w:rPr>
          <w:sz w:val="24"/>
        </w:rPr>
      </w:pPr>
      <w:r>
        <w:rPr>
          <w:rFonts w:hint="eastAsia"/>
          <w:sz w:val="24"/>
        </w:rPr>
        <w:t>（4）工作纪律</w:t>
      </w:r>
    </w:p>
    <w:p>
      <w:pPr>
        <w:widowControl/>
        <w:ind w:firstLine="448" w:firstLineChars="200"/>
        <w:jc w:val="left"/>
        <w:rPr>
          <w:sz w:val="24"/>
        </w:rPr>
      </w:pPr>
      <w:r>
        <w:rPr>
          <w:rFonts w:hint="eastAsia"/>
          <w:sz w:val="24"/>
        </w:rPr>
        <w:t>提前十分钟到岗，着保洁员统一工装，佩带工牌，要求工装平整洁净装束整齐，发型梳理得当，化装朴实大方，不准浓妆艳抹，不得涂指甲油；穿鞋宜选平跟，无响钉，确保楼内安静。</w:t>
      </w:r>
    </w:p>
    <w:p>
      <w:pPr>
        <w:widowControl/>
        <w:ind w:firstLine="448" w:firstLineChars="200"/>
        <w:jc w:val="left"/>
        <w:rPr>
          <w:sz w:val="24"/>
        </w:rPr>
      </w:pPr>
      <w:r>
        <w:rPr>
          <w:rFonts w:hint="eastAsia"/>
          <w:sz w:val="24"/>
        </w:rPr>
        <w:t>精神饱满，举止大方，端庄文雅，言谈文明，用词准确，音量适中，表情自然，亲切微笑，礼仪礼貌，禁止使用浓型气味化妆品，忌吃刺激性大蒜、韭菜等食物。</w:t>
      </w:r>
    </w:p>
    <w:p>
      <w:pPr>
        <w:widowControl/>
        <w:ind w:firstLine="448" w:firstLineChars="200"/>
        <w:jc w:val="left"/>
        <w:rPr>
          <w:sz w:val="24"/>
        </w:rPr>
      </w:pPr>
      <w:r>
        <w:rPr>
          <w:rFonts w:hint="eastAsia"/>
          <w:sz w:val="24"/>
        </w:rPr>
        <w:t>坚守工作区域岗位，严禁脱岗、闲聊、干私活、办私事。</w:t>
      </w:r>
    </w:p>
    <w:p>
      <w:pPr>
        <w:widowControl/>
        <w:ind w:firstLine="448" w:firstLineChars="200"/>
        <w:jc w:val="left"/>
        <w:rPr>
          <w:sz w:val="24"/>
        </w:rPr>
      </w:pPr>
      <w:r>
        <w:rPr>
          <w:rFonts w:hint="eastAsia"/>
          <w:sz w:val="24"/>
        </w:rPr>
        <w:t>2.秩序维护服务内容</w:t>
      </w:r>
    </w:p>
    <w:p>
      <w:pPr>
        <w:widowControl/>
        <w:ind w:firstLine="448" w:firstLineChars="200"/>
        <w:jc w:val="left"/>
        <w:rPr>
          <w:sz w:val="24"/>
        </w:rPr>
      </w:pPr>
      <w:r>
        <w:rPr>
          <w:rFonts w:hint="eastAsia"/>
          <w:sz w:val="24"/>
        </w:rPr>
        <w:t>2.1门卫守护</w:t>
      </w:r>
    </w:p>
    <w:p>
      <w:pPr>
        <w:widowControl/>
        <w:ind w:firstLine="448" w:firstLineChars="200"/>
        <w:jc w:val="left"/>
        <w:rPr>
          <w:sz w:val="24"/>
        </w:rPr>
      </w:pPr>
      <w:r>
        <w:rPr>
          <w:rFonts w:hint="eastAsia"/>
          <w:sz w:val="24"/>
        </w:rPr>
        <w:t>对前来办事人员做好引导工作，做好安全防护工作。对出入客户单位人员的身份、证件和所携带的物品进行检查、登记。疏通门区交通，做好车辆管理，清理无关人员，保证大门畅通有序。</w:t>
      </w:r>
    </w:p>
    <w:p>
      <w:pPr>
        <w:widowControl/>
        <w:ind w:firstLine="448" w:firstLineChars="200"/>
        <w:jc w:val="left"/>
        <w:rPr>
          <w:sz w:val="24"/>
        </w:rPr>
      </w:pPr>
      <w:r>
        <w:rPr>
          <w:rFonts w:hint="eastAsia"/>
          <w:sz w:val="24"/>
        </w:rPr>
        <w:t>2.2秩序巡逻</w:t>
      </w:r>
    </w:p>
    <w:p>
      <w:pPr>
        <w:widowControl/>
        <w:ind w:firstLine="448" w:firstLineChars="200"/>
        <w:jc w:val="left"/>
        <w:rPr>
          <w:sz w:val="24"/>
        </w:rPr>
      </w:pPr>
      <w:r>
        <w:rPr>
          <w:rFonts w:hint="eastAsia"/>
          <w:sz w:val="24"/>
        </w:rPr>
        <w:t>对客户所属区域、重点要害部位、易发案地段进行治安巡视、检查、警戒。</w:t>
      </w:r>
    </w:p>
    <w:p>
      <w:pPr>
        <w:widowControl/>
        <w:ind w:firstLine="448" w:firstLineChars="200"/>
        <w:jc w:val="left"/>
        <w:rPr>
          <w:sz w:val="24"/>
        </w:rPr>
      </w:pPr>
      <w:r>
        <w:rPr>
          <w:rFonts w:hint="eastAsia"/>
          <w:sz w:val="24"/>
        </w:rPr>
        <w:t>3.设施维修养护</w:t>
      </w:r>
    </w:p>
    <w:p>
      <w:pPr>
        <w:widowControl/>
        <w:ind w:firstLine="448" w:firstLineChars="200"/>
        <w:jc w:val="left"/>
        <w:rPr>
          <w:sz w:val="24"/>
        </w:rPr>
      </w:pPr>
      <w:r>
        <w:rPr>
          <w:rFonts w:hint="eastAsia"/>
          <w:sz w:val="24"/>
        </w:rPr>
        <w:t>负责运行服务、消防安全和楼宇设备设施的管理。</w:t>
      </w:r>
    </w:p>
    <w:p>
      <w:pPr>
        <w:widowControl/>
        <w:ind w:firstLine="448" w:firstLineChars="200"/>
        <w:jc w:val="left"/>
        <w:rPr>
          <w:sz w:val="24"/>
        </w:rPr>
      </w:pPr>
      <w:r>
        <w:rPr>
          <w:rFonts w:hint="eastAsia"/>
          <w:sz w:val="24"/>
        </w:rPr>
        <w:t>4.仪容仪表</w:t>
      </w:r>
    </w:p>
    <w:p>
      <w:pPr>
        <w:widowControl/>
        <w:ind w:firstLine="448" w:firstLineChars="200"/>
        <w:jc w:val="left"/>
        <w:rPr>
          <w:sz w:val="24"/>
        </w:rPr>
      </w:pPr>
      <w:r>
        <w:rPr>
          <w:rFonts w:hint="eastAsia"/>
          <w:sz w:val="24"/>
        </w:rPr>
        <w:t>着装统一、整洁、仪表端庄；站、立、行走姿势端正；装备佩戴齐；佩戴工牌。</w:t>
      </w:r>
    </w:p>
    <w:p>
      <w:pPr>
        <w:widowControl/>
        <w:ind w:firstLine="448" w:firstLineChars="200"/>
        <w:jc w:val="left"/>
        <w:rPr>
          <w:sz w:val="24"/>
        </w:rPr>
      </w:pPr>
      <w:r>
        <w:rPr>
          <w:rFonts w:hint="eastAsia"/>
          <w:sz w:val="24"/>
        </w:rPr>
        <w:t>5.服务态度</w:t>
      </w:r>
    </w:p>
    <w:p>
      <w:pPr>
        <w:widowControl/>
        <w:ind w:firstLine="448" w:firstLineChars="200"/>
        <w:jc w:val="left"/>
        <w:rPr>
          <w:sz w:val="24"/>
        </w:rPr>
      </w:pPr>
      <w:r>
        <w:rPr>
          <w:rFonts w:hint="eastAsia"/>
          <w:sz w:val="24"/>
        </w:rPr>
        <w:t>微笑服务、礼貌用语；服务主动、热情。不准与纳税人发生争吵，遇到无法解决问题时及时向采购人办公室人员汇报。</w:t>
      </w:r>
    </w:p>
    <w:p>
      <w:pPr>
        <w:widowControl/>
        <w:ind w:firstLine="448" w:firstLineChars="200"/>
        <w:jc w:val="left"/>
        <w:rPr>
          <w:sz w:val="24"/>
        </w:rPr>
      </w:pPr>
      <w:r>
        <w:rPr>
          <w:rFonts w:hint="eastAsia"/>
          <w:sz w:val="24"/>
        </w:rPr>
        <w:t>6.工作纪律</w:t>
      </w:r>
    </w:p>
    <w:p>
      <w:pPr>
        <w:widowControl/>
        <w:ind w:firstLine="448" w:firstLineChars="200"/>
        <w:jc w:val="left"/>
        <w:rPr>
          <w:sz w:val="24"/>
        </w:rPr>
      </w:pPr>
      <w:r>
        <w:rPr>
          <w:rFonts w:hint="eastAsia"/>
          <w:sz w:val="24"/>
        </w:rPr>
        <w:t>按规定填写各项记录、表格、做到记录真实，字迹工整；工作时间不得脱岗；工作时间禁止喝酒、抽烟、吃东西；工作环境保持卫生整洁，桌面、抽屉无杂物。</w:t>
      </w:r>
    </w:p>
    <w:p>
      <w:pPr>
        <w:widowControl/>
        <w:ind w:firstLine="448" w:firstLineChars="200"/>
        <w:jc w:val="left"/>
        <w:rPr>
          <w:sz w:val="24"/>
        </w:rPr>
      </w:pPr>
      <w:r>
        <w:rPr>
          <w:rFonts w:hint="eastAsia"/>
          <w:sz w:val="24"/>
        </w:rPr>
        <w:t>（二）人员岗位职责</w:t>
      </w:r>
    </w:p>
    <w:p>
      <w:pPr>
        <w:widowControl/>
        <w:ind w:firstLine="448" w:firstLineChars="200"/>
        <w:jc w:val="left"/>
        <w:rPr>
          <w:sz w:val="24"/>
        </w:rPr>
      </w:pPr>
      <w:r>
        <w:rPr>
          <w:rFonts w:hint="eastAsia"/>
          <w:sz w:val="24"/>
        </w:rPr>
        <w:t>1.项目经理</w:t>
      </w:r>
    </w:p>
    <w:p>
      <w:pPr>
        <w:widowControl/>
        <w:ind w:firstLine="448" w:firstLineChars="200"/>
        <w:jc w:val="left"/>
        <w:rPr>
          <w:sz w:val="24"/>
        </w:rPr>
      </w:pPr>
      <w:r>
        <w:rPr>
          <w:rFonts w:hint="eastAsia"/>
          <w:sz w:val="24"/>
        </w:rPr>
        <w:t>主要负责管理设备运营服务工作，做到对采购人负责，对工作人员负责，尽职尽责，确保不出现任何问题。</w:t>
      </w:r>
    </w:p>
    <w:p>
      <w:pPr>
        <w:widowControl/>
        <w:ind w:firstLine="448" w:firstLineChars="200"/>
        <w:jc w:val="left"/>
        <w:rPr>
          <w:sz w:val="24"/>
        </w:rPr>
      </w:pPr>
      <w:r>
        <w:rPr>
          <w:rFonts w:hint="eastAsia"/>
          <w:sz w:val="24"/>
        </w:rPr>
        <w:t>2.运行服务</w:t>
      </w:r>
    </w:p>
    <w:p>
      <w:pPr>
        <w:widowControl/>
        <w:ind w:firstLine="448" w:firstLineChars="200"/>
        <w:jc w:val="left"/>
        <w:rPr>
          <w:sz w:val="24"/>
        </w:rPr>
      </w:pPr>
      <w:r>
        <w:rPr>
          <w:rFonts w:hint="eastAsia"/>
          <w:sz w:val="24"/>
        </w:rPr>
        <w:t>（1）电工：负责本单位电力设备（含部分1kv以上电气设备作业）运行维护和除专业电子设备之外的带电设施的日常维修，保障日常工作的需要。持能满足工作要求的有效电工证上岗。</w:t>
      </w:r>
    </w:p>
    <w:p>
      <w:pPr>
        <w:widowControl/>
        <w:ind w:firstLine="448" w:firstLineChars="200"/>
        <w:jc w:val="left"/>
        <w:rPr>
          <w:sz w:val="24"/>
        </w:rPr>
      </w:pPr>
      <w:r>
        <w:rPr>
          <w:rFonts w:hint="eastAsia"/>
          <w:sz w:val="24"/>
        </w:rPr>
        <w:t>（2）设备管理：全局性设备管理。</w:t>
      </w:r>
    </w:p>
    <w:p>
      <w:pPr>
        <w:widowControl/>
        <w:ind w:firstLine="448" w:firstLineChars="200"/>
        <w:jc w:val="left"/>
        <w:rPr>
          <w:sz w:val="24"/>
        </w:rPr>
      </w:pPr>
      <w:r>
        <w:rPr>
          <w:rFonts w:hint="eastAsia"/>
          <w:sz w:val="24"/>
        </w:rPr>
        <w:t>（3）维修工：做好全局以及风控局、微山东路库房设备维修服务、各类办公家具、门窗、锁具等设施的维修，部分电路及电气设备日常维修，各类金属材质设施的维修（部分需要焊接、切割等工艺）。</w:t>
      </w:r>
    </w:p>
    <w:p>
      <w:pPr>
        <w:widowControl/>
        <w:ind w:firstLine="448" w:firstLineChars="200"/>
        <w:jc w:val="left"/>
        <w:rPr>
          <w:sz w:val="24"/>
        </w:rPr>
      </w:pPr>
      <w:r>
        <w:rPr>
          <w:rFonts w:hint="eastAsia"/>
          <w:sz w:val="24"/>
        </w:rPr>
        <w:t>（4）库管：负责微山东路库房看管。</w:t>
      </w:r>
    </w:p>
    <w:p>
      <w:pPr>
        <w:widowControl/>
        <w:ind w:firstLine="448" w:firstLineChars="200"/>
        <w:jc w:val="left"/>
        <w:rPr>
          <w:sz w:val="24"/>
        </w:rPr>
      </w:pPr>
      <w:r>
        <w:rPr>
          <w:rFonts w:hint="eastAsia"/>
          <w:sz w:val="24"/>
        </w:rPr>
        <w:t>（5）送水工：负责局机关送水、局前、后院花池绿化修剪。</w:t>
      </w:r>
    </w:p>
    <w:p>
      <w:pPr>
        <w:widowControl/>
        <w:ind w:firstLine="448" w:firstLineChars="200"/>
        <w:jc w:val="left"/>
        <w:rPr>
          <w:sz w:val="24"/>
        </w:rPr>
      </w:pPr>
      <w:r>
        <w:rPr>
          <w:rFonts w:hint="eastAsia"/>
          <w:sz w:val="24"/>
        </w:rPr>
        <w:t>（6）做水工：负责本单位桶装饮用水的制作和发放。</w:t>
      </w:r>
    </w:p>
    <w:p>
      <w:pPr>
        <w:widowControl/>
        <w:ind w:firstLine="448" w:firstLineChars="200"/>
        <w:jc w:val="left"/>
        <w:rPr>
          <w:sz w:val="24"/>
        </w:rPr>
      </w:pPr>
      <w:r>
        <w:rPr>
          <w:rFonts w:hint="eastAsia"/>
          <w:sz w:val="24"/>
        </w:rPr>
        <w:t>3.保洁员</w:t>
      </w:r>
    </w:p>
    <w:p>
      <w:pPr>
        <w:widowControl/>
        <w:ind w:firstLine="448" w:firstLineChars="200"/>
        <w:jc w:val="left"/>
        <w:rPr>
          <w:sz w:val="24"/>
        </w:rPr>
      </w:pPr>
      <w:r>
        <w:rPr>
          <w:rFonts w:hint="eastAsia"/>
          <w:sz w:val="24"/>
        </w:rPr>
        <w:t>3.1进出口、大厅、楼道，办税服务厅、自助纳税申报区等使用率高的公共区域及办税服务厅出口和大楼出口外挂楼梯向外延伸5米范围。</w:t>
      </w:r>
    </w:p>
    <w:p>
      <w:pPr>
        <w:widowControl/>
        <w:ind w:firstLine="448" w:firstLineChars="200"/>
        <w:jc w:val="left"/>
        <w:rPr>
          <w:sz w:val="24"/>
        </w:rPr>
      </w:pPr>
      <w:r>
        <w:rPr>
          <w:rFonts w:hint="eastAsia"/>
          <w:sz w:val="24"/>
        </w:rPr>
        <w:t>由于楼内进出口、大厅、楼道等使用频率较大，因此必须保障这些地方与楼内地面清洁度达到一致，避免产生强烈的反差。</w:t>
      </w:r>
    </w:p>
    <w:p>
      <w:pPr>
        <w:widowControl/>
        <w:ind w:firstLine="448" w:firstLineChars="200"/>
        <w:jc w:val="left"/>
        <w:rPr>
          <w:sz w:val="24"/>
        </w:rPr>
      </w:pPr>
      <w:r>
        <w:rPr>
          <w:rFonts w:hint="eastAsia"/>
          <w:sz w:val="24"/>
        </w:rPr>
        <w:t>（1）日常保洁要求每天对地面进行不间断推尘，大厅内的其他部位，如玻璃、柱面、台面、椅子、栏杆、灯座等，要经常清洁，保持光亮、明净。</w:t>
      </w:r>
    </w:p>
    <w:p>
      <w:pPr>
        <w:widowControl/>
        <w:ind w:firstLine="448" w:firstLineChars="200"/>
        <w:jc w:val="left"/>
        <w:rPr>
          <w:sz w:val="24"/>
        </w:rPr>
      </w:pPr>
      <w:r>
        <w:rPr>
          <w:rFonts w:hint="eastAsia"/>
          <w:sz w:val="24"/>
        </w:rPr>
        <w:t>（2）操作过程中，根据实际情况，适当避开人流密集的区域，待人流离散后，再予以补做。进行频繁和容易脏的区域，要重点拖擦，并增加拖擦次数。</w:t>
      </w:r>
    </w:p>
    <w:p>
      <w:pPr>
        <w:widowControl/>
        <w:ind w:firstLine="448" w:firstLineChars="200"/>
        <w:jc w:val="left"/>
        <w:rPr>
          <w:sz w:val="24"/>
        </w:rPr>
      </w:pPr>
      <w:r>
        <w:rPr>
          <w:rFonts w:hint="eastAsia"/>
          <w:sz w:val="24"/>
        </w:rPr>
        <w:t>（3）做好大厅及出入口地面的防滑和温馨提示工作，放置指示标识牌、警示牌。在拖洗作业过程中以及雨雪天气潮湿时，在大厅或道口明显位置放置“小心地滑”的警示牌，增加拖擦次数，以防摔跤及将雨水带进楼内并采取有效措施进行防滑处理。</w:t>
      </w:r>
    </w:p>
    <w:p>
      <w:pPr>
        <w:widowControl/>
        <w:ind w:firstLine="448" w:firstLineChars="200"/>
        <w:jc w:val="left"/>
        <w:rPr>
          <w:sz w:val="24"/>
        </w:rPr>
      </w:pPr>
      <w:r>
        <w:rPr>
          <w:rFonts w:hint="eastAsia"/>
          <w:sz w:val="24"/>
        </w:rPr>
        <w:t>（4）清洁要求</w:t>
      </w:r>
    </w:p>
    <w:p>
      <w:pPr>
        <w:widowControl/>
        <w:ind w:firstLine="448" w:firstLineChars="200"/>
        <w:jc w:val="left"/>
        <w:rPr>
          <w:sz w:val="24"/>
        </w:rPr>
      </w:pPr>
      <w:r>
        <w:rPr>
          <w:rFonts w:hint="eastAsia"/>
          <w:sz w:val="24"/>
        </w:rPr>
        <w:t>1）石材地面及台阶清擦随时做。</w:t>
      </w:r>
    </w:p>
    <w:p>
      <w:pPr>
        <w:widowControl/>
        <w:ind w:firstLine="448" w:firstLineChars="200"/>
        <w:jc w:val="left"/>
        <w:rPr>
          <w:sz w:val="24"/>
        </w:rPr>
      </w:pPr>
      <w:r>
        <w:rPr>
          <w:rFonts w:hint="eastAsia"/>
          <w:sz w:val="24"/>
        </w:rPr>
        <w:t>2）走廊的清扫及清擦（包括门、窗）随时做。</w:t>
      </w:r>
    </w:p>
    <w:p>
      <w:pPr>
        <w:widowControl/>
        <w:ind w:firstLine="448" w:firstLineChars="200"/>
        <w:jc w:val="left"/>
        <w:rPr>
          <w:sz w:val="24"/>
        </w:rPr>
      </w:pPr>
      <w:r>
        <w:rPr>
          <w:rFonts w:hint="eastAsia"/>
          <w:sz w:val="24"/>
        </w:rPr>
        <w:t>3）玻璃清擦雨后随时做。</w:t>
      </w:r>
    </w:p>
    <w:p>
      <w:pPr>
        <w:widowControl/>
        <w:ind w:firstLine="448" w:firstLineChars="200"/>
        <w:jc w:val="left"/>
        <w:rPr>
          <w:sz w:val="24"/>
        </w:rPr>
      </w:pPr>
      <w:r>
        <w:rPr>
          <w:rFonts w:hint="eastAsia"/>
          <w:sz w:val="24"/>
        </w:rPr>
        <w:t>4）石材地面抛光每月一次，抛光所需的设备由中标单位商提供。</w:t>
      </w:r>
    </w:p>
    <w:p>
      <w:pPr>
        <w:widowControl/>
        <w:ind w:firstLine="448" w:firstLineChars="200"/>
        <w:jc w:val="left"/>
        <w:rPr>
          <w:sz w:val="24"/>
        </w:rPr>
      </w:pPr>
      <w:r>
        <w:rPr>
          <w:rFonts w:hint="eastAsia"/>
          <w:sz w:val="24"/>
        </w:rPr>
        <w:t>5）墙壁、天花板及装饰物清洁，每季度一次。</w:t>
      </w:r>
    </w:p>
    <w:p>
      <w:pPr>
        <w:widowControl/>
        <w:ind w:firstLine="448" w:firstLineChars="200"/>
        <w:jc w:val="left"/>
        <w:rPr>
          <w:sz w:val="24"/>
        </w:rPr>
      </w:pPr>
      <w:r>
        <w:rPr>
          <w:rFonts w:hint="eastAsia"/>
          <w:sz w:val="24"/>
        </w:rPr>
        <w:t>6）日光灯、筒灯清洁每半年一次。</w:t>
      </w:r>
    </w:p>
    <w:p>
      <w:pPr>
        <w:widowControl/>
        <w:ind w:firstLine="448" w:firstLineChars="200"/>
        <w:jc w:val="left"/>
        <w:rPr>
          <w:sz w:val="24"/>
        </w:rPr>
      </w:pPr>
      <w:r>
        <w:rPr>
          <w:rFonts w:hint="eastAsia"/>
          <w:sz w:val="24"/>
        </w:rPr>
        <w:t>（5）卫生标准</w:t>
      </w:r>
    </w:p>
    <w:p>
      <w:pPr>
        <w:widowControl/>
        <w:ind w:firstLine="448" w:firstLineChars="200"/>
        <w:jc w:val="left"/>
        <w:rPr>
          <w:sz w:val="24"/>
        </w:rPr>
      </w:pPr>
      <w:r>
        <w:rPr>
          <w:rFonts w:hint="eastAsia"/>
          <w:sz w:val="24"/>
        </w:rPr>
        <w:t>1）保持地面无脚印、无污迹、无烟蒂、无痰迹、无垃圾。</w:t>
      </w:r>
    </w:p>
    <w:p>
      <w:pPr>
        <w:widowControl/>
        <w:ind w:firstLine="448" w:firstLineChars="200"/>
        <w:jc w:val="left"/>
        <w:rPr>
          <w:sz w:val="24"/>
        </w:rPr>
      </w:pPr>
      <w:r>
        <w:rPr>
          <w:rFonts w:hint="eastAsia"/>
          <w:sz w:val="24"/>
        </w:rPr>
        <w:t>2）大厅内的其他部位，如柱面、墙面、台面、栏杆、椅子、沙发、灯座等，保持光亮、整洁、无灰尘。</w:t>
      </w:r>
    </w:p>
    <w:p>
      <w:pPr>
        <w:widowControl/>
        <w:ind w:firstLine="448" w:firstLineChars="200"/>
        <w:jc w:val="left"/>
        <w:rPr>
          <w:sz w:val="24"/>
        </w:rPr>
      </w:pPr>
      <w:r>
        <w:rPr>
          <w:rFonts w:hint="eastAsia"/>
          <w:sz w:val="24"/>
        </w:rPr>
        <w:t>3）玻璃大门无手印及灰尘，保持干净、光亮、完好无损。</w:t>
      </w:r>
    </w:p>
    <w:p>
      <w:pPr>
        <w:widowControl/>
        <w:ind w:firstLine="448" w:firstLineChars="200"/>
        <w:jc w:val="left"/>
        <w:rPr>
          <w:sz w:val="24"/>
        </w:rPr>
      </w:pPr>
      <w:r>
        <w:rPr>
          <w:rFonts w:hint="eastAsia"/>
          <w:sz w:val="24"/>
        </w:rPr>
        <w:t>4）大厅内不锈钢烟缸，保持光亮，无烟灰迹、无痰迹。</w:t>
      </w:r>
    </w:p>
    <w:p>
      <w:pPr>
        <w:widowControl/>
        <w:ind w:firstLine="448" w:firstLineChars="200"/>
        <w:jc w:val="left"/>
        <w:rPr>
          <w:sz w:val="24"/>
        </w:rPr>
      </w:pPr>
      <w:r>
        <w:rPr>
          <w:rFonts w:hint="eastAsia"/>
          <w:sz w:val="24"/>
        </w:rPr>
        <w:t>3.2卫生间</w:t>
      </w:r>
    </w:p>
    <w:p>
      <w:pPr>
        <w:widowControl/>
        <w:ind w:firstLine="448" w:firstLineChars="200"/>
        <w:jc w:val="left"/>
        <w:rPr>
          <w:sz w:val="24"/>
        </w:rPr>
      </w:pPr>
      <w:r>
        <w:rPr>
          <w:rFonts w:hint="eastAsia"/>
          <w:sz w:val="24"/>
        </w:rPr>
        <w:t>（1）按公共区域卫生间的数量和使用率，合理分配保洁人员，全天不间断保洁。</w:t>
      </w:r>
    </w:p>
    <w:p>
      <w:pPr>
        <w:widowControl/>
        <w:ind w:firstLine="448" w:firstLineChars="200"/>
        <w:jc w:val="left"/>
        <w:rPr>
          <w:sz w:val="24"/>
        </w:rPr>
      </w:pPr>
      <w:r>
        <w:rPr>
          <w:rFonts w:hint="eastAsia"/>
          <w:sz w:val="24"/>
        </w:rPr>
        <w:t>（2）洗手间使用专用工具，不得与其它清洁用品混用。</w:t>
      </w:r>
    </w:p>
    <w:p>
      <w:pPr>
        <w:widowControl/>
        <w:ind w:firstLine="448" w:firstLineChars="200"/>
        <w:jc w:val="left"/>
        <w:rPr>
          <w:sz w:val="24"/>
        </w:rPr>
      </w:pPr>
      <w:r>
        <w:rPr>
          <w:rFonts w:hint="eastAsia"/>
          <w:sz w:val="24"/>
        </w:rPr>
        <w:t>（3）使用环保清洁剂，地面、水龙头、台面、镜面干燥清洁。</w:t>
      </w:r>
    </w:p>
    <w:p>
      <w:pPr>
        <w:widowControl/>
        <w:ind w:firstLine="448" w:firstLineChars="200"/>
        <w:jc w:val="left"/>
        <w:rPr>
          <w:sz w:val="24"/>
        </w:rPr>
      </w:pPr>
      <w:r>
        <w:rPr>
          <w:rFonts w:hint="eastAsia"/>
          <w:sz w:val="24"/>
        </w:rPr>
        <w:t>（4）保持卫生间内空气清新，无异味。</w:t>
      </w:r>
    </w:p>
    <w:p>
      <w:pPr>
        <w:widowControl/>
        <w:ind w:firstLine="448" w:firstLineChars="200"/>
        <w:jc w:val="left"/>
        <w:rPr>
          <w:sz w:val="24"/>
        </w:rPr>
      </w:pPr>
      <w:r>
        <w:rPr>
          <w:rFonts w:hint="eastAsia"/>
          <w:sz w:val="24"/>
        </w:rPr>
        <w:t>（5）作业要求</w:t>
      </w:r>
    </w:p>
    <w:p>
      <w:pPr>
        <w:widowControl/>
        <w:ind w:firstLine="448" w:firstLineChars="200"/>
        <w:jc w:val="left"/>
        <w:rPr>
          <w:sz w:val="24"/>
        </w:rPr>
      </w:pPr>
      <w:r>
        <w:rPr>
          <w:rFonts w:hint="eastAsia"/>
          <w:sz w:val="24"/>
        </w:rPr>
        <w:t>1）地面、小便器、蹲便器、坐便器、水池、洗手池、墩布池每天数次清洁。</w:t>
      </w:r>
    </w:p>
    <w:p>
      <w:pPr>
        <w:widowControl/>
        <w:ind w:firstLine="448" w:firstLineChars="200"/>
        <w:jc w:val="left"/>
        <w:rPr>
          <w:sz w:val="24"/>
        </w:rPr>
      </w:pPr>
      <w:r>
        <w:rPr>
          <w:rFonts w:hint="eastAsia"/>
          <w:sz w:val="24"/>
        </w:rPr>
        <w:t>2）门清擦随时做。</w:t>
      </w:r>
    </w:p>
    <w:p>
      <w:pPr>
        <w:widowControl/>
        <w:ind w:firstLine="448" w:firstLineChars="200"/>
        <w:jc w:val="left"/>
        <w:rPr>
          <w:sz w:val="24"/>
        </w:rPr>
      </w:pPr>
      <w:r>
        <w:rPr>
          <w:rFonts w:hint="eastAsia"/>
          <w:sz w:val="24"/>
        </w:rPr>
        <w:t>3）纸篓内脏物及垃圾桶内垃圾清倒每天二次。</w:t>
      </w:r>
    </w:p>
    <w:p>
      <w:pPr>
        <w:widowControl/>
        <w:ind w:firstLine="448" w:firstLineChars="200"/>
        <w:jc w:val="left"/>
        <w:rPr>
          <w:sz w:val="24"/>
        </w:rPr>
      </w:pPr>
      <w:r>
        <w:rPr>
          <w:rFonts w:hint="eastAsia"/>
          <w:sz w:val="24"/>
        </w:rPr>
        <w:t>4）玻璃清洁雨后及时做，平均每月一次。</w:t>
      </w:r>
    </w:p>
    <w:p>
      <w:pPr>
        <w:widowControl/>
        <w:ind w:firstLine="448" w:firstLineChars="200"/>
        <w:jc w:val="left"/>
        <w:rPr>
          <w:sz w:val="24"/>
        </w:rPr>
      </w:pPr>
      <w:r>
        <w:rPr>
          <w:rFonts w:hint="eastAsia"/>
          <w:sz w:val="24"/>
        </w:rPr>
        <w:t>5）天花板、灯清洁每半年一次。</w:t>
      </w:r>
    </w:p>
    <w:p>
      <w:pPr>
        <w:widowControl/>
        <w:ind w:firstLine="448" w:firstLineChars="200"/>
        <w:jc w:val="left"/>
        <w:rPr>
          <w:sz w:val="24"/>
        </w:rPr>
      </w:pPr>
      <w:r>
        <w:rPr>
          <w:rFonts w:hint="eastAsia"/>
          <w:sz w:val="24"/>
        </w:rPr>
        <w:t>（6）作业标准</w:t>
      </w:r>
    </w:p>
    <w:p>
      <w:pPr>
        <w:widowControl/>
        <w:ind w:firstLine="448" w:firstLineChars="200"/>
        <w:jc w:val="left"/>
        <w:rPr>
          <w:sz w:val="24"/>
        </w:rPr>
      </w:pPr>
      <w:r>
        <w:rPr>
          <w:rFonts w:hint="eastAsia"/>
          <w:sz w:val="24"/>
        </w:rPr>
        <w:t>1）卫生洁具做到清洁，无水迹、无头发、无异味。</w:t>
      </w:r>
    </w:p>
    <w:p>
      <w:pPr>
        <w:widowControl/>
        <w:ind w:firstLine="448" w:firstLineChars="200"/>
        <w:jc w:val="left"/>
        <w:rPr>
          <w:sz w:val="24"/>
        </w:rPr>
      </w:pPr>
      <w:r>
        <w:rPr>
          <w:rFonts w:hint="eastAsia"/>
          <w:sz w:val="24"/>
        </w:rPr>
        <w:t>2）墙面四角保持干燥、无蛛网、地面无脚印、无杂物。</w:t>
      </w:r>
    </w:p>
    <w:p>
      <w:pPr>
        <w:widowControl/>
        <w:ind w:firstLine="448" w:firstLineChars="200"/>
        <w:jc w:val="left"/>
        <w:rPr>
          <w:sz w:val="24"/>
        </w:rPr>
      </w:pPr>
      <w:r>
        <w:rPr>
          <w:rFonts w:hint="eastAsia"/>
          <w:sz w:val="24"/>
        </w:rPr>
        <w:t>3）镜子保持明亮，无灰尘、无污痕、无手印、无水迹。</w:t>
      </w:r>
    </w:p>
    <w:p>
      <w:pPr>
        <w:widowControl/>
        <w:ind w:firstLine="448" w:firstLineChars="200"/>
        <w:jc w:val="left"/>
        <w:rPr>
          <w:sz w:val="24"/>
        </w:rPr>
      </w:pPr>
      <w:r>
        <w:rPr>
          <w:rFonts w:hint="eastAsia"/>
          <w:sz w:val="24"/>
        </w:rPr>
        <w:t>4）金属器具保持光亮，无浮灰、无水迹、无锈斑。</w:t>
      </w:r>
    </w:p>
    <w:p>
      <w:pPr>
        <w:widowControl/>
        <w:ind w:firstLine="448" w:firstLineChars="200"/>
        <w:jc w:val="left"/>
        <w:rPr>
          <w:sz w:val="24"/>
        </w:rPr>
      </w:pPr>
      <w:r>
        <w:rPr>
          <w:rFonts w:hint="eastAsia"/>
          <w:sz w:val="24"/>
        </w:rPr>
        <w:t>5）卫生用品保证齐全，无破损。</w:t>
      </w:r>
    </w:p>
    <w:p>
      <w:pPr>
        <w:widowControl/>
        <w:ind w:firstLine="448" w:firstLineChars="200"/>
        <w:jc w:val="left"/>
        <w:rPr>
          <w:sz w:val="24"/>
        </w:rPr>
      </w:pPr>
      <w:r>
        <w:rPr>
          <w:rFonts w:hint="eastAsia"/>
          <w:sz w:val="24"/>
        </w:rPr>
        <w:t>6）保持卫生间内空气清新。</w:t>
      </w:r>
    </w:p>
    <w:p>
      <w:pPr>
        <w:widowControl/>
        <w:ind w:firstLine="448" w:firstLineChars="200"/>
        <w:jc w:val="left"/>
        <w:rPr>
          <w:sz w:val="24"/>
        </w:rPr>
      </w:pPr>
      <w:r>
        <w:rPr>
          <w:rFonts w:hint="eastAsia"/>
          <w:sz w:val="24"/>
        </w:rPr>
        <w:t>3.3办公室、会议室、接待室、开放式办公区域、干部值班室</w:t>
      </w:r>
    </w:p>
    <w:p>
      <w:pPr>
        <w:widowControl/>
        <w:ind w:firstLine="448" w:firstLineChars="200"/>
        <w:jc w:val="left"/>
        <w:rPr>
          <w:sz w:val="24"/>
        </w:rPr>
      </w:pPr>
      <w:r>
        <w:rPr>
          <w:rFonts w:hint="eastAsia"/>
          <w:sz w:val="24"/>
        </w:rPr>
        <w:t>（1）开放式办公区域的清洁工作必须在上班前15分钟完成，其它办公室清洁工作可根据各办公室工作的特点灵活安排，达到既能高质量完成清洁工作，又能尽可能不干扰正常办公。</w:t>
      </w:r>
    </w:p>
    <w:p>
      <w:pPr>
        <w:widowControl/>
        <w:ind w:firstLine="448" w:firstLineChars="200"/>
        <w:jc w:val="left"/>
        <w:rPr>
          <w:sz w:val="24"/>
        </w:rPr>
      </w:pPr>
      <w:r>
        <w:rPr>
          <w:rFonts w:hint="eastAsia"/>
          <w:sz w:val="24"/>
        </w:rPr>
        <w:t>（2）会议室日常清洁工作确保每周一次。遇有活动或会议，应在接到通知后，根据活动、会议规模，参会人员数量，立即安排人员专项保洁，会后及时清理场地。干部值班室每日清洁一次，每周清洗更换床品2次。其中所需要的低值易耗品均由采购人提供，费用由采购人承担。</w:t>
      </w:r>
    </w:p>
    <w:p>
      <w:pPr>
        <w:widowControl/>
        <w:ind w:firstLine="448" w:firstLineChars="200"/>
        <w:jc w:val="left"/>
        <w:rPr>
          <w:sz w:val="24"/>
        </w:rPr>
      </w:pPr>
      <w:r>
        <w:rPr>
          <w:rFonts w:hint="eastAsia"/>
          <w:sz w:val="24"/>
        </w:rPr>
        <w:t>（3）在日常保洁中按顺序擦拭窗台、窗框、门、扶手。依次清洁墙面、护墙板、踢脚线，擦拭茶几、桌子，用吸尘器吸去沙发上的灰尘，用吸尘器进行地面吸尘，检查是否有遗漏处，收拾清洁工具关好门窗。</w:t>
      </w:r>
    </w:p>
    <w:p>
      <w:pPr>
        <w:widowControl/>
        <w:ind w:firstLine="448" w:firstLineChars="200"/>
        <w:jc w:val="left"/>
        <w:rPr>
          <w:sz w:val="24"/>
        </w:rPr>
      </w:pPr>
      <w:r>
        <w:rPr>
          <w:rFonts w:hint="eastAsia"/>
          <w:sz w:val="24"/>
        </w:rPr>
        <w:t>（4）清洁要求</w:t>
      </w:r>
    </w:p>
    <w:p>
      <w:pPr>
        <w:widowControl/>
        <w:ind w:firstLine="448" w:firstLineChars="200"/>
        <w:jc w:val="left"/>
        <w:rPr>
          <w:sz w:val="24"/>
        </w:rPr>
      </w:pPr>
      <w:r>
        <w:rPr>
          <w:rFonts w:hint="eastAsia"/>
          <w:sz w:val="24"/>
        </w:rPr>
        <w:t>1）地面、茶几、会议室、电器开关每周清洁一次。</w:t>
      </w:r>
    </w:p>
    <w:p>
      <w:pPr>
        <w:widowControl/>
        <w:ind w:firstLine="448" w:firstLineChars="200"/>
        <w:jc w:val="left"/>
        <w:rPr>
          <w:sz w:val="24"/>
        </w:rPr>
      </w:pPr>
      <w:r>
        <w:rPr>
          <w:rFonts w:hint="eastAsia"/>
          <w:sz w:val="24"/>
        </w:rPr>
        <w:t>2）门、窗、窗框每周清洁一次。</w:t>
      </w:r>
    </w:p>
    <w:p>
      <w:pPr>
        <w:widowControl/>
        <w:ind w:firstLine="448" w:firstLineChars="200"/>
        <w:jc w:val="left"/>
        <w:rPr>
          <w:sz w:val="24"/>
        </w:rPr>
      </w:pPr>
      <w:r>
        <w:rPr>
          <w:rFonts w:hint="eastAsia"/>
          <w:sz w:val="24"/>
        </w:rPr>
        <w:t>3）玻璃雨后及时清洁。</w:t>
      </w:r>
    </w:p>
    <w:p>
      <w:pPr>
        <w:widowControl/>
        <w:ind w:firstLine="448" w:firstLineChars="200"/>
        <w:jc w:val="left"/>
        <w:rPr>
          <w:sz w:val="24"/>
        </w:rPr>
      </w:pPr>
      <w:r>
        <w:rPr>
          <w:rFonts w:hint="eastAsia"/>
          <w:sz w:val="24"/>
        </w:rPr>
        <w:t>4）家具清洁及养护随时做。</w:t>
      </w:r>
    </w:p>
    <w:p>
      <w:pPr>
        <w:widowControl/>
        <w:ind w:firstLine="448" w:firstLineChars="200"/>
        <w:jc w:val="left"/>
        <w:rPr>
          <w:sz w:val="24"/>
        </w:rPr>
      </w:pPr>
      <w:r>
        <w:rPr>
          <w:rFonts w:hint="eastAsia"/>
          <w:sz w:val="24"/>
        </w:rPr>
        <w:t>5）灯清擦，每半年一次。</w:t>
      </w:r>
    </w:p>
    <w:p>
      <w:pPr>
        <w:widowControl/>
        <w:ind w:firstLine="448" w:firstLineChars="200"/>
        <w:jc w:val="left"/>
        <w:rPr>
          <w:sz w:val="24"/>
        </w:rPr>
      </w:pPr>
      <w:r>
        <w:rPr>
          <w:rFonts w:hint="eastAsia"/>
          <w:sz w:val="24"/>
        </w:rPr>
        <w:t>（5）作业标准</w:t>
      </w:r>
    </w:p>
    <w:p>
      <w:pPr>
        <w:widowControl/>
        <w:ind w:firstLine="448" w:firstLineChars="200"/>
        <w:jc w:val="left"/>
        <w:rPr>
          <w:sz w:val="24"/>
        </w:rPr>
      </w:pPr>
      <w:r>
        <w:rPr>
          <w:rFonts w:hint="eastAsia"/>
          <w:sz w:val="24"/>
        </w:rPr>
        <w:t>1）保持室内的窗、窗台、窗框干净、整洁、无破损。</w:t>
      </w:r>
    </w:p>
    <w:p>
      <w:pPr>
        <w:widowControl/>
        <w:ind w:firstLine="448" w:firstLineChars="200"/>
        <w:jc w:val="left"/>
        <w:rPr>
          <w:sz w:val="24"/>
        </w:rPr>
      </w:pPr>
      <w:r>
        <w:rPr>
          <w:rFonts w:hint="eastAsia"/>
          <w:sz w:val="24"/>
        </w:rPr>
        <w:t>2）保持室内墙壁面、天花板整洁、完好，无污渍、无浮灰、无破损、无蛛网。</w:t>
      </w:r>
    </w:p>
    <w:p>
      <w:pPr>
        <w:widowControl/>
        <w:ind w:firstLine="448" w:firstLineChars="200"/>
        <w:jc w:val="left"/>
        <w:rPr>
          <w:sz w:val="24"/>
        </w:rPr>
      </w:pPr>
      <w:r>
        <w:rPr>
          <w:rFonts w:hint="eastAsia"/>
          <w:sz w:val="24"/>
        </w:rPr>
        <w:t>3）保持地面、地毯整洁、完好、无垃圾、无污迹、无破洞。</w:t>
      </w:r>
    </w:p>
    <w:p>
      <w:pPr>
        <w:widowControl/>
        <w:ind w:firstLine="448" w:firstLineChars="200"/>
        <w:jc w:val="left"/>
        <w:rPr>
          <w:sz w:val="24"/>
        </w:rPr>
      </w:pPr>
      <w:r>
        <w:rPr>
          <w:rFonts w:hint="eastAsia"/>
          <w:sz w:val="24"/>
        </w:rPr>
        <w:t>4）保持室内各种家具光洁、无灰尘，放置整齐。</w:t>
      </w:r>
    </w:p>
    <w:p>
      <w:pPr>
        <w:widowControl/>
        <w:ind w:firstLine="448" w:firstLineChars="200"/>
        <w:jc w:val="left"/>
        <w:rPr>
          <w:sz w:val="24"/>
        </w:rPr>
      </w:pPr>
      <w:r>
        <w:rPr>
          <w:rFonts w:hint="eastAsia"/>
          <w:sz w:val="24"/>
        </w:rPr>
        <w:t>5）保持室内各种灯具整洁、完好，无破损。</w:t>
      </w:r>
    </w:p>
    <w:p>
      <w:pPr>
        <w:widowControl/>
        <w:ind w:firstLine="448" w:firstLineChars="200"/>
        <w:jc w:val="left"/>
        <w:rPr>
          <w:sz w:val="24"/>
        </w:rPr>
      </w:pPr>
      <w:r>
        <w:rPr>
          <w:rFonts w:hint="eastAsia"/>
          <w:sz w:val="24"/>
        </w:rPr>
        <w:t>6）保持室内空调出风口干净、整洁，无积灰、无霉斑。</w:t>
      </w:r>
    </w:p>
    <w:p>
      <w:pPr>
        <w:widowControl/>
        <w:ind w:firstLine="448" w:firstLineChars="200"/>
        <w:jc w:val="left"/>
        <w:rPr>
          <w:sz w:val="24"/>
        </w:rPr>
      </w:pPr>
      <w:r>
        <w:rPr>
          <w:rFonts w:hint="eastAsia"/>
          <w:sz w:val="24"/>
        </w:rPr>
        <w:t>7）室内各种艺术装饰挂件挂放端正，清洁无损。</w:t>
      </w:r>
    </w:p>
    <w:p>
      <w:pPr>
        <w:widowControl/>
        <w:ind w:firstLine="448" w:firstLineChars="200"/>
        <w:jc w:val="left"/>
        <w:rPr>
          <w:sz w:val="24"/>
        </w:rPr>
      </w:pPr>
      <w:r>
        <w:rPr>
          <w:rFonts w:hint="eastAsia"/>
          <w:sz w:val="24"/>
        </w:rPr>
        <w:t>8）定时喷洒空气清香剂，保持室内的空气清新。</w:t>
      </w:r>
    </w:p>
    <w:p>
      <w:pPr>
        <w:widowControl/>
        <w:ind w:firstLine="448" w:firstLineChars="200"/>
        <w:jc w:val="left"/>
        <w:rPr>
          <w:sz w:val="24"/>
        </w:rPr>
      </w:pPr>
      <w:r>
        <w:rPr>
          <w:rFonts w:hint="eastAsia"/>
          <w:sz w:val="24"/>
        </w:rPr>
        <w:t>3.4领导办公室保洁</w:t>
      </w:r>
    </w:p>
    <w:p>
      <w:pPr>
        <w:widowControl/>
        <w:ind w:firstLine="448" w:firstLineChars="200"/>
        <w:jc w:val="left"/>
        <w:rPr>
          <w:sz w:val="24"/>
        </w:rPr>
      </w:pPr>
      <w:r>
        <w:rPr>
          <w:rFonts w:hint="eastAsia"/>
          <w:sz w:val="24"/>
        </w:rPr>
        <w:t>（1）领导办公室清洁工作在每天上班前15分钟完成，同时强调隐性和及时，领导办公室清洁更要注重保洁人员的素质要求。</w:t>
      </w:r>
    </w:p>
    <w:p>
      <w:pPr>
        <w:widowControl/>
        <w:ind w:firstLine="448" w:firstLineChars="200"/>
        <w:jc w:val="left"/>
        <w:rPr>
          <w:sz w:val="24"/>
        </w:rPr>
      </w:pPr>
      <w:r>
        <w:rPr>
          <w:rFonts w:hint="eastAsia"/>
          <w:sz w:val="24"/>
        </w:rPr>
        <w:t>（2）办公室钥匙由专人保管，保洁时需履行领用手续。</w:t>
      </w:r>
    </w:p>
    <w:p>
      <w:pPr>
        <w:widowControl/>
        <w:ind w:firstLine="448" w:firstLineChars="200"/>
        <w:jc w:val="left"/>
        <w:rPr>
          <w:sz w:val="24"/>
        </w:rPr>
      </w:pPr>
      <w:r>
        <w:rPr>
          <w:rFonts w:hint="eastAsia"/>
          <w:sz w:val="24"/>
        </w:rPr>
        <w:t>（3）在作业完毕后，应注意将移动的桌椅板凳、办公用品整齐地放回原位。对失落在地上的文件及小物品，在清洁时应将其放到桌面或其它适当的位置，切不可自行对其进行处理。</w:t>
      </w:r>
    </w:p>
    <w:p>
      <w:pPr>
        <w:widowControl/>
        <w:ind w:firstLine="448" w:firstLineChars="200"/>
        <w:jc w:val="left"/>
        <w:rPr>
          <w:sz w:val="24"/>
        </w:rPr>
      </w:pPr>
      <w:r>
        <w:rPr>
          <w:rFonts w:hint="eastAsia"/>
          <w:sz w:val="24"/>
        </w:rPr>
        <w:t>（4）对木制家具应沿着木纹方向擦拭，对其上的污渍，可使用拧干的湿布对其进行清洁。</w:t>
      </w:r>
    </w:p>
    <w:p>
      <w:pPr>
        <w:widowControl/>
        <w:ind w:firstLine="448" w:firstLineChars="200"/>
        <w:jc w:val="left"/>
        <w:rPr>
          <w:sz w:val="24"/>
        </w:rPr>
      </w:pPr>
      <w:r>
        <w:rPr>
          <w:rFonts w:hint="eastAsia"/>
          <w:sz w:val="24"/>
        </w:rPr>
        <w:t>（5）对沙发，真皮面类的家居用品，一般情况下可用柔软的棉布对其擦拭，遇污渍时，可用家具蜡进行清洁作业。对合成革类用品，可直接使用湿布擦拭。</w:t>
      </w:r>
    </w:p>
    <w:p>
      <w:pPr>
        <w:widowControl/>
        <w:ind w:firstLine="448" w:firstLineChars="200"/>
        <w:jc w:val="left"/>
        <w:rPr>
          <w:sz w:val="24"/>
        </w:rPr>
      </w:pPr>
      <w:r>
        <w:rPr>
          <w:rFonts w:hint="eastAsia"/>
          <w:sz w:val="24"/>
        </w:rPr>
        <w:t>（6）对布面类家居用品，一般情况下，应使用吸尘器对其进行除尘。遇污渍时，可用泡沫清洁剂去污。</w:t>
      </w:r>
    </w:p>
    <w:p>
      <w:pPr>
        <w:widowControl/>
        <w:ind w:firstLine="448" w:firstLineChars="200"/>
        <w:jc w:val="left"/>
        <w:rPr>
          <w:sz w:val="24"/>
        </w:rPr>
      </w:pPr>
      <w:r>
        <w:rPr>
          <w:rFonts w:hint="eastAsia"/>
          <w:sz w:val="24"/>
        </w:rPr>
        <w:t>（7）注意定期对灯具、地毯、排风口、窗帘等用具进行清洁。</w:t>
      </w:r>
    </w:p>
    <w:p>
      <w:pPr>
        <w:widowControl/>
        <w:ind w:firstLine="448" w:firstLineChars="200"/>
        <w:jc w:val="left"/>
        <w:rPr>
          <w:sz w:val="24"/>
        </w:rPr>
      </w:pPr>
      <w:r>
        <w:rPr>
          <w:rFonts w:hint="eastAsia"/>
          <w:sz w:val="24"/>
        </w:rPr>
        <w:t>（8）在作业完毕后，应检查门、窗、电器、灯具等设施是否按规定要求关闭。</w:t>
      </w:r>
    </w:p>
    <w:p>
      <w:pPr>
        <w:widowControl/>
        <w:ind w:firstLine="448" w:firstLineChars="200"/>
        <w:jc w:val="left"/>
        <w:rPr>
          <w:sz w:val="24"/>
        </w:rPr>
      </w:pPr>
      <w:r>
        <w:rPr>
          <w:rFonts w:hint="eastAsia"/>
          <w:sz w:val="24"/>
        </w:rPr>
        <w:t>（9）服务标准</w:t>
      </w:r>
    </w:p>
    <w:p>
      <w:pPr>
        <w:widowControl/>
        <w:ind w:firstLine="448" w:firstLineChars="200"/>
        <w:jc w:val="left"/>
        <w:rPr>
          <w:sz w:val="24"/>
        </w:rPr>
      </w:pPr>
      <w:r>
        <w:rPr>
          <w:rFonts w:hint="eastAsia"/>
          <w:sz w:val="24"/>
        </w:rPr>
        <w:t>1）门、窗、玻璃明亮、洁净，地面干净，无杂物，墙壁、顶棚清洁，无尘物。</w:t>
      </w:r>
    </w:p>
    <w:p>
      <w:pPr>
        <w:widowControl/>
        <w:ind w:firstLine="448" w:firstLineChars="200"/>
        <w:jc w:val="left"/>
        <w:rPr>
          <w:sz w:val="24"/>
        </w:rPr>
      </w:pPr>
      <w:r>
        <w:rPr>
          <w:rFonts w:hint="eastAsia"/>
          <w:sz w:val="24"/>
        </w:rPr>
        <w:t>2）桌、椅、沙发、茶几、茶具、书柜等办公物品保持整洁、干净，无尘污，摆放整齐有序、陈列艺术化。</w:t>
      </w:r>
    </w:p>
    <w:p>
      <w:pPr>
        <w:widowControl/>
        <w:ind w:firstLine="448" w:firstLineChars="200"/>
        <w:jc w:val="left"/>
        <w:rPr>
          <w:sz w:val="24"/>
        </w:rPr>
      </w:pPr>
      <w:r>
        <w:rPr>
          <w:rFonts w:hint="eastAsia"/>
          <w:sz w:val="24"/>
        </w:rPr>
        <w:t>3）文件、报刊、杂志、书籍等摆放整齐、有序、定位。</w:t>
      </w:r>
    </w:p>
    <w:p>
      <w:pPr>
        <w:widowControl/>
        <w:ind w:firstLine="448" w:firstLineChars="200"/>
        <w:jc w:val="left"/>
        <w:rPr>
          <w:sz w:val="24"/>
        </w:rPr>
      </w:pPr>
      <w:r>
        <w:rPr>
          <w:rFonts w:hint="eastAsia"/>
          <w:sz w:val="24"/>
        </w:rPr>
        <w:t>4）经常保持室内空气清新，无蟑螂、蚊蝇。</w:t>
      </w:r>
    </w:p>
    <w:p>
      <w:pPr>
        <w:widowControl/>
        <w:ind w:firstLine="448" w:firstLineChars="200"/>
        <w:jc w:val="left"/>
        <w:rPr>
          <w:sz w:val="24"/>
        </w:rPr>
      </w:pPr>
      <w:r>
        <w:rPr>
          <w:rFonts w:hint="eastAsia"/>
          <w:sz w:val="24"/>
        </w:rPr>
        <w:t>5）清洁工具必须按照规定地点摆放。</w:t>
      </w:r>
    </w:p>
    <w:p>
      <w:pPr>
        <w:widowControl/>
        <w:ind w:firstLine="448" w:firstLineChars="200"/>
        <w:jc w:val="left"/>
        <w:rPr>
          <w:sz w:val="24"/>
        </w:rPr>
      </w:pPr>
      <w:r>
        <w:rPr>
          <w:rFonts w:hint="eastAsia"/>
          <w:sz w:val="24"/>
        </w:rPr>
        <w:t>4.秩序维护员</w:t>
      </w:r>
    </w:p>
    <w:p>
      <w:pPr>
        <w:widowControl/>
        <w:ind w:firstLine="448" w:firstLineChars="200"/>
        <w:jc w:val="left"/>
        <w:rPr>
          <w:sz w:val="24"/>
        </w:rPr>
      </w:pPr>
      <w:r>
        <w:rPr>
          <w:rFonts w:hint="eastAsia"/>
          <w:sz w:val="24"/>
        </w:rPr>
        <w:t>（1）门卫守护职责</w:t>
      </w:r>
    </w:p>
    <w:p>
      <w:pPr>
        <w:widowControl/>
        <w:ind w:firstLine="448" w:firstLineChars="200"/>
        <w:jc w:val="left"/>
        <w:rPr>
          <w:sz w:val="24"/>
        </w:rPr>
      </w:pPr>
      <w:r>
        <w:rPr>
          <w:rFonts w:hint="eastAsia"/>
          <w:sz w:val="24"/>
        </w:rPr>
        <w:t>1）对前来办事人员做好引导工作，做好安全防护工作。</w:t>
      </w:r>
    </w:p>
    <w:p>
      <w:pPr>
        <w:widowControl/>
        <w:ind w:firstLine="448" w:firstLineChars="200"/>
        <w:jc w:val="left"/>
        <w:rPr>
          <w:sz w:val="24"/>
        </w:rPr>
      </w:pPr>
      <w:r>
        <w:rPr>
          <w:rFonts w:hint="eastAsia"/>
          <w:sz w:val="24"/>
        </w:rPr>
        <w:t>2）对出入采购人单位人员的身份、证件和所携带的物品进行检查、登记。</w:t>
      </w:r>
    </w:p>
    <w:p>
      <w:pPr>
        <w:widowControl/>
        <w:ind w:firstLine="448" w:firstLineChars="200"/>
        <w:jc w:val="left"/>
        <w:rPr>
          <w:sz w:val="24"/>
        </w:rPr>
      </w:pPr>
      <w:r>
        <w:rPr>
          <w:rFonts w:hint="eastAsia"/>
          <w:sz w:val="24"/>
        </w:rPr>
        <w:t>3）疏通门区交通，做好车辆管理，清理无关人员，保证大门畅通有序。</w:t>
      </w:r>
    </w:p>
    <w:p>
      <w:pPr>
        <w:widowControl/>
        <w:ind w:firstLine="448" w:firstLineChars="200"/>
        <w:jc w:val="left"/>
        <w:rPr>
          <w:sz w:val="24"/>
        </w:rPr>
      </w:pPr>
      <w:r>
        <w:rPr>
          <w:rFonts w:hint="eastAsia"/>
          <w:sz w:val="24"/>
        </w:rPr>
        <w:t>4）发现可疑的人和事，及时报告采购人。</w:t>
      </w:r>
    </w:p>
    <w:p>
      <w:pPr>
        <w:widowControl/>
        <w:ind w:firstLine="448" w:firstLineChars="200"/>
        <w:jc w:val="left"/>
        <w:rPr>
          <w:sz w:val="24"/>
        </w:rPr>
      </w:pPr>
      <w:r>
        <w:rPr>
          <w:rFonts w:hint="eastAsia"/>
          <w:sz w:val="24"/>
        </w:rPr>
        <w:t>5）将所发现的在安全防范方面的隐患漏洞，及时通报采购人。</w:t>
      </w:r>
    </w:p>
    <w:p>
      <w:pPr>
        <w:widowControl/>
        <w:ind w:firstLine="448" w:firstLineChars="200"/>
        <w:jc w:val="left"/>
        <w:rPr>
          <w:sz w:val="24"/>
        </w:rPr>
      </w:pPr>
      <w:r>
        <w:rPr>
          <w:rFonts w:hint="eastAsia"/>
          <w:sz w:val="24"/>
        </w:rPr>
        <w:t>6）当发生群体冲击采购人单位的意外情况时，秩序维护员应迅速将大门关闭，只留侧门做通行之用，并立即向采购人有关领导报告，说明现场情况，同时向中标供应商领导汇报。如果情况严重，可同时向公安“110”报警。</w:t>
      </w:r>
    </w:p>
    <w:p>
      <w:pPr>
        <w:widowControl/>
        <w:ind w:firstLine="448" w:firstLineChars="200"/>
        <w:jc w:val="left"/>
        <w:rPr>
          <w:sz w:val="24"/>
        </w:rPr>
      </w:pPr>
      <w:r>
        <w:rPr>
          <w:rFonts w:hint="eastAsia"/>
          <w:sz w:val="24"/>
        </w:rPr>
        <w:t>（2）巡逻职责</w:t>
      </w:r>
    </w:p>
    <w:p>
      <w:pPr>
        <w:widowControl/>
        <w:ind w:firstLine="448" w:firstLineChars="200"/>
        <w:jc w:val="left"/>
        <w:rPr>
          <w:sz w:val="24"/>
        </w:rPr>
      </w:pPr>
      <w:r>
        <w:rPr>
          <w:rFonts w:hint="eastAsia"/>
          <w:sz w:val="24"/>
        </w:rPr>
        <w:t>1）对采购人所属区域、重点要害部位、易发案地段进行治安巡视、检查、警戒。</w:t>
      </w:r>
    </w:p>
    <w:p>
      <w:pPr>
        <w:widowControl/>
        <w:ind w:firstLine="448" w:firstLineChars="200"/>
        <w:jc w:val="left"/>
        <w:rPr>
          <w:sz w:val="24"/>
        </w:rPr>
      </w:pPr>
      <w:r>
        <w:rPr>
          <w:rFonts w:hint="eastAsia"/>
          <w:sz w:val="24"/>
        </w:rPr>
        <w:t>2）维护巡逻区域内的治安秩序，对有违法犯罪嫌疑的，依法扭送有关部门处理。</w:t>
      </w:r>
    </w:p>
    <w:p>
      <w:pPr>
        <w:widowControl/>
        <w:ind w:firstLine="448" w:firstLineChars="200"/>
        <w:jc w:val="left"/>
        <w:rPr>
          <w:sz w:val="24"/>
        </w:rPr>
      </w:pPr>
      <w:r>
        <w:rPr>
          <w:rFonts w:hint="eastAsia"/>
          <w:sz w:val="24"/>
        </w:rPr>
        <w:t>3）预防、发现和制止违法犯罪行为，在发生不法侵害案件或治安灾害时，及时报告有关部门并保护好现场。</w:t>
      </w:r>
    </w:p>
    <w:p>
      <w:pPr>
        <w:widowControl/>
        <w:ind w:firstLine="448" w:firstLineChars="200"/>
        <w:jc w:val="left"/>
        <w:rPr>
          <w:sz w:val="24"/>
        </w:rPr>
      </w:pPr>
      <w:r>
        <w:rPr>
          <w:rFonts w:hint="eastAsia"/>
          <w:sz w:val="24"/>
        </w:rPr>
        <w:t>4）检查、发现、报告并及时消除各种安全隐患。防止火灾、爆炸等事故或抢劫、盗窃等不法侵害。</w:t>
      </w:r>
    </w:p>
    <w:p>
      <w:pPr>
        <w:widowControl/>
        <w:ind w:firstLine="448" w:firstLineChars="200"/>
        <w:jc w:val="left"/>
        <w:rPr>
          <w:sz w:val="24"/>
        </w:rPr>
      </w:pPr>
      <w:r>
        <w:rPr>
          <w:rFonts w:hint="eastAsia"/>
          <w:sz w:val="24"/>
        </w:rPr>
        <w:t>5）检查服务区内相关消防器材是否齐全完好，消防通道是否畅通。</w:t>
      </w:r>
    </w:p>
    <w:p>
      <w:pPr>
        <w:widowControl/>
        <w:ind w:firstLine="448" w:firstLineChars="200"/>
        <w:jc w:val="left"/>
        <w:rPr>
          <w:sz w:val="24"/>
        </w:rPr>
      </w:pPr>
      <w:r>
        <w:rPr>
          <w:rFonts w:hint="eastAsia"/>
          <w:sz w:val="24"/>
        </w:rPr>
        <w:t>6）对相关重要区域进行重点巡视检查。</w:t>
      </w:r>
    </w:p>
    <w:p>
      <w:pPr>
        <w:widowControl/>
        <w:ind w:firstLine="448" w:firstLineChars="200"/>
        <w:jc w:val="left"/>
        <w:rPr>
          <w:sz w:val="24"/>
        </w:rPr>
      </w:pPr>
      <w:r>
        <w:rPr>
          <w:rFonts w:hint="eastAsia"/>
          <w:sz w:val="24"/>
        </w:rPr>
        <w:t>7）巡视过程中，应将区域内所有未关闭的照明灯具、空调、门窗关闭。</w:t>
      </w:r>
    </w:p>
    <w:p>
      <w:pPr>
        <w:widowControl/>
        <w:ind w:firstLine="448" w:firstLineChars="200"/>
        <w:jc w:val="left"/>
        <w:rPr>
          <w:sz w:val="24"/>
        </w:rPr>
      </w:pPr>
      <w:r>
        <w:rPr>
          <w:rFonts w:hint="eastAsia"/>
          <w:sz w:val="24"/>
        </w:rPr>
        <w:t>8）发现犯罪嫌疑人正在实施作案时，秩序维护员要立即提出警告和制止，并迅速将其抓获，若犯罪嫌疑人不听制止或有反抗和逃跑可能的，应立即向其他岗位的秩序维护员发出增援信号，并迅速拨打“110”报警。</w:t>
      </w:r>
    </w:p>
    <w:p>
      <w:pPr>
        <w:widowControl/>
        <w:ind w:firstLine="448" w:firstLineChars="200"/>
        <w:jc w:val="left"/>
        <w:rPr>
          <w:sz w:val="24"/>
        </w:rPr>
      </w:pPr>
      <w:r>
        <w:rPr>
          <w:rFonts w:hint="eastAsia"/>
          <w:sz w:val="24"/>
        </w:rPr>
        <w:t>9）要有突发事件的工作预案，及时处理及全程跟踪备案，并及时向采购人办公室人员汇报。</w:t>
      </w:r>
    </w:p>
    <w:p>
      <w:pPr>
        <w:widowControl/>
        <w:ind w:firstLine="448" w:firstLineChars="200"/>
        <w:jc w:val="left"/>
        <w:rPr>
          <w:sz w:val="24"/>
        </w:rPr>
      </w:pPr>
      <w:r>
        <w:rPr>
          <w:rFonts w:hint="eastAsia"/>
          <w:sz w:val="24"/>
        </w:rPr>
        <w:t>要求：问题发现不超过12小时，及时报告并记录。重大事件报告时限不超过10分钟；普通事件报告时限不超过24小时；记录及时、准确率100%；全程处理跟踪率100%，小问题处理时限不超过12小时。</w:t>
      </w:r>
    </w:p>
    <w:p>
      <w:pPr>
        <w:widowControl/>
        <w:ind w:firstLine="448" w:firstLineChars="200"/>
        <w:jc w:val="left"/>
        <w:rPr>
          <w:sz w:val="24"/>
        </w:rPr>
      </w:pPr>
      <w:r>
        <w:rPr>
          <w:rFonts w:hint="eastAsia"/>
          <w:sz w:val="24"/>
        </w:rPr>
        <w:t>（3）仪容仪表</w:t>
      </w:r>
    </w:p>
    <w:p>
      <w:pPr>
        <w:widowControl/>
        <w:ind w:firstLine="448" w:firstLineChars="200"/>
        <w:jc w:val="left"/>
        <w:rPr>
          <w:sz w:val="24"/>
        </w:rPr>
      </w:pPr>
      <w:r>
        <w:rPr>
          <w:rFonts w:hint="eastAsia"/>
          <w:sz w:val="24"/>
        </w:rPr>
        <w:t>要求：着装统一、整洁、仪表端庄；站、立、行走姿势端正；装备佩戴齐；佩戴工牌。</w:t>
      </w:r>
    </w:p>
    <w:p>
      <w:pPr>
        <w:widowControl/>
        <w:ind w:firstLine="448" w:firstLineChars="200"/>
        <w:jc w:val="left"/>
        <w:rPr>
          <w:sz w:val="24"/>
        </w:rPr>
      </w:pPr>
      <w:r>
        <w:rPr>
          <w:rFonts w:hint="eastAsia"/>
          <w:sz w:val="24"/>
        </w:rPr>
        <w:t>（4）服务态度</w:t>
      </w:r>
    </w:p>
    <w:p>
      <w:pPr>
        <w:widowControl/>
        <w:ind w:firstLine="448" w:firstLineChars="200"/>
        <w:jc w:val="left"/>
        <w:rPr>
          <w:sz w:val="24"/>
        </w:rPr>
      </w:pPr>
      <w:r>
        <w:rPr>
          <w:rFonts w:hint="eastAsia"/>
          <w:sz w:val="24"/>
        </w:rPr>
        <w:t>要求：微笑服务、礼貌用语；服务主动、热情。不准与纳税人发生争吵，遇到无法解决问题时及时向采购人办公室人员汇报。</w:t>
      </w:r>
    </w:p>
    <w:p>
      <w:pPr>
        <w:widowControl/>
        <w:ind w:firstLine="448" w:firstLineChars="200"/>
        <w:jc w:val="left"/>
        <w:rPr>
          <w:sz w:val="24"/>
        </w:rPr>
      </w:pPr>
      <w:r>
        <w:rPr>
          <w:rFonts w:hint="eastAsia"/>
          <w:sz w:val="24"/>
        </w:rPr>
        <w:t>（5）工作纪律</w:t>
      </w:r>
    </w:p>
    <w:p>
      <w:pPr>
        <w:widowControl/>
        <w:ind w:firstLine="448" w:firstLineChars="200"/>
        <w:jc w:val="left"/>
        <w:rPr>
          <w:sz w:val="24"/>
        </w:rPr>
      </w:pPr>
      <w:r>
        <w:rPr>
          <w:rFonts w:hint="eastAsia"/>
          <w:sz w:val="24"/>
        </w:rPr>
        <w:t>要求：按规定填写各项记录、表格、做到记录真实，字迹工整；工作时间不得脱岗；工作时间禁止喝酒、抽烟、吃东西；工作环境保持卫生整洁，桌面、抽屉无杂物。</w:t>
      </w:r>
    </w:p>
    <w:p>
      <w:pPr>
        <w:widowControl/>
        <w:ind w:firstLine="448" w:firstLineChars="200"/>
        <w:jc w:val="left"/>
        <w:rPr>
          <w:sz w:val="24"/>
        </w:rPr>
      </w:pPr>
      <w:r>
        <w:rPr>
          <w:rFonts w:hint="eastAsia"/>
          <w:sz w:val="24"/>
        </w:rPr>
        <w:t>（6）工作技能</w:t>
      </w:r>
    </w:p>
    <w:p>
      <w:pPr>
        <w:widowControl/>
        <w:ind w:firstLine="448" w:firstLineChars="200"/>
        <w:jc w:val="left"/>
        <w:rPr>
          <w:sz w:val="24"/>
        </w:rPr>
      </w:pPr>
      <w:r>
        <w:rPr>
          <w:rFonts w:hint="eastAsia"/>
          <w:sz w:val="24"/>
        </w:rPr>
        <w:t>要求：熟悉报警系统；熟悉设备的操作；熟悉岗位工作规章制度和流程。</w:t>
      </w:r>
    </w:p>
    <w:p>
      <w:pPr>
        <w:widowControl/>
        <w:ind w:firstLine="448" w:firstLineChars="200"/>
        <w:jc w:val="left"/>
        <w:rPr>
          <w:sz w:val="24"/>
        </w:rPr>
      </w:pPr>
      <w:r>
        <w:rPr>
          <w:rFonts w:hint="eastAsia"/>
          <w:sz w:val="24"/>
        </w:rPr>
        <w:t>四、应急服务要求</w:t>
      </w:r>
    </w:p>
    <w:p>
      <w:pPr>
        <w:widowControl/>
        <w:ind w:firstLine="448" w:firstLineChars="200"/>
        <w:jc w:val="left"/>
        <w:rPr>
          <w:sz w:val="24"/>
        </w:rPr>
      </w:pPr>
      <w:r>
        <w:rPr>
          <w:rFonts w:hint="eastAsia"/>
          <w:sz w:val="24"/>
        </w:rPr>
        <w:t>当出现不可预知紧急情况时（例如停水停电、极端天气、群体事件、自然灾害等），保证服务正常运转的措施，包括但不限于临时增配人员、临时调集设备、现有人员岗位职责临时增加、与相关政府部门协调配合等。</w:t>
      </w:r>
    </w:p>
    <w:p>
      <w:pPr>
        <w:widowControl/>
        <w:ind w:firstLine="448" w:firstLineChars="200"/>
        <w:jc w:val="left"/>
        <w:rPr>
          <w:sz w:val="24"/>
        </w:rPr>
      </w:pPr>
      <w:r>
        <w:rPr>
          <w:rFonts w:hint="eastAsia"/>
          <w:sz w:val="24"/>
        </w:rPr>
        <w:t>五、人员保密要求</w:t>
      </w:r>
    </w:p>
    <w:p>
      <w:pPr>
        <w:widowControl/>
        <w:ind w:firstLine="448" w:firstLineChars="200"/>
        <w:jc w:val="left"/>
        <w:rPr>
          <w:sz w:val="24"/>
        </w:rPr>
      </w:pPr>
      <w:r>
        <w:rPr>
          <w:rFonts w:hint="eastAsia"/>
          <w:sz w:val="24"/>
        </w:rPr>
        <w:t>保证服务过程中有可能获取的保密信息不泄露的措施，包括但不限于制定保密制度、服务人员保密培训、重点岗位双人服务、泄密惩罚办法。</w:t>
      </w:r>
    </w:p>
    <w:p>
      <w:pPr>
        <w:widowControl/>
        <w:ind w:firstLine="448" w:firstLineChars="200"/>
        <w:jc w:val="left"/>
        <w:rPr>
          <w:sz w:val="24"/>
        </w:rPr>
      </w:pPr>
      <w:r>
        <w:rPr>
          <w:rFonts w:hint="eastAsia"/>
          <w:sz w:val="24"/>
        </w:rPr>
        <w:t>六、人员稳定性要求</w:t>
      </w:r>
    </w:p>
    <w:p>
      <w:pPr>
        <w:widowControl/>
        <w:ind w:firstLine="448" w:firstLineChars="200"/>
        <w:jc w:val="left"/>
        <w:rPr>
          <w:sz w:val="24"/>
        </w:rPr>
      </w:pPr>
      <w:r>
        <w:rPr>
          <w:rFonts w:hint="eastAsia"/>
          <w:sz w:val="24"/>
        </w:rPr>
        <w:t>在整个服务期内，人员更换率不得超过10%，更换人员不得低于采购需求，且应经采购人同意。</w:t>
      </w:r>
    </w:p>
    <w:p>
      <w:pPr>
        <w:widowControl/>
        <w:ind w:firstLine="448" w:firstLineChars="200"/>
        <w:jc w:val="left"/>
        <w:rPr>
          <w:sz w:val="24"/>
        </w:rPr>
      </w:pPr>
      <w:r>
        <w:rPr>
          <w:rFonts w:hint="eastAsia"/>
          <w:sz w:val="24"/>
        </w:rPr>
        <w:t>七、进驻和接管要求</w:t>
      </w:r>
    </w:p>
    <w:p>
      <w:pPr>
        <w:widowControl/>
        <w:ind w:firstLine="448" w:firstLineChars="200"/>
        <w:jc w:val="left"/>
        <w:rPr>
          <w:sz w:val="24"/>
        </w:rPr>
      </w:pPr>
      <w:r>
        <w:rPr>
          <w:rFonts w:hint="eastAsia"/>
          <w:sz w:val="24"/>
        </w:rPr>
        <w:t>中标后，及时配齐所需人员、工具、设备等，在规定的时间内保证全体服务人员按时进场服务，如果为新任服务公司，则还需与前任公司进行交接，保留相关记录，做到服务平稳过渡，对采购人工作无不良影响。</w:t>
      </w:r>
    </w:p>
    <w:p>
      <w:pPr>
        <w:widowControl/>
        <w:ind w:firstLine="448" w:firstLineChars="200"/>
        <w:jc w:val="left"/>
        <w:rPr>
          <w:sz w:val="24"/>
        </w:rPr>
      </w:pPr>
      <w:r>
        <w:rPr>
          <w:rFonts w:hint="eastAsia"/>
          <w:sz w:val="24"/>
        </w:rPr>
        <w:t>八、费用分割</w:t>
      </w:r>
    </w:p>
    <w:p>
      <w:pPr>
        <w:widowControl/>
        <w:ind w:firstLine="448" w:firstLineChars="200"/>
        <w:jc w:val="left"/>
        <w:rPr>
          <w:sz w:val="24"/>
        </w:rPr>
      </w:pPr>
      <w:r>
        <w:rPr>
          <w:rFonts w:hint="eastAsia"/>
          <w:sz w:val="24"/>
        </w:rPr>
        <w:t>1.所有人员统一着装并佩戴工牌，要求干净整洁，服装费用（含工牌制作费用）由中标供应商承担。</w:t>
      </w:r>
    </w:p>
    <w:p>
      <w:pPr>
        <w:widowControl/>
        <w:ind w:firstLine="448" w:firstLineChars="200"/>
        <w:jc w:val="left"/>
        <w:rPr>
          <w:sz w:val="24"/>
        </w:rPr>
      </w:pPr>
      <w:r>
        <w:rPr>
          <w:rFonts w:hint="eastAsia"/>
          <w:sz w:val="24"/>
        </w:rPr>
        <w:t>2.保洁服务中使用的工具、清洁耗材由中标供应商提供，费用由中标供应商承担，报价不低于13513元。</w:t>
      </w:r>
    </w:p>
    <w:p>
      <w:pPr>
        <w:widowControl/>
        <w:ind w:firstLine="448" w:firstLineChars="200"/>
        <w:jc w:val="left"/>
        <w:rPr>
          <w:sz w:val="24"/>
        </w:rPr>
      </w:pPr>
      <w:r>
        <w:rPr>
          <w:rFonts w:hint="eastAsia"/>
          <w:sz w:val="24"/>
        </w:rPr>
        <w:t>3.秩序维护服务所需工具耗材由中标供应商提供。</w:t>
      </w:r>
    </w:p>
    <w:p>
      <w:pPr>
        <w:widowControl/>
        <w:ind w:firstLine="448" w:firstLineChars="200"/>
        <w:jc w:val="left"/>
        <w:rPr>
          <w:sz w:val="24"/>
        </w:rPr>
      </w:pPr>
      <w:r>
        <w:rPr>
          <w:rFonts w:hint="eastAsia"/>
          <w:sz w:val="24"/>
        </w:rPr>
        <w:t>4.</w:t>
      </w:r>
      <w:r>
        <w:rPr>
          <w:rFonts w:hint="eastAsia"/>
        </w:rPr>
        <w:t xml:space="preserve"> </w:t>
      </w:r>
      <w:r>
        <w:rPr>
          <w:rFonts w:hint="eastAsia"/>
          <w:sz w:val="24"/>
        </w:rPr>
        <w:t>设备运行维护维修所需工具耗材由采购人提供，维修更换的零配件由采购人提供。</w:t>
      </w:r>
    </w:p>
    <w:p>
      <w:pPr>
        <w:widowControl/>
        <w:ind w:firstLine="448" w:firstLineChars="200"/>
        <w:jc w:val="left"/>
        <w:rPr>
          <w:sz w:val="24"/>
        </w:rPr>
      </w:pPr>
      <w:r>
        <w:rPr>
          <w:rFonts w:hint="eastAsia"/>
          <w:sz w:val="24"/>
        </w:rPr>
        <w:t>5.采购人单位涉及消防维保、电梯年检、中央空调维保项目，上述项目允许外包，费用由中标供应商承担。报价不低于157638元。</w:t>
      </w:r>
    </w:p>
    <w:p>
      <w:pPr>
        <w:widowControl/>
        <w:ind w:firstLine="448" w:firstLineChars="200"/>
        <w:jc w:val="left"/>
        <w:rPr>
          <w:sz w:val="24"/>
        </w:rPr>
      </w:pPr>
      <w:r>
        <w:rPr>
          <w:rFonts w:hint="eastAsia"/>
          <w:sz w:val="24"/>
        </w:rPr>
        <w:t>九、物业服务过程中，对物业公司评价考核验收标准</w:t>
      </w:r>
    </w:p>
    <w:tbl>
      <w:tblPr>
        <w:tblStyle w:val="22"/>
        <w:tblW w:w="9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1"/>
        <w:gridCol w:w="2127"/>
        <w:gridCol w:w="4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Theme="minorEastAsia"/>
                <w:szCs w:val="21"/>
              </w:rPr>
            </w:pPr>
            <w:r>
              <w:rPr>
                <w:rFonts w:eastAsiaTheme="minorEastAsia"/>
                <w:szCs w:val="21"/>
              </w:rPr>
              <w:t>考核项目</w:t>
            </w:r>
          </w:p>
        </w:tc>
        <w:tc>
          <w:tcPr>
            <w:tcW w:w="21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Theme="minorEastAsia"/>
                <w:szCs w:val="21"/>
              </w:rPr>
            </w:pPr>
            <w:r>
              <w:rPr>
                <w:rFonts w:eastAsiaTheme="minorEastAsia"/>
                <w:szCs w:val="21"/>
              </w:rPr>
              <w:t>考核标准</w:t>
            </w:r>
          </w:p>
        </w:tc>
        <w:tc>
          <w:tcPr>
            <w:tcW w:w="485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Theme="minorEastAsia"/>
                <w:szCs w:val="21"/>
              </w:rPr>
            </w:pPr>
            <w:r>
              <w:rPr>
                <w:rFonts w:eastAsiaTheme="minorEastAsia"/>
                <w:szCs w:val="21"/>
              </w:rPr>
              <w:t>扣分规则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Theme="minorEastAsia"/>
                <w:szCs w:val="21"/>
              </w:rPr>
            </w:pPr>
            <w:r>
              <w:rPr>
                <w:rFonts w:eastAsiaTheme="minorEastAsia"/>
                <w:szCs w:val="21"/>
              </w:rPr>
              <w:t>员工出勤率</w:t>
            </w:r>
          </w:p>
        </w:tc>
        <w:tc>
          <w:tcPr>
            <w:tcW w:w="212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Theme="minorEastAsia"/>
                <w:szCs w:val="21"/>
              </w:rPr>
            </w:pPr>
            <w:r>
              <w:rPr>
                <w:rFonts w:eastAsiaTheme="minorEastAsia"/>
                <w:szCs w:val="21"/>
              </w:rPr>
              <w:t>满分25分</w:t>
            </w:r>
          </w:p>
        </w:tc>
        <w:tc>
          <w:tcPr>
            <w:tcW w:w="485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Theme="minorEastAsia"/>
                <w:szCs w:val="21"/>
              </w:rPr>
            </w:pPr>
            <w:r>
              <w:rPr>
                <w:rFonts w:eastAsiaTheme="minorEastAsia"/>
                <w:szCs w:val="21"/>
              </w:rPr>
              <w:t>缺勤每人每天扣1分，此项分数扣完为止。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Theme="minorEastAsia"/>
                <w:szCs w:val="21"/>
              </w:rPr>
            </w:pPr>
            <w:r>
              <w:rPr>
                <w:rFonts w:eastAsiaTheme="minorEastAsia"/>
                <w:szCs w:val="21"/>
              </w:rPr>
              <w:t>安全生产</w:t>
            </w:r>
          </w:p>
        </w:tc>
        <w:tc>
          <w:tcPr>
            <w:tcW w:w="212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Theme="minorEastAsia"/>
                <w:szCs w:val="21"/>
              </w:rPr>
            </w:pPr>
            <w:r>
              <w:rPr>
                <w:rFonts w:eastAsiaTheme="minorEastAsia"/>
                <w:szCs w:val="21"/>
              </w:rPr>
              <w:t>满分25分</w:t>
            </w:r>
          </w:p>
        </w:tc>
        <w:tc>
          <w:tcPr>
            <w:tcW w:w="485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Theme="minorEastAsia"/>
                <w:szCs w:val="21"/>
              </w:rPr>
            </w:pPr>
            <w:r>
              <w:rPr>
                <w:rFonts w:eastAsiaTheme="minorEastAsia"/>
                <w:szCs w:val="21"/>
              </w:rPr>
              <w:t>出现1次安全事故扣25分。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Theme="minorEastAsia"/>
                <w:szCs w:val="21"/>
              </w:rPr>
            </w:pPr>
            <w:r>
              <w:rPr>
                <w:rFonts w:eastAsiaTheme="minorEastAsia"/>
                <w:szCs w:val="21"/>
              </w:rPr>
              <w:t>安保管理</w:t>
            </w:r>
          </w:p>
        </w:tc>
        <w:tc>
          <w:tcPr>
            <w:tcW w:w="212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Theme="minorEastAsia"/>
                <w:szCs w:val="21"/>
              </w:rPr>
            </w:pPr>
            <w:r>
              <w:rPr>
                <w:rFonts w:eastAsiaTheme="minorEastAsia"/>
                <w:szCs w:val="21"/>
              </w:rPr>
              <w:t>满分为25分</w:t>
            </w:r>
          </w:p>
        </w:tc>
        <w:tc>
          <w:tcPr>
            <w:tcW w:w="485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Theme="minorEastAsia"/>
                <w:szCs w:val="21"/>
              </w:rPr>
            </w:pPr>
            <w:r>
              <w:rPr>
                <w:rFonts w:eastAsiaTheme="minorEastAsia"/>
                <w:szCs w:val="21"/>
              </w:rPr>
              <w:t>发现一次不合格扣除5分，此项分数扣完为止。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1"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Theme="minorEastAsia"/>
                <w:szCs w:val="21"/>
              </w:rPr>
            </w:pPr>
            <w:r>
              <w:rPr>
                <w:rFonts w:eastAsiaTheme="minorEastAsia"/>
                <w:szCs w:val="21"/>
              </w:rPr>
              <w:t>保洁服务质量</w:t>
            </w:r>
          </w:p>
        </w:tc>
        <w:tc>
          <w:tcPr>
            <w:tcW w:w="212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Theme="minorEastAsia"/>
                <w:szCs w:val="21"/>
              </w:rPr>
            </w:pPr>
            <w:r>
              <w:rPr>
                <w:rFonts w:eastAsiaTheme="minorEastAsia"/>
                <w:szCs w:val="21"/>
              </w:rPr>
              <w:t>满分为25分</w:t>
            </w:r>
          </w:p>
        </w:tc>
        <w:tc>
          <w:tcPr>
            <w:tcW w:w="485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eastAsiaTheme="minorEastAsia"/>
                <w:szCs w:val="21"/>
              </w:rPr>
            </w:pPr>
            <w:r>
              <w:rPr>
                <w:rFonts w:eastAsiaTheme="minorEastAsia"/>
                <w:szCs w:val="21"/>
              </w:rPr>
              <w:t>一次服务不达标、采购人不满意扣除2分，此项分数扣完为止。</w:t>
            </w:r>
          </w:p>
        </w:tc>
      </w:tr>
    </w:tbl>
    <w:p>
      <w:pPr>
        <w:widowControl/>
        <w:ind w:firstLine="448" w:firstLineChars="200"/>
        <w:jc w:val="left"/>
        <w:rPr>
          <w:sz w:val="24"/>
        </w:rPr>
      </w:pPr>
      <w:r>
        <w:rPr>
          <w:rFonts w:hint="eastAsia"/>
          <w:sz w:val="24"/>
        </w:rPr>
        <w:t>1.项目按月进行考核。</w:t>
      </w:r>
    </w:p>
    <w:p>
      <w:pPr>
        <w:widowControl/>
        <w:ind w:firstLine="448" w:firstLineChars="200"/>
        <w:jc w:val="left"/>
        <w:rPr>
          <w:sz w:val="24"/>
        </w:rPr>
      </w:pPr>
      <w:r>
        <w:rPr>
          <w:rFonts w:hint="eastAsia"/>
          <w:sz w:val="24"/>
        </w:rPr>
        <w:t>2.项目考核满分为100分。</w:t>
      </w:r>
    </w:p>
    <w:p>
      <w:pPr>
        <w:widowControl/>
        <w:ind w:firstLine="448" w:firstLineChars="200"/>
        <w:jc w:val="left"/>
        <w:rPr>
          <w:sz w:val="24"/>
        </w:rPr>
      </w:pPr>
      <w:r>
        <w:rPr>
          <w:rFonts w:hint="eastAsia"/>
          <w:sz w:val="24"/>
        </w:rPr>
        <w:t>3.每月考核分数95分以上，提醒投标人应加强管理。</w:t>
      </w:r>
    </w:p>
    <w:p>
      <w:pPr>
        <w:widowControl/>
        <w:ind w:firstLine="448" w:firstLineChars="200"/>
        <w:jc w:val="left"/>
        <w:rPr>
          <w:sz w:val="24"/>
        </w:rPr>
      </w:pPr>
      <w:r>
        <w:rPr>
          <w:rFonts w:hint="eastAsia"/>
          <w:sz w:val="24"/>
        </w:rPr>
        <w:t>4.每月考核90分至95分，对投标人进行口头警告，并要求投标人加强管理监督。</w:t>
      </w:r>
    </w:p>
    <w:p>
      <w:pPr>
        <w:widowControl/>
        <w:ind w:firstLine="448" w:firstLineChars="200"/>
        <w:jc w:val="left"/>
        <w:rPr>
          <w:sz w:val="24"/>
        </w:rPr>
      </w:pPr>
      <w:r>
        <w:rPr>
          <w:rFonts w:hint="eastAsia"/>
          <w:sz w:val="24"/>
        </w:rPr>
        <w:t>5.每月考核85分至90分，对投标人进行警告，要求投标人及时整改。</w:t>
      </w:r>
    </w:p>
    <w:p>
      <w:pPr>
        <w:widowControl/>
        <w:ind w:firstLine="448" w:firstLineChars="200"/>
        <w:jc w:val="left"/>
        <w:rPr>
          <w:sz w:val="24"/>
        </w:rPr>
      </w:pPr>
      <w:r>
        <w:rPr>
          <w:rFonts w:hint="eastAsia"/>
          <w:sz w:val="24"/>
        </w:rPr>
        <w:t>6.每月考核80分至85分，按扣分项扣除一定比例服务费，要求立即整改。</w:t>
      </w:r>
    </w:p>
    <w:p>
      <w:pPr>
        <w:widowControl/>
        <w:ind w:firstLine="448" w:firstLineChars="200"/>
        <w:jc w:val="left"/>
        <w:rPr>
          <w:sz w:val="24"/>
        </w:rPr>
      </w:pPr>
      <w:r>
        <w:rPr>
          <w:rFonts w:hint="eastAsia"/>
          <w:sz w:val="24"/>
        </w:rPr>
        <w:t>7.每月考核不足80分，扣除20%服务费，要求立即整改，必要时更换项目经理。</w:t>
      </w:r>
    </w:p>
    <w:p>
      <w:pPr>
        <w:widowControl/>
        <w:ind w:firstLine="448" w:firstLineChars="200"/>
        <w:jc w:val="left"/>
        <w:rPr>
          <w:sz w:val="24"/>
        </w:rPr>
      </w:pPr>
      <w:r>
        <w:rPr>
          <w:rFonts w:hint="eastAsia"/>
          <w:sz w:val="24"/>
        </w:rPr>
        <w:t>8.采购人可根据实际需求，在合理范围内重新制定考核标准及规则。</w:t>
      </w:r>
    </w:p>
    <w:p>
      <w:pPr>
        <w:widowControl/>
        <w:ind w:firstLine="448" w:firstLineChars="200"/>
        <w:jc w:val="left"/>
        <w:rPr>
          <w:sz w:val="24"/>
        </w:rPr>
      </w:pPr>
    </w:p>
    <w:p>
      <w:pPr>
        <w:widowControl/>
        <w:ind w:firstLine="448" w:firstLineChars="200"/>
        <w:jc w:val="left"/>
        <w:rPr>
          <w:sz w:val="24"/>
        </w:rPr>
      </w:pPr>
      <w:r>
        <w:rPr>
          <w:rFonts w:hint="eastAsia"/>
          <w:sz w:val="24"/>
        </w:rPr>
        <w:t>加注“★”号条款为实质性条款，不得出现负偏离，发生负偏离即做无效标处理。</w:t>
      </w:r>
    </w:p>
    <w:p>
      <w:pPr>
        <w:widowControl/>
        <w:jc w:val="left"/>
        <w:rPr>
          <w:sz w:val="24"/>
        </w:rPr>
      </w:pPr>
      <w:r>
        <w:rPr>
          <w:sz w:val="24"/>
        </w:rPr>
        <w:br w:type="page"/>
      </w:r>
    </w:p>
    <w:p>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“服务”系指招标文件规定的投标人为完成采购项目所需承担的全部义务。</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4.2 符合《投标邀请函》中关于供应商资格要求（实质性要求）的规定。</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hint="eastAsia" w:ascii="Times New Roman" w:hAnsi="Times New Roman" w:eastAsia="宋体" w:cs="Times New Roman"/>
          <w:color w:val="auto"/>
        </w:rPr>
        <w:t>不得再以自己名义单独在同一合同项下投标，也不得组成新的联合体参加同一合同项下的投标。</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（7）联合体</w:t>
      </w:r>
      <w:r>
        <w:rPr>
          <w:rFonts w:hint="eastAsia" w:ascii="Times New Roman" w:hAnsi="Times New Roman" w:eastAsia="宋体" w:cs="Times New Roman"/>
          <w:color w:val="auto"/>
        </w:rPr>
        <w:t>中任意一方</w:t>
      </w:r>
      <w:r>
        <w:rPr>
          <w:rFonts w:ascii="Times New Roman" w:hAnsi="Times New Roman" w:eastAsia="宋体" w:cs="Times New Roman"/>
          <w:color w:val="auto"/>
        </w:rPr>
        <w:t>为</w:t>
      </w:r>
      <w:r>
        <w:rPr>
          <w:rFonts w:hint="eastAsia" w:ascii="Times New Roman" w:hAnsi="Times New Roman" w:eastAsia="宋体" w:cs="Times New Roman"/>
          <w:color w:val="auto"/>
        </w:rPr>
        <w:t>中</w:t>
      </w:r>
      <w:r>
        <w:rPr>
          <w:rFonts w:ascii="Times New Roman" w:hAnsi="Times New Roman" w:eastAsia="宋体" w:cs="Times New Roman"/>
          <w:color w:val="auto"/>
        </w:rPr>
        <w:t>小企业的，</w:t>
      </w:r>
      <w:r>
        <w:rPr>
          <w:rFonts w:hint="eastAsia" w:ascii="Times New Roman" w:hAnsi="Times New Roman" w:eastAsia="宋体" w:cs="Times New Roman"/>
          <w:color w:val="auto"/>
        </w:rPr>
        <w:t>该</w:t>
      </w:r>
      <w:r>
        <w:rPr>
          <w:rFonts w:ascii="Times New Roman" w:hAnsi="Times New Roman" w:eastAsia="宋体" w:cs="Times New Roman"/>
          <w:color w:val="auto"/>
        </w:rPr>
        <w:t>方应提供《中小企业声明函》</w:t>
      </w:r>
      <w:r>
        <w:rPr>
          <w:rFonts w:hint="eastAsia" w:ascii="Times New Roman" w:hAnsi="Times New Roman" w:eastAsia="宋体" w:cs="Times New Roman"/>
          <w:color w:val="auto"/>
        </w:rPr>
        <w:t>。</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根据国务院《</w:t>
      </w:r>
      <w:bookmarkStart w:id="6" w:name="OLE_LINK5"/>
      <w:bookmarkStart w:id="7" w:name="OLE_LINK6"/>
      <w:r>
        <w:rPr>
          <w:rFonts w:hint="eastAsia" w:ascii="Times New Roman" w:hAnsi="Times New Roman" w:eastAsia="宋体" w:cs="Times New Roman"/>
          <w:color w:val="auto"/>
        </w:rPr>
        <w:t>物业管理条例</w:t>
      </w:r>
      <w:bookmarkEnd w:id="6"/>
      <w:bookmarkEnd w:id="7"/>
      <w:r>
        <w:rPr>
          <w:rFonts w:hint="eastAsia" w:ascii="Times New Roman" w:hAnsi="Times New Roman" w:eastAsia="宋体" w:cs="Times New Roman"/>
          <w:color w:val="auto"/>
        </w:rPr>
        <w:t>》第三十二条的规定“从事物业管理活动的企业应当具有独立的法人资格”，因此本项目不接受分公司投标。</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w:t>
      </w:r>
      <w:bookmarkStart w:id="8" w:name="_GoBack"/>
      <w:bookmarkEnd w:id="8"/>
      <w:r>
        <w:rPr>
          <w:rFonts w:hint="eastAsia" w:ascii="Times New Roman" w:hAnsi="Times New Roman" w:eastAsia="宋体" w:cs="Times New Roman"/>
          <w:color w:val="auto"/>
        </w:rPr>
        <w:t>第三方提出侵权或知识产权的起诉及支付版税等费用由投标人承担所有责任及费用。</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pPr>
        <w:pStyle w:val="29"/>
        <w:spacing w:line="360" w:lineRule="auto"/>
        <w:ind w:firstLine="448" w:firstLineChars="200"/>
        <w:jc w:val="both"/>
        <w:rPr>
          <w:rFonts w:ascii="Times New Roman" w:hAnsi="Times New Roman" w:eastAsia="宋体" w:cs="Times New Roman"/>
          <w:color w:val="auto"/>
        </w:rPr>
      </w:pP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pPr>
        <w:widowControl/>
        <w:jc w:val="left"/>
        <w:rPr>
          <w:b/>
          <w:bCs/>
          <w:kern w:val="28"/>
          <w:sz w:val="32"/>
          <w:szCs w:val="32"/>
          <w:lang w:val="zh-CN" w:eastAsia="zh-CN"/>
        </w:rPr>
      </w:pPr>
      <w:r>
        <w:br w:type="page"/>
      </w:r>
    </w:p>
    <w:p>
      <w:pPr>
        <w:pStyle w:val="16"/>
        <w:rPr>
          <w:rFonts w:ascii="Times New Roman" w:hAnsi="Times New Roman"/>
        </w:rPr>
      </w:pPr>
      <w:r>
        <w:rPr>
          <w:rFonts w:ascii="Times New Roman" w:hAnsi="Times New Roman"/>
        </w:rPr>
        <w:t>第四部分  合同条款</w:t>
      </w:r>
    </w:p>
    <w:p>
      <w:pPr>
        <w:snapToGrid w:val="0"/>
        <w:spacing w:line="360" w:lineRule="auto"/>
        <w:ind w:firstLine="448" w:firstLineChars="200"/>
        <w:rPr>
          <w:rFonts w:eastAsiaTheme="minorEastAsia"/>
          <w:sz w:val="24"/>
          <w:szCs w:val="24"/>
        </w:rPr>
      </w:pPr>
      <w:r>
        <w:rPr>
          <w:rFonts w:eastAsiaTheme="minorEastAsia"/>
          <w:b/>
          <w:bCs/>
          <w:sz w:val="24"/>
          <w:szCs w:val="24"/>
        </w:rPr>
        <w:t>采购人（甲方）：</w:t>
      </w:r>
    </w:p>
    <w:p>
      <w:pPr>
        <w:snapToGrid w:val="0"/>
        <w:spacing w:line="360" w:lineRule="auto"/>
        <w:ind w:firstLine="448" w:firstLineChars="200"/>
        <w:rPr>
          <w:rFonts w:eastAsiaTheme="minorEastAsia"/>
          <w:sz w:val="24"/>
          <w:szCs w:val="24"/>
        </w:rPr>
      </w:pPr>
      <w:r>
        <w:rPr>
          <w:rFonts w:eastAsiaTheme="minorEastAsia"/>
          <w:b/>
          <w:bCs/>
          <w:sz w:val="24"/>
          <w:szCs w:val="24"/>
        </w:rPr>
        <w:t>供应商（乙方）：</w:t>
      </w:r>
    </w:p>
    <w:p>
      <w:pPr>
        <w:spacing w:line="480" w:lineRule="exact"/>
        <w:ind w:firstLine="448" w:firstLineChars="200"/>
        <w:rPr>
          <w:rFonts w:eastAsiaTheme="minorEastAsia"/>
          <w:sz w:val="24"/>
          <w:szCs w:val="24"/>
        </w:rPr>
      </w:pPr>
      <w:r>
        <w:rPr>
          <w:rFonts w:eastAsiaTheme="minorEastAsia"/>
          <w:sz w:val="24"/>
          <w:szCs w:val="24"/>
        </w:rPr>
        <w:t>甲、乙双方根据项目（项目编号：TGPC-201-）的政府采购结果和招标文件（或采购文件）的要求，并经双方协商一致，达成本合同：</w:t>
      </w:r>
    </w:p>
    <w:p>
      <w:pPr>
        <w:pStyle w:val="34"/>
        <w:numPr>
          <w:ilvl w:val="0"/>
          <w:numId w:val="2"/>
        </w:numPr>
        <w:spacing w:line="480" w:lineRule="exact"/>
        <w:ind w:firstLineChars="0"/>
        <w:rPr>
          <w:sz w:val="24"/>
          <w:szCs w:val="24"/>
        </w:rPr>
      </w:pPr>
      <w:r>
        <w:rPr>
          <w:rFonts w:hint="eastAsia"/>
          <w:sz w:val="24"/>
          <w:szCs w:val="24"/>
        </w:rPr>
        <w:t>本合同为中小企业预留合同</w:t>
      </w:r>
    </w:p>
    <w:p>
      <w:pPr>
        <w:pStyle w:val="34"/>
        <w:numPr>
          <w:ilvl w:val="0"/>
          <w:numId w:val="2"/>
        </w:numPr>
        <w:spacing w:line="480" w:lineRule="exact"/>
        <w:ind w:firstLineChars="0"/>
        <w:rPr>
          <w:sz w:val="24"/>
          <w:szCs w:val="24"/>
        </w:rPr>
      </w:pPr>
      <w:r>
        <w:rPr>
          <w:rFonts w:hint="eastAsia"/>
          <w:sz w:val="24"/>
          <w:szCs w:val="24"/>
        </w:rPr>
        <w:t>本合同非中小企业预留合同</w:t>
      </w:r>
    </w:p>
    <w:p>
      <w:pPr>
        <w:spacing w:line="480" w:lineRule="exact"/>
        <w:ind w:firstLine="448" w:firstLineChars="200"/>
        <w:rPr>
          <w:rFonts w:eastAsiaTheme="minorEastAsia"/>
          <w:sz w:val="24"/>
          <w:szCs w:val="24"/>
        </w:rPr>
      </w:pPr>
      <w:r>
        <w:rPr>
          <w:rFonts w:eastAsiaTheme="minorEastAsia"/>
          <w:sz w:val="24"/>
          <w:szCs w:val="24"/>
        </w:rPr>
        <w:t>第一条委托物业的基本情况</w:t>
      </w:r>
    </w:p>
    <w:p>
      <w:pPr>
        <w:spacing w:line="360" w:lineRule="auto"/>
        <w:ind w:firstLine="452" w:firstLineChars="202"/>
        <w:rPr>
          <w:rFonts w:eastAsiaTheme="minorEastAsia"/>
          <w:sz w:val="24"/>
          <w:szCs w:val="24"/>
        </w:rPr>
      </w:pPr>
      <w:r>
        <w:rPr>
          <w:rFonts w:eastAsiaTheme="minorEastAsia"/>
          <w:sz w:val="24"/>
          <w:szCs w:val="24"/>
        </w:rPr>
        <w:t>物业名称：</w:t>
      </w:r>
    </w:p>
    <w:p>
      <w:pPr>
        <w:spacing w:line="360" w:lineRule="auto"/>
        <w:ind w:firstLine="452" w:firstLineChars="202"/>
        <w:rPr>
          <w:rFonts w:eastAsiaTheme="minorEastAsia"/>
          <w:sz w:val="24"/>
          <w:szCs w:val="24"/>
        </w:rPr>
      </w:pPr>
      <w:r>
        <w:rPr>
          <w:rFonts w:eastAsiaTheme="minorEastAsia"/>
          <w:sz w:val="24"/>
          <w:szCs w:val="24"/>
        </w:rPr>
        <w:t>物业类型：</w:t>
      </w:r>
    </w:p>
    <w:p>
      <w:pPr>
        <w:spacing w:line="360" w:lineRule="auto"/>
        <w:ind w:firstLine="452" w:firstLineChars="202"/>
        <w:rPr>
          <w:rFonts w:eastAsiaTheme="minorEastAsia"/>
          <w:sz w:val="24"/>
          <w:szCs w:val="24"/>
        </w:rPr>
      </w:pPr>
      <w:r>
        <w:rPr>
          <w:rFonts w:hint="eastAsia" w:eastAsiaTheme="minorEastAsia"/>
          <w:sz w:val="24"/>
          <w:szCs w:val="24"/>
        </w:rPr>
        <w:t>坐落</w:t>
      </w:r>
      <w:r>
        <w:rPr>
          <w:rFonts w:eastAsiaTheme="minorEastAsia"/>
          <w:sz w:val="24"/>
          <w:szCs w:val="24"/>
        </w:rPr>
        <w:t>位置：</w:t>
      </w:r>
    </w:p>
    <w:p>
      <w:pPr>
        <w:spacing w:line="360" w:lineRule="auto"/>
        <w:ind w:firstLine="452" w:firstLineChars="202"/>
        <w:rPr>
          <w:rFonts w:eastAsiaTheme="minorEastAsia"/>
          <w:sz w:val="24"/>
          <w:szCs w:val="24"/>
        </w:rPr>
      </w:pPr>
      <w:r>
        <w:rPr>
          <w:rFonts w:eastAsiaTheme="minorEastAsia"/>
          <w:sz w:val="24"/>
          <w:szCs w:val="24"/>
        </w:rPr>
        <w:t>物业管理区域四至：</w:t>
      </w:r>
    </w:p>
    <w:p>
      <w:pPr>
        <w:spacing w:line="360" w:lineRule="auto"/>
        <w:ind w:firstLine="452" w:firstLineChars="202"/>
        <w:rPr>
          <w:rFonts w:eastAsiaTheme="minorEastAsia"/>
          <w:sz w:val="24"/>
          <w:szCs w:val="24"/>
        </w:rPr>
      </w:pPr>
      <w:r>
        <w:rPr>
          <w:rFonts w:eastAsiaTheme="minorEastAsia"/>
          <w:sz w:val="24"/>
          <w:szCs w:val="24"/>
        </w:rPr>
        <w:t>东至：南至：</w:t>
      </w:r>
    </w:p>
    <w:p>
      <w:pPr>
        <w:spacing w:line="360" w:lineRule="auto"/>
        <w:ind w:firstLine="452" w:firstLineChars="202"/>
        <w:rPr>
          <w:rFonts w:eastAsiaTheme="minorEastAsia"/>
          <w:sz w:val="24"/>
          <w:szCs w:val="24"/>
        </w:rPr>
      </w:pPr>
      <w:r>
        <w:rPr>
          <w:rFonts w:eastAsiaTheme="minorEastAsia"/>
          <w:sz w:val="24"/>
          <w:szCs w:val="24"/>
        </w:rPr>
        <w:t>西至：北至：</w:t>
      </w:r>
    </w:p>
    <w:p>
      <w:pPr>
        <w:spacing w:line="360" w:lineRule="auto"/>
        <w:ind w:firstLine="452" w:firstLineChars="202"/>
        <w:rPr>
          <w:rFonts w:eastAsiaTheme="minorEastAsia"/>
          <w:sz w:val="24"/>
          <w:szCs w:val="24"/>
        </w:rPr>
      </w:pPr>
      <w:r>
        <w:rPr>
          <w:rFonts w:eastAsiaTheme="minorEastAsia"/>
          <w:sz w:val="24"/>
          <w:szCs w:val="24"/>
        </w:rPr>
        <w:t>占地面积：大楼总建筑面积：</w:t>
      </w:r>
    </w:p>
    <w:p>
      <w:pPr>
        <w:spacing w:line="360" w:lineRule="auto"/>
        <w:ind w:firstLine="452" w:firstLineChars="202"/>
        <w:rPr>
          <w:rFonts w:eastAsiaTheme="minorEastAsia"/>
          <w:sz w:val="24"/>
          <w:szCs w:val="24"/>
        </w:rPr>
      </w:pPr>
      <w:r>
        <w:rPr>
          <w:rFonts w:eastAsiaTheme="minorEastAsia"/>
          <w:sz w:val="24"/>
          <w:szCs w:val="24"/>
        </w:rPr>
        <w:t>其中：地上面积：平方米</w:t>
      </w:r>
    </w:p>
    <w:p>
      <w:pPr>
        <w:spacing w:line="360" w:lineRule="auto"/>
        <w:ind w:firstLine="452" w:firstLineChars="202"/>
        <w:rPr>
          <w:rFonts w:eastAsiaTheme="minorEastAsia"/>
          <w:sz w:val="24"/>
          <w:szCs w:val="24"/>
        </w:rPr>
      </w:pPr>
      <w:r>
        <w:rPr>
          <w:rFonts w:eastAsiaTheme="minorEastAsia"/>
          <w:sz w:val="24"/>
          <w:szCs w:val="24"/>
        </w:rPr>
        <w:t>地下面积：平方米</w:t>
      </w:r>
    </w:p>
    <w:p>
      <w:pPr>
        <w:spacing w:line="360" w:lineRule="auto"/>
        <w:ind w:firstLine="452" w:firstLineChars="202"/>
        <w:rPr>
          <w:rFonts w:eastAsiaTheme="minorEastAsia"/>
          <w:sz w:val="24"/>
          <w:szCs w:val="24"/>
        </w:rPr>
      </w:pPr>
      <w:r>
        <w:rPr>
          <w:rFonts w:eastAsiaTheme="minorEastAsia"/>
          <w:sz w:val="24"/>
          <w:szCs w:val="24"/>
        </w:rPr>
        <w:t>标准层面积：平方米</w:t>
      </w:r>
    </w:p>
    <w:p>
      <w:pPr>
        <w:spacing w:line="360" w:lineRule="auto"/>
        <w:ind w:firstLine="452" w:firstLineChars="202"/>
        <w:rPr>
          <w:rFonts w:eastAsiaTheme="minorEastAsia"/>
          <w:sz w:val="24"/>
          <w:szCs w:val="24"/>
        </w:rPr>
      </w:pPr>
      <w:r>
        <w:rPr>
          <w:rFonts w:eastAsiaTheme="minorEastAsia"/>
          <w:sz w:val="24"/>
          <w:szCs w:val="24"/>
        </w:rPr>
        <w:t>人防建筑面积：平方米</w:t>
      </w:r>
    </w:p>
    <w:p>
      <w:pPr>
        <w:spacing w:line="360" w:lineRule="auto"/>
        <w:ind w:firstLine="452" w:firstLineChars="202"/>
        <w:rPr>
          <w:rFonts w:eastAsiaTheme="minorEastAsia"/>
          <w:sz w:val="24"/>
          <w:szCs w:val="24"/>
        </w:rPr>
      </w:pPr>
      <w:r>
        <w:rPr>
          <w:rFonts w:eastAsiaTheme="minorEastAsia"/>
          <w:sz w:val="24"/>
          <w:szCs w:val="24"/>
        </w:rPr>
        <w:t>建筑层数：地上层，地下层</w:t>
      </w:r>
    </w:p>
    <w:p>
      <w:pPr>
        <w:spacing w:line="360" w:lineRule="auto"/>
        <w:ind w:firstLine="452" w:firstLineChars="202"/>
        <w:rPr>
          <w:rFonts w:eastAsiaTheme="minorEastAsia"/>
          <w:sz w:val="24"/>
          <w:szCs w:val="24"/>
        </w:rPr>
      </w:pPr>
      <w:r>
        <w:rPr>
          <w:rFonts w:eastAsiaTheme="minorEastAsia"/>
          <w:sz w:val="24"/>
          <w:szCs w:val="24"/>
        </w:rPr>
        <w:t>建筑尺寸：长：米，宽：米，高：米</w:t>
      </w:r>
    </w:p>
    <w:p>
      <w:pPr>
        <w:spacing w:line="360" w:lineRule="auto"/>
        <w:ind w:firstLine="452" w:firstLineChars="202"/>
        <w:rPr>
          <w:rFonts w:eastAsiaTheme="minorEastAsia"/>
          <w:sz w:val="24"/>
          <w:szCs w:val="24"/>
        </w:rPr>
      </w:pPr>
      <w:r>
        <w:rPr>
          <w:rFonts w:eastAsiaTheme="minorEastAsia"/>
          <w:sz w:val="24"/>
          <w:szCs w:val="24"/>
        </w:rPr>
        <w:t>建筑层高：</w:t>
      </w:r>
    </w:p>
    <w:p>
      <w:pPr>
        <w:spacing w:line="360" w:lineRule="auto"/>
        <w:ind w:firstLine="452" w:firstLineChars="202"/>
        <w:rPr>
          <w:rFonts w:eastAsiaTheme="minorEastAsia"/>
          <w:sz w:val="24"/>
          <w:szCs w:val="24"/>
        </w:rPr>
      </w:pPr>
      <w:r>
        <w:rPr>
          <w:rFonts w:eastAsiaTheme="minorEastAsia"/>
          <w:sz w:val="24"/>
          <w:szCs w:val="24"/>
        </w:rPr>
        <w:t>建筑结构：</w:t>
      </w:r>
    </w:p>
    <w:p>
      <w:pPr>
        <w:spacing w:line="480" w:lineRule="exact"/>
        <w:ind w:firstLine="448" w:firstLineChars="200"/>
        <w:rPr>
          <w:rFonts w:eastAsiaTheme="minorEastAsia"/>
          <w:sz w:val="24"/>
          <w:szCs w:val="24"/>
        </w:rPr>
      </w:pPr>
      <w:r>
        <w:rPr>
          <w:rFonts w:eastAsiaTheme="minorEastAsia"/>
          <w:sz w:val="24"/>
          <w:szCs w:val="24"/>
        </w:rPr>
        <w:t>第二条物业服务内容及标准</w:t>
      </w:r>
    </w:p>
    <w:p>
      <w:pPr>
        <w:spacing w:line="480" w:lineRule="exact"/>
        <w:ind w:firstLine="448" w:firstLineChars="200"/>
        <w:rPr>
          <w:rFonts w:eastAsiaTheme="minorEastAsia"/>
          <w:spacing w:val="-20"/>
          <w:sz w:val="24"/>
          <w:szCs w:val="24"/>
          <w:bdr w:val="single" w:color="auto" w:sz="4" w:space="0"/>
        </w:rPr>
      </w:pPr>
      <w:r>
        <w:rPr>
          <w:rFonts w:eastAsiaTheme="minorEastAsia"/>
          <w:sz w:val="24"/>
          <w:szCs w:val="24"/>
        </w:rPr>
        <w:t>（一）房屋本体和共用部位的维修、养护和管理：</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（二）共用设施设备运行、维修、养护：</w:t>
      </w:r>
    </w:p>
    <w:p>
      <w:pPr>
        <w:spacing w:line="480" w:lineRule="exact"/>
        <w:ind w:firstLine="448" w:firstLineChars="200"/>
        <w:rPr>
          <w:rFonts w:eastAsiaTheme="minorEastAsia"/>
          <w:sz w:val="24"/>
          <w:szCs w:val="24"/>
        </w:rPr>
      </w:pPr>
      <w:r>
        <w:rPr>
          <w:rFonts w:eastAsiaTheme="minorEastAsia"/>
          <w:sz w:val="24"/>
          <w:szCs w:val="24"/>
        </w:rPr>
        <w:t>1.供、配电设施设备:</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2.给、排水设施设备:</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3.升降系统:</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4.消防系统:</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5.空气调节系统:</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6.智能化系统:</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7.楼宇自动化系统（通讯系统等）:</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8.停车场管理系统:</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9.其他:</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（三）共用部位和共用场地的环境保洁和绿化养护：</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（四）物业装饰装修的管理：</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bdr w:val="single" w:color="auto" w:sz="4" w:space="0"/>
        </w:rPr>
      </w:pPr>
      <w:r>
        <w:rPr>
          <w:rFonts w:eastAsiaTheme="minorEastAsia"/>
          <w:sz w:val="24"/>
          <w:szCs w:val="24"/>
        </w:rPr>
        <w:t>（五）车辆行驶和停放秩序的服务、管理：</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bdr w:val="single" w:color="auto" w:sz="4" w:space="0"/>
        </w:rPr>
      </w:pPr>
      <w:r>
        <w:rPr>
          <w:rFonts w:eastAsiaTheme="minorEastAsia"/>
          <w:sz w:val="24"/>
          <w:szCs w:val="24"/>
        </w:rPr>
        <w:t>（六）物业管理区域内公共秩序的维护和消防管理：</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（七）物业档案的建立、保管和使用：</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（八）其他委托事项：</w:t>
      </w:r>
    </w:p>
    <w:p>
      <w:pPr>
        <w:spacing w:line="480" w:lineRule="exact"/>
        <w:ind w:firstLine="448" w:firstLineChars="200"/>
        <w:rPr>
          <w:rFonts w:eastAsiaTheme="minorEastAsia"/>
          <w:sz w:val="24"/>
          <w:szCs w:val="24"/>
        </w:rPr>
      </w:pPr>
      <w:r>
        <w:rPr>
          <w:rFonts w:eastAsiaTheme="minorEastAsia"/>
          <w:sz w:val="24"/>
          <w:szCs w:val="24"/>
        </w:rPr>
        <w:t>1、</w:t>
      </w:r>
    </w:p>
    <w:p>
      <w:pPr>
        <w:spacing w:line="480" w:lineRule="exact"/>
        <w:ind w:firstLine="448" w:firstLineChars="200"/>
        <w:rPr>
          <w:rFonts w:eastAsiaTheme="minorEastAsia"/>
          <w:sz w:val="24"/>
          <w:szCs w:val="24"/>
        </w:rPr>
      </w:pPr>
      <w:r>
        <w:rPr>
          <w:rFonts w:eastAsiaTheme="minorEastAsia"/>
          <w:sz w:val="24"/>
          <w:szCs w:val="24"/>
        </w:rPr>
        <w:t>2、</w:t>
      </w:r>
    </w:p>
    <w:p>
      <w:pPr>
        <w:spacing w:line="480" w:lineRule="exact"/>
        <w:ind w:firstLine="448" w:firstLineChars="200"/>
        <w:rPr>
          <w:rFonts w:eastAsiaTheme="minorEastAsia"/>
          <w:sz w:val="24"/>
          <w:szCs w:val="24"/>
          <w:u w:val="single"/>
        </w:rPr>
      </w:pPr>
      <w:r>
        <w:rPr>
          <w:rFonts w:eastAsiaTheme="minorEastAsia"/>
          <w:sz w:val="24"/>
          <w:szCs w:val="24"/>
        </w:rPr>
        <w:t>3、</w:t>
      </w:r>
    </w:p>
    <w:p>
      <w:pPr>
        <w:spacing w:line="480" w:lineRule="exact"/>
        <w:ind w:firstLine="448" w:firstLineChars="200"/>
        <w:rPr>
          <w:rFonts w:eastAsiaTheme="minorEastAsia"/>
          <w:sz w:val="24"/>
          <w:szCs w:val="24"/>
        </w:rPr>
      </w:pPr>
      <w:r>
        <w:rPr>
          <w:rFonts w:eastAsiaTheme="minorEastAsia"/>
          <w:sz w:val="24"/>
          <w:szCs w:val="24"/>
        </w:rPr>
        <w:t>第三条物业服务合同期限</w:t>
      </w:r>
    </w:p>
    <w:p>
      <w:pPr>
        <w:spacing w:line="480" w:lineRule="exact"/>
        <w:ind w:firstLine="448" w:firstLineChars="200"/>
        <w:rPr>
          <w:rFonts w:eastAsiaTheme="minorEastAsia"/>
          <w:color w:val="FF0000"/>
          <w:sz w:val="24"/>
          <w:szCs w:val="24"/>
        </w:rPr>
      </w:pPr>
      <w:r>
        <w:rPr>
          <w:rFonts w:eastAsiaTheme="minorEastAsia"/>
          <w:sz w:val="24"/>
          <w:szCs w:val="24"/>
        </w:rPr>
        <w:t>物业服务合同期限为年。</w:t>
      </w:r>
    </w:p>
    <w:p>
      <w:pPr>
        <w:spacing w:line="480" w:lineRule="exact"/>
        <w:ind w:firstLine="448" w:firstLineChars="200"/>
        <w:rPr>
          <w:rFonts w:eastAsiaTheme="minorEastAsia"/>
          <w:sz w:val="24"/>
          <w:szCs w:val="24"/>
        </w:rPr>
      </w:pPr>
      <w:r>
        <w:rPr>
          <w:rFonts w:eastAsiaTheme="minorEastAsia"/>
          <w:sz w:val="24"/>
          <w:szCs w:val="24"/>
        </w:rPr>
        <w:t>自    年   月    日起至     年   月     日终止。</w:t>
      </w:r>
    </w:p>
    <w:p>
      <w:pPr>
        <w:spacing w:line="480" w:lineRule="exact"/>
        <w:ind w:firstLine="448" w:firstLineChars="200"/>
        <w:rPr>
          <w:rFonts w:eastAsiaTheme="minorEastAsia"/>
          <w:sz w:val="24"/>
          <w:szCs w:val="24"/>
        </w:rPr>
      </w:pPr>
      <w:r>
        <w:rPr>
          <w:rFonts w:eastAsiaTheme="minorEastAsia"/>
          <w:sz w:val="24"/>
          <w:szCs w:val="24"/>
        </w:rPr>
        <w:t>第四条甲方权利义务</w:t>
      </w:r>
    </w:p>
    <w:p>
      <w:pPr>
        <w:spacing w:line="480" w:lineRule="exact"/>
        <w:ind w:firstLine="448" w:firstLineChars="200"/>
        <w:rPr>
          <w:rFonts w:eastAsiaTheme="minorEastAsia"/>
          <w:sz w:val="24"/>
          <w:szCs w:val="24"/>
        </w:rPr>
      </w:pPr>
      <w:r>
        <w:rPr>
          <w:rFonts w:eastAsiaTheme="minorEastAsia"/>
          <w:sz w:val="24"/>
          <w:szCs w:val="24"/>
        </w:rPr>
        <w:t>（一）代表和维护采购人所有人员在物业管理服务活动中的合法权益；</w:t>
      </w:r>
    </w:p>
    <w:p>
      <w:pPr>
        <w:spacing w:line="480" w:lineRule="exact"/>
        <w:ind w:firstLine="448" w:firstLineChars="200"/>
        <w:rPr>
          <w:rFonts w:eastAsiaTheme="minorEastAsia"/>
          <w:sz w:val="24"/>
          <w:szCs w:val="24"/>
        </w:rPr>
      </w:pPr>
      <w:r>
        <w:rPr>
          <w:rFonts w:eastAsiaTheme="minorEastAsia"/>
          <w:sz w:val="24"/>
          <w:szCs w:val="24"/>
        </w:rPr>
        <w:t>（二）制定、修改管理规约，监督采购人所有人员遵守管理规约；</w:t>
      </w:r>
    </w:p>
    <w:p>
      <w:pPr>
        <w:spacing w:line="480" w:lineRule="exact"/>
        <w:ind w:firstLine="448" w:firstLineChars="200"/>
        <w:rPr>
          <w:rFonts w:eastAsiaTheme="minorEastAsia"/>
          <w:sz w:val="24"/>
          <w:szCs w:val="24"/>
        </w:rPr>
      </w:pPr>
      <w:r>
        <w:rPr>
          <w:rFonts w:eastAsiaTheme="minorEastAsia"/>
          <w:sz w:val="24"/>
          <w:szCs w:val="24"/>
        </w:rPr>
        <w:t>（三）审定物业服务合同内容，选聘、解聘物业服务企业；</w:t>
      </w:r>
    </w:p>
    <w:p>
      <w:pPr>
        <w:spacing w:line="480" w:lineRule="exact"/>
        <w:ind w:firstLine="448" w:firstLineChars="200"/>
        <w:rPr>
          <w:rFonts w:eastAsiaTheme="minorEastAsia"/>
          <w:sz w:val="24"/>
          <w:szCs w:val="24"/>
        </w:rPr>
      </w:pPr>
      <w:r>
        <w:rPr>
          <w:rFonts w:eastAsiaTheme="minorEastAsia"/>
          <w:sz w:val="24"/>
          <w:szCs w:val="24"/>
        </w:rPr>
        <w:t>（四）审定乙方提出的物业管理服务年度计划及管理制度，监督并配合乙方管理服务工作的实施及制度的执行；</w:t>
      </w:r>
    </w:p>
    <w:p>
      <w:pPr>
        <w:spacing w:line="480" w:lineRule="exact"/>
        <w:ind w:firstLine="448" w:firstLineChars="200"/>
        <w:rPr>
          <w:rFonts w:eastAsiaTheme="minorEastAsia"/>
          <w:sz w:val="24"/>
          <w:szCs w:val="24"/>
        </w:rPr>
      </w:pPr>
      <w:r>
        <w:rPr>
          <w:rFonts w:eastAsiaTheme="minorEastAsia"/>
          <w:sz w:val="24"/>
          <w:szCs w:val="24"/>
        </w:rPr>
        <w:t>（五）制定、修改、审议物业管理区域内共用部位和共用设施设备的使用、公共秩序和环境卫生的维护等方面的规章制度或者物业服务企业提出的其他管理事项；</w:t>
      </w:r>
    </w:p>
    <w:p>
      <w:pPr>
        <w:spacing w:line="480" w:lineRule="exact"/>
        <w:ind w:firstLine="448" w:firstLineChars="200"/>
        <w:rPr>
          <w:rFonts w:eastAsiaTheme="minorEastAsia"/>
          <w:sz w:val="24"/>
          <w:szCs w:val="24"/>
        </w:rPr>
      </w:pPr>
      <w:r>
        <w:rPr>
          <w:rFonts w:eastAsiaTheme="minorEastAsia"/>
          <w:sz w:val="24"/>
          <w:szCs w:val="24"/>
        </w:rPr>
        <w:t>（六）负责提供物业管理服务所需相关文件和资料；</w:t>
      </w:r>
    </w:p>
    <w:p>
      <w:pPr>
        <w:spacing w:line="480" w:lineRule="exact"/>
        <w:ind w:firstLine="448" w:firstLineChars="200"/>
        <w:rPr>
          <w:rFonts w:eastAsiaTheme="minorEastAsia"/>
          <w:sz w:val="24"/>
          <w:szCs w:val="24"/>
        </w:rPr>
      </w:pPr>
      <w:r>
        <w:rPr>
          <w:rFonts w:eastAsiaTheme="minorEastAsia"/>
          <w:sz w:val="24"/>
          <w:szCs w:val="24"/>
        </w:rPr>
        <w:t>（七）其他：</w:t>
      </w:r>
    </w:p>
    <w:p>
      <w:pPr>
        <w:spacing w:line="480" w:lineRule="exact"/>
        <w:ind w:firstLine="448" w:firstLineChars="200"/>
        <w:rPr>
          <w:rFonts w:eastAsiaTheme="minorEastAsia"/>
          <w:sz w:val="24"/>
          <w:szCs w:val="24"/>
        </w:rPr>
      </w:pPr>
      <w:r>
        <w:rPr>
          <w:rFonts w:eastAsiaTheme="minorEastAsia"/>
          <w:sz w:val="24"/>
          <w:szCs w:val="24"/>
        </w:rPr>
        <w:t>1、</w:t>
      </w:r>
    </w:p>
    <w:p>
      <w:pPr>
        <w:spacing w:line="480" w:lineRule="exact"/>
        <w:ind w:firstLine="448" w:firstLineChars="200"/>
        <w:rPr>
          <w:rFonts w:eastAsiaTheme="minorEastAsia"/>
          <w:sz w:val="24"/>
          <w:szCs w:val="24"/>
          <w:u w:val="single"/>
        </w:rPr>
      </w:pPr>
      <w:r>
        <w:rPr>
          <w:rFonts w:eastAsiaTheme="minorEastAsia"/>
          <w:sz w:val="24"/>
          <w:szCs w:val="24"/>
        </w:rPr>
        <w:t>2、</w:t>
      </w:r>
    </w:p>
    <w:p>
      <w:pPr>
        <w:spacing w:line="480" w:lineRule="exact"/>
        <w:ind w:firstLine="448" w:firstLineChars="200"/>
        <w:rPr>
          <w:rFonts w:eastAsiaTheme="minorEastAsia"/>
          <w:sz w:val="24"/>
          <w:szCs w:val="24"/>
          <w:bdr w:val="single" w:color="auto" w:sz="4" w:space="0"/>
        </w:rPr>
      </w:pPr>
      <w:r>
        <w:rPr>
          <w:rFonts w:eastAsiaTheme="minorEastAsia"/>
          <w:sz w:val="24"/>
          <w:szCs w:val="24"/>
        </w:rPr>
        <w:t>3、</w:t>
      </w:r>
    </w:p>
    <w:p>
      <w:pPr>
        <w:spacing w:line="480" w:lineRule="exact"/>
        <w:ind w:firstLine="448" w:firstLineChars="200"/>
        <w:rPr>
          <w:rFonts w:eastAsiaTheme="minorEastAsia"/>
          <w:sz w:val="24"/>
          <w:szCs w:val="24"/>
        </w:rPr>
      </w:pPr>
      <w:r>
        <w:rPr>
          <w:rFonts w:eastAsiaTheme="minorEastAsia"/>
          <w:sz w:val="24"/>
          <w:szCs w:val="24"/>
        </w:rPr>
        <w:t>第五条乙方权利义务</w:t>
      </w:r>
    </w:p>
    <w:p>
      <w:pPr>
        <w:spacing w:line="480" w:lineRule="exact"/>
        <w:ind w:firstLine="448" w:firstLineChars="200"/>
        <w:rPr>
          <w:rFonts w:eastAsiaTheme="minorEastAsia"/>
          <w:sz w:val="24"/>
          <w:szCs w:val="24"/>
        </w:rPr>
      </w:pPr>
      <w:r>
        <w:rPr>
          <w:rFonts w:eastAsiaTheme="minorEastAsia"/>
          <w:sz w:val="24"/>
          <w:szCs w:val="24"/>
        </w:rPr>
        <w:t>（一）依照国家、本市有关规定和本合同约定，制定物业管理服务方案和制度，对物业及其共用设施设备、消防、公共秩序及环境卫生等进行管理服务；</w:t>
      </w:r>
    </w:p>
    <w:p>
      <w:pPr>
        <w:spacing w:line="480" w:lineRule="exact"/>
        <w:ind w:firstLine="448" w:firstLineChars="200"/>
        <w:rPr>
          <w:rFonts w:eastAsiaTheme="minorEastAsia"/>
          <w:sz w:val="24"/>
          <w:szCs w:val="24"/>
        </w:rPr>
      </w:pPr>
      <w:r>
        <w:rPr>
          <w:rFonts w:eastAsiaTheme="minorEastAsia"/>
          <w:sz w:val="24"/>
          <w:szCs w:val="24"/>
        </w:rPr>
        <w:t>（二）在本物业管理区域内的显著位置，将服务内容、服务标准和收费项目、收费标准等有关情况进行公示；</w:t>
      </w:r>
    </w:p>
    <w:p>
      <w:pPr>
        <w:spacing w:line="480" w:lineRule="exact"/>
        <w:ind w:firstLine="448" w:firstLineChars="200"/>
        <w:rPr>
          <w:rFonts w:eastAsiaTheme="minorEastAsia"/>
          <w:sz w:val="24"/>
          <w:szCs w:val="24"/>
        </w:rPr>
      </w:pPr>
      <w:r>
        <w:rPr>
          <w:rFonts w:eastAsiaTheme="minorEastAsia"/>
          <w:sz w:val="24"/>
          <w:szCs w:val="24"/>
        </w:rPr>
        <w:t>（三）依照本合同约定向采购人收取物业管理服务费；</w:t>
      </w:r>
    </w:p>
    <w:p>
      <w:pPr>
        <w:spacing w:line="480" w:lineRule="exact"/>
        <w:ind w:firstLine="448" w:firstLineChars="200"/>
        <w:rPr>
          <w:rFonts w:eastAsiaTheme="minorEastAsia"/>
          <w:sz w:val="24"/>
          <w:szCs w:val="24"/>
        </w:rPr>
      </w:pPr>
      <w:r>
        <w:rPr>
          <w:rFonts w:eastAsiaTheme="minorEastAsia"/>
          <w:sz w:val="24"/>
          <w:szCs w:val="24"/>
        </w:rPr>
        <w:t>（四）建立物业项目的管理档案；</w:t>
      </w:r>
    </w:p>
    <w:p>
      <w:pPr>
        <w:spacing w:line="480" w:lineRule="exact"/>
        <w:ind w:firstLine="448" w:firstLineChars="200"/>
        <w:rPr>
          <w:rFonts w:eastAsiaTheme="minorEastAsia"/>
          <w:sz w:val="24"/>
          <w:szCs w:val="24"/>
        </w:rPr>
      </w:pPr>
      <w:r>
        <w:rPr>
          <w:rFonts w:eastAsiaTheme="minorEastAsia"/>
          <w:sz w:val="24"/>
          <w:szCs w:val="24"/>
        </w:rPr>
        <w:t>（五）对采购人违反国家和本市有关物业管理方面的法律、法规和规章及管理规约的行为，进行劝阻、制止，并向甲方和有关部门报告；</w:t>
      </w:r>
    </w:p>
    <w:p>
      <w:pPr>
        <w:spacing w:line="480" w:lineRule="exact"/>
        <w:ind w:firstLine="448" w:firstLineChars="200"/>
        <w:rPr>
          <w:rFonts w:eastAsiaTheme="minorEastAsia"/>
          <w:sz w:val="24"/>
          <w:szCs w:val="24"/>
        </w:rPr>
      </w:pPr>
      <w:r>
        <w:rPr>
          <w:rFonts w:eastAsiaTheme="minorEastAsia"/>
          <w:sz w:val="24"/>
          <w:szCs w:val="24"/>
        </w:rPr>
        <w:t>（六）对侵害物业共用部位、共用设施设备的行为要求责任人停止侵害、排除妨害、恢复原状；</w:t>
      </w:r>
    </w:p>
    <w:p>
      <w:pPr>
        <w:spacing w:line="480" w:lineRule="exact"/>
        <w:ind w:firstLine="448" w:firstLineChars="200"/>
        <w:rPr>
          <w:rFonts w:eastAsiaTheme="minorEastAsia"/>
          <w:sz w:val="24"/>
          <w:szCs w:val="24"/>
        </w:rPr>
      </w:pPr>
      <w:r>
        <w:rPr>
          <w:rFonts w:eastAsiaTheme="minorEastAsia"/>
          <w:sz w:val="24"/>
          <w:szCs w:val="24"/>
        </w:rPr>
        <w:t>（七）不得将物业项目全部委托给他人管理，但可以将专项服务委托专业公司承担；</w:t>
      </w:r>
    </w:p>
    <w:p>
      <w:pPr>
        <w:spacing w:line="480" w:lineRule="exact"/>
        <w:ind w:firstLine="448" w:firstLineChars="200"/>
        <w:rPr>
          <w:rFonts w:eastAsiaTheme="minorEastAsia"/>
          <w:sz w:val="24"/>
          <w:szCs w:val="24"/>
        </w:rPr>
      </w:pPr>
      <w:r>
        <w:rPr>
          <w:rFonts w:eastAsiaTheme="minorEastAsia"/>
          <w:sz w:val="24"/>
          <w:szCs w:val="24"/>
        </w:rPr>
        <w:t>（八）负责编制物业的年度维修养护计划，并组织实施；</w:t>
      </w:r>
    </w:p>
    <w:p>
      <w:pPr>
        <w:spacing w:line="480" w:lineRule="exact"/>
        <w:ind w:firstLine="448" w:firstLineChars="200"/>
        <w:rPr>
          <w:rFonts w:eastAsiaTheme="minorEastAsia"/>
          <w:sz w:val="24"/>
          <w:szCs w:val="24"/>
        </w:rPr>
      </w:pPr>
      <w:r>
        <w:rPr>
          <w:rFonts w:eastAsiaTheme="minorEastAsia"/>
          <w:sz w:val="24"/>
          <w:szCs w:val="24"/>
        </w:rPr>
        <w:t>（九）提前将装饰装修房屋的有关规定书面告知采购人，当采购人装饰装修房屋时，对不符合安全要求和影响公共利益的行为，进行劝阻制止，劝阻无效时向有关行政管理部门报告；</w:t>
      </w:r>
    </w:p>
    <w:p>
      <w:pPr>
        <w:spacing w:line="480" w:lineRule="exact"/>
        <w:ind w:firstLine="448" w:firstLineChars="200"/>
        <w:rPr>
          <w:rFonts w:eastAsiaTheme="minorEastAsia"/>
          <w:sz w:val="24"/>
          <w:szCs w:val="24"/>
        </w:rPr>
      </w:pPr>
      <w:r>
        <w:rPr>
          <w:rFonts w:eastAsiaTheme="minorEastAsia"/>
          <w:sz w:val="24"/>
          <w:szCs w:val="24"/>
        </w:rPr>
        <w:t>（十）负责编制物业服务年度计划；</w:t>
      </w:r>
    </w:p>
    <w:p>
      <w:pPr>
        <w:spacing w:line="480" w:lineRule="exact"/>
        <w:ind w:firstLine="448" w:firstLineChars="200"/>
        <w:rPr>
          <w:rFonts w:eastAsiaTheme="minorEastAsia"/>
          <w:sz w:val="24"/>
          <w:szCs w:val="24"/>
        </w:rPr>
      </w:pPr>
      <w:r>
        <w:rPr>
          <w:rFonts w:eastAsiaTheme="minorEastAsia"/>
          <w:sz w:val="24"/>
          <w:szCs w:val="24"/>
        </w:rPr>
        <w:t>（十一）对本物业的共用部位、设施及场地不得擅自占用和改变使用功能，如需在本物业内改、扩建或者完善配套设施设备，经甲方同意后报有关部门批准方可以实施；</w:t>
      </w:r>
    </w:p>
    <w:p>
      <w:pPr>
        <w:spacing w:line="480" w:lineRule="exact"/>
        <w:ind w:firstLine="448" w:firstLineChars="200"/>
        <w:rPr>
          <w:rFonts w:eastAsiaTheme="minorEastAsia"/>
          <w:sz w:val="24"/>
          <w:szCs w:val="24"/>
          <w:bdr w:val="single" w:color="auto" w:sz="4" w:space="0"/>
        </w:rPr>
      </w:pPr>
      <w:r>
        <w:rPr>
          <w:rFonts w:eastAsiaTheme="minorEastAsia"/>
          <w:sz w:val="24"/>
          <w:szCs w:val="24"/>
        </w:rPr>
        <w:t>（十二）本合同终止乙方不再管理本物业时，在合同终止之日起十日内，除向甲方移交本合同规定的资料外，还必须办理下列移交事项：</w:t>
      </w:r>
    </w:p>
    <w:p>
      <w:pPr>
        <w:spacing w:line="480" w:lineRule="exact"/>
        <w:ind w:firstLine="448" w:firstLineChars="200"/>
        <w:rPr>
          <w:rFonts w:eastAsiaTheme="minorEastAsia"/>
          <w:sz w:val="24"/>
          <w:szCs w:val="24"/>
        </w:rPr>
      </w:pPr>
      <w:r>
        <w:rPr>
          <w:rFonts w:eastAsiaTheme="minorEastAsia"/>
          <w:sz w:val="24"/>
          <w:szCs w:val="24"/>
        </w:rPr>
        <w:t>1、预收的物业管理服务费等收益余额；</w:t>
      </w:r>
    </w:p>
    <w:p>
      <w:pPr>
        <w:spacing w:line="480" w:lineRule="exact"/>
        <w:ind w:firstLine="448" w:firstLineChars="200"/>
        <w:rPr>
          <w:rFonts w:eastAsiaTheme="minorEastAsia"/>
          <w:sz w:val="24"/>
          <w:szCs w:val="24"/>
        </w:rPr>
      </w:pPr>
      <w:r>
        <w:rPr>
          <w:rFonts w:eastAsiaTheme="minorEastAsia"/>
          <w:sz w:val="24"/>
          <w:szCs w:val="24"/>
        </w:rPr>
        <w:t>2、物业管理项目的档案资料；</w:t>
      </w:r>
    </w:p>
    <w:p>
      <w:pPr>
        <w:spacing w:line="480" w:lineRule="exact"/>
        <w:ind w:firstLine="448" w:firstLineChars="200"/>
        <w:rPr>
          <w:rFonts w:eastAsiaTheme="minorEastAsia"/>
          <w:sz w:val="24"/>
          <w:szCs w:val="24"/>
        </w:rPr>
      </w:pPr>
      <w:r>
        <w:rPr>
          <w:rFonts w:eastAsiaTheme="minorEastAsia"/>
          <w:sz w:val="24"/>
          <w:szCs w:val="24"/>
        </w:rPr>
        <w:t>3、物业管理用房和属于采购人的场地、设施设备。</w:t>
      </w:r>
    </w:p>
    <w:p>
      <w:pPr>
        <w:spacing w:line="480" w:lineRule="exact"/>
        <w:ind w:firstLine="448" w:firstLineChars="200"/>
        <w:rPr>
          <w:rFonts w:eastAsiaTheme="minorEastAsia"/>
          <w:sz w:val="24"/>
          <w:szCs w:val="24"/>
        </w:rPr>
      </w:pPr>
      <w:r>
        <w:rPr>
          <w:rFonts w:eastAsiaTheme="minorEastAsia"/>
          <w:sz w:val="24"/>
          <w:szCs w:val="24"/>
        </w:rPr>
        <w:t>（十三）应当协助公安部门做好物业管理区域内的公共秩序维护和安全防范工作。在本物业管理区域内发生治安案件或者各类灾害事故时，应当及时向公安和有关部门报告，并积极协助做好调查和救助工作；</w:t>
      </w:r>
    </w:p>
    <w:p>
      <w:pPr>
        <w:spacing w:line="480" w:lineRule="exact"/>
        <w:ind w:firstLine="448" w:firstLineChars="200"/>
        <w:rPr>
          <w:rFonts w:eastAsiaTheme="minorEastAsia"/>
          <w:sz w:val="24"/>
          <w:szCs w:val="24"/>
        </w:rPr>
      </w:pPr>
      <w:r>
        <w:rPr>
          <w:rFonts w:eastAsiaTheme="minorEastAsia"/>
          <w:sz w:val="24"/>
          <w:szCs w:val="24"/>
        </w:rPr>
        <w:t>（十四）接受采购人的监督；</w:t>
      </w:r>
    </w:p>
    <w:p>
      <w:pPr>
        <w:spacing w:line="480" w:lineRule="exact"/>
        <w:ind w:firstLine="448" w:firstLineChars="200"/>
        <w:rPr>
          <w:rFonts w:eastAsiaTheme="minorEastAsia"/>
          <w:sz w:val="24"/>
          <w:szCs w:val="24"/>
        </w:rPr>
      </w:pPr>
      <w:r>
        <w:rPr>
          <w:rFonts w:eastAsiaTheme="minorEastAsia"/>
          <w:sz w:val="24"/>
          <w:szCs w:val="24"/>
        </w:rPr>
        <w:t>（十五）接受物业管理行政主管部门的监督指导；</w:t>
      </w:r>
    </w:p>
    <w:p>
      <w:pPr>
        <w:spacing w:line="480" w:lineRule="exact"/>
        <w:ind w:firstLine="448" w:firstLineChars="200"/>
        <w:rPr>
          <w:rFonts w:eastAsiaTheme="minorEastAsia"/>
          <w:sz w:val="24"/>
          <w:szCs w:val="24"/>
        </w:rPr>
      </w:pPr>
      <w:r>
        <w:rPr>
          <w:rFonts w:eastAsiaTheme="minorEastAsia"/>
          <w:sz w:val="24"/>
          <w:szCs w:val="24"/>
        </w:rPr>
        <w:t>（十六）其他：</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第六条物业管理服务费用</w:t>
      </w:r>
    </w:p>
    <w:p>
      <w:pPr>
        <w:spacing w:line="480" w:lineRule="exact"/>
        <w:ind w:firstLine="448" w:firstLineChars="200"/>
        <w:rPr>
          <w:rFonts w:eastAsiaTheme="minorEastAsia"/>
          <w:sz w:val="24"/>
          <w:szCs w:val="24"/>
        </w:rPr>
      </w:pPr>
      <w:r>
        <w:rPr>
          <w:rFonts w:eastAsiaTheme="minorEastAsia"/>
          <w:sz w:val="24"/>
          <w:szCs w:val="24"/>
        </w:rPr>
        <w:t>本物业管理区域内的物业管理服务费采取包干制的形式，年服务费用为大写：（小写：）。</w:t>
      </w:r>
    </w:p>
    <w:p>
      <w:pPr>
        <w:spacing w:line="480" w:lineRule="exact"/>
        <w:ind w:firstLine="448" w:firstLineChars="200"/>
        <w:rPr>
          <w:rFonts w:eastAsiaTheme="minorEastAsia"/>
          <w:sz w:val="24"/>
          <w:szCs w:val="24"/>
        </w:rPr>
      </w:pPr>
      <w:r>
        <w:rPr>
          <w:rFonts w:eastAsiaTheme="minorEastAsia"/>
          <w:sz w:val="24"/>
          <w:szCs w:val="24"/>
        </w:rPr>
        <w:t>乙方按照上述标准收取物业服务费用，并按本合同约定的服务内容和质量标准提供服务，盈余或亏损由乙方享有或承担。</w:t>
      </w:r>
    </w:p>
    <w:p>
      <w:pPr>
        <w:spacing w:line="480" w:lineRule="exact"/>
        <w:ind w:firstLine="448" w:firstLineChars="200"/>
        <w:rPr>
          <w:rFonts w:eastAsiaTheme="minorEastAsia"/>
          <w:spacing w:val="-20"/>
          <w:sz w:val="24"/>
          <w:szCs w:val="24"/>
          <w:u w:val="single"/>
        </w:rPr>
      </w:pPr>
      <w:r>
        <w:rPr>
          <w:rFonts w:eastAsiaTheme="minorEastAsia"/>
          <w:sz w:val="24"/>
          <w:szCs w:val="24"/>
        </w:rPr>
        <w:t>付款方式如下：</w:t>
      </w:r>
    </w:p>
    <w:p>
      <w:pPr>
        <w:spacing w:line="480" w:lineRule="exact"/>
        <w:ind w:firstLine="368" w:firstLineChars="200"/>
        <w:rPr>
          <w:rFonts w:eastAsiaTheme="minorEastAsia"/>
          <w:spacing w:val="-20"/>
          <w:sz w:val="24"/>
          <w:szCs w:val="24"/>
          <w:u w:val="single"/>
        </w:rPr>
      </w:pPr>
    </w:p>
    <w:p>
      <w:pPr>
        <w:spacing w:line="480" w:lineRule="exact"/>
        <w:ind w:firstLine="448" w:firstLineChars="200"/>
        <w:rPr>
          <w:rFonts w:eastAsiaTheme="minorEastAsia"/>
          <w:sz w:val="24"/>
          <w:szCs w:val="24"/>
        </w:rPr>
      </w:pPr>
      <w:r>
        <w:rPr>
          <w:rFonts w:eastAsiaTheme="minorEastAsia"/>
          <w:sz w:val="24"/>
          <w:szCs w:val="24"/>
        </w:rPr>
        <w:t>第七条物业管理用房</w:t>
      </w:r>
    </w:p>
    <w:p>
      <w:pPr>
        <w:spacing w:line="480" w:lineRule="exact"/>
        <w:ind w:firstLine="448" w:firstLineChars="200"/>
        <w:rPr>
          <w:rFonts w:eastAsiaTheme="minorEastAsia"/>
          <w:sz w:val="24"/>
          <w:szCs w:val="24"/>
        </w:rPr>
      </w:pPr>
      <w:r>
        <w:rPr>
          <w:rFonts w:eastAsiaTheme="minorEastAsia"/>
          <w:sz w:val="24"/>
          <w:szCs w:val="24"/>
        </w:rPr>
        <w:t>在合同生效之日起日内，甲方向乙方无偿提供并移交建筑平方米、坐落于的物业管理用房，用于物业管理服务活动。物业管理用房属采购人所有，乙方负责维修、养护，不得买卖和抵押；任何单位和个人不得占用或者改作他用。</w:t>
      </w:r>
    </w:p>
    <w:p>
      <w:pPr>
        <w:spacing w:line="480" w:lineRule="exact"/>
        <w:ind w:firstLine="448" w:firstLineChars="200"/>
        <w:rPr>
          <w:rFonts w:eastAsiaTheme="minorEastAsia"/>
          <w:sz w:val="24"/>
          <w:szCs w:val="24"/>
        </w:rPr>
      </w:pPr>
      <w:r>
        <w:rPr>
          <w:rFonts w:eastAsiaTheme="minorEastAsia"/>
          <w:sz w:val="24"/>
          <w:szCs w:val="24"/>
        </w:rPr>
        <w:t>第八条物业及物业管理交接</w:t>
      </w:r>
    </w:p>
    <w:p>
      <w:pPr>
        <w:spacing w:line="480" w:lineRule="exact"/>
        <w:ind w:firstLine="448" w:firstLineChars="200"/>
        <w:rPr>
          <w:rFonts w:eastAsiaTheme="minorEastAsia"/>
          <w:sz w:val="24"/>
          <w:szCs w:val="24"/>
        </w:rPr>
      </w:pPr>
      <w:r>
        <w:rPr>
          <w:rFonts w:eastAsiaTheme="minorEastAsia"/>
          <w:sz w:val="24"/>
          <w:szCs w:val="24"/>
        </w:rPr>
        <w:t>自本合同生效之日起，由甲方向乙方移交下列资金、物品和资料：</w:t>
      </w:r>
    </w:p>
    <w:p>
      <w:pPr>
        <w:spacing w:line="480" w:lineRule="exact"/>
        <w:ind w:firstLine="448" w:firstLineChars="200"/>
        <w:rPr>
          <w:rFonts w:eastAsiaTheme="minorEastAsia"/>
          <w:sz w:val="24"/>
          <w:szCs w:val="24"/>
        </w:rPr>
      </w:pPr>
      <w:r>
        <w:rPr>
          <w:rFonts w:eastAsiaTheme="minorEastAsia"/>
          <w:sz w:val="24"/>
          <w:szCs w:val="24"/>
        </w:rPr>
        <w:t>（一）竣工总平面图，单体建筑、结构、设备的竣工图，附属配套设施、地下管网工程竣工图等资料；</w:t>
      </w:r>
    </w:p>
    <w:p>
      <w:pPr>
        <w:spacing w:line="480" w:lineRule="exact"/>
        <w:ind w:firstLine="448" w:firstLineChars="200"/>
        <w:rPr>
          <w:rFonts w:eastAsiaTheme="minorEastAsia"/>
          <w:sz w:val="24"/>
          <w:szCs w:val="24"/>
        </w:rPr>
      </w:pPr>
      <w:r>
        <w:rPr>
          <w:rFonts w:eastAsiaTheme="minorEastAsia"/>
          <w:sz w:val="24"/>
          <w:szCs w:val="24"/>
        </w:rPr>
        <w:t>（二）物业竣工验收资料；</w:t>
      </w:r>
    </w:p>
    <w:p>
      <w:pPr>
        <w:spacing w:line="480" w:lineRule="exact"/>
        <w:ind w:firstLine="448" w:firstLineChars="200"/>
        <w:rPr>
          <w:rFonts w:eastAsiaTheme="minorEastAsia"/>
          <w:sz w:val="24"/>
          <w:szCs w:val="24"/>
        </w:rPr>
      </w:pPr>
      <w:r>
        <w:rPr>
          <w:rFonts w:eastAsiaTheme="minorEastAsia"/>
          <w:sz w:val="24"/>
          <w:szCs w:val="24"/>
        </w:rPr>
        <w:t>（三）共用设施设备安装、使用、维护和保养技术资料；</w:t>
      </w:r>
    </w:p>
    <w:p>
      <w:pPr>
        <w:spacing w:line="480" w:lineRule="exact"/>
        <w:ind w:firstLine="448" w:firstLineChars="200"/>
        <w:rPr>
          <w:rFonts w:eastAsiaTheme="minorEastAsia"/>
          <w:sz w:val="24"/>
          <w:szCs w:val="24"/>
        </w:rPr>
      </w:pPr>
      <w:r>
        <w:rPr>
          <w:rFonts w:eastAsiaTheme="minorEastAsia"/>
          <w:sz w:val="24"/>
          <w:szCs w:val="24"/>
        </w:rPr>
        <w:t>（四）物业质量保证书和使用说明书；</w:t>
      </w:r>
    </w:p>
    <w:p>
      <w:pPr>
        <w:spacing w:line="480" w:lineRule="exact"/>
        <w:ind w:firstLine="448" w:firstLineChars="200"/>
        <w:rPr>
          <w:rFonts w:eastAsiaTheme="minorEastAsia"/>
          <w:sz w:val="24"/>
          <w:szCs w:val="24"/>
        </w:rPr>
      </w:pPr>
      <w:r>
        <w:rPr>
          <w:rFonts w:eastAsiaTheme="minorEastAsia"/>
          <w:sz w:val="24"/>
          <w:szCs w:val="24"/>
        </w:rPr>
        <w:t>（五）物业管理服务费等余额；</w:t>
      </w:r>
    </w:p>
    <w:p>
      <w:pPr>
        <w:spacing w:line="480" w:lineRule="exact"/>
        <w:ind w:firstLine="448" w:firstLineChars="200"/>
        <w:rPr>
          <w:rFonts w:eastAsiaTheme="minorEastAsia"/>
          <w:sz w:val="24"/>
          <w:szCs w:val="24"/>
        </w:rPr>
      </w:pPr>
      <w:r>
        <w:rPr>
          <w:rFonts w:eastAsiaTheme="minorEastAsia"/>
          <w:sz w:val="24"/>
          <w:szCs w:val="24"/>
        </w:rPr>
        <w:t>（六）物业管理需要的其他资料；</w:t>
      </w:r>
    </w:p>
    <w:p>
      <w:pPr>
        <w:spacing w:line="480" w:lineRule="exact"/>
        <w:ind w:firstLine="448" w:firstLineChars="200"/>
        <w:rPr>
          <w:rFonts w:eastAsiaTheme="minorEastAsia"/>
          <w:sz w:val="24"/>
          <w:szCs w:val="24"/>
        </w:rPr>
      </w:pPr>
      <w:r>
        <w:rPr>
          <w:rFonts w:eastAsiaTheme="minorEastAsia"/>
          <w:sz w:val="24"/>
          <w:szCs w:val="24"/>
        </w:rPr>
        <w:t>（七）物业管理用房和属于采购人的场地、设施设备。</w:t>
      </w:r>
    </w:p>
    <w:p>
      <w:pPr>
        <w:spacing w:line="480" w:lineRule="exact"/>
        <w:ind w:firstLine="448" w:firstLineChars="200"/>
        <w:rPr>
          <w:rFonts w:eastAsiaTheme="minorEastAsia"/>
          <w:sz w:val="24"/>
          <w:szCs w:val="24"/>
        </w:rPr>
      </w:pPr>
      <w:r>
        <w:rPr>
          <w:rFonts w:eastAsiaTheme="minorEastAsia"/>
          <w:sz w:val="24"/>
          <w:szCs w:val="24"/>
        </w:rPr>
        <w:t>第九条采购人装饰装修房屋，应当遵守国家和本市有关规定。</w:t>
      </w:r>
    </w:p>
    <w:p>
      <w:pPr>
        <w:spacing w:line="480" w:lineRule="exact"/>
        <w:ind w:firstLine="448" w:firstLineChars="200"/>
        <w:rPr>
          <w:rFonts w:eastAsiaTheme="minorEastAsia"/>
          <w:sz w:val="24"/>
          <w:szCs w:val="24"/>
        </w:rPr>
      </w:pPr>
      <w:r>
        <w:rPr>
          <w:rFonts w:eastAsiaTheme="minorEastAsia"/>
          <w:sz w:val="24"/>
          <w:szCs w:val="24"/>
        </w:rPr>
        <w:t>采购人应当与物业服务企业签订装饰装修管理服务协议。装饰装修管理服务协议一般包括装饰装修工程的内容和期限、允许施工的时间、废弃物的清运和处置以及相关费用等。</w:t>
      </w:r>
    </w:p>
    <w:p>
      <w:pPr>
        <w:spacing w:line="480" w:lineRule="exact"/>
        <w:ind w:firstLine="448" w:firstLineChars="200"/>
        <w:rPr>
          <w:rFonts w:eastAsiaTheme="minorEastAsia"/>
          <w:sz w:val="24"/>
          <w:szCs w:val="24"/>
        </w:rPr>
      </w:pPr>
      <w:r>
        <w:rPr>
          <w:rFonts w:eastAsiaTheme="minorEastAsia"/>
          <w:sz w:val="24"/>
          <w:szCs w:val="24"/>
        </w:rPr>
        <w:t>第十条违约责任</w:t>
      </w:r>
    </w:p>
    <w:p>
      <w:pPr>
        <w:spacing w:line="480" w:lineRule="exact"/>
        <w:ind w:firstLine="448" w:firstLineChars="200"/>
        <w:rPr>
          <w:rFonts w:eastAsiaTheme="minorEastAsia"/>
          <w:sz w:val="24"/>
          <w:szCs w:val="24"/>
        </w:rPr>
      </w:pPr>
      <w:r>
        <w:rPr>
          <w:rFonts w:eastAsiaTheme="minorEastAsia"/>
          <w:sz w:val="24"/>
          <w:szCs w:val="24"/>
        </w:rPr>
        <w:t>（一）甲方违反合同第四条的约定，使乙方未完成规定的管理服务目标，乙方有权要求甲方解决，逾期未解决的，甲方承担违约责任；造成乙方经济损失的，甲方应当给予乙方经济赔偿。</w:t>
      </w:r>
    </w:p>
    <w:p>
      <w:pPr>
        <w:spacing w:line="480" w:lineRule="exact"/>
        <w:ind w:firstLine="448" w:firstLineChars="200"/>
        <w:rPr>
          <w:rFonts w:eastAsiaTheme="minorEastAsia"/>
          <w:sz w:val="24"/>
          <w:szCs w:val="24"/>
        </w:rPr>
      </w:pPr>
      <w:r>
        <w:rPr>
          <w:rFonts w:eastAsiaTheme="minorEastAsia"/>
          <w:sz w:val="24"/>
          <w:szCs w:val="24"/>
        </w:rPr>
        <w:t>（二）乙方违反本合同第二、五条的约定，未能达到约定的管理服务目标，甲方有权要求乙方在日内整改，逾期未整改的，乙方承担违约责任；造成甲方经济损失的，乙方应当给予甲方经济赔偿。</w:t>
      </w:r>
    </w:p>
    <w:p>
      <w:pPr>
        <w:spacing w:line="480" w:lineRule="exact"/>
        <w:ind w:firstLine="448" w:firstLineChars="200"/>
        <w:rPr>
          <w:rFonts w:eastAsiaTheme="minorEastAsia"/>
          <w:sz w:val="24"/>
          <w:szCs w:val="24"/>
        </w:rPr>
      </w:pPr>
      <w:r>
        <w:rPr>
          <w:rFonts w:eastAsiaTheme="minorEastAsia"/>
          <w:sz w:val="24"/>
          <w:szCs w:val="24"/>
        </w:rPr>
        <w:t>（三）乙方违反本合同第六条约定，擅自提高收费标准的，甲方有权要求乙方清退；造成甲方经济损失的，乙方应当给予甲方经济赔偿。</w:t>
      </w:r>
    </w:p>
    <w:p>
      <w:pPr>
        <w:spacing w:line="480" w:lineRule="exact"/>
        <w:ind w:firstLine="448" w:firstLineChars="200"/>
        <w:rPr>
          <w:rFonts w:eastAsiaTheme="minorEastAsia"/>
          <w:sz w:val="24"/>
          <w:szCs w:val="24"/>
        </w:rPr>
      </w:pPr>
      <w:r>
        <w:rPr>
          <w:rFonts w:eastAsiaTheme="minorEastAsia"/>
          <w:sz w:val="24"/>
          <w:szCs w:val="24"/>
        </w:rPr>
        <w:t>（四）合同期满，乙方未按规定时间向甲方办理移交事项，乙方向甲方支付违约金元。</w:t>
      </w:r>
    </w:p>
    <w:p>
      <w:pPr>
        <w:spacing w:line="480" w:lineRule="exact"/>
        <w:ind w:firstLine="448" w:firstLineChars="200"/>
        <w:rPr>
          <w:rFonts w:eastAsiaTheme="minorEastAsia"/>
          <w:sz w:val="24"/>
          <w:szCs w:val="24"/>
        </w:rPr>
      </w:pPr>
      <w:r>
        <w:rPr>
          <w:rFonts w:eastAsiaTheme="minorEastAsia"/>
          <w:sz w:val="24"/>
          <w:szCs w:val="24"/>
        </w:rPr>
        <w:t>（五）若采购人部分人员拒绝、阻碍乙方对物业共用部位、共用设施设备进行维修、养护，造成损失的，甲方应当承担赔偿责任。</w:t>
      </w:r>
    </w:p>
    <w:p>
      <w:pPr>
        <w:spacing w:line="480" w:lineRule="exact"/>
        <w:ind w:firstLine="448" w:firstLineChars="200"/>
        <w:rPr>
          <w:rFonts w:eastAsiaTheme="minorEastAsia"/>
          <w:sz w:val="24"/>
          <w:szCs w:val="24"/>
        </w:rPr>
      </w:pPr>
      <w:r>
        <w:rPr>
          <w:rFonts w:eastAsiaTheme="minorEastAsia"/>
          <w:sz w:val="24"/>
          <w:szCs w:val="24"/>
        </w:rPr>
        <w:t>（六）甲、乙任何一方无正当理由提前终止合同的，应当向对方支付    元的违约金；违约方还应当承担超过违约金部分的经济损失。</w:t>
      </w:r>
    </w:p>
    <w:p>
      <w:pPr>
        <w:spacing w:line="480" w:lineRule="exact"/>
        <w:ind w:firstLine="448" w:firstLineChars="200"/>
        <w:rPr>
          <w:rFonts w:eastAsiaTheme="minorEastAsia"/>
          <w:sz w:val="24"/>
          <w:szCs w:val="24"/>
        </w:rPr>
      </w:pPr>
      <w:r>
        <w:rPr>
          <w:rFonts w:eastAsiaTheme="minorEastAsia"/>
          <w:sz w:val="24"/>
          <w:szCs w:val="24"/>
        </w:rPr>
        <w:t>（七）其他：</w:t>
      </w:r>
    </w:p>
    <w:p>
      <w:pPr>
        <w:spacing w:line="480" w:lineRule="exact"/>
        <w:ind w:firstLine="448" w:firstLineChars="200"/>
        <w:rPr>
          <w:rFonts w:eastAsiaTheme="minorEastAsia"/>
          <w:sz w:val="24"/>
          <w:szCs w:val="24"/>
        </w:rPr>
      </w:pPr>
    </w:p>
    <w:p>
      <w:pPr>
        <w:spacing w:line="480" w:lineRule="exact"/>
        <w:ind w:firstLine="448" w:firstLineChars="200"/>
        <w:rPr>
          <w:rFonts w:eastAsiaTheme="minorEastAsia"/>
          <w:sz w:val="24"/>
          <w:szCs w:val="24"/>
        </w:rPr>
      </w:pPr>
      <w:r>
        <w:rPr>
          <w:rFonts w:eastAsiaTheme="minorEastAsia"/>
          <w:sz w:val="24"/>
          <w:szCs w:val="24"/>
        </w:rPr>
        <w:t>第十一条质量纠纷的约定</w:t>
      </w:r>
    </w:p>
    <w:p>
      <w:pPr>
        <w:spacing w:line="480" w:lineRule="exact"/>
        <w:ind w:firstLine="448" w:firstLineChars="200"/>
        <w:rPr>
          <w:rFonts w:eastAsiaTheme="minorEastAsia"/>
          <w:sz w:val="24"/>
          <w:szCs w:val="24"/>
        </w:rPr>
      </w:pPr>
      <w:r>
        <w:rPr>
          <w:rFonts w:eastAsiaTheme="minorEastAsia"/>
          <w:sz w:val="24"/>
          <w:szCs w:val="24"/>
        </w:rPr>
        <w:t>因房屋建筑质量、设施设备质量或者安装技术等原因，达不到使用功能，造成重大事故的，由甲方向开发建设单位反映并作善后处理。产生质量事故的直接原因，以有资质的鉴定部门的鉴定为准。</w:t>
      </w:r>
    </w:p>
    <w:p>
      <w:pPr>
        <w:spacing w:line="480" w:lineRule="exact"/>
        <w:ind w:firstLine="448" w:firstLineChars="200"/>
        <w:rPr>
          <w:rFonts w:eastAsiaTheme="minorEastAsia"/>
          <w:sz w:val="24"/>
          <w:szCs w:val="24"/>
        </w:rPr>
      </w:pPr>
      <w:r>
        <w:rPr>
          <w:rFonts w:eastAsiaTheme="minorEastAsia"/>
          <w:sz w:val="24"/>
          <w:szCs w:val="24"/>
        </w:rPr>
        <w:t>第十二条不可抗力的约定</w:t>
      </w:r>
    </w:p>
    <w:p>
      <w:pPr>
        <w:spacing w:line="480" w:lineRule="exact"/>
        <w:ind w:firstLine="448" w:firstLineChars="200"/>
        <w:rPr>
          <w:rFonts w:eastAsiaTheme="minorEastAsia"/>
          <w:sz w:val="24"/>
          <w:szCs w:val="24"/>
        </w:rPr>
      </w:pPr>
      <w:r>
        <w:rPr>
          <w:rFonts w:eastAsiaTheme="minorEastAsia"/>
          <w:sz w:val="24"/>
          <w:szCs w:val="24"/>
        </w:rPr>
        <w:t>本合同执行期间，如遇不可抗力，致使合同无法履行时，双方应当按有关法律规定及时协商处理。</w:t>
      </w:r>
    </w:p>
    <w:p>
      <w:pPr>
        <w:spacing w:line="480" w:lineRule="exact"/>
        <w:ind w:firstLine="448" w:firstLineChars="200"/>
        <w:rPr>
          <w:rFonts w:eastAsiaTheme="minorEastAsia"/>
          <w:sz w:val="24"/>
          <w:szCs w:val="24"/>
        </w:rPr>
      </w:pPr>
      <w:r>
        <w:rPr>
          <w:rFonts w:eastAsiaTheme="minorEastAsia"/>
          <w:sz w:val="24"/>
          <w:szCs w:val="24"/>
        </w:rPr>
        <w:t>第十三条免责条款</w:t>
      </w:r>
    </w:p>
    <w:p>
      <w:pPr>
        <w:spacing w:line="480" w:lineRule="exact"/>
        <w:ind w:firstLine="448" w:firstLineChars="200"/>
        <w:rPr>
          <w:rFonts w:eastAsiaTheme="minorEastAsia"/>
          <w:sz w:val="24"/>
          <w:szCs w:val="24"/>
        </w:rPr>
      </w:pPr>
      <w:r>
        <w:rPr>
          <w:rFonts w:eastAsiaTheme="minorEastAsia"/>
          <w:sz w:val="24"/>
          <w:szCs w:val="24"/>
        </w:rPr>
        <w:t>以下情况乙方不承担责任：</w:t>
      </w:r>
    </w:p>
    <w:p>
      <w:pPr>
        <w:spacing w:line="480" w:lineRule="exact"/>
        <w:ind w:firstLine="448" w:firstLineChars="200"/>
        <w:rPr>
          <w:rFonts w:eastAsiaTheme="minorEastAsia"/>
          <w:sz w:val="24"/>
          <w:szCs w:val="24"/>
        </w:rPr>
      </w:pPr>
      <w:r>
        <w:rPr>
          <w:rFonts w:eastAsiaTheme="minorEastAsia"/>
          <w:sz w:val="24"/>
          <w:szCs w:val="24"/>
        </w:rPr>
        <w:t>1、乙方已履行本合同约定义务，但因物业本身固有瑕疵造成损失的；</w:t>
      </w:r>
    </w:p>
    <w:p>
      <w:pPr>
        <w:spacing w:line="480" w:lineRule="exact"/>
        <w:ind w:firstLine="448" w:firstLineChars="200"/>
        <w:rPr>
          <w:rFonts w:eastAsiaTheme="minorEastAsia"/>
          <w:sz w:val="24"/>
          <w:szCs w:val="24"/>
        </w:rPr>
      </w:pPr>
      <w:r>
        <w:rPr>
          <w:rFonts w:eastAsiaTheme="minorEastAsia"/>
          <w:sz w:val="24"/>
          <w:szCs w:val="24"/>
        </w:rPr>
        <w:t>2、因维修养护物业共用部位、共用设施设备需要且事先已告知采购人，暂时停水、停电、停止共用设施设备使用等造成损失的；</w:t>
      </w:r>
    </w:p>
    <w:p>
      <w:pPr>
        <w:spacing w:line="480" w:lineRule="exact"/>
        <w:ind w:firstLine="448" w:firstLineChars="200"/>
        <w:rPr>
          <w:rFonts w:eastAsiaTheme="minorEastAsia"/>
          <w:sz w:val="24"/>
          <w:szCs w:val="24"/>
        </w:rPr>
      </w:pPr>
      <w:r>
        <w:rPr>
          <w:rFonts w:eastAsiaTheme="minorEastAsia"/>
          <w:sz w:val="24"/>
          <w:szCs w:val="24"/>
        </w:rPr>
        <w:t>3、因非乙方责任出现供水、供电、供气、供热、通讯、有线电视及其他共用设施设备运行障碍造成损失的。</w:t>
      </w:r>
    </w:p>
    <w:p>
      <w:pPr>
        <w:spacing w:line="480" w:lineRule="exact"/>
        <w:ind w:firstLine="448" w:firstLineChars="200"/>
        <w:rPr>
          <w:rFonts w:eastAsiaTheme="minorEastAsia"/>
          <w:sz w:val="24"/>
          <w:szCs w:val="24"/>
        </w:rPr>
      </w:pPr>
      <w:r>
        <w:rPr>
          <w:rFonts w:eastAsiaTheme="minorEastAsia"/>
          <w:sz w:val="24"/>
          <w:szCs w:val="24"/>
        </w:rPr>
        <w:t>第十四条合同的解除</w:t>
      </w:r>
    </w:p>
    <w:p>
      <w:pPr>
        <w:spacing w:line="480" w:lineRule="exact"/>
        <w:ind w:firstLine="448" w:firstLineChars="200"/>
        <w:rPr>
          <w:rFonts w:eastAsiaTheme="minorEastAsia"/>
          <w:sz w:val="24"/>
          <w:szCs w:val="24"/>
        </w:rPr>
      </w:pPr>
      <w:r>
        <w:rPr>
          <w:rFonts w:eastAsiaTheme="minorEastAsia"/>
          <w:sz w:val="24"/>
          <w:szCs w:val="24"/>
        </w:rPr>
        <w:t>本合同因任何一方原因而无法继续履行的，解除合同的一方应当在三个月前将解除时间、原因书面告知合同另一方，解除前应报请政府采购主管部门备案（通知）。</w:t>
      </w:r>
    </w:p>
    <w:p>
      <w:pPr>
        <w:spacing w:line="480" w:lineRule="exact"/>
        <w:ind w:firstLine="448" w:firstLineChars="200"/>
        <w:rPr>
          <w:rFonts w:eastAsiaTheme="minorEastAsia"/>
          <w:sz w:val="24"/>
          <w:szCs w:val="24"/>
        </w:rPr>
      </w:pPr>
      <w:r>
        <w:rPr>
          <w:rFonts w:eastAsiaTheme="minorEastAsia"/>
          <w:sz w:val="24"/>
          <w:szCs w:val="24"/>
        </w:rPr>
        <w:t>合同解除后，按照有关规定办理相关交接手续。</w:t>
      </w:r>
    </w:p>
    <w:p>
      <w:pPr>
        <w:spacing w:line="480" w:lineRule="exact"/>
        <w:ind w:firstLine="448" w:firstLineChars="200"/>
        <w:rPr>
          <w:rFonts w:eastAsiaTheme="minorEastAsia"/>
          <w:sz w:val="24"/>
          <w:szCs w:val="24"/>
        </w:rPr>
      </w:pPr>
      <w:r>
        <w:rPr>
          <w:rFonts w:eastAsiaTheme="minorEastAsia"/>
          <w:sz w:val="24"/>
          <w:szCs w:val="24"/>
        </w:rPr>
        <w:t>第十五条争议处理</w:t>
      </w:r>
    </w:p>
    <w:p>
      <w:pPr>
        <w:spacing w:line="480" w:lineRule="exact"/>
        <w:ind w:firstLine="448" w:firstLineChars="200"/>
        <w:rPr>
          <w:rFonts w:eastAsiaTheme="minorEastAsia"/>
          <w:sz w:val="24"/>
          <w:szCs w:val="24"/>
        </w:rPr>
      </w:pPr>
      <w:r>
        <w:rPr>
          <w:rFonts w:eastAsiaTheme="minorEastAsia"/>
          <w:sz w:val="24"/>
          <w:szCs w:val="24"/>
        </w:rPr>
        <w:t>由于甲、乙双方在履行本合同过程中出现问题，由甲、乙双方直接交涉解决，包括采用诉诸法律的手段。</w:t>
      </w:r>
    </w:p>
    <w:p>
      <w:pPr>
        <w:spacing w:line="480" w:lineRule="exact"/>
        <w:ind w:firstLine="448" w:firstLineChars="200"/>
        <w:rPr>
          <w:rFonts w:eastAsiaTheme="minorEastAsia"/>
          <w:sz w:val="24"/>
          <w:szCs w:val="24"/>
        </w:rPr>
      </w:pPr>
      <w:r>
        <w:rPr>
          <w:rFonts w:eastAsiaTheme="minorEastAsia"/>
          <w:color w:val="000000"/>
          <w:sz w:val="24"/>
          <w:szCs w:val="24"/>
        </w:rPr>
        <w:t>本合同未作明示约定，而又有相关法律、法规规定的，从其规定。本合同发生争议产生的诉讼，由合同履行所在地人民法院管辖。</w:t>
      </w:r>
    </w:p>
    <w:p>
      <w:pPr>
        <w:spacing w:line="480" w:lineRule="exact"/>
        <w:ind w:firstLine="448" w:firstLineChars="200"/>
        <w:rPr>
          <w:rFonts w:eastAsiaTheme="minorEastAsia"/>
          <w:sz w:val="24"/>
          <w:szCs w:val="24"/>
        </w:rPr>
      </w:pPr>
      <w:r>
        <w:rPr>
          <w:rFonts w:eastAsiaTheme="minorEastAsia"/>
          <w:sz w:val="24"/>
          <w:szCs w:val="24"/>
        </w:rPr>
        <w:t>第十六条合同附件</w:t>
      </w:r>
    </w:p>
    <w:p>
      <w:pPr>
        <w:spacing w:line="480" w:lineRule="exact"/>
        <w:ind w:firstLine="448" w:firstLineChars="200"/>
        <w:rPr>
          <w:rFonts w:eastAsiaTheme="minorEastAsia"/>
          <w:sz w:val="24"/>
          <w:szCs w:val="24"/>
        </w:rPr>
      </w:pPr>
      <w:r>
        <w:rPr>
          <w:rFonts w:eastAsiaTheme="minorEastAsia"/>
          <w:sz w:val="24"/>
          <w:szCs w:val="24"/>
        </w:rPr>
        <w:t>有关涉及本合同乙方向天津市政府采购中心所提交的投标文件及有关澄清资料和服务承诺均视为本合同不可分割的部分，对乙方具有约束力。</w:t>
      </w:r>
    </w:p>
    <w:p>
      <w:pPr>
        <w:spacing w:line="480" w:lineRule="exact"/>
        <w:ind w:firstLine="448" w:firstLineChars="200"/>
        <w:rPr>
          <w:rFonts w:eastAsiaTheme="minorEastAsia"/>
          <w:sz w:val="24"/>
          <w:szCs w:val="24"/>
        </w:rPr>
      </w:pPr>
      <w:r>
        <w:rPr>
          <w:rFonts w:eastAsiaTheme="minorEastAsia"/>
          <w:sz w:val="24"/>
          <w:szCs w:val="24"/>
        </w:rPr>
        <w:t>本合同及其附件和合同特殊条款中未规定的事宜，均遵照国家和本市有关法律、法规和规章执行。</w:t>
      </w:r>
    </w:p>
    <w:p>
      <w:pPr>
        <w:spacing w:line="480" w:lineRule="exact"/>
        <w:ind w:firstLine="448" w:firstLineChars="200"/>
        <w:rPr>
          <w:rFonts w:eastAsiaTheme="minorEastAsia"/>
          <w:sz w:val="24"/>
          <w:szCs w:val="24"/>
        </w:rPr>
      </w:pPr>
      <w:r>
        <w:rPr>
          <w:rFonts w:eastAsiaTheme="minorEastAsia"/>
          <w:sz w:val="24"/>
          <w:szCs w:val="24"/>
        </w:rPr>
        <w:t>第十七条合同生效</w:t>
      </w:r>
    </w:p>
    <w:p>
      <w:pPr>
        <w:spacing w:line="480" w:lineRule="exact"/>
        <w:ind w:firstLine="448" w:firstLineChars="200"/>
        <w:rPr>
          <w:rFonts w:eastAsiaTheme="minorEastAsia"/>
          <w:sz w:val="24"/>
          <w:szCs w:val="24"/>
        </w:rPr>
      </w:pPr>
      <w:r>
        <w:rPr>
          <w:rFonts w:eastAsiaTheme="minorEastAsia"/>
          <w:sz w:val="24"/>
          <w:szCs w:val="24"/>
        </w:rPr>
        <w:t>本合同一式</w:t>
      </w:r>
      <w:r>
        <w:rPr>
          <w:rFonts w:hint="eastAsia" w:eastAsiaTheme="minorEastAsia"/>
          <w:sz w:val="24"/>
          <w:szCs w:val="24"/>
        </w:rPr>
        <w:t xml:space="preserve">  </w:t>
      </w:r>
      <w:r>
        <w:rPr>
          <w:rFonts w:eastAsiaTheme="minorEastAsia"/>
          <w:sz w:val="24"/>
          <w:szCs w:val="24"/>
        </w:rPr>
        <w:t>份，甲方持</w:t>
      </w:r>
      <w:r>
        <w:rPr>
          <w:rFonts w:hint="eastAsia" w:eastAsiaTheme="minorEastAsia"/>
          <w:sz w:val="24"/>
          <w:szCs w:val="24"/>
        </w:rPr>
        <w:t xml:space="preserve">   </w:t>
      </w:r>
      <w:r>
        <w:rPr>
          <w:rFonts w:eastAsiaTheme="minorEastAsia"/>
          <w:sz w:val="24"/>
          <w:szCs w:val="24"/>
        </w:rPr>
        <w:t>份，</w:t>
      </w:r>
      <w:r>
        <w:rPr>
          <w:rFonts w:hint="eastAsia" w:eastAsiaTheme="minorEastAsia"/>
          <w:sz w:val="24"/>
          <w:szCs w:val="24"/>
        </w:rPr>
        <w:t>乙</w:t>
      </w:r>
      <w:r>
        <w:rPr>
          <w:rFonts w:eastAsiaTheme="minorEastAsia"/>
          <w:sz w:val="24"/>
          <w:szCs w:val="24"/>
        </w:rPr>
        <w:t>方持</w:t>
      </w:r>
      <w:r>
        <w:rPr>
          <w:rFonts w:hint="eastAsia" w:eastAsiaTheme="minorEastAsia"/>
          <w:sz w:val="24"/>
          <w:szCs w:val="24"/>
        </w:rPr>
        <w:t xml:space="preserve">   </w:t>
      </w:r>
      <w:r>
        <w:rPr>
          <w:rFonts w:eastAsiaTheme="minorEastAsia"/>
          <w:sz w:val="24"/>
          <w:szCs w:val="24"/>
        </w:rPr>
        <w:t>份，均具同等效力，签字盖章后生效。</w:t>
      </w:r>
    </w:p>
    <w:p>
      <w:pPr>
        <w:spacing w:line="480" w:lineRule="exact"/>
        <w:ind w:firstLine="448" w:firstLineChars="200"/>
        <w:rPr>
          <w:rFonts w:eastAsiaTheme="minorEastAsia"/>
          <w:sz w:val="24"/>
          <w:szCs w:val="24"/>
        </w:rPr>
      </w:pPr>
    </w:p>
    <w:p>
      <w:pPr>
        <w:tabs>
          <w:tab w:val="left" w:pos="360"/>
        </w:tabs>
        <w:spacing w:line="516" w:lineRule="exact"/>
        <w:ind w:firstLine="448" w:firstLineChars="200"/>
        <w:rPr>
          <w:rFonts w:eastAsiaTheme="minorEastAsia"/>
          <w:color w:val="000000"/>
          <w:sz w:val="24"/>
          <w:szCs w:val="24"/>
        </w:rPr>
      </w:pPr>
      <w:r>
        <w:rPr>
          <w:rFonts w:eastAsiaTheme="minorEastAsia"/>
          <w:sz w:val="24"/>
          <w:szCs w:val="24"/>
        </w:rPr>
        <w:t>采购人-甲方（公章）</w:t>
      </w:r>
      <w:r>
        <w:rPr>
          <w:rFonts w:eastAsiaTheme="minorEastAsia"/>
          <w:color w:val="000000"/>
          <w:sz w:val="24"/>
          <w:szCs w:val="24"/>
        </w:rPr>
        <w:t xml:space="preserve">：           </w:t>
      </w:r>
      <w:r>
        <w:rPr>
          <w:rFonts w:eastAsiaTheme="minorEastAsia"/>
          <w:sz w:val="24"/>
          <w:szCs w:val="24"/>
        </w:rPr>
        <w:t>供应商-乙方（公章）</w:t>
      </w:r>
      <w:r>
        <w:rPr>
          <w:rFonts w:eastAsiaTheme="minorEastAsia"/>
          <w:color w:val="000000"/>
          <w:sz w:val="24"/>
          <w:szCs w:val="24"/>
        </w:rPr>
        <w:t>：</w:t>
      </w:r>
    </w:p>
    <w:p>
      <w:pPr>
        <w:tabs>
          <w:tab w:val="left" w:pos="0"/>
          <w:tab w:val="left" w:pos="315"/>
        </w:tabs>
        <w:spacing w:line="516" w:lineRule="exact"/>
        <w:ind w:firstLine="448" w:firstLineChars="200"/>
        <w:rPr>
          <w:rFonts w:eastAsiaTheme="minorEastAsia"/>
          <w:color w:val="000000"/>
          <w:sz w:val="24"/>
          <w:szCs w:val="24"/>
        </w:rPr>
      </w:pPr>
      <w:r>
        <w:rPr>
          <w:rFonts w:eastAsiaTheme="minorEastAsia"/>
          <w:color w:val="000000"/>
          <w:sz w:val="24"/>
          <w:szCs w:val="24"/>
        </w:rPr>
        <w:t>地址：                         地址：</w:t>
      </w:r>
    </w:p>
    <w:p>
      <w:pPr>
        <w:tabs>
          <w:tab w:val="left" w:pos="0"/>
          <w:tab w:val="left" w:pos="315"/>
        </w:tabs>
        <w:spacing w:line="516" w:lineRule="exact"/>
        <w:ind w:firstLine="448" w:firstLineChars="200"/>
        <w:rPr>
          <w:rFonts w:eastAsiaTheme="minorEastAsia"/>
          <w:color w:val="000000"/>
          <w:sz w:val="24"/>
          <w:szCs w:val="24"/>
        </w:rPr>
      </w:pPr>
      <w:r>
        <w:rPr>
          <w:rFonts w:eastAsiaTheme="minorEastAsia"/>
          <w:color w:val="000000"/>
          <w:sz w:val="24"/>
          <w:szCs w:val="24"/>
        </w:rPr>
        <w:t>法定代表人：                   法定代表人：</w:t>
      </w:r>
    </w:p>
    <w:p>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委托代理人：                   委托代理人：</w:t>
      </w:r>
    </w:p>
    <w:p>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电话：                         电话：</w:t>
      </w:r>
    </w:p>
    <w:p>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时间：         年        月         日</w:t>
      </w:r>
    </w:p>
    <w:p>
      <w:pPr>
        <w:jc w:val="center"/>
        <w:rPr>
          <w:rFonts w:eastAsiaTheme="minorEastAsia"/>
          <w:sz w:val="24"/>
          <w:szCs w:val="24"/>
        </w:rPr>
      </w:pPr>
    </w:p>
    <w:p>
      <w:pPr>
        <w:jc w:val="center"/>
        <w:rPr>
          <w:rFonts w:eastAsiaTheme="minorEastAsia"/>
          <w:sz w:val="24"/>
          <w:szCs w:val="24"/>
        </w:rPr>
      </w:pPr>
    </w:p>
    <w:p>
      <w:pPr>
        <w:widowControl/>
        <w:jc w:val="center"/>
        <w:rPr>
          <w:rFonts w:eastAsiaTheme="minorEastAsia"/>
          <w:b/>
          <w:bCs/>
          <w:sz w:val="24"/>
          <w:szCs w:val="24"/>
        </w:rPr>
      </w:pPr>
      <w:r>
        <w:rPr>
          <w:rFonts w:eastAsiaTheme="minorEastAsia"/>
          <w:b/>
          <w:bCs/>
          <w:sz w:val="24"/>
          <w:szCs w:val="24"/>
        </w:rPr>
        <w:t>合同特殊条款</w:t>
      </w:r>
    </w:p>
    <w:p>
      <w:pPr>
        <w:tabs>
          <w:tab w:val="left" w:pos="360"/>
        </w:tabs>
        <w:spacing w:line="520" w:lineRule="exact"/>
        <w:ind w:firstLine="383" w:firstLineChars="171"/>
        <w:rPr>
          <w:rFonts w:eastAsiaTheme="minorEastAsia"/>
          <w:color w:val="000000"/>
          <w:sz w:val="24"/>
          <w:szCs w:val="24"/>
        </w:rPr>
      </w:pPr>
    </w:p>
    <w:p>
      <w:pPr>
        <w:tabs>
          <w:tab w:val="left" w:pos="360"/>
        </w:tabs>
        <w:spacing w:line="520" w:lineRule="exact"/>
        <w:ind w:firstLine="383" w:firstLineChars="171"/>
        <w:rPr>
          <w:rFonts w:eastAsiaTheme="minorEastAsia"/>
          <w:color w:val="000000"/>
          <w:sz w:val="24"/>
          <w:szCs w:val="24"/>
        </w:rPr>
      </w:pPr>
      <w:r>
        <w:rPr>
          <w:rFonts w:eastAsiaTheme="minorEastAsia"/>
          <w:color w:val="000000"/>
          <w:sz w:val="24"/>
          <w:szCs w:val="24"/>
        </w:rPr>
        <w:t>合同特殊条款是合同一般条款的补充和修改。如果两者之间有抵触，应以特殊条款为准。</w:t>
      </w:r>
    </w:p>
    <w:p>
      <w:pPr>
        <w:tabs>
          <w:tab w:val="left" w:pos="360"/>
        </w:tabs>
        <w:spacing w:line="520" w:lineRule="exact"/>
        <w:ind w:firstLine="383" w:firstLineChars="171"/>
        <w:rPr>
          <w:rFonts w:eastAsiaTheme="minorEastAsia"/>
          <w:color w:val="000000"/>
          <w:sz w:val="24"/>
          <w:szCs w:val="24"/>
        </w:rPr>
      </w:pPr>
      <w:r>
        <w:rPr>
          <w:rFonts w:eastAsiaTheme="minorEastAsia"/>
          <w:color w:val="000000"/>
          <w:sz w:val="24"/>
          <w:szCs w:val="24"/>
        </w:rPr>
        <w:t>合同特殊条款由甲、乙双方根据采购项目的具体情况协商拟订。</w:t>
      </w:r>
    </w:p>
    <w:p>
      <w:pPr>
        <w:autoSpaceDN w:val="0"/>
        <w:spacing w:line="360" w:lineRule="auto"/>
        <w:rPr>
          <w:b/>
          <w:bCs/>
        </w:rPr>
      </w:pPr>
    </w:p>
    <w:p>
      <w:pPr>
        <w:autoSpaceDN w:val="0"/>
        <w:spacing w:line="360" w:lineRule="auto"/>
        <w:rPr>
          <w:b/>
          <w:bCs/>
        </w:rPr>
      </w:pPr>
    </w:p>
    <w:p>
      <w:pPr>
        <w:widowControl/>
        <w:jc w:val="left"/>
        <w:rPr>
          <w:b/>
          <w:bCs/>
        </w:rPr>
      </w:pPr>
      <w:r>
        <w:rPr>
          <w:b/>
          <w:bCs/>
        </w:rPr>
        <w:br w:type="page"/>
      </w:r>
    </w:p>
    <w:p>
      <w:pPr>
        <w:pStyle w:val="16"/>
        <w:rPr>
          <w:rFonts w:ascii="Times New Roman" w:hAnsi="Times New Roman"/>
        </w:rPr>
      </w:pPr>
      <w:r>
        <w:rPr>
          <w:rFonts w:ascii="Times New Roman" w:hAnsi="Times New Roman"/>
        </w:rPr>
        <w:t>第五部分  投标文件格式</w:t>
      </w:r>
    </w:p>
    <w:p>
      <w:pPr>
        <w:autoSpaceDN w:val="0"/>
        <w:spacing w:line="360" w:lineRule="auto"/>
        <w:jc w:val="center"/>
        <w:rPr>
          <w:b/>
          <w:bCs/>
          <w:sz w:val="24"/>
        </w:rPr>
      </w:pPr>
      <w:r>
        <w:rPr>
          <w:b/>
          <w:bCs/>
          <w:sz w:val="24"/>
        </w:rPr>
        <w:t>投标文件封面格式</w:t>
      </w:r>
    </w:p>
    <w:p>
      <w:pPr>
        <w:autoSpaceDE w:val="0"/>
        <w:autoSpaceDN w:val="0"/>
        <w:adjustRightInd w:val="0"/>
        <w:spacing w:line="520" w:lineRule="exact"/>
      </w:pPr>
    </w:p>
    <w:p>
      <w:pPr>
        <w:autoSpaceDE w:val="0"/>
        <w:autoSpaceDN w:val="0"/>
        <w:adjustRightInd w:val="0"/>
        <w:spacing w:line="520" w:lineRule="exact"/>
        <w:rPr>
          <w:b/>
          <w:kern w:val="0"/>
          <w:sz w:val="24"/>
        </w:rPr>
      </w:pPr>
      <w:r>
        <w:drawing>
          <wp:anchor distT="0" distB="0" distL="114300" distR="114300" simplePos="0" relativeHeight="25166745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pPr>
        <w:autoSpaceDE w:val="0"/>
        <w:autoSpaceDN w:val="0"/>
        <w:adjustRightInd w:val="0"/>
        <w:spacing w:line="520" w:lineRule="exact"/>
        <w:rPr>
          <w:b/>
          <w:kern w:val="0"/>
          <w:sz w:val="24"/>
        </w:rPr>
      </w:pPr>
    </w:p>
    <w:p>
      <w:pPr>
        <w:autoSpaceDE w:val="0"/>
        <w:autoSpaceDN w:val="0"/>
        <w:adjustRightInd w:val="0"/>
        <w:spacing w:line="520" w:lineRule="exact"/>
        <w:rPr>
          <w:b/>
          <w:kern w:val="0"/>
          <w:sz w:val="24"/>
        </w:rPr>
      </w:pPr>
    </w:p>
    <w:p>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pPr>
        <w:autoSpaceDE w:val="0"/>
        <w:autoSpaceDN w:val="0"/>
        <w:adjustRightInd w:val="0"/>
        <w:spacing w:line="520" w:lineRule="exact"/>
        <w:rPr>
          <w:b/>
          <w:kern w:val="0"/>
          <w:sz w:val="36"/>
          <w:szCs w:val="36"/>
        </w:rPr>
      </w:pPr>
    </w:p>
    <w:p>
      <w:pPr>
        <w:autoSpaceDE w:val="0"/>
        <w:autoSpaceDN w:val="0"/>
        <w:adjustRightInd w:val="0"/>
        <w:spacing w:line="520" w:lineRule="exact"/>
        <w:jc w:val="center"/>
        <w:rPr>
          <w:b/>
          <w:color w:val="FF0000"/>
          <w:kern w:val="0"/>
          <w:sz w:val="24"/>
        </w:rPr>
      </w:pPr>
      <w:r>
        <w:rPr>
          <w:b/>
          <w:color w:val="FF0000"/>
          <w:kern w:val="0"/>
          <w:sz w:val="24"/>
        </w:rPr>
        <w:t>（加盖电子签章）</w:t>
      </w:r>
    </w:p>
    <w:p>
      <w:pPr>
        <w:spacing w:before="85" w:beforeLines="30" w:after="199" w:afterLines="70" w:line="540" w:lineRule="exact"/>
        <w:ind w:left="582" w:leftChars="300"/>
        <w:rPr>
          <w:b/>
          <w:sz w:val="34"/>
          <w:szCs w:val="34"/>
        </w:rPr>
      </w:pPr>
      <w:r>
        <w:rPr>
          <w:b/>
          <w:sz w:val="34"/>
          <w:szCs w:val="34"/>
        </w:rPr>
        <w:t>项目编号：</w:t>
      </w:r>
    </w:p>
    <w:p>
      <w:pPr>
        <w:spacing w:before="85" w:beforeLines="30" w:after="199" w:afterLines="70" w:line="540" w:lineRule="exact"/>
        <w:ind w:left="2027" w:leftChars="300" w:hanging="1445" w:hangingChars="446"/>
        <w:rPr>
          <w:b/>
          <w:sz w:val="34"/>
          <w:szCs w:val="34"/>
        </w:rPr>
      </w:pPr>
      <w:r>
        <w:rPr>
          <w:b/>
          <w:sz w:val="34"/>
          <w:szCs w:val="34"/>
        </w:rPr>
        <w:t>项目名称：</w:t>
      </w:r>
    </w:p>
    <w:p>
      <w:pPr>
        <w:spacing w:before="85" w:beforeLines="30" w:after="199" w:afterLines="70" w:line="540" w:lineRule="exact"/>
        <w:ind w:left="2027" w:leftChars="300" w:hanging="1445" w:hangingChars="446"/>
        <w:rPr>
          <w:b/>
          <w:sz w:val="34"/>
          <w:szCs w:val="34"/>
        </w:rPr>
      </w:pPr>
      <w:r>
        <w:rPr>
          <w:b/>
          <w:sz w:val="34"/>
          <w:szCs w:val="34"/>
        </w:rPr>
        <w:t>投标包号：</w:t>
      </w:r>
    </w:p>
    <w:p>
      <w:pPr>
        <w:spacing w:before="85" w:beforeLines="30" w:after="199" w:afterLines="70" w:line="540" w:lineRule="exact"/>
        <w:ind w:left="582" w:leftChars="300"/>
        <w:rPr>
          <w:b/>
          <w:sz w:val="34"/>
          <w:szCs w:val="34"/>
        </w:rPr>
      </w:pPr>
      <w:r>
        <w:rPr>
          <w:b/>
          <w:sz w:val="34"/>
          <w:szCs w:val="34"/>
        </w:rPr>
        <w:t>投标单位名称：</w:t>
      </w:r>
    </w:p>
    <w:p>
      <w:pPr>
        <w:spacing w:before="85" w:beforeLines="30" w:after="199" w:afterLines="70" w:line="540" w:lineRule="exact"/>
        <w:ind w:left="582" w:leftChars="300"/>
        <w:rPr>
          <w:b/>
          <w:kern w:val="0"/>
          <w:sz w:val="34"/>
          <w:szCs w:val="34"/>
        </w:rPr>
      </w:pPr>
      <w:r>
        <w:rPr>
          <w:rFonts w:hint="eastAsia"/>
          <w:b/>
          <w:kern w:val="0"/>
          <w:sz w:val="34"/>
          <w:szCs w:val="34"/>
        </w:rPr>
        <w:t>投标代表人姓名：</w:t>
      </w:r>
    </w:p>
    <w:p>
      <w:pPr>
        <w:tabs>
          <w:tab w:val="left" w:pos="1260"/>
          <w:tab w:val="center" w:pos="4156"/>
        </w:tabs>
        <w:autoSpaceDE w:val="0"/>
        <w:autoSpaceDN w:val="0"/>
        <w:adjustRightInd w:val="0"/>
        <w:spacing w:line="360" w:lineRule="auto"/>
        <w:ind w:firstLine="648" w:firstLineChars="200"/>
        <w:outlineLvl w:val="0"/>
        <w:rPr>
          <w:b/>
          <w:sz w:val="34"/>
          <w:szCs w:val="34"/>
        </w:rPr>
      </w:pPr>
    </w:p>
    <w:p>
      <w:pPr>
        <w:tabs>
          <w:tab w:val="left" w:pos="1260"/>
          <w:tab w:val="center" w:pos="4156"/>
        </w:tabs>
        <w:autoSpaceDE w:val="0"/>
        <w:autoSpaceDN w:val="0"/>
        <w:adjustRightInd w:val="0"/>
        <w:spacing w:line="360" w:lineRule="auto"/>
        <w:ind w:firstLine="648" w:firstLineChars="200"/>
        <w:outlineLvl w:val="0"/>
        <w:rPr>
          <w:b/>
          <w:sz w:val="34"/>
          <w:szCs w:val="34"/>
        </w:rPr>
      </w:pPr>
    </w:p>
    <w:p>
      <w:pPr>
        <w:tabs>
          <w:tab w:val="left" w:pos="1260"/>
          <w:tab w:val="center" w:pos="4156"/>
        </w:tabs>
        <w:autoSpaceDE w:val="0"/>
        <w:autoSpaceDN w:val="0"/>
        <w:adjustRightInd w:val="0"/>
        <w:spacing w:line="360" w:lineRule="auto"/>
        <w:ind w:firstLine="648" w:firstLineChars="200"/>
        <w:outlineLvl w:val="0"/>
        <w:rPr>
          <w:b/>
          <w:sz w:val="34"/>
          <w:szCs w:val="34"/>
        </w:rPr>
      </w:pPr>
    </w:p>
    <w:p>
      <w:pPr>
        <w:tabs>
          <w:tab w:val="left" w:pos="1260"/>
          <w:tab w:val="center" w:pos="4156"/>
        </w:tabs>
        <w:autoSpaceDE w:val="0"/>
        <w:autoSpaceDN w:val="0"/>
        <w:adjustRightInd w:val="0"/>
        <w:spacing w:line="360" w:lineRule="auto"/>
        <w:ind w:firstLine="648" w:firstLineChars="200"/>
        <w:outlineLvl w:val="0"/>
        <w:rPr>
          <w:b/>
          <w:bCs/>
          <w:color w:val="000000"/>
          <w:sz w:val="24"/>
          <w:lang w:val="zh-CN"/>
        </w:rPr>
      </w:pPr>
      <w:r>
        <w:rPr>
          <w:b/>
          <w:sz w:val="34"/>
          <w:szCs w:val="34"/>
        </w:rPr>
        <w:t>投标日期：   年   月   日</w:t>
      </w:r>
    </w:p>
    <w:p>
      <w:pPr>
        <w:widowControl/>
        <w:jc w:val="left"/>
        <w:rPr>
          <w:b/>
          <w:sz w:val="24"/>
        </w:rPr>
      </w:pPr>
      <w:r>
        <w:rPr>
          <w:b/>
          <w:sz w:val="24"/>
        </w:rPr>
        <w:br w:type="page"/>
      </w:r>
    </w:p>
    <w:p>
      <w:pPr>
        <w:autoSpaceDN w:val="0"/>
        <w:spacing w:line="360" w:lineRule="auto"/>
        <w:jc w:val="center"/>
        <w:rPr>
          <w:b/>
          <w:bCs/>
          <w:sz w:val="24"/>
        </w:rPr>
      </w:pPr>
      <w:r>
        <w:rPr>
          <w:b/>
          <w:bCs/>
          <w:sz w:val="24"/>
        </w:rPr>
        <w:t>投标文件总目录</w:t>
      </w:r>
    </w:p>
    <w:p>
      <w:pPr>
        <w:autoSpaceDN w:val="0"/>
        <w:spacing w:line="360" w:lineRule="auto"/>
        <w:jc w:val="center"/>
        <w:rPr>
          <w:b/>
          <w:bCs/>
          <w:sz w:val="24"/>
        </w:rPr>
      </w:pPr>
      <w:r>
        <w:rPr>
          <w:b/>
          <w:bCs/>
          <w:sz w:val="24"/>
        </w:rPr>
        <w:t>（投标人自行编制）</w:t>
      </w:r>
    </w:p>
    <w:p>
      <w:pPr>
        <w:widowControl/>
        <w:jc w:val="left"/>
        <w:rPr>
          <w:b/>
          <w:sz w:val="24"/>
        </w:rPr>
      </w:pPr>
      <w:r>
        <w:rPr>
          <w:b/>
          <w:sz w:val="24"/>
        </w:rPr>
        <w:br w:type="page"/>
      </w:r>
    </w:p>
    <w:p>
      <w:pPr>
        <w:widowControl/>
        <w:jc w:val="center"/>
        <w:rPr>
          <w:b/>
          <w:sz w:val="24"/>
        </w:rPr>
      </w:pPr>
      <w:r>
        <w:rPr>
          <w:b/>
          <w:sz w:val="24"/>
        </w:rPr>
        <w:t>评分因素及评标标准页码检索</w:t>
      </w:r>
    </w:p>
    <w:p>
      <w:pPr>
        <w:widowControl/>
        <w:jc w:val="center"/>
        <w:rPr>
          <w:b/>
          <w:sz w:val="24"/>
        </w:rPr>
      </w:pPr>
      <w:r>
        <w:rPr>
          <w:b/>
          <w:bCs/>
          <w:sz w:val="24"/>
        </w:rPr>
        <w:t>（需投标人按招标文件“评分因素及评标标准”中每个评分项逐项列明页码）</w:t>
      </w:r>
    </w:p>
    <w:p>
      <w:pPr>
        <w:widowControl/>
        <w:jc w:val="left"/>
        <w:rPr>
          <w:b/>
          <w:sz w:val="24"/>
        </w:rPr>
      </w:pPr>
    </w:p>
    <w:p>
      <w:pPr>
        <w:widowControl/>
        <w:jc w:val="left"/>
        <w:rPr>
          <w:b/>
          <w:sz w:val="24"/>
        </w:rPr>
      </w:pPr>
      <w:r>
        <w:rPr>
          <w:b/>
          <w:sz w:val="24"/>
        </w:rPr>
        <w:br w:type="page"/>
      </w:r>
      <w:r>
        <w:rPr>
          <w:b/>
          <w:sz w:val="24"/>
        </w:rPr>
        <w:t>附件1</w:t>
      </w:r>
      <w:r>
        <w:rPr>
          <w:rFonts w:hint="eastAsia"/>
          <w:b/>
          <w:sz w:val="24"/>
        </w:rPr>
        <w:t>-1</w:t>
      </w:r>
    </w:p>
    <w:p>
      <w:pPr>
        <w:tabs>
          <w:tab w:val="left" w:pos="360"/>
        </w:tabs>
        <w:spacing w:line="560" w:lineRule="exact"/>
        <w:jc w:val="center"/>
        <w:rPr>
          <w:b/>
          <w:sz w:val="24"/>
        </w:rPr>
      </w:pPr>
      <w:r>
        <w:rPr>
          <w:b/>
          <w:sz w:val="24"/>
        </w:rPr>
        <w:t>投标书</w:t>
      </w:r>
    </w:p>
    <w:p>
      <w:pPr>
        <w:spacing w:line="560" w:lineRule="exact"/>
        <w:rPr>
          <w:sz w:val="24"/>
        </w:rPr>
      </w:pPr>
      <w:r>
        <w:rPr>
          <w:sz w:val="24"/>
        </w:rPr>
        <w:t>致：天津市政府采购中心</w:t>
      </w:r>
    </w:p>
    <w:p>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）的投标邀请，投标人代表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（投标单位名称、地址）提交网上应答及上传加盖电子签章的投标文件。</w:t>
      </w:r>
    </w:p>
    <w:p>
      <w:pPr>
        <w:spacing w:line="360" w:lineRule="auto"/>
        <w:ind w:firstLine="448" w:firstLineChars="200"/>
        <w:rPr>
          <w:sz w:val="24"/>
        </w:rPr>
      </w:pPr>
      <w:r>
        <w:rPr>
          <w:sz w:val="24"/>
        </w:rPr>
        <w:t>据此函，投标人代表宣布同意如下：</w:t>
      </w:r>
    </w:p>
    <w:p>
      <w:pPr>
        <w:spacing w:line="360" w:lineRule="auto"/>
        <w:ind w:firstLine="448" w:firstLineChars="200"/>
        <w:rPr>
          <w:sz w:val="24"/>
        </w:rPr>
      </w:pPr>
      <w:r>
        <w:rPr>
          <w:sz w:val="24"/>
        </w:rPr>
        <w:t>1. 所附投标报价表中规定的应提供服务的投标总价为：</w:t>
      </w:r>
    </w:p>
    <w:p>
      <w:pPr>
        <w:spacing w:line="360" w:lineRule="auto"/>
        <w:ind w:firstLine="448" w:firstLineChars="200"/>
        <w:rPr>
          <w:sz w:val="24"/>
        </w:rPr>
      </w:pPr>
      <w:r>
        <w:rPr>
          <w:sz w:val="24"/>
        </w:rPr>
        <w:t>第</w:t>
      </w:r>
      <w:r>
        <w:rPr>
          <w:rFonts w:hint="eastAsia"/>
          <w:sz w:val="24"/>
        </w:rPr>
        <w:t>一</w:t>
      </w:r>
      <w:r>
        <w:rPr>
          <w:sz w:val="24"/>
        </w:rPr>
        <w:t>包，￥</w:t>
      </w:r>
      <w:r>
        <w:rPr>
          <w:sz w:val="24"/>
          <w:u w:val="single"/>
        </w:rPr>
        <w:t xml:space="preserve">      </w:t>
      </w:r>
      <w:r>
        <w:rPr>
          <w:sz w:val="24"/>
        </w:rPr>
        <w:t>元（人民币），大写</w:t>
      </w:r>
      <w:r>
        <w:rPr>
          <w:sz w:val="24"/>
          <w:u w:val="single"/>
        </w:rPr>
        <w:t xml:space="preserve">                   </w:t>
      </w:r>
      <w:r>
        <w:rPr>
          <w:sz w:val="24"/>
        </w:rPr>
        <w:t>。</w:t>
      </w:r>
    </w:p>
    <w:p>
      <w:pPr>
        <w:spacing w:line="360" w:lineRule="auto"/>
        <w:ind w:firstLine="448" w:firstLineChars="200"/>
        <w:rPr>
          <w:sz w:val="24"/>
        </w:rPr>
      </w:pPr>
      <w:r>
        <w:rPr>
          <w:sz w:val="24"/>
        </w:rPr>
        <w:t>2. 我公司将按招标文件的规定履行合同责任和义务。</w:t>
      </w:r>
    </w:p>
    <w:p>
      <w:pPr>
        <w:spacing w:line="360" w:lineRule="auto"/>
        <w:ind w:firstLine="448" w:firstLineChars="200"/>
        <w:rPr>
          <w:sz w:val="24"/>
        </w:rPr>
      </w:pPr>
      <w:r>
        <w:rPr>
          <w:sz w:val="24"/>
        </w:rPr>
        <w:t>3. 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pPr>
        <w:spacing w:line="360" w:lineRule="auto"/>
        <w:ind w:firstLine="448" w:firstLineChars="200"/>
        <w:rPr>
          <w:sz w:val="24"/>
        </w:rPr>
      </w:pPr>
      <w:r>
        <w:rPr>
          <w:sz w:val="24"/>
        </w:rPr>
        <w:t>4. 我公司的投标有效期为开标之日起60天。</w:t>
      </w:r>
    </w:p>
    <w:p>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pPr>
        <w:spacing w:line="360" w:lineRule="auto"/>
        <w:ind w:firstLine="448" w:firstLineChars="200"/>
        <w:rPr>
          <w:sz w:val="24"/>
        </w:rPr>
      </w:pPr>
      <w:r>
        <w:rPr>
          <w:sz w:val="24"/>
        </w:rPr>
        <w:t>7.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pPr>
        <w:spacing w:line="360" w:lineRule="auto"/>
        <w:ind w:firstLine="448" w:firstLineChars="200"/>
        <w:rPr>
          <w:sz w:val="24"/>
        </w:rPr>
      </w:pPr>
      <w:r>
        <w:rPr>
          <w:sz w:val="24"/>
        </w:rPr>
        <w:t>8. 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pPr>
        <w:spacing w:line="360" w:lineRule="auto"/>
        <w:ind w:firstLine="448" w:firstLineChars="200"/>
        <w:jc w:val="left"/>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pPr>
        <w:spacing w:line="360" w:lineRule="auto"/>
        <w:ind w:firstLine="448" w:firstLineChars="200"/>
        <w:rPr>
          <w:sz w:val="24"/>
        </w:rPr>
      </w:pPr>
      <w:r>
        <w:rPr>
          <w:sz w:val="24"/>
        </w:rPr>
        <w:t>1</w:t>
      </w:r>
      <w:r>
        <w:rPr>
          <w:rFonts w:hint="eastAsia"/>
          <w:sz w:val="24"/>
        </w:rPr>
        <w:t>2</w:t>
      </w:r>
      <w:r>
        <w:rPr>
          <w:sz w:val="24"/>
        </w:rPr>
        <w:t xml:space="preserve">. </w:t>
      </w:r>
      <w:r>
        <w:rPr>
          <w:rFonts w:hint="eastAsia"/>
          <w:sz w:val="24"/>
        </w:rPr>
        <w:t>我公司开票信息如下，此信息与我公司在税务局注册的信息一致：</w:t>
      </w:r>
    </w:p>
    <w:p>
      <w:pPr>
        <w:spacing w:line="360" w:lineRule="auto"/>
        <w:ind w:firstLine="448" w:firstLineChars="200"/>
        <w:rPr>
          <w:sz w:val="24"/>
        </w:rPr>
      </w:pPr>
      <w:r>
        <w:rPr>
          <w:rFonts w:hint="eastAsia"/>
          <w:sz w:val="24"/>
        </w:rPr>
        <w:t>纳税人识别号：</w:t>
      </w:r>
    </w:p>
    <w:p>
      <w:pPr>
        <w:spacing w:line="360" w:lineRule="auto"/>
        <w:ind w:firstLine="448" w:firstLineChars="200"/>
        <w:rPr>
          <w:sz w:val="24"/>
        </w:rPr>
      </w:pPr>
      <w:r>
        <w:rPr>
          <w:rFonts w:hint="eastAsia"/>
          <w:sz w:val="24"/>
        </w:rPr>
        <w:t>地址、电话：</w:t>
      </w:r>
    </w:p>
    <w:p>
      <w:pPr>
        <w:spacing w:line="360" w:lineRule="auto"/>
        <w:ind w:firstLine="448" w:firstLineChars="200"/>
        <w:rPr>
          <w:sz w:val="24"/>
        </w:rPr>
      </w:pPr>
      <w:r>
        <w:rPr>
          <w:rFonts w:hint="eastAsia"/>
          <w:sz w:val="24"/>
        </w:rPr>
        <w:t>开户行及账号：</w:t>
      </w:r>
    </w:p>
    <w:p>
      <w:pPr>
        <w:spacing w:line="360" w:lineRule="auto"/>
        <w:ind w:firstLine="448" w:firstLineChars="200"/>
        <w:rPr>
          <w:sz w:val="24"/>
        </w:rPr>
      </w:pPr>
      <w:r>
        <w:rPr>
          <w:rFonts w:hint="eastAsia"/>
          <w:sz w:val="24"/>
        </w:rPr>
        <w:t>选择开具发票类型（增值税专用发票/增值税普通发票）：</w:t>
      </w:r>
    </w:p>
    <w:p>
      <w:pPr>
        <w:spacing w:line="360" w:lineRule="auto"/>
        <w:ind w:firstLine="3808" w:firstLineChars="1700"/>
        <w:rPr>
          <w:sz w:val="24"/>
        </w:rPr>
      </w:pPr>
      <w:r>
        <w:rPr>
          <w:sz w:val="24"/>
        </w:rPr>
        <w:t>投标人名称：</w:t>
      </w:r>
    </w:p>
    <w:p>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spacing w:line="560" w:lineRule="exact"/>
        <w:rPr>
          <w:sz w:val="24"/>
        </w:rPr>
      </w:pPr>
    </w:p>
    <w:p>
      <w:pPr>
        <w:spacing w:line="560" w:lineRule="exact"/>
        <w:rPr>
          <w:sz w:val="24"/>
        </w:rPr>
      </w:pPr>
    </w:p>
    <w:p>
      <w:pPr>
        <w:spacing w:line="560" w:lineRule="exact"/>
        <w:rPr>
          <w:sz w:val="24"/>
        </w:rPr>
      </w:pPr>
    </w:p>
    <w:p>
      <w:pPr>
        <w:spacing w:line="560" w:lineRule="exact"/>
        <w:rPr>
          <w:sz w:val="24"/>
        </w:rPr>
      </w:pPr>
    </w:p>
    <w:p>
      <w:pPr>
        <w:widowControl/>
        <w:jc w:val="left"/>
        <w:rPr>
          <w:b/>
          <w:sz w:val="24"/>
        </w:rPr>
      </w:pPr>
      <w:r>
        <w:rPr>
          <w:b/>
          <w:sz w:val="24"/>
        </w:rPr>
        <w:br w:type="page"/>
      </w:r>
    </w:p>
    <w:p>
      <w:pPr>
        <w:spacing w:line="460" w:lineRule="exact"/>
        <w:rPr>
          <w:b/>
          <w:sz w:val="24"/>
        </w:rPr>
      </w:pPr>
      <w:r>
        <w:rPr>
          <w:rFonts w:hint="eastAsia"/>
          <w:b/>
          <w:sz w:val="24"/>
        </w:rPr>
        <w:t>附件1-2</w:t>
      </w:r>
    </w:p>
    <w:p>
      <w:pPr>
        <w:adjustRightInd w:val="0"/>
        <w:snapToGrid w:val="0"/>
        <w:spacing w:line="400" w:lineRule="exact"/>
        <w:jc w:val="center"/>
        <w:rPr>
          <w:b/>
          <w:sz w:val="24"/>
          <w:szCs w:val="24"/>
        </w:rPr>
      </w:pPr>
      <w:r>
        <w:rPr>
          <w:b/>
          <w:sz w:val="24"/>
          <w:szCs w:val="24"/>
        </w:rPr>
        <w:t>真诚参与政府采购活动承诺书</w:t>
      </w:r>
    </w:p>
    <w:p>
      <w:pPr>
        <w:spacing w:line="360" w:lineRule="auto"/>
        <w:rPr>
          <w:sz w:val="24"/>
        </w:rPr>
      </w:pPr>
      <w:r>
        <w:rPr>
          <w:sz w:val="24"/>
        </w:rPr>
        <w:t>致：天津市政府采购中心</w:t>
      </w:r>
    </w:p>
    <w:p>
      <w:pPr>
        <w:spacing w:line="360" w:lineRule="auto"/>
        <w:ind w:firstLine="448" w:firstLineChars="200"/>
        <w:rPr>
          <w:sz w:val="24"/>
        </w:rPr>
      </w:pPr>
      <w:r>
        <w:rPr>
          <w:rFonts w:hint="eastAsia"/>
          <w:sz w:val="24"/>
        </w:rPr>
        <w:t>我单位自愿按照政府采购法确立的诚实信用原则参与</w:t>
      </w:r>
      <w:r>
        <w:rPr>
          <w:rFonts w:hint="eastAsia"/>
          <w:sz w:val="24"/>
          <w:u w:val="single"/>
        </w:rPr>
        <w:t xml:space="preserve">           </w:t>
      </w:r>
      <w:r>
        <w:rPr>
          <w:rFonts w:hint="eastAsia"/>
          <w:sz w:val="24"/>
        </w:rPr>
        <w:t>项目（项目编号：</w:t>
      </w:r>
      <w:r>
        <w:rPr>
          <w:rFonts w:hint="eastAsia"/>
          <w:sz w:val="24"/>
          <w:u w:val="single"/>
        </w:rPr>
        <w:t xml:space="preserve">             </w:t>
      </w:r>
      <w:r>
        <w:rPr>
          <w:rFonts w:hint="eastAsia"/>
          <w:sz w:val="24"/>
        </w:rPr>
        <w:t>）的政府采购活动。在整个政府采购活动中，我单位郑重做出如下承诺：</w:t>
      </w:r>
    </w:p>
    <w:p>
      <w:pPr>
        <w:spacing w:line="360" w:lineRule="auto"/>
        <w:ind w:firstLine="448" w:firstLineChars="200"/>
        <w:rPr>
          <w:sz w:val="24"/>
        </w:rPr>
      </w:pPr>
      <w:r>
        <w:rPr>
          <w:sz w:val="24"/>
        </w:rPr>
        <w:t>1. 我单位遵守政府采购相关法律法规。</w:t>
      </w:r>
    </w:p>
    <w:p>
      <w:pPr>
        <w:spacing w:line="360" w:lineRule="auto"/>
        <w:ind w:firstLine="448" w:firstLineChars="200"/>
        <w:rPr>
          <w:sz w:val="24"/>
        </w:rPr>
      </w:pPr>
      <w:r>
        <w:rPr>
          <w:rFonts w:hint="eastAsia"/>
          <w:sz w:val="24"/>
        </w:rPr>
        <w:t>2. 我单位对递交的投标（响应）文件全部内容的真实性、合法性负有审慎的审查义务，对提交的全部材料（包括我单位制作形成的材料、第三方单位提供的材料、员工个人提供的材料等）的真实性负责，并承担相应法律责任。</w:t>
      </w:r>
    </w:p>
    <w:p>
      <w:pPr>
        <w:spacing w:line="360" w:lineRule="auto"/>
        <w:ind w:firstLine="448" w:firstLineChars="200"/>
        <w:rPr>
          <w:sz w:val="24"/>
        </w:rPr>
      </w:pPr>
      <w:r>
        <w:rPr>
          <w:rFonts w:hint="eastAsia"/>
          <w:sz w:val="24"/>
        </w:rPr>
        <w:t>3.我单位投标（响应）文件中提供的业绩合同、第三方单位证明材料、发票、各类企业证书、各类人员证书、社保缴费证明等，我单位已经通过核对原件、国家税务总局全国增值税发票查验平台查询、全国认证认可信息公共服务平台查询、发证机关官网（包含但不限于特种作业操作证及安全生产知识和管理能力考核合格信息查询平台、技能人才评价证书全国联网查询、全国特种设备公示信息查询平台等）查询、学信网查询等手段进行了核实，确保上述材料的真实性。对不能确保真实性的材料不放入投标（响应）文件中。</w:t>
      </w:r>
    </w:p>
    <w:p>
      <w:pPr>
        <w:spacing w:line="360" w:lineRule="auto"/>
        <w:ind w:firstLine="448" w:firstLineChars="200"/>
        <w:rPr>
          <w:sz w:val="24"/>
          <w:szCs w:val="24"/>
        </w:rPr>
      </w:pPr>
      <w:r>
        <w:rPr>
          <w:rFonts w:hint="eastAsia"/>
          <w:sz w:val="24"/>
          <w:szCs w:val="24"/>
        </w:rPr>
        <w:t>4. 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pPr>
        <w:spacing w:line="360" w:lineRule="auto"/>
        <w:ind w:firstLine="448" w:firstLineChars="200"/>
        <w:rPr>
          <w:sz w:val="24"/>
          <w:szCs w:val="24"/>
        </w:rPr>
      </w:pPr>
      <w:r>
        <w:rPr>
          <w:rFonts w:hint="eastAsia"/>
          <w:sz w:val="24"/>
          <w:szCs w:val="24"/>
        </w:rPr>
        <w:t>5. 我单位知晓涉嫌伪造、变造国家机关的公文、证件、印章的，涉嫌串通投标的组织或个人，将被依法追究刑事责任。</w:t>
      </w:r>
    </w:p>
    <w:p>
      <w:pPr>
        <w:spacing w:line="360" w:lineRule="auto"/>
        <w:ind w:firstLine="448" w:firstLineChars="200"/>
        <w:rPr>
          <w:sz w:val="24"/>
          <w:szCs w:val="24"/>
        </w:rPr>
      </w:pPr>
      <w:r>
        <w:rPr>
          <w:rFonts w:hint="eastAsia"/>
          <w:sz w:val="24"/>
          <w:szCs w:val="24"/>
        </w:rPr>
        <w:t>投标人：</w:t>
      </w:r>
    </w:p>
    <w:p>
      <w:pPr>
        <w:spacing w:line="360" w:lineRule="auto"/>
        <w:ind w:firstLine="448" w:firstLineChars="200"/>
        <w:rPr>
          <w:b/>
          <w:sz w:val="24"/>
        </w:rPr>
      </w:pPr>
      <w:r>
        <w:rPr>
          <w:rFonts w:hint="eastAsia"/>
          <w:sz w:val="24"/>
          <w:szCs w:val="24"/>
        </w:rPr>
        <w:t>日期：</w:t>
      </w:r>
      <w:r>
        <w:rPr>
          <w:b/>
          <w:sz w:val="24"/>
        </w:rPr>
        <w:br w:type="page"/>
      </w:r>
    </w:p>
    <w:p>
      <w:pPr>
        <w:spacing w:line="460" w:lineRule="exact"/>
        <w:rPr>
          <w:b/>
          <w:sz w:val="24"/>
        </w:rPr>
      </w:pPr>
      <w:r>
        <w:rPr>
          <w:b/>
          <w:sz w:val="24"/>
        </w:rPr>
        <w:t>附件2</w:t>
      </w:r>
    </w:p>
    <w:p>
      <w:pPr>
        <w:spacing w:line="460" w:lineRule="exact"/>
        <w:rPr>
          <w:b/>
          <w:sz w:val="24"/>
        </w:rPr>
      </w:pPr>
    </w:p>
    <w:p>
      <w:pPr>
        <w:ind w:right="84" w:firstLine="420"/>
        <w:jc w:val="center"/>
        <w:rPr>
          <w:b/>
          <w:sz w:val="24"/>
        </w:rPr>
      </w:pPr>
      <w:r>
        <w:rPr>
          <w:b/>
          <w:sz w:val="24"/>
        </w:rPr>
        <w:t>开标一览表</w:t>
      </w:r>
    </w:p>
    <w:p>
      <w:pPr>
        <w:spacing w:line="460" w:lineRule="exact"/>
        <w:ind w:left="192"/>
        <w:rPr>
          <w:sz w:val="24"/>
        </w:rPr>
      </w:pPr>
      <w:r>
        <w:rPr>
          <w:sz w:val="24"/>
        </w:rPr>
        <w:t>项目名称：</w:t>
      </w:r>
      <w:r>
        <w:rPr>
          <w:sz w:val="24"/>
          <w:u w:val="single"/>
        </w:rPr>
        <w:t xml:space="preserve">                    </w:t>
      </w:r>
      <w:r>
        <w:rPr>
          <w:sz w:val="24"/>
        </w:rPr>
        <w:t xml:space="preserve">                  </w:t>
      </w:r>
    </w:p>
    <w:p>
      <w:pPr>
        <w:spacing w:line="460" w:lineRule="exact"/>
        <w:ind w:left="192"/>
        <w:rPr>
          <w:sz w:val="24"/>
        </w:rPr>
      </w:pPr>
      <w:r>
        <w:rPr>
          <w:sz w:val="24"/>
        </w:rPr>
        <w:t>项目编号：</w:t>
      </w:r>
      <w:r>
        <w:rPr>
          <w:sz w:val="24"/>
          <w:u w:val="single"/>
        </w:rPr>
        <w:t xml:space="preserve">                    </w:t>
      </w:r>
      <w:r>
        <w:rPr>
          <w:sz w:val="24"/>
        </w:rPr>
        <w:t xml:space="preserve">                  </w:t>
      </w:r>
    </w:p>
    <w:p>
      <w:pPr>
        <w:spacing w:line="460" w:lineRule="exact"/>
        <w:rPr>
          <w:sz w:val="24"/>
        </w:rPr>
      </w:pPr>
      <w:r>
        <w:rPr>
          <w:sz w:val="24"/>
        </w:rPr>
        <w:t xml:space="preserve">                                                       单位：元</w:t>
      </w:r>
    </w:p>
    <w:tbl>
      <w:tblPr>
        <w:tblStyle w:val="22"/>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651"/>
        <w:gridCol w:w="1373"/>
        <w:gridCol w:w="2052"/>
        <w:gridCol w:w="1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vAlign w:val="center"/>
          </w:tcPr>
          <w:p>
            <w:pPr>
              <w:spacing w:line="460" w:lineRule="exact"/>
              <w:jc w:val="center"/>
              <w:rPr>
                <w:sz w:val="24"/>
              </w:rPr>
            </w:pPr>
            <w:r>
              <w:rPr>
                <w:sz w:val="24"/>
              </w:rPr>
              <w:t>包号</w:t>
            </w:r>
          </w:p>
        </w:tc>
        <w:tc>
          <w:tcPr>
            <w:tcW w:w="1473" w:type="pct"/>
            <w:vAlign w:val="center"/>
          </w:tcPr>
          <w:p>
            <w:pPr>
              <w:spacing w:line="460" w:lineRule="exact"/>
              <w:jc w:val="center"/>
              <w:rPr>
                <w:sz w:val="24"/>
              </w:rPr>
            </w:pPr>
            <w:r>
              <w:rPr>
                <w:sz w:val="24"/>
              </w:rPr>
              <w:t>服务名称</w:t>
            </w:r>
          </w:p>
        </w:tc>
        <w:tc>
          <w:tcPr>
            <w:tcW w:w="763" w:type="pct"/>
            <w:vAlign w:val="center"/>
          </w:tcPr>
          <w:p>
            <w:pPr>
              <w:spacing w:line="460" w:lineRule="exact"/>
              <w:jc w:val="center"/>
              <w:rPr>
                <w:sz w:val="24"/>
              </w:rPr>
            </w:pPr>
            <w:r>
              <w:rPr>
                <w:sz w:val="24"/>
              </w:rPr>
              <w:t>数量</w:t>
            </w:r>
          </w:p>
        </w:tc>
        <w:tc>
          <w:tcPr>
            <w:tcW w:w="1140" w:type="pct"/>
            <w:vAlign w:val="center"/>
          </w:tcPr>
          <w:p>
            <w:pPr>
              <w:spacing w:line="460" w:lineRule="exact"/>
              <w:jc w:val="center"/>
              <w:rPr>
                <w:sz w:val="24"/>
              </w:rPr>
            </w:pPr>
            <w:r>
              <w:rPr>
                <w:sz w:val="24"/>
              </w:rPr>
              <w:t>投标总价</w:t>
            </w:r>
          </w:p>
        </w:tc>
        <w:tc>
          <w:tcPr>
            <w:tcW w:w="932" w:type="pct"/>
            <w:vAlign w:val="center"/>
          </w:tcPr>
          <w:p>
            <w:pPr>
              <w:spacing w:line="460" w:lineRule="exact"/>
              <w:jc w:val="center"/>
              <w:rPr>
                <w:sz w:val="24"/>
              </w:rPr>
            </w:pPr>
            <w:r>
              <w:rPr>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vAlign w:val="center"/>
          </w:tcPr>
          <w:p>
            <w:pPr>
              <w:spacing w:line="460" w:lineRule="exact"/>
              <w:jc w:val="center"/>
              <w:rPr>
                <w:sz w:val="24"/>
              </w:rPr>
            </w:pPr>
            <w:r>
              <w:rPr>
                <w:rFonts w:hint="eastAsia"/>
                <w:sz w:val="24"/>
              </w:rPr>
              <w:t>1</w:t>
            </w:r>
          </w:p>
        </w:tc>
        <w:tc>
          <w:tcPr>
            <w:tcW w:w="1473" w:type="pct"/>
            <w:vAlign w:val="center"/>
          </w:tcPr>
          <w:p>
            <w:pPr>
              <w:spacing w:line="460" w:lineRule="exact"/>
              <w:jc w:val="center"/>
              <w:rPr>
                <w:sz w:val="24"/>
              </w:rPr>
            </w:pPr>
            <w:r>
              <w:rPr>
                <w:rFonts w:hint="eastAsia"/>
                <w:sz w:val="24"/>
              </w:rPr>
              <w:t>国家税务总局天津市河西区税务局广东路徽州道办公区物业管理</w:t>
            </w:r>
          </w:p>
        </w:tc>
        <w:tc>
          <w:tcPr>
            <w:tcW w:w="763" w:type="pct"/>
            <w:vAlign w:val="center"/>
          </w:tcPr>
          <w:p>
            <w:pPr>
              <w:spacing w:line="460" w:lineRule="exact"/>
              <w:jc w:val="center"/>
              <w:rPr>
                <w:sz w:val="24"/>
              </w:rPr>
            </w:pPr>
            <w:r>
              <w:rPr>
                <w:rFonts w:hint="eastAsia"/>
                <w:sz w:val="24"/>
              </w:rPr>
              <w:t>1项</w:t>
            </w:r>
          </w:p>
        </w:tc>
        <w:tc>
          <w:tcPr>
            <w:tcW w:w="1140" w:type="pct"/>
            <w:vAlign w:val="center"/>
          </w:tcPr>
          <w:p>
            <w:pPr>
              <w:spacing w:line="460" w:lineRule="exact"/>
              <w:jc w:val="center"/>
              <w:rPr>
                <w:sz w:val="24"/>
              </w:rPr>
            </w:pPr>
          </w:p>
        </w:tc>
        <w:tc>
          <w:tcPr>
            <w:tcW w:w="932" w:type="pct"/>
            <w:vAlign w:val="center"/>
          </w:tcPr>
          <w:p>
            <w:pPr>
              <w:spacing w:line="460" w:lineRule="exact"/>
              <w:jc w:val="center"/>
              <w:rPr>
                <w:sz w:val="24"/>
              </w:rPr>
            </w:pPr>
            <w:r>
              <w:rPr>
                <w:sz w:val="24"/>
              </w:rPr>
              <w:t>服务期一年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pPr>
              <w:spacing w:line="460" w:lineRule="exact"/>
              <w:rPr>
                <w:sz w:val="24"/>
              </w:rPr>
            </w:pPr>
          </w:p>
        </w:tc>
        <w:tc>
          <w:tcPr>
            <w:tcW w:w="1473" w:type="pct"/>
          </w:tcPr>
          <w:p>
            <w:pPr>
              <w:spacing w:line="460" w:lineRule="exact"/>
              <w:rPr>
                <w:sz w:val="24"/>
              </w:rPr>
            </w:pPr>
          </w:p>
        </w:tc>
        <w:tc>
          <w:tcPr>
            <w:tcW w:w="763" w:type="pct"/>
          </w:tcPr>
          <w:p>
            <w:pPr>
              <w:spacing w:line="460" w:lineRule="exact"/>
              <w:rPr>
                <w:sz w:val="24"/>
              </w:rPr>
            </w:pPr>
          </w:p>
        </w:tc>
        <w:tc>
          <w:tcPr>
            <w:tcW w:w="1140" w:type="pct"/>
          </w:tcPr>
          <w:p>
            <w:pPr>
              <w:spacing w:line="460" w:lineRule="exact"/>
              <w:rPr>
                <w:sz w:val="24"/>
              </w:rPr>
            </w:pPr>
          </w:p>
        </w:tc>
        <w:tc>
          <w:tcPr>
            <w:tcW w:w="932"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pPr>
              <w:spacing w:line="460" w:lineRule="exact"/>
              <w:rPr>
                <w:sz w:val="24"/>
              </w:rPr>
            </w:pPr>
          </w:p>
        </w:tc>
        <w:tc>
          <w:tcPr>
            <w:tcW w:w="1473" w:type="pct"/>
          </w:tcPr>
          <w:p>
            <w:pPr>
              <w:spacing w:line="460" w:lineRule="exact"/>
              <w:rPr>
                <w:sz w:val="24"/>
              </w:rPr>
            </w:pPr>
          </w:p>
        </w:tc>
        <w:tc>
          <w:tcPr>
            <w:tcW w:w="763" w:type="pct"/>
          </w:tcPr>
          <w:p>
            <w:pPr>
              <w:spacing w:line="460" w:lineRule="exact"/>
              <w:rPr>
                <w:sz w:val="24"/>
              </w:rPr>
            </w:pPr>
          </w:p>
        </w:tc>
        <w:tc>
          <w:tcPr>
            <w:tcW w:w="1140" w:type="pct"/>
          </w:tcPr>
          <w:p>
            <w:pPr>
              <w:spacing w:line="460" w:lineRule="exact"/>
              <w:rPr>
                <w:sz w:val="24"/>
              </w:rPr>
            </w:pPr>
          </w:p>
        </w:tc>
        <w:tc>
          <w:tcPr>
            <w:tcW w:w="932"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pPr>
              <w:spacing w:line="460" w:lineRule="exact"/>
              <w:rPr>
                <w:sz w:val="24"/>
              </w:rPr>
            </w:pPr>
          </w:p>
        </w:tc>
        <w:tc>
          <w:tcPr>
            <w:tcW w:w="1473" w:type="pct"/>
          </w:tcPr>
          <w:p>
            <w:pPr>
              <w:spacing w:line="460" w:lineRule="exact"/>
              <w:rPr>
                <w:sz w:val="24"/>
              </w:rPr>
            </w:pPr>
          </w:p>
        </w:tc>
        <w:tc>
          <w:tcPr>
            <w:tcW w:w="763" w:type="pct"/>
          </w:tcPr>
          <w:p>
            <w:pPr>
              <w:spacing w:line="460" w:lineRule="exact"/>
              <w:rPr>
                <w:sz w:val="24"/>
              </w:rPr>
            </w:pPr>
          </w:p>
        </w:tc>
        <w:tc>
          <w:tcPr>
            <w:tcW w:w="1140" w:type="pct"/>
          </w:tcPr>
          <w:p>
            <w:pPr>
              <w:spacing w:line="460" w:lineRule="exact"/>
              <w:rPr>
                <w:sz w:val="24"/>
              </w:rPr>
            </w:pPr>
          </w:p>
        </w:tc>
        <w:tc>
          <w:tcPr>
            <w:tcW w:w="932"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pPr>
              <w:spacing w:line="460" w:lineRule="exact"/>
              <w:rPr>
                <w:sz w:val="24"/>
              </w:rPr>
            </w:pPr>
          </w:p>
        </w:tc>
        <w:tc>
          <w:tcPr>
            <w:tcW w:w="1473" w:type="pct"/>
          </w:tcPr>
          <w:p>
            <w:pPr>
              <w:spacing w:line="460" w:lineRule="exact"/>
              <w:rPr>
                <w:sz w:val="24"/>
              </w:rPr>
            </w:pPr>
          </w:p>
        </w:tc>
        <w:tc>
          <w:tcPr>
            <w:tcW w:w="763" w:type="pct"/>
          </w:tcPr>
          <w:p>
            <w:pPr>
              <w:spacing w:line="460" w:lineRule="exact"/>
              <w:rPr>
                <w:sz w:val="24"/>
              </w:rPr>
            </w:pPr>
          </w:p>
        </w:tc>
        <w:tc>
          <w:tcPr>
            <w:tcW w:w="1140" w:type="pct"/>
          </w:tcPr>
          <w:p>
            <w:pPr>
              <w:spacing w:line="460" w:lineRule="exact"/>
              <w:rPr>
                <w:sz w:val="24"/>
              </w:rPr>
            </w:pPr>
          </w:p>
        </w:tc>
        <w:tc>
          <w:tcPr>
            <w:tcW w:w="932"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pPr>
              <w:spacing w:line="460" w:lineRule="exact"/>
              <w:rPr>
                <w:sz w:val="24"/>
              </w:rPr>
            </w:pPr>
          </w:p>
        </w:tc>
        <w:tc>
          <w:tcPr>
            <w:tcW w:w="1473" w:type="pct"/>
          </w:tcPr>
          <w:p>
            <w:pPr>
              <w:spacing w:line="460" w:lineRule="exact"/>
              <w:rPr>
                <w:sz w:val="24"/>
              </w:rPr>
            </w:pPr>
          </w:p>
        </w:tc>
        <w:tc>
          <w:tcPr>
            <w:tcW w:w="763" w:type="pct"/>
          </w:tcPr>
          <w:p>
            <w:pPr>
              <w:spacing w:line="460" w:lineRule="exact"/>
              <w:rPr>
                <w:sz w:val="24"/>
              </w:rPr>
            </w:pPr>
          </w:p>
        </w:tc>
        <w:tc>
          <w:tcPr>
            <w:tcW w:w="1140" w:type="pct"/>
          </w:tcPr>
          <w:p>
            <w:pPr>
              <w:spacing w:line="460" w:lineRule="exact"/>
              <w:rPr>
                <w:sz w:val="24"/>
              </w:rPr>
            </w:pPr>
          </w:p>
        </w:tc>
        <w:tc>
          <w:tcPr>
            <w:tcW w:w="932"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pPr>
              <w:spacing w:line="460" w:lineRule="exact"/>
              <w:rPr>
                <w:sz w:val="24"/>
              </w:rPr>
            </w:pPr>
          </w:p>
        </w:tc>
        <w:tc>
          <w:tcPr>
            <w:tcW w:w="1473" w:type="pct"/>
          </w:tcPr>
          <w:p>
            <w:pPr>
              <w:spacing w:line="460" w:lineRule="exact"/>
              <w:rPr>
                <w:sz w:val="24"/>
              </w:rPr>
            </w:pPr>
          </w:p>
        </w:tc>
        <w:tc>
          <w:tcPr>
            <w:tcW w:w="763" w:type="pct"/>
          </w:tcPr>
          <w:p>
            <w:pPr>
              <w:spacing w:line="460" w:lineRule="exact"/>
              <w:rPr>
                <w:sz w:val="24"/>
              </w:rPr>
            </w:pPr>
          </w:p>
        </w:tc>
        <w:tc>
          <w:tcPr>
            <w:tcW w:w="1140" w:type="pct"/>
          </w:tcPr>
          <w:p>
            <w:pPr>
              <w:spacing w:line="460" w:lineRule="exact"/>
              <w:rPr>
                <w:sz w:val="24"/>
              </w:rPr>
            </w:pPr>
          </w:p>
        </w:tc>
        <w:tc>
          <w:tcPr>
            <w:tcW w:w="932"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pPr>
              <w:spacing w:line="460" w:lineRule="exact"/>
              <w:rPr>
                <w:sz w:val="24"/>
              </w:rPr>
            </w:pPr>
          </w:p>
        </w:tc>
        <w:tc>
          <w:tcPr>
            <w:tcW w:w="1473" w:type="pct"/>
          </w:tcPr>
          <w:p>
            <w:pPr>
              <w:spacing w:line="460" w:lineRule="exact"/>
              <w:rPr>
                <w:sz w:val="24"/>
              </w:rPr>
            </w:pPr>
          </w:p>
        </w:tc>
        <w:tc>
          <w:tcPr>
            <w:tcW w:w="763" w:type="pct"/>
          </w:tcPr>
          <w:p>
            <w:pPr>
              <w:spacing w:line="460" w:lineRule="exact"/>
              <w:rPr>
                <w:sz w:val="24"/>
              </w:rPr>
            </w:pPr>
          </w:p>
        </w:tc>
        <w:tc>
          <w:tcPr>
            <w:tcW w:w="1140" w:type="pct"/>
          </w:tcPr>
          <w:p>
            <w:pPr>
              <w:spacing w:line="460" w:lineRule="exact"/>
              <w:rPr>
                <w:sz w:val="24"/>
              </w:rPr>
            </w:pPr>
          </w:p>
        </w:tc>
        <w:tc>
          <w:tcPr>
            <w:tcW w:w="932" w:type="pct"/>
          </w:tcPr>
          <w:p>
            <w:pPr>
              <w:spacing w:line="460" w:lineRule="exact"/>
              <w:rPr>
                <w:sz w:val="24"/>
              </w:rPr>
            </w:pPr>
          </w:p>
        </w:tc>
      </w:tr>
    </w:tbl>
    <w:p>
      <w:pPr>
        <w:spacing w:line="360" w:lineRule="auto"/>
        <w:ind w:right="84" w:firstLine="420"/>
        <w:rPr>
          <w:b/>
          <w:position w:val="-40"/>
          <w:sz w:val="24"/>
        </w:rPr>
      </w:pPr>
    </w:p>
    <w:p>
      <w:pPr>
        <w:spacing w:line="460" w:lineRule="exact"/>
        <w:ind w:left="192"/>
        <w:rPr>
          <w:sz w:val="24"/>
        </w:rPr>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 xml:space="preserve">日期：  </w:t>
      </w:r>
    </w:p>
    <w:p>
      <w:pPr>
        <w:spacing w:line="360" w:lineRule="auto"/>
        <w:ind w:right="84" w:firstLine="420"/>
        <w:rPr>
          <w:position w:val="-40"/>
          <w:sz w:val="24"/>
        </w:rPr>
      </w:pPr>
      <w:r>
        <w:rPr>
          <w:position w:val="-40"/>
          <w:sz w:val="24"/>
        </w:rPr>
        <w:t xml:space="preserve"> </w:t>
      </w:r>
    </w:p>
    <w:p>
      <w:pPr>
        <w:spacing w:line="360" w:lineRule="auto"/>
        <w:ind w:right="84" w:firstLine="420"/>
        <w:rPr>
          <w:position w:val="-40"/>
          <w:sz w:val="24"/>
        </w:rPr>
      </w:pPr>
    </w:p>
    <w:p>
      <w:pPr>
        <w:spacing w:line="360" w:lineRule="auto"/>
        <w:ind w:right="84" w:firstLine="420"/>
        <w:rPr>
          <w:position w:val="-40"/>
          <w:sz w:val="24"/>
        </w:rPr>
      </w:pPr>
      <w:r>
        <w:rPr>
          <w:position w:val="-40"/>
          <w:sz w:val="24"/>
        </w:rPr>
        <w:t xml:space="preserve"> </w:t>
      </w:r>
    </w:p>
    <w:p>
      <w:pPr>
        <w:spacing w:line="360" w:lineRule="auto"/>
        <w:ind w:right="84" w:firstLine="420"/>
        <w:rPr>
          <w:position w:val="-40"/>
          <w:sz w:val="24"/>
        </w:rPr>
      </w:pPr>
    </w:p>
    <w:p>
      <w:pPr>
        <w:widowControl/>
        <w:jc w:val="left"/>
        <w:rPr>
          <w:b/>
          <w:sz w:val="24"/>
        </w:rPr>
      </w:pPr>
      <w:r>
        <w:rPr>
          <w:b/>
          <w:sz w:val="24"/>
        </w:rPr>
        <w:br w:type="page"/>
      </w:r>
    </w:p>
    <w:p>
      <w:pPr>
        <w:spacing w:line="460" w:lineRule="exact"/>
        <w:rPr>
          <w:b/>
          <w:sz w:val="24"/>
        </w:rPr>
      </w:pPr>
      <w:r>
        <w:rPr>
          <w:b/>
          <w:sz w:val="24"/>
        </w:rPr>
        <w:t>附件3</w:t>
      </w:r>
    </w:p>
    <w:p>
      <w:pPr>
        <w:tabs>
          <w:tab w:val="left" w:pos="3780"/>
          <w:tab w:val="left" w:pos="3960"/>
        </w:tabs>
        <w:spacing w:line="460" w:lineRule="exact"/>
        <w:jc w:val="center"/>
        <w:rPr>
          <w:b/>
          <w:sz w:val="24"/>
        </w:rPr>
      </w:pPr>
      <w:r>
        <w:rPr>
          <w:b/>
          <w:sz w:val="24"/>
        </w:rPr>
        <w:t>开标分项一览表</w:t>
      </w:r>
    </w:p>
    <w:p>
      <w:pPr>
        <w:spacing w:line="460" w:lineRule="exact"/>
        <w:ind w:left="192"/>
        <w:rPr>
          <w:sz w:val="24"/>
        </w:rPr>
      </w:pPr>
      <w:r>
        <w:rPr>
          <w:sz w:val="24"/>
        </w:rPr>
        <w:t>项目名称：</w:t>
      </w:r>
      <w:r>
        <w:rPr>
          <w:sz w:val="24"/>
          <w:u w:val="single"/>
        </w:rPr>
        <w:t xml:space="preserve">                    </w:t>
      </w:r>
    </w:p>
    <w:p>
      <w:pPr>
        <w:spacing w:line="460" w:lineRule="exact"/>
        <w:ind w:left="192"/>
        <w:rPr>
          <w:sz w:val="24"/>
        </w:rPr>
      </w:pPr>
      <w:r>
        <w:rPr>
          <w:sz w:val="24"/>
        </w:rPr>
        <w:t>项目编号：</w:t>
      </w:r>
      <w:r>
        <w:rPr>
          <w:sz w:val="24"/>
          <w:u w:val="single"/>
        </w:rPr>
        <w:t xml:space="preserve">                    </w:t>
      </w:r>
    </w:p>
    <w:p>
      <w:pPr>
        <w:spacing w:line="460" w:lineRule="exact"/>
        <w:ind w:left="192"/>
        <w:rPr>
          <w:sz w:val="24"/>
        </w:rPr>
      </w:pPr>
      <w:r>
        <w:rPr>
          <w:sz w:val="24"/>
        </w:rPr>
        <w:t>包    号：</w:t>
      </w:r>
      <w:r>
        <w:rPr>
          <w:sz w:val="24"/>
          <w:u w:val="single"/>
        </w:rPr>
        <w:t xml:space="preserve">                    </w:t>
      </w:r>
    </w:p>
    <w:p>
      <w:pPr>
        <w:spacing w:line="460" w:lineRule="exact"/>
        <w:ind w:firstLine="6496" w:firstLineChars="2900"/>
        <w:rPr>
          <w:sz w:val="24"/>
        </w:rPr>
      </w:pPr>
      <w:r>
        <w:rPr>
          <w:sz w:val="24"/>
        </w:rPr>
        <w:t>单位：元</w:t>
      </w:r>
    </w:p>
    <w:tbl>
      <w:tblPr>
        <w:tblStyle w:val="22"/>
        <w:tblW w:w="46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3395"/>
        <w:gridCol w:w="3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szCs w:val="21"/>
              </w:rPr>
              <w:t>序号</w:t>
            </w:r>
          </w:p>
        </w:tc>
        <w:tc>
          <w:tcPr>
            <w:tcW w:w="2121" w:type="pct"/>
            <w:vAlign w:val="center"/>
          </w:tcPr>
          <w:p>
            <w:pPr>
              <w:jc w:val="center"/>
              <w:rPr>
                <w:szCs w:val="21"/>
              </w:rPr>
            </w:pPr>
            <w:r>
              <w:rPr>
                <w:szCs w:val="21"/>
              </w:rPr>
              <w:t>价格分项组成</w:t>
            </w:r>
          </w:p>
        </w:tc>
        <w:tc>
          <w:tcPr>
            <w:tcW w:w="2218" w:type="pct"/>
            <w:vAlign w:val="center"/>
          </w:tcPr>
          <w:p>
            <w:pPr>
              <w:jc w:val="center"/>
              <w:rPr>
                <w:szCs w:val="21"/>
              </w:rPr>
            </w:pPr>
            <w:r>
              <w:rPr>
                <w:szCs w:val="21"/>
              </w:rPr>
              <w:t>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restart"/>
            <w:vAlign w:val="center"/>
          </w:tcPr>
          <w:p>
            <w:pPr>
              <w:jc w:val="center"/>
              <w:rPr>
                <w:szCs w:val="21"/>
              </w:rPr>
            </w:pPr>
            <w:r>
              <w:rPr>
                <w:szCs w:val="21"/>
              </w:rPr>
              <w:t>1</w:t>
            </w:r>
          </w:p>
        </w:tc>
        <w:tc>
          <w:tcPr>
            <w:tcW w:w="2121" w:type="pct"/>
            <w:vMerge w:val="restart"/>
            <w:vAlign w:val="center"/>
          </w:tcPr>
          <w:p>
            <w:pPr>
              <w:jc w:val="center"/>
              <w:rPr>
                <w:szCs w:val="21"/>
              </w:rPr>
            </w:pPr>
            <w:r>
              <w:rPr>
                <w:szCs w:val="21"/>
              </w:rPr>
              <w:t>人员费用</w:t>
            </w:r>
          </w:p>
        </w:tc>
        <w:tc>
          <w:tcPr>
            <w:tcW w:w="2218" w:type="pct"/>
            <w:vAlign w:val="center"/>
          </w:tcPr>
          <w:p>
            <w:pPr>
              <w:jc w:val="left"/>
              <w:rPr>
                <w:szCs w:val="21"/>
              </w:rPr>
            </w:pPr>
            <w:r>
              <w:rPr>
                <w:szCs w:val="21"/>
              </w:rPr>
              <w:t>人员工资：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szCs w:val="21"/>
              </w:rPr>
            </w:pPr>
          </w:p>
        </w:tc>
        <w:tc>
          <w:tcPr>
            <w:tcW w:w="2121" w:type="pct"/>
            <w:vMerge w:val="continue"/>
            <w:vAlign w:val="center"/>
          </w:tcPr>
          <w:p>
            <w:pPr>
              <w:jc w:val="center"/>
              <w:rPr>
                <w:szCs w:val="21"/>
              </w:rPr>
            </w:pPr>
          </w:p>
        </w:tc>
        <w:tc>
          <w:tcPr>
            <w:tcW w:w="2218" w:type="pct"/>
            <w:vAlign w:val="center"/>
          </w:tcPr>
          <w:p>
            <w:pPr>
              <w:jc w:val="left"/>
              <w:rPr>
                <w:szCs w:val="21"/>
              </w:rPr>
            </w:pPr>
            <w:r>
              <w:rPr>
                <w:rFonts w:hint="eastAsia"/>
                <w:szCs w:val="21"/>
              </w:rPr>
              <w:t>社会保险：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szCs w:val="21"/>
              </w:rPr>
            </w:pPr>
          </w:p>
        </w:tc>
        <w:tc>
          <w:tcPr>
            <w:tcW w:w="2121" w:type="pct"/>
            <w:vMerge w:val="continue"/>
            <w:vAlign w:val="center"/>
          </w:tcPr>
          <w:p>
            <w:pPr>
              <w:jc w:val="center"/>
              <w:rPr>
                <w:szCs w:val="21"/>
              </w:rPr>
            </w:pPr>
          </w:p>
        </w:tc>
        <w:tc>
          <w:tcPr>
            <w:tcW w:w="2218" w:type="pct"/>
            <w:vAlign w:val="center"/>
          </w:tcPr>
          <w:p>
            <w:pPr>
              <w:jc w:val="left"/>
              <w:rPr>
                <w:szCs w:val="21"/>
              </w:rPr>
            </w:pPr>
            <w:r>
              <w:rPr>
                <w:rFonts w:hint="eastAsia"/>
                <w:szCs w:val="21"/>
              </w:rPr>
              <w:t>住房公积金：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szCs w:val="21"/>
              </w:rPr>
            </w:pPr>
          </w:p>
        </w:tc>
        <w:tc>
          <w:tcPr>
            <w:tcW w:w="2121" w:type="pct"/>
            <w:vMerge w:val="continue"/>
            <w:vAlign w:val="center"/>
          </w:tcPr>
          <w:p>
            <w:pPr>
              <w:jc w:val="center"/>
              <w:rPr>
                <w:szCs w:val="21"/>
              </w:rPr>
            </w:pPr>
          </w:p>
        </w:tc>
        <w:tc>
          <w:tcPr>
            <w:tcW w:w="2218" w:type="pct"/>
            <w:vAlign w:val="center"/>
          </w:tcPr>
          <w:p>
            <w:pPr>
              <w:jc w:val="left"/>
              <w:rPr>
                <w:szCs w:val="21"/>
              </w:rPr>
            </w:pPr>
            <w:r>
              <w:rPr>
                <w:szCs w:val="21"/>
              </w:rPr>
              <w:t>福利</w:t>
            </w:r>
            <w:r>
              <w:rPr>
                <w:rFonts w:hint="eastAsia"/>
                <w:szCs w:val="21"/>
              </w:rPr>
              <w:t>费</w:t>
            </w: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szCs w:val="21"/>
              </w:rPr>
            </w:pPr>
          </w:p>
        </w:tc>
        <w:tc>
          <w:tcPr>
            <w:tcW w:w="2121" w:type="pct"/>
            <w:vMerge w:val="continue"/>
            <w:vAlign w:val="center"/>
          </w:tcPr>
          <w:p>
            <w:pPr>
              <w:jc w:val="center"/>
              <w:rPr>
                <w:szCs w:val="21"/>
              </w:rPr>
            </w:pPr>
          </w:p>
        </w:tc>
        <w:tc>
          <w:tcPr>
            <w:tcW w:w="2218" w:type="pct"/>
            <w:vAlign w:val="center"/>
          </w:tcPr>
          <w:p>
            <w:pPr>
              <w:jc w:val="left"/>
              <w:rPr>
                <w:szCs w:val="21"/>
              </w:rPr>
            </w:pPr>
            <w:r>
              <w:rPr>
                <w:rFonts w:hint="eastAsia"/>
                <w:szCs w:val="21"/>
              </w:rPr>
              <w:t>加班费</w:t>
            </w: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pPr>
              <w:jc w:val="center"/>
              <w:rPr>
                <w:szCs w:val="21"/>
              </w:rPr>
            </w:pPr>
          </w:p>
        </w:tc>
        <w:tc>
          <w:tcPr>
            <w:tcW w:w="2121" w:type="pct"/>
            <w:vMerge w:val="continue"/>
            <w:vAlign w:val="center"/>
          </w:tcPr>
          <w:p>
            <w:pPr>
              <w:jc w:val="center"/>
              <w:rPr>
                <w:szCs w:val="21"/>
              </w:rPr>
            </w:pPr>
          </w:p>
        </w:tc>
        <w:tc>
          <w:tcPr>
            <w:tcW w:w="2218" w:type="pct"/>
            <w:vAlign w:val="center"/>
          </w:tcPr>
          <w:p>
            <w:pPr>
              <w:jc w:val="left"/>
              <w:rPr>
                <w:szCs w:val="21"/>
              </w:rPr>
            </w:pPr>
            <w:r>
              <w:rPr>
                <w:rFonts w:hint="eastAsia"/>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661" w:type="pct"/>
            <w:vAlign w:val="center"/>
          </w:tcPr>
          <w:p>
            <w:pPr>
              <w:jc w:val="center"/>
              <w:rPr>
                <w:szCs w:val="21"/>
              </w:rPr>
            </w:pPr>
            <w:r>
              <w:rPr>
                <w:rFonts w:hint="eastAsia"/>
                <w:szCs w:val="21"/>
              </w:rPr>
              <w:t>2</w:t>
            </w:r>
          </w:p>
        </w:tc>
        <w:tc>
          <w:tcPr>
            <w:tcW w:w="2121" w:type="pct"/>
            <w:vAlign w:val="center"/>
          </w:tcPr>
          <w:p>
            <w:pPr>
              <w:jc w:val="center"/>
              <w:rPr>
                <w:szCs w:val="21"/>
              </w:rPr>
            </w:pPr>
            <w:r>
              <w:rPr>
                <w:rFonts w:hint="eastAsia"/>
                <w:szCs w:val="21"/>
              </w:rPr>
              <w:t>保洁</w:t>
            </w:r>
            <w:r>
              <w:rPr>
                <w:szCs w:val="21"/>
              </w:rPr>
              <w:t>工具耗材费用</w:t>
            </w:r>
          </w:p>
        </w:tc>
        <w:tc>
          <w:tcPr>
            <w:tcW w:w="2218" w:type="pct"/>
            <w:vAlign w:val="center"/>
          </w:tcPr>
          <w:p>
            <w:pPr>
              <w:jc w:val="center"/>
              <w:rPr>
                <w:szCs w:val="21"/>
              </w:rPr>
            </w:pPr>
            <w:r>
              <w:rPr>
                <w:szCs w:val="21"/>
              </w:rPr>
              <w:t>13513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661" w:type="pct"/>
            <w:vAlign w:val="center"/>
          </w:tcPr>
          <w:p>
            <w:pPr>
              <w:jc w:val="center"/>
              <w:rPr>
                <w:szCs w:val="21"/>
              </w:rPr>
            </w:pPr>
            <w:r>
              <w:rPr>
                <w:rFonts w:hint="eastAsia"/>
                <w:szCs w:val="21"/>
              </w:rPr>
              <w:t>3</w:t>
            </w:r>
          </w:p>
        </w:tc>
        <w:tc>
          <w:tcPr>
            <w:tcW w:w="2121" w:type="pct"/>
            <w:vAlign w:val="center"/>
          </w:tcPr>
          <w:p>
            <w:pPr>
              <w:jc w:val="center"/>
              <w:rPr>
                <w:szCs w:val="21"/>
              </w:rPr>
            </w:pPr>
            <w:r>
              <w:rPr>
                <w:szCs w:val="21"/>
              </w:rPr>
              <w:t>秩序维护</w:t>
            </w:r>
            <w:r>
              <w:rPr>
                <w:rFonts w:hint="eastAsia"/>
                <w:szCs w:val="21"/>
              </w:rPr>
              <w:t>工具耗材</w:t>
            </w:r>
            <w:r>
              <w:rPr>
                <w:szCs w:val="21"/>
              </w:rPr>
              <w:t>费用</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661" w:type="pct"/>
            <w:vAlign w:val="center"/>
          </w:tcPr>
          <w:p>
            <w:pPr>
              <w:jc w:val="center"/>
              <w:rPr>
                <w:szCs w:val="21"/>
              </w:rPr>
            </w:pPr>
            <w:r>
              <w:rPr>
                <w:rFonts w:hint="eastAsia"/>
                <w:szCs w:val="21"/>
              </w:rPr>
              <w:t>4</w:t>
            </w:r>
          </w:p>
        </w:tc>
        <w:tc>
          <w:tcPr>
            <w:tcW w:w="2121" w:type="pct"/>
            <w:vAlign w:val="center"/>
          </w:tcPr>
          <w:p>
            <w:pPr>
              <w:jc w:val="center"/>
              <w:rPr>
                <w:szCs w:val="21"/>
              </w:rPr>
            </w:pPr>
            <w:r>
              <w:rPr>
                <w:rFonts w:hint="eastAsia"/>
                <w:szCs w:val="21"/>
              </w:rPr>
              <w:t>消防维保、电梯年检、中央空调维保费用</w:t>
            </w:r>
          </w:p>
        </w:tc>
        <w:tc>
          <w:tcPr>
            <w:tcW w:w="2218" w:type="pct"/>
            <w:vAlign w:val="center"/>
          </w:tcPr>
          <w:p>
            <w:pPr>
              <w:jc w:val="center"/>
              <w:rPr>
                <w:szCs w:val="21"/>
              </w:rPr>
            </w:pPr>
            <w:r>
              <w:rPr>
                <w:szCs w:val="21"/>
              </w:rPr>
              <w:t>157638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5</w:t>
            </w:r>
          </w:p>
        </w:tc>
        <w:tc>
          <w:tcPr>
            <w:tcW w:w="2121" w:type="pct"/>
            <w:vAlign w:val="center"/>
          </w:tcPr>
          <w:p>
            <w:pPr>
              <w:jc w:val="center"/>
              <w:rPr>
                <w:szCs w:val="21"/>
              </w:rPr>
            </w:pPr>
            <w:r>
              <w:rPr>
                <w:rFonts w:hint="eastAsia"/>
                <w:szCs w:val="21"/>
              </w:rPr>
              <w:t>服装费用</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6</w:t>
            </w:r>
          </w:p>
        </w:tc>
        <w:tc>
          <w:tcPr>
            <w:tcW w:w="2121" w:type="pct"/>
            <w:vAlign w:val="center"/>
          </w:tcPr>
          <w:p>
            <w:pPr>
              <w:jc w:val="center"/>
              <w:rPr>
                <w:szCs w:val="21"/>
              </w:rPr>
            </w:pPr>
            <w:r>
              <w:rPr>
                <w:szCs w:val="21"/>
              </w:rPr>
              <w:t>办公费用</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7</w:t>
            </w:r>
          </w:p>
        </w:tc>
        <w:tc>
          <w:tcPr>
            <w:tcW w:w="2121" w:type="pct"/>
            <w:vAlign w:val="center"/>
          </w:tcPr>
          <w:p>
            <w:pPr>
              <w:jc w:val="center"/>
              <w:rPr>
                <w:szCs w:val="21"/>
              </w:rPr>
            </w:pPr>
            <w:r>
              <w:rPr>
                <w:szCs w:val="21"/>
              </w:rPr>
              <w:t>固定资产折旧</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8</w:t>
            </w:r>
          </w:p>
        </w:tc>
        <w:tc>
          <w:tcPr>
            <w:tcW w:w="2121" w:type="pct"/>
            <w:vAlign w:val="center"/>
          </w:tcPr>
          <w:p>
            <w:pPr>
              <w:jc w:val="center"/>
              <w:rPr>
                <w:szCs w:val="21"/>
              </w:rPr>
            </w:pPr>
            <w:r>
              <w:rPr>
                <w:szCs w:val="21"/>
              </w:rPr>
              <w:t>利润</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9</w:t>
            </w:r>
          </w:p>
        </w:tc>
        <w:tc>
          <w:tcPr>
            <w:tcW w:w="2121" w:type="pct"/>
            <w:vAlign w:val="center"/>
          </w:tcPr>
          <w:p>
            <w:pPr>
              <w:jc w:val="center"/>
              <w:rPr>
                <w:szCs w:val="21"/>
              </w:rPr>
            </w:pPr>
            <w:r>
              <w:rPr>
                <w:szCs w:val="21"/>
              </w:rPr>
              <w:t>税金</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pPr>
              <w:jc w:val="center"/>
              <w:rPr>
                <w:szCs w:val="21"/>
              </w:rPr>
            </w:pPr>
            <w:r>
              <w:rPr>
                <w:rFonts w:hint="eastAsia"/>
                <w:szCs w:val="21"/>
              </w:rPr>
              <w:t>10</w:t>
            </w:r>
          </w:p>
        </w:tc>
        <w:tc>
          <w:tcPr>
            <w:tcW w:w="2121" w:type="pct"/>
            <w:vAlign w:val="center"/>
          </w:tcPr>
          <w:p>
            <w:pPr>
              <w:jc w:val="center"/>
              <w:rPr>
                <w:szCs w:val="21"/>
              </w:rPr>
            </w:pPr>
            <w:r>
              <w:rPr>
                <w:szCs w:val="21"/>
              </w:rPr>
              <w:t>其他需要列明的费用</w:t>
            </w:r>
          </w:p>
        </w:tc>
        <w:tc>
          <w:tcPr>
            <w:tcW w:w="2218" w:type="pct"/>
            <w:vAlign w:val="center"/>
          </w:tcPr>
          <w:p>
            <w:pPr>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82" w:type="pct"/>
            <w:gridSpan w:val="2"/>
            <w:vAlign w:val="center"/>
          </w:tcPr>
          <w:p>
            <w:pPr>
              <w:jc w:val="center"/>
              <w:rPr>
                <w:szCs w:val="21"/>
              </w:rPr>
            </w:pPr>
            <w:r>
              <w:rPr>
                <w:szCs w:val="21"/>
              </w:rPr>
              <w:t>合计</w:t>
            </w:r>
          </w:p>
        </w:tc>
        <w:tc>
          <w:tcPr>
            <w:tcW w:w="2218" w:type="pct"/>
            <w:vAlign w:val="center"/>
          </w:tcPr>
          <w:p>
            <w:pPr>
              <w:jc w:val="left"/>
              <w:rPr>
                <w:szCs w:val="21"/>
              </w:rPr>
            </w:pPr>
          </w:p>
        </w:tc>
      </w:tr>
    </w:tbl>
    <w:p>
      <w:pPr>
        <w:spacing w:line="360" w:lineRule="auto"/>
        <w:rPr>
          <w:kern w:val="0"/>
          <w:sz w:val="24"/>
          <w:szCs w:val="24"/>
        </w:rPr>
      </w:pPr>
      <w:r>
        <w:rPr>
          <w:kern w:val="0"/>
          <w:sz w:val="24"/>
          <w:szCs w:val="24"/>
        </w:rPr>
        <w:t>注：1. 上述合计价格应为服务期的最终优惠价格。</w:t>
      </w:r>
    </w:p>
    <w:p>
      <w:pPr>
        <w:spacing w:line="360" w:lineRule="auto"/>
        <w:ind w:firstLine="448" w:firstLineChars="200"/>
        <w:rPr>
          <w:kern w:val="0"/>
          <w:sz w:val="24"/>
          <w:szCs w:val="24"/>
        </w:rPr>
      </w:pPr>
      <w:r>
        <w:rPr>
          <w:kern w:val="0"/>
          <w:sz w:val="24"/>
          <w:szCs w:val="24"/>
        </w:rPr>
        <w:t xml:space="preserve">2. </w:t>
      </w:r>
      <w:r>
        <w:rPr>
          <w:rFonts w:hint="eastAsia"/>
          <w:kern w:val="0"/>
          <w:sz w:val="24"/>
          <w:szCs w:val="24"/>
        </w:rPr>
        <w:t>上</w:t>
      </w:r>
      <w:r>
        <w:rPr>
          <w:kern w:val="0"/>
          <w:sz w:val="24"/>
          <w:szCs w:val="24"/>
        </w:rPr>
        <w:t>表合计价格应与《开标一览表》报价金额保持一致。</w:t>
      </w:r>
    </w:p>
    <w:p>
      <w:pPr>
        <w:spacing w:line="360" w:lineRule="auto"/>
        <w:ind w:firstLine="448" w:firstLineChars="200"/>
        <w:rPr>
          <w:kern w:val="0"/>
          <w:sz w:val="24"/>
          <w:szCs w:val="24"/>
        </w:rPr>
      </w:pPr>
      <w:r>
        <w:rPr>
          <w:kern w:val="0"/>
          <w:sz w:val="24"/>
          <w:szCs w:val="24"/>
        </w:rPr>
        <w:t xml:space="preserve">3. </w:t>
      </w:r>
      <w:r>
        <w:rPr>
          <w:rFonts w:hint="eastAsia"/>
          <w:kern w:val="0"/>
          <w:sz w:val="24"/>
          <w:szCs w:val="24"/>
        </w:rPr>
        <w:t>上表中</w:t>
      </w:r>
      <w:r>
        <w:rPr>
          <w:kern w:val="0"/>
          <w:sz w:val="24"/>
          <w:szCs w:val="24"/>
        </w:rPr>
        <w:t>人员工资</w:t>
      </w:r>
      <w:r>
        <w:rPr>
          <w:rFonts w:hint="eastAsia"/>
          <w:kern w:val="0"/>
          <w:sz w:val="24"/>
          <w:szCs w:val="24"/>
        </w:rPr>
        <w:t>+社会</w:t>
      </w:r>
      <w:r>
        <w:rPr>
          <w:kern w:val="0"/>
          <w:sz w:val="24"/>
          <w:szCs w:val="24"/>
        </w:rPr>
        <w:t>保险</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pPr>
        <w:spacing w:line="360" w:lineRule="auto"/>
        <w:ind w:firstLine="448" w:firstLineChars="200"/>
        <w:rPr>
          <w:kern w:val="0"/>
          <w:sz w:val="24"/>
          <w:szCs w:val="24"/>
        </w:rPr>
      </w:pPr>
      <w:r>
        <w:rPr>
          <w:kern w:val="0"/>
          <w:sz w:val="24"/>
          <w:szCs w:val="24"/>
        </w:rPr>
        <w:t>4. 上述表格中列明的条目，在本项目中如不涉及，请填写“不涉及”。</w:t>
      </w:r>
    </w:p>
    <w:p>
      <w:pPr>
        <w:spacing w:line="360" w:lineRule="auto"/>
        <w:ind w:firstLine="448" w:firstLineChars="200"/>
        <w:rPr>
          <w:kern w:val="0"/>
          <w:sz w:val="24"/>
          <w:szCs w:val="24"/>
        </w:rPr>
      </w:pPr>
      <w:r>
        <w:rPr>
          <w:sz w:val="24"/>
          <w:szCs w:val="24"/>
        </w:rPr>
        <w:t xml:space="preserve">5. </w:t>
      </w:r>
      <w:r>
        <w:rPr>
          <w:kern w:val="0"/>
          <w:sz w:val="24"/>
          <w:szCs w:val="24"/>
        </w:rPr>
        <w:t>上述报价不得出现0报价。</w:t>
      </w:r>
    </w:p>
    <w:p>
      <w:pPr>
        <w:spacing w:line="360" w:lineRule="auto"/>
        <w:ind w:firstLine="448" w:firstLineChars="200"/>
        <w:rPr>
          <w:kern w:val="0"/>
          <w:sz w:val="24"/>
          <w:szCs w:val="24"/>
        </w:rPr>
      </w:pPr>
      <w:r>
        <w:rPr>
          <w:rFonts w:hint="eastAsia"/>
          <w:kern w:val="0"/>
          <w:sz w:val="24"/>
          <w:szCs w:val="24"/>
        </w:rPr>
        <w:t>6. 投标报价在不超采购预算的前提下，其合理性由评标委员会在评分中予以考虑。</w:t>
      </w:r>
    </w:p>
    <w:p>
      <w:pPr>
        <w:spacing w:line="360" w:lineRule="auto"/>
        <w:ind w:right="85" w:firstLine="448" w:firstLineChars="200"/>
        <w:rPr>
          <w:sz w:val="24"/>
        </w:rPr>
      </w:pPr>
    </w:p>
    <w:p>
      <w:pPr>
        <w:spacing w:line="360" w:lineRule="auto"/>
        <w:ind w:right="85" w:firstLine="448" w:firstLineChars="200"/>
        <w:rPr>
          <w:sz w:val="24"/>
        </w:rPr>
      </w:pPr>
      <w:r>
        <w:rPr>
          <w:sz w:val="24"/>
        </w:rPr>
        <w:t>投标人名称：</w:t>
      </w:r>
      <w:r>
        <w:rPr>
          <w:rFonts w:hint="eastAsia"/>
          <w:sz w:val="24"/>
        </w:rPr>
        <w:t xml:space="preserve">                                        </w:t>
      </w:r>
    </w:p>
    <w:p>
      <w:pPr>
        <w:spacing w:line="360" w:lineRule="auto"/>
        <w:ind w:right="85" w:firstLine="448" w:firstLineChars="200"/>
        <w:rPr>
          <w:sz w:val="24"/>
        </w:rPr>
      </w:pPr>
    </w:p>
    <w:p>
      <w:pPr>
        <w:spacing w:line="360" w:lineRule="auto"/>
        <w:ind w:right="85" w:firstLine="448" w:firstLineChars="200"/>
        <w:rPr>
          <w:b/>
          <w:sz w:val="24"/>
        </w:rPr>
      </w:pPr>
      <w:r>
        <w:rPr>
          <w:rFonts w:hint="eastAsia"/>
          <w:sz w:val="24"/>
        </w:rPr>
        <w:t xml:space="preserve"> </w:t>
      </w:r>
      <w:r>
        <w:rPr>
          <w:sz w:val="24"/>
        </w:rPr>
        <w:t xml:space="preserve">日期：  </w:t>
      </w:r>
      <w:r>
        <w:rPr>
          <w:rFonts w:hint="eastAsia"/>
          <w:sz w:val="24"/>
        </w:rPr>
        <w:t xml:space="preserve"> </w:t>
      </w:r>
      <w:r>
        <w:rPr>
          <w:b/>
          <w:sz w:val="24"/>
        </w:rPr>
        <w:br w:type="page"/>
      </w:r>
    </w:p>
    <w:p>
      <w:pPr>
        <w:spacing w:line="460" w:lineRule="exact"/>
        <w:rPr>
          <w:b/>
          <w:sz w:val="24"/>
        </w:rPr>
      </w:pPr>
      <w:r>
        <w:rPr>
          <w:b/>
          <w:sz w:val="24"/>
        </w:rPr>
        <w:t>附件4</w:t>
      </w:r>
    </w:p>
    <w:p>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pPr>
        <w:spacing w:line="460" w:lineRule="exact"/>
        <w:ind w:left="192"/>
        <w:rPr>
          <w:sz w:val="24"/>
        </w:rPr>
      </w:pPr>
      <w:r>
        <w:rPr>
          <w:sz w:val="24"/>
        </w:rPr>
        <w:t>项目名称：</w:t>
      </w:r>
      <w:r>
        <w:rPr>
          <w:sz w:val="24"/>
          <w:u w:val="single"/>
        </w:rPr>
        <w:t xml:space="preserve">                    </w:t>
      </w:r>
    </w:p>
    <w:p>
      <w:pPr>
        <w:spacing w:line="460" w:lineRule="exact"/>
        <w:ind w:left="192"/>
        <w:rPr>
          <w:sz w:val="24"/>
        </w:rPr>
      </w:pPr>
      <w:r>
        <w:rPr>
          <w:sz w:val="24"/>
        </w:rPr>
        <w:t>项目编号：</w:t>
      </w:r>
      <w:r>
        <w:rPr>
          <w:sz w:val="24"/>
          <w:u w:val="single"/>
        </w:rPr>
        <w:t xml:space="preserve">                    </w:t>
      </w:r>
    </w:p>
    <w:p>
      <w:pPr>
        <w:spacing w:line="460" w:lineRule="exact"/>
        <w:ind w:left="192"/>
        <w:rPr>
          <w:sz w:val="24"/>
        </w:rPr>
      </w:pPr>
      <w:r>
        <w:rPr>
          <w:sz w:val="24"/>
        </w:rPr>
        <w:t>包    号：</w:t>
      </w:r>
      <w:r>
        <w:rPr>
          <w:sz w:val="24"/>
          <w:u w:val="single"/>
        </w:rPr>
        <w:t xml:space="preserve">                    </w:t>
      </w:r>
    </w:p>
    <w:p>
      <w:pPr>
        <w:spacing w:line="460" w:lineRule="exact"/>
        <w:ind w:firstLine="6496" w:firstLineChars="2900"/>
        <w:rPr>
          <w:sz w:val="24"/>
        </w:rPr>
      </w:pPr>
      <w:r>
        <w:rPr>
          <w:sz w:val="24"/>
        </w:rPr>
        <w:t>单位：元</w:t>
      </w:r>
    </w:p>
    <w:tbl>
      <w:tblPr>
        <w:tblStyle w:val="22"/>
        <w:tblW w:w="10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571"/>
        <w:gridCol w:w="1116"/>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r>
              <w:rPr>
                <w:rFonts w:hint="eastAsia"/>
                <w:sz w:val="24"/>
                <w:szCs w:val="24"/>
              </w:rPr>
              <w:t>序号</w:t>
            </w:r>
          </w:p>
        </w:tc>
        <w:tc>
          <w:tcPr>
            <w:tcW w:w="1356" w:type="dxa"/>
            <w:vAlign w:val="center"/>
          </w:tcPr>
          <w:p>
            <w:pPr>
              <w:jc w:val="center"/>
              <w:rPr>
                <w:sz w:val="24"/>
                <w:szCs w:val="24"/>
              </w:rPr>
            </w:pPr>
            <w:r>
              <w:rPr>
                <w:sz w:val="24"/>
                <w:szCs w:val="24"/>
              </w:rPr>
              <w:t>具体岗位</w:t>
            </w:r>
          </w:p>
        </w:tc>
        <w:tc>
          <w:tcPr>
            <w:tcW w:w="1512" w:type="dxa"/>
            <w:vAlign w:val="center"/>
          </w:tcPr>
          <w:p>
            <w:pPr>
              <w:jc w:val="center"/>
              <w:rPr>
                <w:sz w:val="24"/>
                <w:szCs w:val="24"/>
              </w:rPr>
            </w:pPr>
            <w:r>
              <w:rPr>
                <w:sz w:val="24"/>
                <w:szCs w:val="24"/>
              </w:rPr>
              <w:t>人数（人）</w:t>
            </w:r>
          </w:p>
        </w:tc>
        <w:tc>
          <w:tcPr>
            <w:tcW w:w="1416" w:type="dxa"/>
            <w:vAlign w:val="center"/>
          </w:tcPr>
          <w:p>
            <w:pPr>
              <w:jc w:val="center"/>
              <w:rPr>
                <w:sz w:val="24"/>
                <w:szCs w:val="24"/>
              </w:rPr>
            </w:pPr>
            <w:r>
              <w:rPr>
                <w:sz w:val="24"/>
                <w:szCs w:val="24"/>
              </w:rPr>
              <w:t>月工资/人</w:t>
            </w:r>
          </w:p>
        </w:tc>
        <w:tc>
          <w:tcPr>
            <w:tcW w:w="1296" w:type="dxa"/>
            <w:vAlign w:val="center"/>
          </w:tcPr>
          <w:p>
            <w:pPr>
              <w:jc w:val="center"/>
              <w:rPr>
                <w:sz w:val="24"/>
                <w:szCs w:val="24"/>
              </w:rPr>
            </w:pPr>
            <w:r>
              <w:rPr>
                <w:sz w:val="24"/>
                <w:szCs w:val="24"/>
              </w:rPr>
              <w:t>月保险/人</w:t>
            </w:r>
          </w:p>
        </w:tc>
        <w:tc>
          <w:tcPr>
            <w:tcW w:w="1571" w:type="dxa"/>
            <w:vAlign w:val="center"/>
          </w:tcPr>
          <w:p>
            <w:pPr>
              <w:jc w:val="center"/>
              <w:rPr>
                <w:sz w:val="24"/>
                <w:szCs w:val="24"/>
              </w:rPr>
            </w:pPr>
            <w:r>
              <w:rPr>
                <w:rFonts w:hint="eastAsia"/>
                <w:sz w:val="24"/>
                <w:szCs w:val="24"/>
              </w:rPr>
              <w:t>月公积金/人</w:t>
            </w:r>
          </w:p>
        </w:tc>
        <w:tc>
          <w:tcPr>
            <w:tcW w:w="1116" w:type="dxa"/>
            <w:vAlign w:val="center"/>
          </w:tcPr>
          <w:p>
            <w:pPr>
              <w:jc w:val="center"/>
              <w:rPr>
                <w:sz w:val="24"/>
                <w:szCs w:val="24"/>
              </w:rPr>
            </w:pPr>
            <w:r>
              <w:rPr>
                <w:sz w:val="24"/>
                <w:szCs w:val="24"/>
              </w:rPr>
              <w:t>月小计</w:t>
            </w:r>
          </w:p>
        </w:tc>
        <w:tc>
          <w:tcPr>
            <w:tcW w:w="1066" w:type="dxa"/>
            <w:vAlign w:val="center"/>
          </w:tcPr>
          <w:p>
            <w:pPr>
              <w:jc w:val="center"/>
              <w:rPr>
                <w:sz w:val="24"/>
                <w:szCs w:val="24"/>
              </w:rPr>
            </w:pPr>
            <w:r>
              <w:rPr>
                <w:rFonts w:hint="eastAsia"/>
                <w:sz w:val="24"/>
                <w:szCs w:val="24"/>
              </w:rPr>
              <w:t>年小计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p>
        </w:tc>
        <w:tc>
          <w:tcPr>
            <w:tcW w:w="1356" w:type="dxa"/>
            <w:vAlign w:val="center"/>
          </w:tcPr>
          <w:p>
            <w:pPr>
              <w:jc w:val="center"/>
              <w:rPr>
                <w:sz w:val="24"/>
                <w:szCs w:val="24"/>
              </w:rPr>
            </w:pPr>
          </w:p>
        </w:tc>
        <w:tc>
          <w:tcPr>
            <w:tcW w:w="1512" w:type="dxa"/>
            <w:vAlign w:val="center"/>
          </w:tcPr>
          <w:p>
            <w:pPr>
              <w:jc w:val="center"/>
              <w:rPr>
                <w:sz w:val="24"/>
                <w:szCs w:val="24"/>
              </w:rPr>
            </w:pPr>
          </w:p>
        </w:tc>
        <w:tc>
          <w:tcPr>
            <w:tcW w:w="1416" w:type="dxa"/>
            <w:vAlign w:val="center"/>
          </w:tcPr>
          <w:p>
            <w:pPr>
              <w:jc w:val="center"/>
              <w:rPr>
                <w:sz w:val="24"/>
                <w:szCs w:val="24"/>
              </w:rPr>
            </w:pPr>
          </w:p>
        </w:tc>
        <w:tc>
          <w:tcPr>
            <w:tcW w:w="1296" w:type="dxa"/>
            <w:vAlign w:val="center"/>
          </w:tcPr>
          <w:p>
            <w:pPr>
              <w:jc w:val="center"/>
              <w:rPr>
                <w:sz w:val="24"/>
                <w:szCs w:val="24"/>
              </w:rPr>
            </w:pPr>
          </w:p>
        </w:tc>
        <w:tc>
          <w:tcPr>
            <w:tcW w:w="1571" w:type="dxa"/>
            <w:vAlign w:val="center"/>
          </w:tcPr>
          <w:p>
            <w:pPr>
              <w:jc w:val="center"/>
              <w:rPr>
                <w:sz w:val="24"/>
                <w:szCs w:val="24"/>
              </w:rPr>
            </w:pPr>
          </w:p>
        </w:tc>
        <w:tc>
          <w:tcPr>
            <w:tcW w:w="1116" w:type="dxa"/>
            <w:vAlign w:val="center"/>
          </w:tcPr>
          <w:p>
            <w:pPr>
              <w:jc w:val="center"/>
              <w:rPr>
                <w:sz w:val="24"/>
                <w:szCs w:val="24"/>
              </w:rPr>
            </w:pPr>
          </w:p>
        </w:tc>
        <w:tc>
          <w:tcPr>
            <w:tcW w:w="1066"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p>
        </w:tc>
        <w:tc>
          <w:tcPr>
            <w:tcW w:w="1356" w:type="dxa"/>
            <w:vAlign w:val="center"/>
          </w:tcPr>
          <w:p>
            <w:pPr>
              <w:jc w:val="center"/>
              <w:rPr>
                <w:sz w:val="24"/>
                <w:szCs w:val="24"/>
              </w:rPr>
            </w:pPr>
          </w:p>
        </w:tc>
        <w:tc>
          <w:tcPr>
            <w:tcW w:w="1512" w:type="dxa"/>
            <w:vAlign w:val="center"/>
          </w:tcPr>
          <w:p>
            <w:pPr>
              <w:jc w:val="center"/>
              <w:rPr>
                <w:sz w:val="24"/>
                <w:szCs w:val="24"/>
              </w:rPr>
            </w:pPr>
          </w:p>
        </w:tc>
        <w:tc>
          <w:tcPr>
            <w:tcW w:w="1416" w:type="dxa"/>
            <w:vAlign w:val="center"/>
          </w:tcPr>
          <w:p>
            <w:pPr>
              <w:jc w:val="center"/>
              <w:rPr>
                <w:sz w:val="24"/>
                <w:szCs w:val="24"/>
              </w:rPr>
            </w:pPr>
          </w:p>
        </w:tc>
        <w:tc>
          <w:tcPr>
            <w:tcW w:w="1296" w:type="dxa"/>
            <w:vAlign w:val="center"/>
          </w:tcPr>
          <w:p>
            <w:pPr>
              <w:jc w:val="center"/>
              <w:rPr>
                <w:sz w:val="24"/>
                <w:szCs w:val="24"/>
              </w:rPr>
            </w:pPr>
          </w:p>
        </w:tc>
        <w:tc>
          <w:tcPr>
            <w:tcW w:w="1571" w:type="dxa"/>
            <w:vAlign w:val="center"/>
          </w:tcPr>
          <w:p>
            <w:pPr>
              <w:jc w:val="center"/>
              <w:rPr>
                <w:sz w:val="24"/>
                <w:szCs w:val="24"/>
              </w:rPr>
            </w:pPr>
          </w:p>
        </w:tc>
        <w:tc>
          <w:tcPr>
            <w:tcW w:w="1116" w:type="dxa"/>
            <w:vAlign w:val="center"/>
          </w:tcPr>
          <w:p>
            <w:pPr>
              <w:jc w:val="center"/>
              <w:rPr>
                <w:sz w:val="24"/>
                <w:szCs w:val="24"/>
              </w:rPr>
            </w:pPr>
          </w:p>
        </w:tc>
        <w:tc>
          <w:tcPr>
            <w:tcW w:w="1066"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p>
        </w:tc>
        <w:tc>
          <w:tcPr>
            <w:tcW w:w="1356" w:type="dxa"/>
            <w:vAlign w:val="center"/>
          </w:tcPr>
          <w:p>
            <w:pPr>
              <w:jc w:val="center"/>
              <w:rPr>
                <w:sz w:val="24"/>
                <w:szCs w:val="24"/>
              </w:rPr>
            </w:pPr>
          </w:p>
        </w:tc>
        <w:tc>
          <w:tcPr>
            <w:tcW w:w="1512" w:type="dxa"/>
            <w:vAlign w:val="center"/>
          </w:tcPr>
          <w:p>
            <w:pPr>
              <w:jc w:val="center"/>
              <w:rPr>
                <w:sz w:val="24"/>
                <w:szCs w:val="24"/>
              </w:rPr>
            </w:pPr>
          </w:p>
        </w:tc>
        <w:tc>
          <w:tcPr>
            <w:tcW w:w="1416" w:type="dxa"/>
            <w:vAlign w:val="center"/>
          </w:tcPr>
          <w:p>
            <w:pPr>
              <w:jc w:val="center"/>
              <w:rPr>
                <w:sz w:val="24"/>
                <w:szCs w:val="24"/>
              </w:rPr>
            </w:pPr>
          </w:p>
        </w:tc>
        <w:tc>
          <w:tcPr>
            <w:tcW w:w="1296" w:type="dxa"/>
            <w:vAlign w:val="center"/>
          </w:tcPr>
          <w:p>
            <w:pPr>
              <w:jc w:val="center"/>
              <w:rPr>
                <w:sz w:val="24"/>
                <w:szCs w:val="24"/>
              </w:rPr>
            </w:pPr>
          </w:p>
        </w:tc>
        <w:tc>
          <w:tcPr>
            <w:tcW w:w="1571" w:type="dxa"/>
            <w:vAlign w:val="center"/>
          </w:tcPr>
          <w:p>
            <w:pPr>
              <w:jc w:val="center"/>
              <w:rPr>
                <w:sz w:val="24"/>
                <w:szCs w:val="24"/>
              </w:rPr>
            </w:pPr>
          </w:p>
        </w:tc>
        <w:tc>
          <w:tcPr>
            <w:tcW w:w="1116" w:type="dxa"/>
            <w:vAlign w:val="center"/>
          </w:tcPr>
          <w:p>
            <w:pPr>
              <w:jc w:val="center"/>
              <w:rPr>
                <w:sz w:val="24"/>
                <w:szCs w:val="24"/>
              </w:rPr>
            </w:pPr>
          </w:p>
        </w:tc>
        <w:tc>
          <w:tcPr>
            <w:tcW w:w="1066"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p>
        </w:tc>
        <w:tc>
          <w:tcPr>
            <w:tcW w:w="1356" w:type="dxa"/>
            <w:vAlign w:val="center"/>
          </w:tcPr>
          <w:p>
            <w:pPr>
              <w:jc w:val="center"/>
              <w:rPr>
                <w:sz w:val="24"/>
                <w:szCs w:val="24"/>
              </w:rPr>
            </w:pPr>
          </w:p>
        </w:tc>
        <w:tc>
          <w:tcPr>
            <w:tcW w:w="1512" w:type="dxa"/>
            <w:vAlign w:val="center"/>
          </w:tcPr>
          <w:p>
            <w:pPr>
              <w:jc w:val="center"/>
              <w:rPr>
                <w:sz w:val="24"/>
                <w:szCs w:val="24"/>
              </w:rPr>
            </w:pPr>
          </w:p>
        </w:tc>
        <w:tc>
          <w:tcPr>
            <w:tcW w:w="1416" w:type="dxa"/>
            <w:vAlign w:val="center"/>
          </w:tcPr>
          <w:p>
            <w:pPr>
              <w:jc w:val="center"/>
              <w:rPr>
                <w:sz w:val="24"/>
                <w:szCs w:val="24"/>
              </w:rPr>
            </w:pPr>
          </w:p>
        </w:tc>
        <w:tc>
          <w:tcPr>
            <w:tcW w:w="1296" w:type="dxa"/>
            <w:vAlign w:val="center"/>
          </w:tcPr>
          <w:p>
            <w:pPr>
              <w:jc w:val="center"/>
              <w:rPr>
                <w:sz w:val="24"/>
                <w:szCs w:val="24"/>
              </w:rPr>
            </w:pPr>
          </w:p>
        </w:tc>
        <w:tc>
          <w:tcPr>
            <w:tcW w:w="1571" w:type="dxa"/>
            <w:vAlign w:val="center"/>
          </w:tcPr>
          <w:p>
            <w:pPr>
              <w:jc w:val="center"/>
              <w:rPr>
                <w:sz w:val="24"/>
                <w:szCs w:val="24"/>
              </w:rPr>
            </w:pPr>
          </w:p>
        </w:tc>
        <w:tc>
          <w:tcPr>
            <w:tcW w:w="1116" w:type="dxa"/>
            <w:vAlign w:val="center"/>
          </w:tcPr>
          <w:p>
            <w:pPr>
              <w:jc w:val="center"/>
              <w:rPr>
                <w:sz w:val="24"/>
                <w:szCs w:val="24"/>
              </w:rPr>
            </w:pPr>
          </w:p>
        </w:tc>
        <w:tc>
          <w:tcPr>
            <w:tcW w:w="1066"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027" w:type="dxa"/>
            <w:gridSpan w:val="6"/>
            <w:vAlign w:val="center"/>
          </w:tcPr>
          <w:p>
            <w:pPr>
              <w:jc w:val="center"/>
              <w:rPr>
                <w:sz w:val="24"/>
                <w:szCs w:val="24"/>
              </w:rPr>
            </w:pPr>
            <w:r>
              <w:rPr>
                <w:rFonts w:hint="eastAsia"/>
                <w:sz w:val="24"/>
                <w:szCs w:val="24"/>
              </w:rPr>
              <w:t>人员费用合计</w:t>
            </w:r>
          </w:p>
        </w:tc>
        <w:tc>
          <w:tcPr>
            <w:tcW w:w="1116" w:type="dxa"/>
            <w:vAlign w:val="center"/>
          </w:tcPr>
          <w:p>
            <w:pPr>
              <w:jc w:val="center"/>
              <w:rPr>
                <w:sz w:val="24"/>
                <w:szCs w:val="24"/>
              </w:rPr>
            </w:pPr>
          </w:p>
        </w:tc>
        <w:tc>
          <w:tcPr>
            <w:tcW w:w="1066" w:type="dxa"/>
            <w:vAlign w:val="center"/>
          </w:tcPr>
          <w:p>
            <w:pPr>
              <w:jc w:val="center"/>
              <w:rPr>
                <w:sz w:val="24"/>
                <w:szCs w:val="24"/>
              </w:rPr>
            </w:pPr>
          </w:p>
        </w:tc>
      </w:tr>
    </w:tbl>
    <w:p>
      <w:pPr>
        <w:autoSpaceDE w:val="0"/>
        <w:autoSpaceDN w:val="0"/>
        <w:adjustRightInd w:val="0"/>
        <w:spacing w:line="360" w:lineRule="auto"/>
        <w:rPr>
          <w:rFonts w:ascii="宋体"/>
          <w:b/>
          <w:color w:val="000000"/>
          <w:sz w:val="24"/>
        </w:rPr>
      </w:pPr>
      <w:r>
        <w:rPr>
          <w:rFonts w:hint="eastAsia" w:ascii="宋体"/>
          <w:b/>
          <w:color w:val="000000"/>
          <w:sz w:val="24"/>
        </w:rPr>
        <w:t>备注：</w:t>
      </w:r>
      <w:r>
        <w:rPr>
          <w:rFonts w:ascii="宋体"/>
          <w:b/>
          <w:color w:val="000000"/>
          <w:sz w:val="24"/>
        </w:rPr>
        <w:t xml:space="preserve"> </w:t>
      </w:r>
    </w:p>
    <w:p>
      <w:pPr>
        <w:autoSpaceDE w:val="0"/>
        <w:autoSpaceDN w:val="0"/>
        <w:adjustRightInd w:val="0"/>
        <w:spacing w:line="360" w:lineRule="auto"/>
        <w:ind w:firstLine="448" w:firstLineChars="200"/>
        <w:rPr>
          <w:b/>
          <w:color w:val="000000"/>
          <w:sz w:val="24"/>
        </w:rPr>
      </w:pPr>
      <w:r>
        <w:rPr>
          <w:b/>
          <w:color w:val="000000"/>
          <w:sz w:val="24"/>
        </w:rPr>
        <w:t>1、上表中工资是指在扣除劳动者个人负担的社会保险费、</w:t>
      </w:r>
      <w:r>
        <w:rPr>
          <w:rFonts w:hint="eastAsia"/>
          <w:b/>
          <w:color w:val="000000"/>
          <w:sz w:val="24"/>
        </w:rPr>
        <w:t>个人负担的公积金、</w:t>
      </w:r>
      <w:r>
        <w:rPr>
          <w:b/>
          <w:color w:val="000000"/>
          <w:sz w:val="24"/>
        </w:rPr>
        <w:t>个人所得税等合理费用之前的应发工资；</w:t>
      </w:r>
    </w:p>
    <w:p>
      <w:pPr>
        <w:autoSpaceDE w:val="0"/>
        <w:autoSpaceDN w:val="0"/>
        <w:adjustRightInd w:val="0"/>
        <w:spacing w:line="360" w:lineRule="auto"/>
        <w:ind w:firstLine="448" w:firstLineChars="200"/>
        <w:rPr>
          <w:b/>
          <w:color w:val="000000"/>
          <w:sz w:val="24"/>
        </w:rPr>
      </w:pPr>
      <w:r>
        <w:rPr>
          <w:b/>
          <w:color w:val="000000"/>
          <w:sz w:val="24"/>
        </w:rPr>
        <w:t>2、 投标人应按国家及天津市社会保险</w:t>
      </w:r>
      <w:r>
        <w:rPr>
          <w:rFonts w:hint="eastAsia"/>
          <w:b/>
          <w:color w:val="000000"/>
          <w:sz w:val="24"/>
        </w:rPr>
        <w:t>、住房公积金</w:t>
      </w:r>
      <w:r>
        <w:rPr>
          <w:b/>
          <w:color w:val="000000"/>
          <w:sz w:val="24"/>
        </w:rPr>
        <w:t>相关规定</w:t>
      </w:r>
      <w:r>
        <w:rPr>
          <w:rFonts w:hint="eastAsia"/>
          <w:b/>
          <w:color w:val="000000"/>
          <w:sz w:val="24"/>
        </w:rPr>
        <w:t>为本项目人员</w:t>
      </w:r>
      <w:r>
        <w:rPr>
          <w:b/>
          <w:color w:val="000000"/>
          <w:sz w:val="24"/>
        </w:rPr>
        <w:t>缴纳社会保险</w:t>
      </w:r>
      <w:r>
        <w:rPr>
          <w:rFonts w:hint="eastAsia"/>
          <w:b/>
          <w:color w:val="000000"/>
          <w:sz w:val="24"/>
        </w:rPr>
        <w:t>、住房公积金</w:t>
      </w:r>
      <w:r>
        <w:rPr>
          <w:b/>
          <w:color w:val="000000"/>
          <w:sz w:val="24"/>
        </w:rPr>
        <w:t>，在投标文件中对人员保险</w:t>
      </w:r>
      <w:r>
        <w:rPr>
          <w:rFonts w:hint="eastAsia"/>
          <w:b/>
          <w:color w:val="000000"/>
          <w:sz w:val="24"/>
        </w:rPr>
        <w:t>、公积金</w:t>
      </w:r>
      <w:r>
        <w:rPr>
          <w:b/>
          <w:color w:val="000000"/>
          <w:sz w:val="24"/>
        </w:rPr>
        <w:t>缴纳类别及测算标准另附说明，如有人员享有优惠政策，须将享有优惠政策的批准文件和政策文件一并提供，否则不予认定。</w:t>
      </w:r>
    </w:p>
    <w:p>
      <w:pPr>
        <w:autoSpaceDE w:val="0"/>
        <w:autoSpaceDN w:val="0"/>
        <w:adjustRightInd w:val="0"/>
        <w:spacing w:line="360" w:lineRule="auto"/>
        <w:ind w:firstLine="448" w:firstLineChars="200"/>
        <w:rPr>
          <w:b/>
          <w:color w:val="000000"/>
          <w:sz w:val="24"/>
        </w:rPr>
      </w:pPr>
      <w:r>
        <w:rPr>
          <w:rFonts w:hint="eastAsia"/>
          <w:b/>
          <w:color w:val="000000"/>
          <w:sz w:val="24"/>
        </w:rPr>
        <w:t>3</w:t>
      </w:r>
      <w:r>
        <w:rPr>
          <w:b/>
          <w:color w:val="000000"/>
          <w:sz w:val="24"/>
        </w:rPr>
        <w:t>、上表中的月小计=人数*（月工资/人+月保险/人</w:t>
      </w:r>
      <w:r>
        <w:rPr>
          <w:rFonts w:hint="eastAsia"/>
          <w:b/>
          <w:color w:val="000000"/>
          <w:sz w:val="24"/>
        </w:rPr>
        <w:t>+月公积金/人</w:t>
      </w:r>
      <w:r>
        <w:rPr>
          <w:b/>
          <w:color w:val="000000"/>
          <w:sz w:val="24"/>
        </w:rPr>
        <w:t>），</w:t>
      </w:r>
      <w:r>
        <w:rPr>
          <w:rFonts w:hint="eastAsia"/>
          <w:b/>
          <w:color w:val="000000"/>
          <w:sz w:val="24"/>
        </w:rPr>
        <w:t>年小计</w:t>
      </w:r>
      <w:r>
        <w:rPr>
          <w:b/>
          <w:color w:val="000000"/>
          <w:sz w:val="24"/>
        </w:rPr>
        <w:t>=月小计*</w:t>
      </w:r>
      <w:r>
        <w:rPr>
          <w:rFonts w:hint="eastAsia"/>
          <w:b/>
          <w:color w:val="000000"/>
          <w:sz w:val="24"/>
        </w:rPr>
        <w:t>12</w:t>
      </w:r>
    </w:p>
    <w:p>
      <w:pPr>
        <w:spacing w:line="460" w:lineRule="exact"/>
        <w:rPr>
          <w:sz w:val="24"/>
          <w:szCs w:val="24"/>
        </w:rPr>
      </w:pPr>
    </w:p>
    <w:p>
      <w:pPr>
        <w:spacing w:line="360" w:lineRule="auto"/>
        <w:ind w:right="84" w:firstLine="224" w:firstLineChars="100"/>
        <w:rPr>
          <w:sz w:val="24"/>
        </w:rPr>
      </w:pPr>
      <w:r>
        <w:rPr>
          <w:sz w:val="24"/>
        </w:rPr>
        <w:t>投标人名称：</w:t>
      </w:r>
    </w:p>
    <w:p>
      <w:pPr>
        <w:spacing w:line="360" w:lineRule="auto"/>
        <w:ind w:right="84" w:firstLine="224" w:firstLineChars="100"/>
        <w:rPr>
          <w:b/>
          <w:sz w:val="24"/>
        </w:rPr>
      </w:pPr>
      <w:r>
        <w:rPr>
          <w:sz w:val="24"/>
        </w:rPr>
        <w:t xml:space="preserve">日期：  </w:t>
      </w:r>
      <w:r>
        <w:rPr>
          <w:b/>
          <w:sz w:val="24"/>
        </w:rPr>
        <w:br w:type="page"/>
      </w:r>
    </w:p>
    <w:p>
      <w:pPr>
        <w:spacing w:line="560" w:lineRule="exact"/>
        <w:rPr>
          <w:b/>
          <w:sz w:val="24"/>
        </w:rPr>
      </w:pPr>
      <w:r>
        <w:rPr>
          <w:b/>
          <w:sz w:val="24"/>
        </w:rPr>
        <w:t>附件5</w:t>
      </w:r>
    </w:p>
    <w:p>
      <w:pPr>
        <w:autoSpaceDN w:val="0"/>
        <w:spacing w:line="360" w:lineRule="auto"/>
        <w:jc w:val="center"/>
        <w:rPr>
          <w:b/>
          <w:bCs/>
          <w:sz w:val="24"/>
        </w:rPr>
      </w:pPr>
      <w:r>
        <w:rPr>
          <w:b/>
          <w:bCs/>
          <w:sz w:val="24"/>
        </w:rPr>
        <w:t>商务要求点对点应答表</w:t>
      </w:r>
    </w:p>
    <w:p>
      <w:pPr>
        <w:spacing w:line="460" w:lineRule="exact"/>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备注</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kern w:val="0"/>
                <w:szCs w:val="21"/>
              </w:rPr>
            </w:pPr>
            <w:r>
              <w:rPr>
                <w:kern w:val="0"/>
                <w:szCs w:val="21"/>
              </w:rPr>
              <w:t>（一）报价要求</w:t>
            </w:r>
          </w:p>
        </w:tc>
      </w:tr>
      <w:tr>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kern w:val="0"/>
                <w:szCs w:val="21"/>
              </w:rPr>
            </w:pPr>
            <w:r>
              <w:rPr>
                <w:kern w:val="0"/>
                <w:szCs w:val="21"/>
              </w:rPr>
              <w:t>（二）时间、地点要求</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kern w:val="0"/>
                <w:szCs w:val="21"/>
              </w:rPr>
            </w:pPr>
            <w:r>
              <w:rPr>
                <w:kern w:val="0"/>
                <w:szCs w:val="21"/>
              </w:rPr>
              <w:t>（三）付款方式</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kern w:val="0"/>
                <w:szCs w:val="21"/>
              </w:rPr>
            </w:pPr>
            <w:r>
              <w:rPr>
                <w:kern w:val="0"/>
                <w:szCs w:val="21"/>
              </w:rPr>
              <w:t>（四）投标保证金和履约保证金</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r>
    </w:tbl>
    <w:p>
      <w:pPr>
        <w:spacing w:line="620" w:lineRule="exact"/>
        <w:rPr>
          <w:sz w:val="24"/>
        </w:rPr>
      </w:pPr>
      <w:r>
        <w:rPr>
          <w:sz w:val="24"/>
        </w:rPr>
        <w:t>注：</w:t>
      </w:r>
    </w:p>
    <w:p>
      <w:pPr>
        <w:spacing w:line="360" w:lineRule="auto"/>
        <w:rPr>
          <w:sz w:val="24"/>
        </w:rPr>
      </w:pPr>
      <w:r>
        <w:rPr>
          <w:sz w:val="24"/>
        </w:rPr>
        <w:t>1. 不如实填写偏离情况的投标文件将视为虚假材料。</w:t>
      </w:r>
    </w:p>
    <w:p>
      <w:pPr>
        <w:spacing w:line="360" w:lineRule="auto"/>
        <w:rPr>
          <w:sz w:val="24"/>
        </w:rPr>
      </w:pPr>
      <w:r>
        <w:rPr>
          <w:sz w:val="24"/>
        </w:rPr>
        <w:t>2. 招标要求指招标文件中规定的具体要求，投标应答指投标文件的具体内容。</w:t>
      </w:r>
    </w:p>
    <w:p>
      <w:pPr>
        <w:spacing w:line="360" w:lineRule="auto"/>
        <w:rPr>
          <w:sz w:val="24"/>
        </w:rPr>
      </w:pPr>
      <w:r>
        <w:rPr>
          <w:sz w:val="24"/>
        </w:rPr>
        <w:t>3. 偏离说明指招标要求与投标应答之间的不同之处。</w:t>
      </w:r>
    </w:p>
    <w:p>
      <w:pPr>
        <w:autoSpaceDE w:val="0"/>
        <w:autoSpaceDN w:val="0"/>
        <w:adjustRightInd w:val="0"/>
        <w:spacing w:line="560" w:lineRule="exact"/>
        <w:jc w:val="left"/>
        <w:rPr>
          <w:kern w:val="0"/>
          <w:sz w:val="24"/>
        </w:rPr>
      </w:pPr>
    </w:p>
    <w:p>
      <w:pPr>
        <w:autoSpaceDE w:val="0"/>
        <w:autoSpaceDN w:val="0"/>
        <w:adjustRightInd w:val="0"/>
        <w:spacing w:line="560" w:lineRule="exact"/>
        <w:jc w:val="left"/>
        <w:rPr>
          <w:kern w:val="0"/>
          <w:sz w:val="24"/>
        </w:rPr>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 xml:space="preserve">日期：  </w:t>
      </w:r>
    </w:p>
    <w:p>
      <w:pPr>
        <w:autoSpaceDE w:val="0"/>
        <w:autoSpaceDN w:val="0"/>
        <w:adjustRightInd w:val="0"/>
        <w:spacing w:line="560" w:lineRule="exact"/>
        <w:jc w:val="left"/>
        <w:rPr>
          <w:kern w:val="0"/>
          <w:sz w:val="24"/>
          <w:u w:val="single"/>
        </w:rPr>
      </w:pPr>
    </w:p>
    <w:p>
      <w:pPr>
        <w:autoSpaceDE w:val="0"/>
        <w:autoSpaceDN w:val="0"/>
        <w:adjustRightInd w:val="0"/>
        <w:spacing w:line="560" w:lineRule="exact"/>
        <w:jc w:val="left"/>
        <w:rPr>
          <w:kern w:val="0"/>
          <w:sz w:val="24"/>
          <w:u w:val="single"/>
        </w:rPr>
      </w:pPr>
    </w:p>
    <w:p>
      <w:pPr>
        <w:autoSpaceDE w:val="0"/>
        <w:autoSpaceDN w:val="0"/>
        <w:adjustRightInd w:val="0"/>
        <w:spacing w:line="560" w:lineRule="exact"/>
        <w:jc w:val="left"/>
        <w:rPr>
          <w:kern w:val="0"/>
          <w:sz w:val="24"/>
          <w:u w:val="single"/>
        </w:rPr>
      </w:pPr>
    </w:p>
    <w:p>
      <w:pPr>
        <w:widowControl/>
        <w:jc w:val="left"/>
        <w:rPr>
          <w:b/>
          <w:sz w:val="24"/>
        </w:rPr>
      </w:pPr>
      <w:r>
        <w:rPr>
          <w:b/>
          <w:sz w:val="24"/>
        </w:rPr>
        <w:br w:type="page"/>
      </w:r>
    </w:p>
    <w:p>
      <w:pPr>
        <w:spacing w:line="620" w:lineRule="exact"/>
        <w:rPr>
          <w:b/>
          <w:sz w:val="24"/>
        </w:rPr>
      </w:pPr>
      <w:r>
        <w:rPr>
          <w:b/>
          <w:sz w:val="24"/>
        </w:rPr>
        <w:t>附件6</w:t>
      </w:r>
      <w:r>
        <w:rPr>
          <w:rFonts w:hint="eastAsia"/>
          <w:b/>
          <w:sz w:val="24"/>
        </w:rPr>
        <w:t>-1</w:t>
      </w:r>
    </w:p>
    <w:p>
      <w:pPr>
        <w:autoSpaceDN w:val="0"/>
        <w:spacing w:line="360" w:lineRule="auto"/>
        <w:jc w:val="center"/>
        <w:rPr>
          <w:b/>
          <w:bCs/>
          <w:sz w:val="24"/>
        </w:rPr>
      </w:pPr>
      <w:r>
        <w:rPr>
          <w:b/>
          <w:bCs/>
          <w:sz w:val="24"/>
        </w:rPr>
        <w:t>技术要求点对点应答表</w:t>
      </w: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tbl>
      <w:tblPr>
        <w:tblStyle w:val="22"/>
        <w:tblW w:w="10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4630"/>
        <w:gridCol w:w="2438"/>
        <w:gridCol w:w="1289"/>
        <w:gridCol w:w="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pPr>
              <w:widowControl/>
              <w:snapToGrid w:val="0"/>
              <w:jc w:val="center"/>
              <w:rPr>
                <w:kern w:val="0"/>
                <w:sz w:val="24"/>
                <w:szCs w:val="21"/>
              </w:rPr>
            </w:pPr>
            <w:r>
              <w:rPr>
                <w:kern w:val="0"/>
                <w:sz w:val="24"/>
                <w:szCs w:val="21"/>
              </w:rPr>
              <w:t>序号</w:t>
            </w:r>
          </w:p>
        </w:tc>
        <w:tc>
          <w:tcPr>
            <w:tcW w:w="4630" w:type="dxa"/>
            <w:shd w:val="clear" w:color="auto" w:fill="auto"/>
            <w:vAlign w:val="center"/>
          </w:tcPr>
          <w:p>
            <w:pPr>
              <w:widowControl/>
              <w:snapToGrid w:val="0"/>
              <w:jc w:val="center"/>
              <w:rPr>
                <w:kern w:val="0"/>
                <w:sz w:val="24"/>
                <w:szCs w:val="21"/>
              </w:rPr>
            </w:pPr>
            <w:r>
              <w:rPr>
                <w:kern w:val="0"/>
                <w:sz w:val="24"/>
                <w:szCs w:val="21"/>
              </w:rPr>
              <w:t>招标要求</w:t>
            </w:r>
          </w:p>
        </w:tc>
        <w:tc>
          <w:tcPr>
            <w:tcW w:w="2438" w:type="dxa"/>
            <w:shd w:val="clear" w:color="auto" w:fill="auto"/>
            <w:vAlign w:val="center"/>
          </w:tcPr>
          <w:p>
            <w:pPr>
              <w:widowControl/>
              <w:snapToGrid w:val="0"/>
              <w:jc w:val="center"/>
              <w:rPr>
                <w:kern w:val="0"/>
                <w:sz w:val="24"/>
                <w:szCs w:val="21"/>
              </w:rPr>
            </w:pPr>
            <w:r>
              <w:rPr>
                <w:kern w:val="0"/>
                <w:sz w:val="24"/>
                <w:szCs w:val="21"/>
              </w:rPr>
              <w:t>投标应答</w:t>
            </w:r>
          </w:p>
        </w:tc>
        <w:tc>
          <w:tcPr>
            <w:tcW w:w="1289" w:type="dxa"/>
            <w:shd w:val="clear" w:color="auto" w:fill="auto"/>
            <w:vAlign w:val="center"/>
          </w:tcPr>
          <w:p>
            <w:pPr>
              <w:widowControl/>
              <w:snapToGrid w:val="0"/>
              <w:jc w:val="center"/>
              <w:rPr>
                <w:kern w:val="0"/>
                <w:sz w:val="24"/>
                <w:szCs w:val="21"/>
              </w:rPr>
            </w:pPr>
            <w:r>
              <w:rPr>
                <w:kern w:val="0"/>
                <w:sz w:val="24"/>
                <w:szCs w:val="21"/>
              </w:rPr>
              <w:t>偏离说明</w:t>
            </w:r>
          </w:p>
        </w:tc>
        <w:tc>
          <w:tcPr>
            <w:tcW w:w="843" w:type="dxa"/>
            <w:shd w:val="clear" w:color="auto" w:fill="auto"/>
            <w:vAlign w:val="center"/>
          </w:tcPr>
          <w:p>
            <w:pPr>
              <w:widowControl/>
              <w:snapToGrid w:val="0"/>
              <w:jc w:val="center"/>
              <w:rPr>
                <w:kern w:val="0"/>
                <w:sz w:val="24"/>
                <w:szCs w:val="21"/>
              </w:rPr>
            </w:pPr>
            <w:r>
              <w:rPr>
                <w:kern w:val="0"/>
                <w:sz w:val="24"/>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r>
              <w:rPr>
                <w:kern w:val="0"/>
                <w:sz w:val="24"/>
                <w:szCs w:val="21"/>
              </w:rPr>
              <w:t>1</w:t>
            </w:r>
          </w:p>
        </w:tc>
        <w:tc>
          <w:tcPr>
            <w:tcW w:w="4630" w:type="dxa"/>
            <w:shd w:val="clear" w:color="auto" w:fill="auto"/>
            <w:vAlign w:val="center"/>
          </w:tcPr>
          <w:p>
            <w:pPr>
              <w:widowControl/>
              <w:snapToGrid w:val="0"/>
              <w:jc w:val="left"/>
              <w:rPr>
                <w:kern w:val="0"/>
                <w:sz w:val="24"/>
                <w:szCs w:val="21"/>
              </w:rPr>
            </w:pPr>
            <w:r>
              <w:rPr>
                <w:kern w:val="0"/>
                <w:sz w:val="24"/>
                <w:szCs w:val="21"/>
              </w:rPr>
              <w:t>（一）</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r>
              <w:rPr>
                <w:kern w:val="0"/>
                <w:sz w:val="24"/>
                <w:szCs w:val="21"/>
              </w:rPr>
              <w:t>2</w:t>
            </w:r>
          </w:p>
        </w:tc>
        <w:tc>
          <w:tcPr>
            <w:tcW w:w="4630" w:type="dxa"/>
            <w:shd w:val="clear" w:color="auto" w:fill="auto"/>
            <w:vAlign w:val="center"/>
          </w:tcPr>
          <w:p>
            <w:pPr>
              <w:widowControl/>
              <w:snapToGrid w:val="0"/>
              <w:jc w:val="left"/>
              <w:rPr>
                <w:kern w:val="0"/>
                <w:sz w:val="24"/>
                <w:szCs w:val="21"/>
              </w:rPr>
            </w:pPr>
            <w:r>
              <w:rPr>
                <w:sz w:val="24"/>
              </w:rPr>
              <w:t>（二）投标人须承诺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r>
              <w:rPr>
                <w:kern w:val="0"/>
                <w:sz w:val="24"/>
                <w:szCs w:val="21"/>
              </w:rPr>
              <w:t>3</w:t>
            </w:r>
          </w:p>
        </w:tc>
        <w:tc>
          <w:tcPr>
            <w:tcW w:w="4630" w:type="dxa"/>
            <w:shd w:val="clear" w:color="auto" w:fill="auto"/>
            <w:vAlign w:val="center"/>
          </w:tcPr>
          <w:p>
            <w:pPr>
              <w:widowControl/>
              <w:snapToGrid w:val="0"/>
              <w:jc w:val="left"/>
              <w:rPr>
                <w:kern w:val="0"/>
                <w:sz w:val="24"/>
                <w:szCs w:val="21"/>
              </w:rPr>
            </w:pPr>
            <w:r>
              <w:rPr>
                <w:sz w:val="24"/>
              </w:rPr>
              <w:t>（三）投标人须承诺</w:t>
            </w:r>
            <w:r>
              <w:rPr>
                <w:rFonts w:hint="eastAsia"/>
                <w:color w:val="000000"/>
                <w:sz w:val="24"/>
              </w:rPr>
              <w:t>相应专业</w:t>
            </w:r>
            <w:r>
              <w:rPr>
                <w:color w:val="000000"/>
                <w:sz w:val="24"/>
              </w:rPr>
              <w:t>人员须具备国家相关部门颁发的在有效期内的资质证书，项目实施过程中保证持证上岗。</w:t>
            </w:r>
            <w:r>
              <w:rPr>
                <w:rFonts w:hint="eastAsia"/>
                <w:color w:val="000000"/>
                <w:sz w:val="24"/>
              </w:rPr>
              <w:t>履约验收时，向采购人提供上述人员相关资质证书原件（以及发证机关官网查询结果）和缴纳社会保险证明等相关资料。</w:t>
            </w: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43" w:type="dxa"/>
            <w:gridSpan w:val="5"/>
            <w:shd w:val="clear" w:color="auto" w:fill="auto"/>
            <w:vAlign w:val="center"/>
          </w:tcPr>
          <w:p>
            <w:pPr>
              <w:widowControl/>
              <w:snapToGrid w:val="0"/>
              <w:ind w:firstLine="224" w:firstLineChars="100"/>
              <w:rPr>
                <w:kern w:val="0"/>
                <w:sz w:val="24"/>
                <w:szCs w:val="21"/>
              </w:rPr>
            </w:pPr>
            <w:r>
              <w:rPr>
                <w:rFonts w:hint="eastAsia"/>
                <w:kern w:val="0"/>
                <w:sz w:val="24"/>
                <w:szCs w:val="21"/>
              </w:rPr>
              <w:t>4</w:t>
            </w:r>
            <w:r>
              <w:rPr>
                <w:kern w:val="0"/>
                <w:sz w:val="24"/>
                <w:szCs w:val="21"/>
              </w:rPr>
              <w:t>. 项目需求书要求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r>
              <w:rPr>
                <w:kern w:val="0"/>
                <w:sz w:val="24"/>
                <w:szCs w:val="21"/>
              </w:rPr>
              <w:t>序号</w:t>
            </w:r>
          </w:p>
        </w:tc>
        <w:tc>
          <w:tcPr>
            <w:tcW w:w="4630" w:type="dxa"/>
            <w:shd w:val="clear" w:color="auto" w:fill="auto"/>
            <w:vAlign w:val="center"/>
          </w:tcPr>
          <w:p>
            <w:pPr>
              <w:widowControl/>
              <w:snapToGrid w:val="0"/>
              <w:jc w:val="center"/>
              <w:rPr>
                <w:kern w:val="0"/>
                <w:sz w:val="24"/>
                <w:szCs w:val="21"/>
              </w:rPr>
            </w:pPr>
            <w:r>
              <w:rPr>
                <w:kern w:val="0"/>
                <w:sz w:val="24"/>
                <w:szCs w:val="21"/>
              </w:rPr>
              <w:t>招标要求</w:t>
            </w:r>
          </w:p>
        </w:tc>
        <w:tc>
          <w:tcPr>
            <w:tcW w:w="2438" w:type="dxa"/>
            <w:shd w:val="clear" w:color="auto" w:fill="auto"/>
            <w:vAlign w:val="center"/>
          </w:tcPr>
          <w:p>
            <w:pPr>
              <w:widowControl/>
              <w:snapToGrid w:val="0"/>
              <w:jc w:val="center"/>
              <w:rPr>
                <w:kern w:val="0"/>
                <w:sz w:val="24"/>
                <w:szCs w:val="21"/>
              </w:rPr>
            </w:pPr>
            <w:r>
              <w:rPr>
                <w:kern w:val="0"/>
                <w:sz w:val="24"/>
                <w:szCs w:val="21"/>
              </w:rPr>
              <w:t>投标应答</w:t>
            </w:r>
          </w:p>
        </w:tc>
        <w:tc>
          <w:tcPr>
            <w:tcW w:w="1289" w:type="dxa"/>
            <w:shd w:val="clear" w:color="auto" w:fill="auto"/>
            <w:vAlign w:val="center"/>
          </w:tcPr>
          <w:p>
            <w:pPr>
              <w:widowControl/>
              <w:snapToGrid w:val="0"/>
              <w:jc w:val="center"/>
              <w:rPr>
                <w:kern w:val="0"/>
                <w:sz w:val="24"/>
                <w:szCs w:val="21"/>
              </w:rPr>
            </w:pPr>
            <w:r>
              <w:rPr>
                <w:kern w:val="0"/>
                <w:sz w:val="24"/>
                <w:szCs w:val="21"/>
              </w:rPr>
              <w:t>偏离说明</w:t>
            </w:r>
          </w:p>
        </w:tc>
        <w:tc>
          <w:tcPr>
            <w:tcW w:w="843" w:type="dxa"/>
            <w:shd w:val="clear" w:color="auto" w:fill="auto"/>
            <w:vAlign w:val="center"/>
          </w:tcPr>
          <w:p>
            <w:pPr>
              <w:widowControl/>
              <w:snapToGrid w:val="0"/>
              <w:jc w:val="center"/>
              <w:rPr>
                <w:kern w:val="0"/>
                <w:sz w:val="24"/>
                <w:szCs w:val="21"/>
              </w:rPr>
            </w:pPr>
            <w:r>
              <w:rPr>
                <w:kern w:val="0"/>
                <w:sz w:val="24"/>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4630"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4630"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4630"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4630"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4630"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bl>
    <w:p>
      <w:pPr>
        <w:spacing w:line="620" w:lineRule="exact"/>
        <w:rPr>
          <w:sz w:val="24"/>
        </w:rPr>
      </w:pPr>
      <w:r>
        <w:rPr>
          <w:sz w:val="24"/>
        </w:rPr>
        <w:t>注：</w:t>
      </w:r>
    </w:p>
    <w:p>
      <w:pPr>
        <w:spacing w:line="360" w:lineRule="auto"/>
        <w:rPr>
          <w:sz w:val="24"/>
        </w:rPr>
      </w:pPr>
      <w:r>
        <w:rPr>
          <w:sz w:val="24"/>
        </w:rPr>
        <w:t>1. 不如实填写偏离情况的投标文件将视为虚假材料。</w:t>
      </w:r>
    </w:p>
    <w:p>
      <w:pPr>
        <w:spacing w:line="360" w:lineRule="auto"/>
        <w:rPr>
          <w:sz w:val="24"/>
        </w:rPr>
      </w:pPr>
      <w:r>
        <w:rPr>
          <w:sz w:val="24"/>
        </w:rPr>
        <w:t>2. 招标要求指招标文件中规定的具体要求，投标应答指投标文件的具体内容。</w:t>
      </w:r>
    </w:p>
    <w:p>
      <w:pPr>
        <w:spacing w:line="360" w:lineRule="auto"/>
        <w:rPr>
          <w:sz w:val="24"/>
        </w:rPr>
      </w:pPr>
      <w:r>
        <w:rPr>
          <w:sz w:val="24"/>
        </w:rPr>
        <w:t>3. 偏离说明指招标要求与投标应答之间的不同之处。</w:t>
      </w:r>
    </w:p>
    <w:p>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r>
        <w:rPr>
          <w:sz w:val="24"/>
        </w:rPr>
        <w:t>日期</w:t>
      </w:r>
    </w:p>
    <w:p>
      <w:pPr>
        <w:widowControl/>
        <w:jc w:val="left"/>
        <w:rPr>
          <w:b/>
          <w:sz w:val="24"/>
        </w:rPr>
      </w:pPr>
      <w:r>
        <w:rPr>
          <w:rFonts w:hint="eastAsia"/>
          <w:b/>
          <w:sz w:val="24"/>
        </w:rPr>
        <w:t>附件6-2</w:t>
      </w:r>
    </w:p>
    <w:p>
      <w:pPr>
        <w:widowControl/>
        <w:jc w:val="left"/>
        <w:rPr>
          <w:sz w:val="24"/>
        </w:rPr>
      </w:pPr>
    </w:p>
    <w:p>
      <w:pPr>
        <w:widowControl/>
        <w:jc w:val="center"/>
        <w:rPr>
          <w:b/>
          <w:sz w:val="24"/>
        </w:rPr>
      </w:pPr>
      <w:r>
        <w:rPr>
          <w:rFonts w:hint="eastAsia"/>
          <w:b/>
          <w:sz w:val="24"/>
        </w:rPr>
        <w:t>项目人员及岗位安排</w:t>
      </w:r>
    </w:p>
    <w:p>
      <w:pPr>
        <w:widowControl/>
        <w:jc w:val="left"/>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widowControl/>
        <w:jc w:val="left"/>
        <w:rPr>
          <w:sz w:val="24"/>
        </w:rPr>
      </w:pPr>
    </w:p>
    <w:p>
      <w:pPr>
        <w:widowControl/>
        <w:jc w:val="left"/>
        <w:rPr>
          <w:sz w:val="24"/>
        </w:rPr>
      </w:pPr>
    </w:p>
    <w:tbl>
      <w:tblPr>
        <w:tblStyle w:val="23"/>
        <w:tblW w:w="52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224"/>
        <w:gridCol w:w="1222"/>
        <w:gridCol w:w="1995"/>
        <w:gridCol w:w="1169"/>
        <w:gridCol w:w="1296"/>
        <w:gridCol w:w="1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b/>
                <w:szCs w:val="21"/>
              </w:rPr>
            </w:pPr>
            <w:r>
              <w:rPr>
                <w:b/>
                <w:szCs w:val="21"/>
              </w:rPr>
              <w:t>序号</w:t>
            </w:r>
          </w:p>
        </w:tc>
        <w:tc>
          <w:tcPr>
            <w:tcW w:w="682" w:type="pct"/>
            <w:vAlign w:val="center"/>
          </w:tcPr>
          <w:p>
            <w:pPr>
              <w:spacing w:line="360" w:lineRule="auto"/>
              <w:jc w:val="center"/>
              <w:rPr>
                <w:b/>
                <w:szCs w:val="21"/>
              </w:rPr>
            </w:pPr>
            <w:r>
              <w:rPr>
                <w:b/>
                <w:szCs w:val="21"/>
              </w:rPr>
              <w:t>岗位名称</w:t>
            </w:r>
          </w:p>
        </w:tc>
        <w:tc>
          <w:tcPr>
            <w:tcW w:w="682" w:type="pct"/>
            <w:vAlign w:val="center"/>
          </w:tcPr>
          <w:p>
            <w:pPr>
              <w:spacing w:line="360" w:lineRule="auto"/>
              <w:jc w:val="center"/>
              <w:rPr>
                <w:b/>
                <w:szCs w:val="21"/>
              </w:rPr>
            </w:pPr>
            <w:r>
              <w:rPr>
                <w:rFonts w:hint="eastAsia"/>
                <w:b/>
                <w:szCs w:val="21"/>
              </w:rPr>
              <w:t>投入</w:t>
            </w:r>
            <w:r>
              <w:rPr>
                <w:b/>
                <w:szCs w:val="21"/>
              </w:rPr>
              <w:t>人数</w:t>
            </w:r>
          </w:p>
        </w:tc>
        <w:tc>
          <w:tcPr>
            <w:tcW w:w="1113" w:type="pct"/>
            <w:vAlign w:val="center"/>
          </w:tcPr>
          <w:p>
            <w:pPr>
              <w:spacing w:line="360" w:lineRule="auto"/>
              <w:jc w:val="center"/>
              <w:rPr>
                <w:b/>
                <w:szCs w:val="21"/>
              </w:rPr>
            </w:pPr>
            <w:r>
              <w:rPr>
                <w:rFonts w:hint="eastAsia"/>
                <w:b/>
                <w:szCs w:val="21"/>
              </w:rPr>
              <w:t>人员情况简介</w:t>
            </w:r>
          </w:p>
        </w:tc>
        <w:tc>
          <w:tcPr>
            <w:tcW w:w="652" w:type="pct"/>
            <w:vAlign w:val="center"/>
          </w:tcPr>
          <w:p>
            <w:pPr>
              <w:spacing w:line="360" w:lineRule="auto"/>
              <w:jc w:val="center"/>
              <w:rPr>
                <w:b/>
                <w:szCs w:val="21"/>
              </w:rPr>
            </w:pPr>
            <w:r>
              <w:rPr>
                <w:rFonts w:hint="eastAsia"/>
                <w:b/>
                <w:szCs w:val="21"/>
              </w:rPr>
              <w:t>是否退休</w:t>
            </w:r>
          </w:p>
        </w:tc>
        <w:tc>
          <w:tcPr>
            <w:tcW w:w="723" w:type="pct"/>
            <w:vAlign w:val="center"/>
          </w:tcPr>
          <w:p>
            <w:pPr>
              <w:spacing w:line="360" w:lineRule="auto"/>
              <w:jc w:val="center"/>
              <w:rPr>
                <w:b/>
                <w:szCs w:val="21"/>
              </w:rPr>
            </w:pPr>
            <w:r>
              <w:rPr>
                <w:b/>
                <w:szCs w:val="21"/>
              </w:rPr>
              <w:t>工作时间</w:t>
            </w:r>
          </w:p>
        </w:tc>
        <w:tc>
          <w:tcPr>
            <w:tcW w:w="723" w:type="pct"/>
            <w:vAlign w:val="center"/>
          </w:tcPr>
          <w:p>
            <w:pPr>
              <w:spacing w:line="360" w:lineRule="auto"/>
              <w:jc w:val="center"/>
              <w:rPr>
                <w:b/>
                <w:szCs w:val="21"/>
              </w:rPr>
            </w:pPr>
            <w:r>
              <w:rPr>
                <w:rFonts w:hint="eastAsia"/>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682" w:type="pct"/>
            <w:vAlign w:val="center"/>
          </w:tcPr>
          <w:p>
            <w:pPr>
              <w:spacing w:line="360" w:lineRule="auto"/>
              <w:jc w:val="center"/>
              <w:rPr>
                <w:szCs w:val="21"/>
              </w:rPr>
            </w:pPr>
          </w:p>
        </w:tc>
        <w:tc>
          <w:tcPr>
            <w:tcW w:w="1113" w:type="pct"/>
            <w:vAlign w:val="center"/>
          </w:tcPr>
          <w:p>
            <w:pPr>
              <w:spacing w:line="360" w:lineRule="auto"/>
              <w:jc w:val="center"/>
              <w:rPr>
                <w:szCs w:val="21"/>
              </w:rPr>
            </w:pPr>
          </w:p>
        </w:tc>
        <w:tc>
          <w:tcPr>
            <w:tcW w:w="652" w:type="pct"/>
            <w:vAlign w:val="center"/>
          </w:tcPr>
          <w:p>
            <w:pPr>
              <w:spacing w:line="360" w:lineRule="auto"/>
              <w:jc w:val="center"/>
              <w:rPr>
                <w:szCs w:val="21"/>
              </w:rPr>
            </w:pPr>
          </w:p>
        </w:tc>
        <w:tc>
          <w:tcPr>
            <w:tcW w:w="723" w:type="pct"/>
            <w:vAlign w:val="center"/>
          </w:tcPr>
          <w:p>
            <w:pPr>
              <w:spacing w:line="360" w:lineRule="auto"/>
              <w:jc w:val="center"/>
              <w:rPr>
                <w:szCs w:val="21"/>
              </w:rPr>
            </w:pPr>
          </w:p>
        </w:tc>
        <w:tc>
          <w:tcPr>
            <w:tcW w:w="723" w:type="pct"/>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pct"/>
            <w:gridSpan w:val="2"/>
            <w:vAlign w:val="center"/>
          </w:tcPr>
          <w:p>
            <w:pPr>
              <w:spacing w:line="360" w:lineRule="auto"/>
              <w:jc w:val="center"/>
              <w:rPr>
                <w:szCs w:val="21"/>
              </w:rPr>
            </w:pPr>
            <w:r>
              <w:rPr>
                <w:rFonts w:hint="eastAsia"/>
                <w:szCs w:val="21"/>
              </w:rPr>
              <w:t>合计人数</w:t>
            </w:r>
          </w:p>
        </w:tc>
        <w:tc>
          <w:tcPr>
            <w:tcW w:w="3892" w:type="pct"/>
            <w:gridSpan w:val="5"/>
            <w:vAlign w:val="center"/>
          </w:tcPr>
          <w:p>
            <w:pPr>
              <w:spacing w:line="360" w:lineRule="auto"/>
              <w:jc w:val="center"/>
              <w:rPr>
                <w:szCs w:val="21"/>
              </w:rPr>
            </w:pPr>
          </w:p>
        </w:tc>
      </w:tr>
    </w:tbl>
    <w:p>
      <w:pPr>
        <w:widowControl/>
        <w:ind w:firstLine="448" w:firstLineChars="200"/>
        <w:jc w:val="left"/>
        <w:rPr>
          <w:sz w:val="24"/>
        </w:rPr>
      </w:pPr>
      <w:r>
        <w:rPr>
          <w:rFonts w:hint="eastAsia"/>
          <w:sz w:val="24"/>
        </w:rPr>
        <w:t>我公司承诺上述人员身体健康，一旦我公司获得中标，承诺上述人员投入本项目服务，非经采购人同意，不随意更换人员。</w:t>
      </w:r>
    </w:p>
    <w:p>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按劳动法和国务院关于职工工作时间的规定，正常情况下，上述人员每日工作不超过8小时，每周工作不超过40小时。采购人需安排加班的，我公司积极配合并向劳动者支付加班费。</w:t>
      </w:r>
    </w:p>
    <w:p>
      <w:pPr>
        <w:widowControl/>
        <w:jc w:val="left"/>
        <w:rPr>
          <w:sz w:val="24"/>
        </w:rPr>
      </w:pPr>
    </w:p>
    <w:p>
      <w:pPr>
        <w:widowControl/>
        <w:jc w:val="left"/>
        <w:rPr>
          <w:sz w:val="24"/>
        </w:rPr>
      </w:pPr>
    </w:p>
    <w:p>
      <w:pPr>
        <w:widowControl/>
        <w:jc w:val="left"/>
        <w:rPr>
          <w:sz w:val="24"/>
        </w:rPr>
      </w:pPr>
    </w:p>
    <w:p>
      <w:pPr>
        <w:widowControl/>
        <w:jc w:val="left"/>
        <w:rPr>
          <w:sz w:val="24"/>
        </w:rPr>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sz w:val="24"/>
        </w:rPr>
      </w:pPr>
      <w:r>
        <w:rPr>
          <w:sz w:val="24"/>
        </w:rPr>
        <w:t>日期</w:t>
      </w:r>
    </w:p>
    <w:p>
      <w:pPr>
        <w:widowControl/>
        <w:jc w:val="left"/>
        <w:rPr>
          <w:sz w:val="24"/>
        </w:rPr>
      </w:pPr>
    </w:p>
    <w:p>
      <w:pPr>
        <w:spacing w:line="360" w:lineRule="auto"/>
        <w:ind w:right="84" w:firstLine="224" w:firstLineChars="100"/>
        <w:rPr>
          <w:position w:val="-40"/>
          <w:sz w:val="24"/>
        </w:rPr>
      </w:pPr>
      <w:r>
        <w:rPr>
          <w:b/>
          <w:sz w:val="24"/>
        </w:rPr>
        <w:br w:type="page"/>
      </w:r>
    </w:p>
    <w:p>
      <w:pPr>
        <w:spacing w:line="620" w:lineRule="exact"/>
        <w:rPr>
          <w:b/>
          <w:sz w:val="24"/>
        </w:rPr>
      </w:pPr>
      <w:r>
        <w:rPr>
          <w:b/>
          <w:sz w:val="24"/>
        </w:rPr>
        <w:t>附件7</w:t>
      </w:r>
    </w:p>
    <w:p>
      <w:pPr>
        <w:autoSpaceDN w:val="0"/>
        <w:spacing w:line="360" w:lineRule="auto"/>
        <w:jc w:val="center"/>
        <w:rPr>
          <w:b/>
          <w:bCs/>
          <w:sz w:val="24"/>
        </w:rPr>
      </w:pPr>
      <w:r>
        <w:rPr>
          <w:b/>
          <w:sz w:val="24"/>
        </w:rPr>
        <w:t>主要相关项目业绩一览表</w:t>
      </w:r>
    </w:p>
    <w:p>
      <w:pPr>
        <w:spacing w:line="460" w:lineRule="exact"/>
        <w:ind w:left="192"/>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bl>
    <w:p>
      <w:pPr>
        <w:spacing w:line="560" w:lineRule="exact"/>
        <w:rPr>
          <w:sz w:val="24"/>
        </w:rPr>
      </w:pPr>
      <w:r>
        <w:rPr>
          <w:sz w:val="24"/>
        </w:rPr>
        <w:t>备注：若招标文件第二部分评分因素及评标标准中要求提供业绩的，投标人所列业绩应按其要求将证明材料按顺序附后。</w:t>
      </w:r>
    </w:p>
    <w:p>
      <w:pPr>
        <w:spacing w:line="460" w:lineRule="exact"/>
        <w:rPr>
          <w:b/>
          <w:sz w:val="24"/>
        </w:rPr>
      </w:pPr>
    </w:p>
    <w:p>
      <w:pPr>
        <w:spacing w:line="460" w:lineRule="exact"/>
        <w:rPr>
          <w:b/>
          <w:sz w:val="24"/>
        </w:rPr>
      </w:pPr>
    </w:p>
    <w:p>
      <w:pPr>
        <w:spacing w:line="460" w:lineRule="exact"/>
        <w:rPr>
          <w:b/>
          <w:sz w:val="24"/>
        </w:rPr>
      </w:pPr>
    </w:p>
    <w:p>
      <w:pPr>
        <w:spacing w:line="460" w:lineRule="exact"/>
        <w:rPr>
          <w:b/>
          <w:sz w:val="24"/>
        </w:rPr>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日期</w:t>
      </w:r>
      <w:r>
        <w:rPr>
          <w:b/>
          <w:sz w:val="24"/>
        </w:rPr>
        <w:br w:type="page"/>
      </w:r>
    </w:p>
    <w:p>
      <w:pPr>
        <w:spacing w:line="460" w:lineRule="exact"/>
        <w:rPr>
          <w:b/>
          <w:sz w:val="24"/>
        </w:rPr>
      </w:pPr>
      <w:r>
        <w:rPr>
          <w:b/>
          <w:sz w:val="24"/>
        </w:rPr>
        <w:t>附件8</w:t>
      </w:r>
    </w:p>
    <w:p>
      <w:pPr>
        <w:autoSpaceDN w:val="0"/>
        <w:spacing w:line="360" w:lineRule="auto"/>
        <w:jc w:val="center"/>
        <w:rPr>
          <w:b/>
          <w:bCs/>
          <w:sz w:val="24"/>
        </w:rPr>
      </w:pPr>
      <w:r>
        <w:rPr>
          <w:rFonts w:hint="eastAsia"/>
          <w:b/>
          <w:bCs/>
          <w:sz w:val="24"/>
        </w:rPr>
        <w:t>投标</w:t>
      </w:r>
      <w:r>
        <w:rPr>
          <w:b/>
          <w:bCs/>
          <w:sz w:val="24"/>
        </w:rPr>
        <w:t>代表人授权书</w:t>
      </w:r>
    </w:p>
    <w:p>
      <w:pPr>
        <w:spacing w:line="360" w:lineRule="auto"/>
        <w:rPr>
          <w:sz w:val="24"/>
          <w:szCs w:val="21"/>
        </w:rPr>
      </w:pPr>
    </w:p>
    <w:p>
      <w:pPr>
        <w:spacing w:line="360" w:lineRule="auto"/>
        <w:rPr>
          <w:sz w:val="24"/>
          <w:szCs w:val="21"/>
        </w:rPr>
      </w:pPr>
      <w:r>
        <w:rPr>
          <w:sz w:val="24"/>
          <w:szCs w:val="21"/>
        </w:rPr>
        <w:t>致：天津市政府采购中心</w:t>
      </w:r>
    </w:p>
    <w:p>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pPr>
        <w:spacing w:line="360" w:lineRule="auto"/>
        <w:ind w:firstLine="448" w:firstLineChars="200"/>
        <w:rPr>
          <w:sz w:val="24"/>
          <w:szCs w:val="21"/>
        </w:rPr>
      </w:pPr>
      <w:r>
        <w:rPr>
          <w:sz w:val="24"/>
          <w:szCs w:val="21"/>
        </w:rPr>
        <w:t>本授权书至投标有效期结束前始终有效。</w:t>
      </w:r>
    </w:p>
    <w:p>
      <w:pPr>
        <w:spacing w:line="360" w:lineRule="auto"/>
        <w:ind w:firstLine="448" w:firstLineChars="200"/>
        <w:rPr>
          <w:sz w:val="24"/>
          <w:szCs w:val="21"/>
        </w:rPr>
      </w:pPr>
      <w:r>
        <w:rPr>
          <w:sz w:val="24"/>
          <w:szCs w:val="21"/>
        </w:rPr>
        <w:t>投标代表人无转委托权，特此委托。</w:t>
      </w:r>
    </w:p>
    <w:p>
      <w:pPr>
        <w:spacing w:line="360" w:lineRule="auto"/>
        <w:ind w:firstLine="448" w:firstLineChars="200"/>
        <w:rPr>
          <w:sz w:val="24"/>
        </w:rPr>
      </w:pPr>
    </w:p>
    <w:p>
      <w:pPr>
        <w:spacing w:line="360" w:lineRule="auto"/>
        <w:ind w:firstLine="448" w:firstLineChars="200"/>
        <w:rPr>
          <w:sz w:val="24"/>
        </w:rPr>
      </w:pPr>
    </w:p>
    <w:p>
      <w:pPr>
        <w:spacing w:line="360" w:lineRule="auto"/>
        <w:ind w:firstLine="448" w:firstLineChars="200"/>
        <w:rPr>
          <w:sz w:val="24"/>
        </w:rPr>
      </w:pPr>
    </w:p>
    <w:p>
      <w:pPr>
        <w:spacing w:line="360" w:lineRule="auto"/>
        <w:ind w:firstLine="4704" w:firstLineChars="2100"/>
        <w:rPr>
          <w:sz w:val="24"/>
        </w:rPr>
      </w:pPr>
      <w:r>
        <w:rPr>
          <w:sz w:val="24"/>
        </w:rPr>
        <w:t xml:space="preserve">     年   月   日 </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pPr>
              <w:spacing w:line="360" w:lineRule="auto"/>
              <w:jc w:val="left"/>
              <w:rPr>
                <w:sz w:val="24"/>
              </w:rPr>
            </w:pPr>
            <w:r>
              <w:rPr>
                <w:sz w:val="24"/>
              </w:rPr>
              <w:t>投标代表人身份证正面</w:t>
            </w:r>
          </w:p>
          <w:p>
            <w:pPr>
              <w:spacing w:line="360" w:lineRule="auto"/>
              <w:jc w:val="left"/>
              <w:rPr>
                <w:sz w:val="24"/>
              </w:rPr>
            </w:pPr>
          </w:p>
          <w:p>
            <w:pPr>
              <w:spacing w:line="360" w:lineRule="auto"/>
              <w:jc w:val="left"/>
              <w:rPr>
                <w:sz w:val="24"/>
              </w:rPr>
            </w:pPr>
          </w:p>
          <w:p>
            <w:pPr>
              <w:spacing w:line="360" w:lineRule="auto"/>
              <w:jc w:val="left"/>
              <w:rPr>
                <w:sz w:val="24"/>
              </w:rPr>
            </w:pPr>
          </w:p>
          <w:p>
            <w:pPr>
              <w:spacing w:line="360" w:lineRule="auto"/>
              <w:jc w:val="left"/>
              <w:rPr>
                <w:sz w:val="24"/>
              </w:rPr>
            </w:pPr>
          </w:p>
          <w:p>
            <w:pPr>
              <w:spacing w:line="360" w:lineRule="auto"/>
              <w:jc w:val="left"/>
              <w:rPr>
                <w:sz w:val="24"/>
              </w:rPr>
            </w:pPr>
          </w:p>
        </w:tc>
        <w:tc>
          <w:tcPr>
            <w:tcW w:w="4264" w:type="dxa"/>
          </w:tcPr>
          <w:p>
            <w:pPr>
              <w:spacing w:line="360" w:lineRule="auto"/>
              <w:jc w:val="left"/>
              <w:rPr>
                <w:sz w:val="24"/>
              </w:rPr>
            </w:pPr>
            <w:r>
              <w:rPr>
                <w:sz w:val="24"/>
              </w:rPr>
              <w:t>投标代表人身份证背面</w:t>
            </w:r>
          </w:p>
        </w:tc>
      </w:tr>
    </w:tbl>
    <w:p>
      <w:pPr>
        <w:spacing w:line="360" w:lineRule="auto"/>
        <w:ind w:firstLine="4704" w:firstLineChars="2100"/>
        <w:rPr>
          <w:sz w:val="24"/>
        </w:rPr>
      </w:pPr>
    </w:p>
    <w:p>
      <w:pPr>
        <w:spacing w:line="460" w:lineRule="exact"/>
        <w:ind w:right="444"/>
        <w:rPr>
          <w:b/>
          <w:sz w:val="24"/>
        </w:rPr>
      </w:pPr>
      <w:r>
        <w:rPr>
          <w:b/>
          <w:sz w:val="24"/>
        </w:rPr>
        <w:br w:type="page"/>
      </w:r>
      <w:r>
        <w:rPr>
          <w:b/>
          <w:sz w:val="24"/>
        </w:rPr>
        <w:t>附件9</w:t>
      </w:r>
      <w:r>
        <w:rPr>
          <w:rFonts w:hint="eastAsia"/>
          <w:b/>
          <w:sz w:val="24"/>
        </w:rPr>
        <w:t>-1</w:t>
      </w:r>
    </w:p>
    <w:p>
      <w:pPr>
        <w:autoSpaceDE w:val="0"/>
        <w:autoSpaceDN w:val="0"/>
        <w:spacing w:line="480" w:lineRule="auto"/>
        <w:jc w:val="center"/>
        <w:rPr>
          <w:sz w:val="24"/>
          <w:szCs w:val="24"/>
        </w:rPr>
      </w:pPr>
      <w:r>
        <w:rPr>
          <w:b/>
          <w:sz w:val="24"/>
          <w:szCs w:val="24"/>
        </w:rPr>
        <w:t>中小企业声明函（服务）</w:t>
      </w:r>
    </w:p>
    <w:p>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rFonts w:hint="eastAsia"/>
          <w:sz w:val="24"/>
          <w:szCs w:val="24"/>
          <w:u w:val="single"/>
        </w:rPr>
        <w:t>国家税务总局天津市河西区税务局越秀路、浦口道及徽州道办公区物业管理项目</w:t>
      </w:r>
      <w:r>
        <w:rPr>
          <w:sz w:val="24"/>
          <w:szCs w:val="24"/>
        </w:rPr>
        <w:t>采购活动，服务全部由符合政策要求的中小企业承接。相关企业（含联合体中的中小企业、签订分包意向协议的中小企业）的具体情况如下：</w:t>
      </w:r>
    </w:p>
    <w:p>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国家税务总局天津市河西区税务局越秀路、浦口道及徽州道办公区物业管理 </w:t>
      </w:r>
      <w:r>
        <w:rPr>
          <w:sz w:val="24"/>
          <w:szCs w:val="24"/>
        </w:rPr>
        <w:t>，属于</w:t>
      </w:r>
      <w:r>
        <w:rPr>
          <w:sz w:val="24"/>
          <w:szCs w:val="24"/>
          <w:u w:val="single"/>
        </w:rPr>
        <w:t xml:space="preserve"> </w:t>
      </w:r>
      <w:r>
        <w:rPr>
          <w:rFonts w:hint="eastAsia"/>
          <w:sz w:val="24"/>
          <w:u w:val="single"/>
        </w:rPr>
        <w:t>物业管理</w:t>
      </w:r>
      <w:r>
        <w:rPr>
          <w:sz w:val="24"/>
          <w:szCs w:val="24"/>
        </w:rPr>
        <w:t>行业；承接企业为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pPr>
        <w:autoSpaceDE w:val="0"/>
        <w:autoSpaceDN w:val="0"/>
        <w:spacing w:line="500" w:lineRule="exact"/>
        <w:ind w:left="3840"/>
        <w:jc w:val="left"/>
        <w:rPr>
          <w:sz w:val="24"/>
          <w:szCs w:val="24"/>
        </w:rPr>
      </w:pPr>
      <w:r>
        <w:rPr>
          <w:sz w:val="24"/>
          <w:szCs w:val="24"/>
        </w:rPr>
        <w:t>投标人名称：</w:t>
      </w:r>
    </w:p>
    <w:p>
      <w:pPr>
        <w:autoSpaceDE w:val="0"/>
        <w:autoSpaceDN w:val="0"/>
        <w:spacing w:line="500" w:lineRule="exact"/>
        <w:ind w:left="3840"/>
        <w:jc w:val="left"/>
        <w:rPr>
          <w:sz w:val="32"/>
        </w:rPr>
      </w:pPr>
      <w:r>
        <w:rPr>
          <w:sz w:val="24"/>
          <w:szCs w:val="24"/>
        </w:rPr>
        <w:t>日期：</w:t>
      </w:r>
    </w:p>
    <w:p>
      <w:pPr>
        <w:spacing w:line="360" w:lineRule="auto"/>
        <w:ind w:right="84" w:firstLine="224" w:firstLineChars="100"/>
        <w:rPr>
          <w:b/>
          <w:sz w:val="24"/>
          <w:szCs w:val="24"/>
        </w:rPr>
      </w:pPr>
      <w:r>
        <w:rPr>
          <w:b/>
          <w:sz w:val="24"/>
          <w:szCs w:val="24"/>
        </w:rPr>
        <w:t>注：</w:t>
      </w:r>
    </w:p>
    <w:p>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pPr>
        <w:spacing w:line="360" w:lineRule="auto"/>
        <w:ind w:right="84" w:firstLine="224" w:firstLineChars="100"/>
        <w:rPr>
          <w:b/>
          <w:sz w:val="24"/>
        </w:rPr>
      </w:pPr>
      <w:r>
        <w:rPr>
          <w:b/>
          <w:sz w:val="24"/>
          <w:szCs w:val="24"/>
        </w:rPr>
        <w:t>3.中标（成交）供应商享受中小企业扶持政策的，将随中标（成交）结果同时公告其《中小企业声明函》，接受社会监督。</w:t>
      </w:r>
      <w:r>
        <w:rPr>
          <w:b/>
          <w:sz w:val="24"/>
        </w:rPr>
        <w:br w:type="page"/>
      </w:r>
    </w:p>
    <w:p>
      <w:pPr>
        <w:autoSpaceDN w:val="0"/>
        <w:spacing w:line="360" w:lineRule="auto"/>
        <w:rPr>
          <w:b/>
          <w:sz w:val="24"/>
        </w:rPr>
      </w:pPr>
      <w:r>
        <w:rPr>
          <w:rFonts w:hint="eastAsia"/>
          <w:b/>
          <w:sz w:val="24"/>
        </w:rPr>
        <w:t>附件9-2</w:t>
      </w:r>
    </w:p>
    <w:p>
      <w:pPr>
        <w:autoSpaceDN w:val="0"/>
        <w:spacing w:line="360" w:lineRule="auto"/>
        <w:jc w:val="left"/>
        <w:rPr>
          <w:b/>
          <w:bCs/>
          <w:sz w:val="24"/>
        </w:rPr>
      </w:pPr>
      <w:r>
        <w:rPr>
          <w:rFonts w:hint="eastAsia"/>
          <w:b/>
          <w:kern w:val="0"/>
          <w:sz w:val="24"/>
          <w:szCs w:val="21"/>
        </w:rPr>
        <w:t>若不是残疾人福利性单位，投标文件中可不提供此声明函</w:t>
      </w:r>
    </w:p>
    <w:p>
      <w:pPr>
        <w:autoSpaceDN w:val="0"/>
        <w:spacing w:line="360" w:lineRule="auto"/>
        <w:jc w:val="center"/>
        <w:rPr>
          <w:b/>
          <w:bCs/>
          <w:sz w:val="24"/>
        </w:rPr>
      </w:pPr>
    </w:p>
    <w:p>
      <w:pPr>
        <w:snapToGrid w:val="0"/>
        <w:spacing w:line="360" w:lineRule="auto"/>
        <w:jc w:val="center"/>
        <w:rPr>
          <w:b/>
          <w:bCs/>
          <w:sz w:val="24"/>
        </w:rPr>
      </w:pPr>
      <w:r>
        <w:rPr>
          <w:rFonts w:hint="eastAsia"/>
          <w:b/>
          <w:bCs/>
          <w:sz w:val="24"/>
        </w:rPr>
        <w:t>残疾人福利性单位声明函</w:t>
      </w:r>
    </w:p>
    <w:p>
      <w:pPr>
        <w:snapToGrid w:val="0"/>
        <w:spacing w:line="360" w:lineRule="auto"/>
        <w:ind w:firstLine="448" w:firstLineChars="200"/>
        <w:jc w:val="left"/>
        <w:rPr>
          <w:b/>
          <w:bCs/>
          <w:sz w:val="24"/>
        </w:rPr>
      </w:pPr>
    </w:p>
    <w:p>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pPr>
        <w:snapToGrid w:val="0"/>
        <w:spacing w:line="360" w:lineRule="auto"/>
        <w:ind w:firstLine="448" w:firstLineChars="200"/>
        <w:jc w:val="left"/>
        <w:rPr>
          <w:bCs/>
          <w:sz w:val="24"/>
        </w:rPr>
      </w:pPr>
    </w:p>
    <w:p>
      <w:pPr>
        <w:snapToGrid w:val="0"/>
        <w:spacing w:line="360" w:lineRule="auto"/>
        <w:ind w:firstLine="448" w:firstLineChars="200"/>
        <w:jc w:val="left"/>
        <w:rPr>
          <w:bCs/>
          <w:sz w:val="24"/>
        </w:rPr>
      </w:pPr>
    </w:p>
    <w:p>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pPr>
        <w:snapToGrid w:val="0"/>
        <w:spacing w:line="360" w:lineRule="auto"/>
        <w:ind w:firstLine="448" w:firstLineChars="200"/>
        <w:jc w:val="left"/>
        <w:rPr>
          <w:bCs/>
          <w:sz w:val="24"/>
        </w:rPr>
      </w:pPr>
    </w:p>
    <w:p>
      <w:pPr>
        <w:snapToGrid w:val="0"/>
        <w:spacing w:line="360" w:lineRule="auto"/>
        <w:ind w:firstLine="448" w:firstLineChars="200"/>
        <w:jc w:val="left"/>
        <w:rPr>
          <w:sz w:val="24"/>
          <w:szCs w:val="21"/>
        </w:rPr>
      </w:pPr>
      <w:r>
        <w:rPr>
          <w:rFonts w:hint="eastAsia"/>
          <w:bCs/>
          <w:sz w:val="24"/>
        </w:rPr>
        <w:t xml:space="preserve">               日  期：</w:t>
      </w:r>
    </w:p>
    <w:p>
      <w:pPr>
        <w:snapToGrid w:val="0"/>
        <w:spacing w:line="360" w:lineRule="auto"/>
        <w:ind w:firstLine="448" w:firstLineChars="200"/>
        <w:jc w:val="left"/>
        <w:rPr>
          <w:sz w:val="24"/>
          <w:szCs w:val="21"/>
        </w:rPr>
      </w:pPr>
    </w:p>
    <w:p>
      <w:pPr>
        <w:snapToGrid w:val="0"/>
        <w:spacing w:line="360" w:lineRule="auto"/>
        <w:ind w:firstLine="448" w:firstLineChars="200"/>
        <w:rPr>
          <w:sz w:val="24"/>
          <w:szCs w:val="21"/>
        </w:rPr>
      </w:pPr>
      <w:r>
        <w:rPr>
          <w:sz w:val="24"/>
          <w:szCs w:val="21"/>
        </w:rPr>
        <w:t>注：</w:t>
      </w:r>
    </w:p>
    <w:p>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pPr>
        <w:snapToGrid w:val="0"/>
        <w:spacing w:line="360" w:lineRule="auto"/>
        <w:ind w:firstLine="448" w:firstLineChars="200"/>
        <w:rPr>
          <w:b/>
          <w:sz w:val="24"/>
          <w:szCs w:val="21"/>
        </w:rPr>
      </w:pPr>
      <w:r>
        <w:rPr>
          <w:b/>
          <w:kern w:val="0"/>
          <w:sz w:val="24"/>
          <w:szCs w:val="21"/>
        </w:rPr>
        <w:t>若不是残疾人福利性单位，投标文件中可不提供此声明函。</w:t>
      </w:r>
    </w:p>
    <w:p>
      <w:pPr>
        <w:widowControl/>
        <w:jc w:val="left"/>
        <w:rPr>
          <w:b/>
          <w:sz w:val="24"/>
        </w:rPr>
      </w:pPr>
      <w:r>
        <w:rPr>
          <w:b/>
          <w:sz w:val="24"/>
        </w:rPr>
        <w:br w:type="page"/>
      </w:r>
    </w:p>
    <w:p>
      <w:pPr>
        <w:spacing w:line="480" w:lineRule="auto"/>
      </w:pPr>
      <w:r>
        <w:rPr>
          <w:b/>
          <w:sz w:val="24"/>
        </w:rPr>
        <w:t>附件1</w:t>
      </w:r>
      <w:r>
        <w:rPr>
          <w:rFonts w:hint="eastAsia"/>
          <w:b/>
          <w:sz w:val="24"/>
        </w:rPr>
        <w:t>0</w:t>
      </w:r>
      <w:r>
        <w:rPr>
          <w:b/>
          <w:sz w:val="24"/>
        </w:rPr>
        <w:t>：招标文件第</w:t>
      </w:r>
      <w:r>
        <w:rPr>
          <w:rFonts w:hint="eastAsia"/>
          <w:b/>
          <w:sz w:val="24"/>
        </w:rPr>
        <w:t>一</w:t>
      </w:r>
      <w:r>
        <w:rPr>
          <w:b/>
          <w:sz w:val="24"/>
        </w:rPr>
        <w:t>部分供应商资格要求的证件</w:t>
      </w: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b/>
          <w:sz w:val="24"/>
        </w:rPr>
      </w:pPr>
      <w:r>
        <w:rPr>
          <w:b/>
          <w:sz w:val="24"/>
        </w:rPr>
        <w:t>附件1</w:t>
      </w:r>
      <w:r>
        <w:rPr>
          <w:rFonts w:hint="eastAsia"/>
          <w:b/>
          <w:sz w:val="24"/>
        </w:rPr>
        <w:t>1</w:t>
      </w:r>
    </w:p>
    <w:p>
      <w:pPr>
        <w:spacing w:line="560" w:lineRule="exact"/>
        <w:jc w:val="center"/>
        <w:rPr>
          <w:b/>
          <w:sz w:val="24"/>
        </w:rPr>
      </w:pPr>
      <w:r>
        <w:rPr>
          <w:b/>
          <w:sz w:val="24"/>
        </w:rPr>
        <w:t>管理大纲</w:t>
      </w:r>
    </w:p>
    <w:p>
      <w:pPr>
        <w:spacing w:line="560" w:lineRule="exact"/>
        <w:ind w:firstLine="672" w:firstLineChars="300"/>
        <w:jc w:val="left"/>
        <w:rPr>
          <w:sz w:val="24"/>
        </w:rPr>
      </w:pPr>
      <w:r>
        <w:rPr>
          <w:sz w:val="24"/>
        </w:rPr>
        <w:t>请投标人根据招标文件“评分因素及评标标准”中的要求，按顺序提供详细的方案、证明材料等，自行编排序号。</w:t>
      </w:r>
    </w:p>
    <w:p>
      <w:pPr>
        <w:spacing w:line="560" w:lineRule="exact"/>
        <w:ind w:firstLine="672" w:firstLineChars="300"/>
        <w:jc w:val="left"/>
        <w:rPr>
          <w:sz w:val="24"/>
        </w:rPr>
      </w:pPr>
      <w:r>
        <w:rPr>
          <w:sz w:val="24"/>
        </w:rPr>
        <w:t>投标人将专项服务委托专业公司承担的，应当进行说明。</w:t>
      </w:r>
    </w:p>
    <w:p>
      <w:pPr>
        <w:spacing w:line="560" w:lineRule="exact"/>
        <w:ind w:firstLine="672" w:firstLineChars="300"/>
        <w:jc w:val="left"/>
        <w:rPr>
          <w:sz w:val="24"/>
        </w:rPr>
      </w:pPr>
      <w:r>
        <w:rPr>
          <w:sz w:val="24"/>
        </w:rPr>
        <w:t>投标人认为必需的其他内容。</w:t>
      </w: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360" w:lineRule="auto"/>
        <w:ind w:right="84"/>
        <w:rPr>
          <w:sz w:val="24"/>
        </w:rPr>
      </w:pPr>
      <w:r>
        <w:rPr>
          <w:sz w:val="24"/>
        </w:rPr>
        <w:t>投标人名称：</w:t>
      </w:r>
    </w:p>
    <w:p>
      <w:pPr>
        <w:spacing w:line="360" w:lineRule="auto"/>
        <w:ind w:right="84" w:firstLine="224" w:firstLineChars="100"/>
        <w:rPr>
          <w:sz w:val="24"/>
        </w:rPr>
      </w:pPr>
    </w:p>
    <w:p>
      <w:pPr>
        <w:spacing w:line="360" w:lineRule="auto"/>
        <w:ind w:right="84"/>
        <w:rPr>
          <w:position w:val="-40"/>
          <w:sz w:val="24"/>
        </w:rPr>
      </w:pPr>
      <w:r>
        <w:rPr>
          <w:sz w:val="24"/>
        </w:rPr>
        <w:t xml:space="preserve">日期：  </w:t>
      </w: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560" w:lineRule="exact"/>
        <w:jc w:val="left"/>
        <w:rPr>
          <w:sz w:val="28"/>
        </w:rPr>
      </w:pPr>
    </w:p>
    <w:p>
      <w:pPr>
        <w:spacing w:line="480" w:lineRule="auto"/>
        <w:rPr>
          <w:b/>
          <w:color w:val="000000"/>
          <w:sz w:val="24"/>
        </w:rPr>
      </w:pPr>
      <w:r>
        <w:rPr>
          <w:b/>
          <w:color w:val="000000"/>
          <w:sz w:val="24"/>
        </w:rPr>
        <w:t>附件1</w:t>
      </w:r>
      <w:r>
        <w:rPr>
          <w:rFonts w:hint="eastAsia"/>
          <w:b/>
          <w:color w:val="000000"/>
          <w:sz w:val="24"/>
        </w:rPr>
        <w:t>2</w:t>
      </w:r>
      <w:r>
        <w:rPr>
          <w:b/>
          <w:color w:val="000000"/>
          <w:sz w:val="24"/>
        </w:rPr>
        <w:t>-1</w:t>
      </w:r>
    </w:p>
    <w:p>
      <w:pPr>
        <w:spacing w:line="480" w:lineRule="auto"/>
        <w:jc w:val="center"/>
        <w:rPr>
          <w:b/>
          <w:sz w:val="30"/>
        </w:rPr>
      </w:pPr>
      <w:r>
        <w:rPr>
          <w:b/>
          <w:color w:val="000000"/>
          <w:sz w:val="24"/>
        </w:rPr>
        <w:t>项目负责人资格审查表</w:t>
      </w:r>
    </w:p>
    <w:tbl>
      <w:tblPr>
        <w:tblStyle w:val="22"/>
        <w:tblW w:w="8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500"/>
        <w:gridCol w:w="894"/>
        <w:gridCol w:w="502"/>
        <w:gridCol w:w="943"/>
        <w:gridCol w:w="506"/>
        <w:gridCol w:w="438"/>
        <w:gridCol w:w="1351"/>
        <w:gridCol w:w="105"/>
        <w:gridCol w:w="1244"/>
        <w:gridCol w:w="182"/>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pPr>
              <w:spacing w:line="360" w:lineRule="auto"/>
              <w:ind w:right="84"/>
              <w:jc w:val="center"/>
              <w:rPr>
                <w:position w:val="-36"/>
                <w:sz w:val="24"/>
              </w:rPr>
            </w:pPr>
            <w:r>
              <w:rPr>
                <w:position w:val="-36"/>
                <w:sz w:val="24"/>
              </w:rPr>
              <w:t>姓  名</w:t>
            </w:r>
          </w:p>
        </w:tc>
        <w:tc>
          <w:tcPr>
            <w:tcW w:w="1396" w:type="dxa"/>
            <w:gridSpan w:val="2"/>
          </w:tcPr>
          <w:p>
            <w:pPr>
              <w:spacing w:line="360" w:lineRule="auto"/>
              <w:ind w:right="84"/>
              <w:jc w:val="center"/>
              <w:rPr>
                <w:position w:val="-36"/>
                <w:sz w:val="24"/>
              </w:rPr>
            </w:pPr>
          </w:p>
        </w:tc>
        <w:tc>
          <w:tcPr>
            <w:tcW w:w="1449" w:type="dxa"/>
            <w:gridSpan w:val="2"/>
          </w:tcPr>
          <w:p>
            <w:pPr>
              <w:spacing w:line="360" w:lineRule="auto"/>
              <w:ind w:right="84"/>
              <w:jc w:val="center"/>
              <w:rPr>
                <w:position w:val="-36"/>
                <w:sz w:val="24"/>
              </w:rPr>
            </w:pPr>
            <w:r>
              <w:rPr>
                <w:position w:val="-36"/>
                <w:sz w:val="24"/>
              </w:rPr>
              <w:t>性  别</w:t>
            </w:r>
          </w:p>
        </w:tc>
        <w:tc>
          <w:tcPr>
            <w:tcW w:w="1894" w:type="dxa"/>
            <w:gridSpan w:val="3"/>
          </w:tcPr>
          <w:p>
            <w:pPr>
              <w:spacing w:line="360" w:lineRule="auto"/>
              <w:ind w:right="84"/>
              <w:jc w:val="center"/>
              <w:rPr>
                <w:position w:val="-36"/>
                <w:sz w:val="24"/>
              </w:rPr>
            </w:pPr>
          </w:p>
        </w:tc>
        <w:tc>
          <w:tcPr>
            <w:tcW w:w="1426" w:type="dxa"/>
            <w:gridSpan w:val="2"/>
          </w:tcPr>
          <w:p>
            <w:pPr>
              <w:spacing w:line="360" w:lineRule="auto"/>
              <w:ind w:right="84"/>
              <w:jc w:val="center"/>
              <w:rPr>
                <w:position w:val="-36"/>
                <w:sz w:val="24"/>
              </w:rPr>
            </w:pPr>
            <w:r>
              <w:rPr>
                <w:position w:val="-36"/>
                <w:sz w:val="24"/>
              </w:rPr>
              <w:t>年  龄</w:t>
            </w:r>
          </w:p>
        </w:tc>
        <w:tc>
          <w:tcPr>
            <w:tcW w:w="1290" w:type="dxa"/>
          </w:tcPr>
          <w:p>
            <w:pPr>
              <w:spacing w:line="360" w:lineRule="auto"/>
              <w:ind w:right="84"/>
              <w:jc w:val="center"/>
              <w:rPr>
                <w:position w:val="-3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pPr>
              <w:spacing w:line="360" w:lineRule="auto"/>
              <w:ind w:right="84"/>
              <w:jc w:val="center"/>
              <w:rPr>
                <w:position w:val="-36"/>
                <w:sz w:val="24"/>
              </w:rPr>
            </w:pPr>
            <w:r>
              <w:rPr>
                <w:position w:val="-36"/>
                <w:sz w:val="24"/>
              </w:rPr>
              <w:t>职  称</w:t>
            </w:r>
          </w:p>
        </w:tc>
        <w:tc>
          <w:tcPr>
            <w:tcW w:w="1396" w:type="dxa"/>
            <w:gridSpan w:val="2"/>
          </w:tcPr>
          <w:p>
            <w:pPr>
              <w:spacing w:line="360" w:lineRule="auto"/>
              <w:ind w:right="84"/>
              <w:jc w:val="center"/>
              <w:rPr>
                <w:position w:val="-36"/>
                <w:sz w:val="24"/>
              </w:rPr>
            </w:pPr>
          </w:p>
        </w:tc>
        <w:tc>
          <w:tcPr>
            <w:tcW w:w="1449" w:type="dxa"/>
            <w:gridSpan w:val="2"/>
          </w:tcPr>
          <w:p>
            <w:pPr>
              <w:spacing w:line="360" w:lineRule="auto"/>
              <w:ind w:right="84"/>
              <w:jc w:val="center"/>
              <w:rPr>
                <w:position w:val="-36"/>
                <w:sz w:val="24"/>
              </w:rPr>
            </w:pPr>
            <w:r>
              <w:rPr>
                <w:position w:val="-36"/>
                <w:sz w:val="24"/>
              </w:rPr>
              <w:t>毕业学校</w:t>
            </w:r>
          </w:p>
        </w:tc>
        <w:tc>
          <w:tcPr>
            <w:tcW w:w="1894" w:type="dxa"/>
            <w:gridSpan w:val="3"/>
          </w:tcPr>
          <w:p>
            <w:pPr>
              <w:spacing w:line="360" w:lineRule="auto"/>
              <w:ind w:right="84"/>
              <w:jc w:val="center"/>
              <w:rPr>
                <w:position w:val="-36"/>
                <w:sz w:val="24"/>
              </w:rPr>
            </w:pPr>
          </w:p>
        </w:tc>
        <w:tc>
          <w:tcPr>
            <w:tcW w:w="1426" w:type="dxa"/>
            <w:gridSpan w:val="2"/>
          </w:tcPr>
          <w:p>
            <w:pPr>
              <w:spacing w:line="360" w:lineRule="auto"/>
              <w:ind w:right="84"/>
              <w:jc w:val="center"/>
              <w:rPr>
                <w:position w:val="-36"/>
                <w:sz w:val="24"/>
              </w:rPr>
            </w:pPr>
            <w:r>
              <w:rPr>
                <w:position w:val="-36"/>
                <w:sz w:val="24"/>
              </w:rPr>
              <w:t>毕业时间</w:t>
            </w:r>
          </w:p>
        </w:tc>
        <w:tc>
          <w:tcPr>
            <w:tcW w:w="1290" w:type="dxa"/>
          </w:tcPr>
          <w:p>
            <w:pPr>
              <w:spacing w:line="360" w:lineRule="auto"/>
              <w:ind w:right="84"/>
              <w:jc w:val="center"/>
              <w:rPr>
                <w:position w:val="-3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pPr>
              <w:spacing w:line="360" w:lineRule="auto"/>
              <w:ind w:right="84"/>
              <w:jc w:val="center"/>
              <w:rPr>
                <w:position w:val="-36"/>
                <w:sz w:val="24"/>
              </w:rPr>
            </w:pPr>
            <w:r>
              <w:rPr>
                <w:position w:val="-36"/>
                <w:sz w:val="24"/>
              </w:rPr>
              <w:t>所学专业</w:t>
            </w:r>
          </w:p>
        </w:tc>
        <w:tc>
          <w:tcPr>
            <w:tcW w:w="1396" w:type="dxa"/>
            <w:gridSpan w:val="2"/>
          </w:tcPr>
          <w:p>
            <w:pPr>
              <w:spacing w:line="360" w:lineRule="auto"/>
              <w:ind w:right="84"/>
              <w:jc w:val="center"/>
              <w:rPr>
                <w:position w:val="-36"/>
                <w:sz w:val="24"/>
              </w:rPr>
            </w:pPr>
          </w:p>
        </w:tc>
        <w:tc>
          <w:tcPr>
            <w:tcW w:w="1449" w:type="dxa"/>
            <w:gridSpan w:val="2"/>
          </w:tcPr>
          <w:p>
            <w:pPr>
              <w:spacing w:line="360" w:lineRule="auto"/>
              <w:ind w:right="84"/>
              <w:jc w:val="center"/>
              <w:rPr>
                <w:position w:val="-36"/>
                <w:sz w:val="24"/>
              </w:rPr>
            </w:pPr>
            <w:r>
              <w:rPr>
                <w:position w:val="-36"/>
                <w:sz w:val="24"/>
              </w:rPr>
              <w:t>最高学历</w:t>
            </w:r>
          </w:p>
        </w:tc>
        <w:tc>
          <w:tcPr>
            <w:tcW w:w="1894" w:type="dxa"/>
            <w:gridSpan w:val="3"/>
          </w:tcPr>
          <w:p>
            <w:pPr>
              <w:spacing w:line="360" w:lineRule="auto"/>
              <w:ind w:right="84"/>
              <w:jc w:val="center"/>
              <w:rPr>
                <w:position w:val="-36"/>
                <w:sz w:val="24"/>
              </w:rPr>
            </w:pPr>
          </w:p>
        </w:tc>
        <w:tc>
          <w:tcPr>
            <w:tcW w:w="1426" w:type="dxa"/>
            <w:gridSpan w:val="2"/>
          </w:tcPr>
          <w:p>
            <w:pPr>
              <w:spacing w:line="360" w:lineRule="auto"/>
              <w:ind w:right="84"/>
              <w:jc w:val="center"/>
              <w:rPr>
                <w:position w:val="-36"/>
                <w:sz w:val="24"/>
              </w:rPr>
            </w:pPr>
            <w:r>
              <w:rPr>
                <w:spacing w:val="-12"/>
                <w:position w:val="-36"/>
                <w:sz w:val="24"/>
              </w:rPr>
              <w:t xml:space="preserve">联系电话 </w:t>
            </w:r>
          </w:p>
        </w:tc>
        <w:tc>
          <w:tcPr>
            <w:tcW w:w="1290" w:type="dxa"/>
          </w:tcPr>
          <w:p>
            <w:pPr>
              <w:spacing w:line="360" w:lineRule="auto"/>
              <w:ind w:right="84"/>
              <w:jc w:val="center"/>
              <w:rPr>
                <w:position w:val="-3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346" w:type="dxa"/>
            <w:gridSpan w:val="3"/>
            <w:vAlign w:val="center"/>
          </w:tcPr>
          <w:p>
            <w:pPr>
              <w:spacing w:line="360" w:lineRule="auto"/>
              <w:ind w:right="84"/>
              <w:jc w:val="center"/>
              <w:rPr>
                <w:spacing w:val="-28"/>
                <w:position w:val="-36"/>
                <w:sz w:val="24"/>
              </w:rPr>
            </w:pPr>
            <w:r>
              <w:rPr>
                <w:position w:val="-36"/>
                <w:sz w:val="24"/>
              </w:rPr>
              <w:t>所获证书及编号</w:t>
            </w:r>
          </w:p>
        </w:tc>
        <w:tc>
          <w:tcPr>
            <w:tcW w:w="1951" w:type="dxa"/>
            <w:gridSpan w:val="3"/>
          </w:tcPr>
          <w:p>
            <w:pPr>
              <w:spacing w:line="360" w:lineRule="auto"/>
              <w:ind w:right="84"/>
              <w:jc w:val="center"/>
              <w:rPr>
                <w:position w:val="-36"/>
                <w:sz w:val="24"/>
              </w:rPr>
            </w:pPr>
          </w:p>
        </w:tc>
        <w:tc>
          <w:tcPr>
            <w:tcW w:w="3138" w:type="dxa"/>
            <w:gridSpan w:val="4"/>
          </w:tcPr>
          <w:p>
            <w:pPr>
              <w:spacing w:line="560" w:lineRule="exact"/>
              <w:jc w:val="center"/>
              <w:rPr>
                <w:sz w:val="24"/>
              </w:rPr>
            </w:pPr>
            <w:r>
              <w:rPr>
                <w:sz w:val="24"/>
              </w:rPr>
              <w:t>从事物业管理</w:t>
            </w:r>
          </w:p>
          <w:p>
            <w:pPr>
              <w:spacing w:line="360" w:lineRule="auto"/>
              <w:ind w:right="84"/>
              <w:jc w:val="center"/>
              <w:rPr>
                <w:position w:val="-36"/>
                <w:sz w:val="24"/>
              </w:rPr>
            </w:pPr>
            <w:r>
              <w:rPr>
                <w:sz w:val="24"/>
              </w:rPr>
              <w:t>工作年限</w:t>
            </w:r>
          </w:p>
        </w:tc>
        <w:tc>
          <w:tcPr>
            <w:tcW w:w="1472" w:type="dxa"/>
            <w:gridSpan w:val="2"/>
          </w:tcPr>
          <w:p>
            <w:pPr>
              <w:spacing w:line="360" w:lineRule="auto"/>
              <w:ind w:right="84"/>
              <w:jc w:val="center"/>
              <w:rPr>
                <w:position w:val="-3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07" w:type="dxa"/>
            <w:gridSpan w:val="12"/>
          </w:tcPr>
          <w:p>
            <w:pPr>
              <w:spacing w:line="360" w:lineRule="auto"/>
              <w:ind w:right="84"/>
              <w:jc w:val="center"/>
              <w:rPr>
                <w:position w:val="-36"/>
                <w:sz w:val="24"/>
              </w:rPr>
            </w:pPr>
            <w:r>
              <w:rPr>
                <w:position w:val="-36"/>
                <w:sz w:val="24"/>
              </w:rPr>
              <w:t>近三年来的主要工作业绩及担任的主要工作经历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pPr>
              <w:spacing w:line="360" w:lineRule="auto"/>
              <w:ind w:right="84"/>
              <w:rPr>
                <w:position w:val="-36"/>
                <w:sz w:val="24"/>
              </w:rPr>
            </w:pPr>
            <w:r>
              <w:rPr>
                <w:position w:val="-36"/>
                <w:sz w:val="24"/>
              </w:rPr>
              <w:t>时 间</w:t>
            </w:r>
          </w:p>
        </w:tc>
        <w:tc>
          <w:tcPr>
            <w:tcW w:w="1394" w:type="dxa"/>
            <w:gridSpan w:val="2"/>
          </w:tcPr>
          <w:p>
            <w:pPr>
              <w:spacing w:line="360" w:lineRule="auto"/>
              <w:ind w:right="84"/>
              <w:jc w:val="center"/>
              <w:rPr>
                <w:position w:val="-36"/>
                <w:sz w:val="24"/>
              </w:rPr>
            </w:pPr>
            <w:r>
              <w:rPr>
                <w:position w:val="-36"/>
                <w:sz w:val="24"/>
              </w:rPr>
              <w:t>地  点</w:t>
            </w:r>
          </w:p>
        </w:tc>
        <w:tc>
          <w:tcPr>
            <w:tcW w:w="1445" w:type="dxa"/>
            <w:gridSpan w:val="2"/>
          </w:tcPr>
          <w:p>
            <w:pPr>
              <w:spacing w:line="360" w:lineRule="auto"/>
              <w:ind w:right="84"/>
              <w:jc w:val="center"/>
              <w:rPr>
                <w:position w:val="-36"/>
                <w:sz w:val="24"/>
              </w:rPr>
            </w:pPr>
            <w:r>
              <w:rPr>
                <w:position w:val="-36"/>
                <w:sz w:val="24"/>
              </w:rPr>
              <w:t>单  位</w:t>
            </w:r>
          </w:p>
        </w:tc>
        <w:tc>
          <w:tcPr>
            <w:tcW w:w="944" w:type="dxa"/>
            <w:gridSpan w:val="2"/>
          </w:tcPr>
          <w:p>
            <w:pPr>
              <w:spacing w:line="360" w:lineRule="auto"/>
              <w:ind w:right="84"/>
              <w:jc w:val="center"/>
              <w:rPr>
                <w:position w:val="-36"/>
                <w:sz w:val="24"/>
              </w:rPr>
            </w:pPr>
            <w:r>
              <w:rPr>
                <w:position w:val="-36"/>
                <w:sz w:val="24"/>
              </w:rPr>
              <w:t>职 务</w:t>
            </w:r>
          </w:p>
        </w:tc>
        <w:tc>
          <w:tcPr>
            <w:tcW w:w="4172" w:type="dxa"/>
            <w:gridSpan w:val="5"/>
          </w:tcPr>
          <w:p>
            <w:pPr>
              <w:spacing w:line="360" w:lineRule="auto"/>
              <w:ind w:right="84"/>
              <w:jc w:val="center"/>
              <w:rPr>
                <w:position w:val="-36"/>
                <w:sz w:val="24"/>
              </w:rPr>
            </w:pPr>
            <w:r>
              <w:rPr>
                <w:position w:val="-36"/>
                <w:sz w:val="24"/>
              </w:rPr>
              <w:t>主 要 工 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pPr>
              <w:spacing w:line="360" w:lineRule="auto"/>
              <w:ind w:right="84"/>
              <w:rPr>
                <w:position w:val="-36"/>
                <w:sz w:val="24"/>
              </w:rPr>
            </w:pPr>
          </w:p>
          <w:p>
            <w:pPr>
              <w:spacing w:line="360" w:lineRule="auto"/>
              <w:ind w:right="84"/>
              <w:rPr>
                <w:position w:val="-36"/>
                <w:sz w:val="24"/>
              </w:rPr>
            </w:pPr>
          </w:p>
          <w:p>
            <w:pPr>
              <w:spacing w:line="360" w:lineRule="auto"/>
              <w:ind w:right="84"/>
              <w:rPr>
                <w:position w:val="-36"/>
                <w:sz w:val="24"/>
              </w:rPr>
            </w:pPr>
          </w:p>
          <w:p>
            <w:pPr>
              <w:spacing w:line="360" w:lineRule="auto"/>
              <w:ind w:right="84"/>
              <w:rPr>
                <w:position w:val="-36"/>
                <w:sz w:val="24"/>
              </w:rPr>
            </w:pPr>
          </w:p>
          <w:p>
            <w:pPr>
              <w:spacing w:line="360" w:lineRule="auto"/>
              <w:ind w:right="84"/>
              <w:rPr>
                <w:position w:val="-36"/>
                <w:sz w:val="24"/>
              </w:rPr>
            </w:pPr>
          </w:p>
        </w:tc>
        <w:tc>
          <w:tcPr>
            <w:tcW w:w="1394" w:type="dxa"/>
            <w:gridSpan w:val="2"/>
          </w:tcPr>
          <w:p>
            <w:pPr>
              <w:spacing w:line="360" w:lineRule="auto"/>
              <w:ind w:right="84"/>
              <w:rPr>
                <w:position w:val="-36"/>
                <w:sz w:val="24"/>
              </w:rPr>
            </w:pPr>
          </w:p>
        </w:tc>
        <w:tc>
          <w:tcPr>
            <w:tcW w:w="1445" w:type="dxa"/>
            <w:gridSpan w:val="2"/>
          </w:tcPr>
          <w:p>
            <w:pPr>
              <w:spacing w:line="360" w:lineRule="auto"/>
              <w:ind w:right="84"/>
              <w:rPr>
                <w:position w:val="-36"/>
                <w:sz w:val="24"/>
              </w:rPr>
            </w:pPr>
          </w:p>
        </w:tc>
        <w:tc>
          <w:tcPr>
            <w:tcW w:w="944" w:type="dxa"/>
            <w:gridSpan w:val="2"/>
          </w:tcPr>
          <w:p>
            <w:pPr>
              <w:spacing w:line="360" w:lineRule="auto"/>
              <w:ind w:right="84"/>
              <w:rPr>
                <w:position w:val="-36"/>
                <w:sz w:val="24"/>
              </w:rPr>
            </w:pPr>
          </w:p>
        </w:tc>
        <w:tc>
          <w:tcPr>
            <w:tcW w:w="4172" w:type="dxa"/>
            <w:gridSpan w:val="5"/>
          </w:tcPr>
          <w:p>
            <w:pPr>
              <w:spacing w:line="360" w:lineRule="auto"/>
              <w:ind w:right="84"/>
              <w:rPr>
                <w:position w:val="-3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07" w:type="dxa"/>
            <w:gridSpan w:val="12"/>
          </w:tcPr>
          <w:p>
            <w:pPr>
              <w:spacing w:line="360" w:lineRule="auto"/>
              <w:ind w:right="84"/>
              <w:jc w:val="center"/>
              <w:rPr>
                <w:position w:val="-36"/>
                <w:sz w:val="24"/>
              </w:rPr>
            </w:pPr>
            <w:r>
              <w:rPr>
                <w:position w:val="-36"/>
                <w:sz w:val="24"/>
              </w:rPr>
              <w:t>曾担任负责人的项目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pPr>
              <w:spacing w:line="360" w:lineRule="auto"/>
              <w:ind w:right="84"/>
              <w:rPr>
                <w:position w:val="-36"/>
                <w:sz w:val="24"/>
              </w:rPr>
            </w:pPr>
            <w:r>
              <w:rPr>
                <w:position w:val="-36"/>
                <w:sz w:val="24"/>
              </w:rPr>
              <w:t>时 间</w:t>
            </w:r>
          </w:p>
        </w:tc>
        <w:tc>
          <w:tcPr>
            <w:tcW w:w="1394" w:type="dxa"/>
            <w:gridSpan w:val="2"/>
          </w:tcPr>
          <w:p>
            <w:pPr>
              <w:spacing w:line="360" w:lineRule="auto"/>
              <w:ind w:right="84"/>
              <w:jc w:val="center"/>
              <w:rPr>
                <w:position w:val="-36"/>
                <w:sz w:val="24"/>
              </w:rPr>
            </w:pPr>
            <w:r>
              <w:rPr>
                <w:position w:val="-36"/>
                <w:sz w:val="24"/>
              </w:rPr>
              <w:t>委托单位</w:t>
            </w:r>
          </w:p>
        </w:tc>
        <w:tc>
          <w:tcPr>
            <w:tcW w:w="2389" w:type="dxa"/>
            <w:gridSpan w:val="4"/>
          </w:tcPr>
          <w:p>
            <w:pPr>
              <w:spacing w:line="360" w:lineRule="auto"/>
              <w:ind w:right="84"/>
              <w:jc w:val="center"/>
              <w:rPr>
                <w:position w:val="-36"/>
                <w:sz w:val="24"/>
              </w:rPr>
            </w:pPr>
            <w:r>
              <w:rPr>
                <w:position w:val="-36"/>
                <w:sz w:val="24"/>
              </w:rPr>
              <w:t>项目名称</w:t>
            </w:r>
          </w:p>
        </w:tc>
        <w:tc>
          <w:tcPr>
            <w:tcW w:w="1351" w:type="dxa"/>
          </w:tcPr>
          <w:p>
            <w:pPr>
              <w:spacing w:line="360" w:lineRule="auto"/>
              <w:ind w:right="84"/>
              <w:jc w:val="center"/>
              <w:rPr>
                <w:position w:val="-36"/>
                <w:sz w:val="24"/>
              </w:rPr>
            </w:pPr>
            <w:r>
              <w:rPr>
                <w:position w:val="-36"/>
                <w:sz w:val="24"/>
              </w:rPr>
              <w:t>项目规模</w:t>
            </w:r>
          </w:p>
        </w:tc>
        <w:tc>
          <w:tcPr>
            <w:tcW w:w="1349" w:type="dxa"/>
            <w:gridSpan w:val="2"/>
          </w:tcPr>
          <w:p>
            <w:pPr>
              <w:spacing w:line="360" w:lineRule="auto"/>
              <w:ind w:right="84"/>
              <w:jc w:val="center"/>
              <w:rPr>
                <w:position w:val="-36"/>
                <w:sz w:val="24"/>
              </w:rPr>
            </w:pPr>
            <w:r>
              <w:rPr>
                <w:position w:val="-36"/>
                <w:sz w:val="24"/>
              </w:rPr>
              <w:t>项目类型</w:t>
            </w:r>
          </w:p>
        </w:tc>
        <w:tc>
          <w:tcPr>
            <w:tcW w:w="1472" w:type="dxa"/>
            <w:gridSpan w:val="2"/>
          </w:tcPr>
          <w:p>
            <w:pPr>
              <w:spacing w:line="360" w:lineRule="auto"/>
              <w:ind w:right="84"/>
              <w:jc w:val="center"/>
              <w:rPr>
                <w:position w:val="-36"/>
                <w:sz w:val="24"/>
              </w:rPr>
            </w:pPr>
            <w:r>
              <w:rPr>
                <w:position w:val="-36"/>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9" w:hRule="atLeast"/>
          <w:jc w:val="center"/>
        </w:trPr>
        <w:tc>
          <w:tcPr>
            <w:tcW w:w="952" w:type="dxa"/>
            <w:tcBorders>
              <w:bottom w:val="single" w:color="auto" w:sz="4" w:space="0"/>
            </w:tcBorders>
          </w:tcPr>
          <w:p>
            <w:pPr>
              <w:spacing w:line="360" w:lineRule="auto"/>
              <w:ind w:right="84"/>
              <w:rPr>
                <w:position w:val="-36"/>
                <w:sz w:val="24"/>
              </w:rPr>
            </w:pPr>
          </w:p>
          <w:p>
            <w:pPr>
              <w:spacing w:line="360" w:lineRule="auto"/>
              <w:ind w:right="84"/>
              <w:rPr>
                <w:position w:val="-36"/>
                <w:sz w:val="24"/>
              </w:rPr>
            </w:pPr>
          </w:p>
          <w:p>
            <w:pPr>
              <w:spacing w:line="360" w:lineRule="auto"/>
              <w:ind w:right="84"/>
              <w:rPr>
                <w:position w:val="-36"/>
                <w:sz w:val="24"/>
              </w:rPr>
            </w:pPr>
          </w:p>
        </w:tc>
        <w:tc>
          <w:tcPr>
            <w:tcW w:w="1394" w:type="dxa"/>
            <w:gridSpan w:val="2"/>
            <w:tcBorders>
              <w:bottom w:val="single" w:color="auto" w:sz="4" w:space="0"/>
            </w:tcBorders>
          </w:tcPr>
          <w:p>
            <w:pPr>
              <w:spacing w:line="360" w:lineRule="auto"/>
              <w:ind w:right="84"/>
              <w:rPr>
                <w:position w:val="-36"/>
                <w:sz w:val="24"/>
              </w:rPr>
            </w:pPr>
          </w:p>
        </w:tc>
        <w:tc>
          <w:tcPr>
            <w:tcW w:w="2389" w:type="dxa"/>
            <w:gridSpan w:val="4"/>
            <w:tcBorders>
              <w:bottom w:val="single" w:color="auto" w:sz="4" w:space="0"/>
            </w:tcBorders>
          </w:tcPr>
          <w:p>
            <w:pPr>
              <w:spacing w:line="360" w:lineRule="auto"/>
              <w:ind w:right="84"/>
              <w:rPr>
                <w:position w:val="-36"/>
                <w:sz w:val="24"/>
              </w:rPr>
            </w:pPr>
          </w:p>
        </w:tc>
        <w:tc>
          <w:tcPr>
            <w:tcW w:w="1351" w:type="dxa"/>
            <w:tcBorders>
              <w:bottom w:val="single" w:color="auto" w:sz="4" w:space="0"/>
            </w:tcBorders>
          </w:tcPr>
          <w:p>
            <w:pPr>
              <w:spacing w:line="360" w:lineRule="auto"/>
              <w:ind w:right="84"/>
              <w:rPr>
                <w:position w:val="-36"/>
                <w:sz w:val="24"/>
              </w:rPr>
            </w:pPr>
          </w:p>
        </w:tc>
        <w:tc>
          <w:tcPr>
            <w:tcW w:w="1349" w:type="dxa"/>
            <w:gridSpan w:val="2"/>
            <w:tcBorders>
              <w:bottom w:val="single" w:color="auto" w:sz="4" w:space="0"/>
            </w:tcBorders>
          </w:tcPr>
          <w:p>
            <w:pPr>
              <w:spacing w:line="360" w:lineRule="auto"/>
              <w:ind w:right="84"/>
              <w:rPr>
                <w:position w:val="-36"/>
                <w:sz w:val="24"/>
              </w:rPr>
            </w:pPr>
          </w:p>
        </w:tc>
        <w:tc>
          <w:tcPr>
            <w:tcW w:w="1472" w:type="dxa"/>
            <w:gridSpan w:val="2"/>
            <w:tcBorders>
              <w:bottom w:val="single" w:color="auto" w:sz="4" w:space="0"/>
            </w:tcBorders>
          </w:tcPr>
          <w:p>
            <w:pPr>
              <w:spacing w:line="360" w:lineRule="auto"/>
              <w:ind w:right="84"/>
              <w:rPr>
                <w:position w:val="-36"/>
                <w:sz w:val="24"/>
              </w:rPr>
            </w:pPr>
          </w:p>
        </w:tc>
      </w:tr>
    </w:tbl>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 xml:space="preserve">日期：  </w:t>
      </w:r>
    </w:p>
    <w:p>
      <w:pPr>
        <w:widowControl/>
        <w:jc w:val="left"/>
        <w:rPr>
          <w:b/>
          <w:sz w:val="24"/>
          <w:szCs w:val="24"/>
        </w:rPr>
      </w:pPr>
      <w:r>
        <w:rPr>
          <w:b/>
          <w:sz w:val="24"/>
          <w:szCs w:val="24"/>
        </w:rPr>
        <w:br w:type="page"/>
      </w:r>
    </w:p>
    <w:p>
      <w:pPr>
        <w:tabs>
          <w:tab w:val="left" w:pos="240"/>
          <w:tab w:val="left" w:pos="7665"/>
        </w:tabs>
        <w:rPr>
          <w:b/>
          <w:sz w:val="24"/>
          <w:szCs w:val="24"/>
        </w:rPr>
      </w:pPr>
      <w:r>
        <w:rPr>
          <w:b/>
          <w:sz w:val="24"/>
          <w:szCs w:val="24"/>
        </w:rPr>
        <w:t>附件1</w:t>
      </w:r>
      <w:r>
        <w:rPr>
          <w:rFonts w:hint="eastAsia"/>
          <w:b/>
          <w:sz w:val="24"/>
          <w:szCs w:val="24"/>
        </w:rPr>
        <w:t>2</w:t>
      </w:r>
      <w:r>
        <w:rPr>
          <w:b/>
          <w:sz w:val="24"/>
          <w:szCs w:val="24"/>
        </w:rPr>
        <w:t>-2</w:t>
      </w:r>
    </w:p>
    <w:p>
      <w:pPr>
        <w:spacing w:line="360" w:lineRule="auto"/>
        <w:ind w:right="84"/>
        <w:jc w:val="center"/>
        <w:rPr>
          <w:b/>
          <w:sz w:val="24"/>
          <w:szCs w:val="24"/>
        </w:rPr>
      </w:pPr>
      <w:r>
        <w:rPr>
          <w:b/>
          <w:position w:val="-40"/>
          <w:sz w:val="24"/>
          <w:szCs w:val="24"/>
        </w:rPr>
        <w:t>拟在本项目使用的主要设备一览表</w:t>
      </w:r>
    </w:p>
    <w:tbl>
      <w:tblPr>
        <w:tblStyle w:val="22"/>
        <w:tblW w:w="8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520"/>
        <w:gridCol w:w="1441"/>
        <w:gridCol w:w="1439"/>
        <w:gridCol w:w="900"/>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pPr>
              <w:spacing w:line="360" w:lineRule="auto"/>
              <w:ind w:right="84"/>
              <w:jc w:val="center"/>
              <w:rPr>
                <w:position w:val="-32"/>
                <w:sz w:val="24"/>
              </w:rPr>
            </w:pPr>
            <w:r>
              <w:rPr>
                <w:position w:val="-32"/>
                <w:sz w:val="24"/>
              </w:rPr>
              <w:t>序 号</w:t>
            </w:r>
          </w:p>
        </w:tc>
        <w:tc>
          <w:tcPr>
            <w:tcW w:w="2520" w:type="dxa"/>
            <w:vAlign w:val="center"/>
          </w:tcPr>
          <w:p>
            <w:pPr>
              <w:spacing w:line="360" w:lineRule="auto"/>
              <w:ind w:right="84"/>
              <w:jc w:val="center"/>
              <w:rPr>
                <w:position w:val="-32"/>
                <w:sz w:val="24"/>
              </w:rPr>
            </w:pPr>
            <w:r>
              <w:rPr>
                <w:position w:val="-32"/>
                <w:sz w:val="24"/>
              </w:rPr>
              <w:t>主要设备名称</w:t>
            </w:r>
          </w:p>
        </w:tc>
        <w:tc>
          <w:tcPr>
            <w:tcW w:w="1441" w:type="dxa"/>
            <w:vAlign w:val="center"/>
          </w:tcPr>
          <w:p>
            <w:pPr>
              <w:spacing w:line="360" w:lineRule="auto"/>
              <w:ind w:right="84"/>
              <w:jc w:val="center"/>
              <w:rPr>
                <w:position w:val="-32"/>
                <w:sz w:val="24"/>
              </w:rPr>
            </w:pPr>
            <w:r>
              <w:rPr>
                <w:position w:val="-32"/>
                <w:sz w:val="24"/>
              </w:rPr>
              <w:t>规格型号</w:t>
            </w:r>
          </w:p>
        </w:tc>
        <w:tc>
          <w:tcPr>
            <w:tcW w:w="1439" w:type="dxa"/>
            <w:vAlign w:val="center"/>
          </w:tcPr>
          <w:p>
            <w:pPr>
              <w:spacing w:line="360" w:lineRule="auto"/>
              <w:ind w:right="84"/>
              <w:jc w:val="center"/>
              <w:rPr>
                <w:position w:val="-32"/>
                <w:sz w:val="24"/>
              </w:rPr>
            </w:pPr>
            <w:r>
              <w:rPr>
                <w:position w:val="-32"/>
                <w:sz w:val="24"/>
              </w:rPr>
              <w:t>购入时间</w:t>
            </w:r>
          </w:p>
        </w:tc>
        <w:tc>
          <w:tcPr>
            <w:tcW w:w="900" w:type="dxa"/>
            <w:vAlign w:val="center"/>
          </w:tcPr>
          <w:p>
            <w:pPr>
              <w:spacing w:line="360" w:lineRule="auto"/>
              <w:ind w:right="84"/>
              <w:jc w:val="center"/>
              <w:rPr>
                <w:position w:val="-32"/>
                <w:sz w:val="24"/>
              </w:rPr>
            </w:pPr>
            <w:r>
              <w:rPr>
                <w:position w:val="-32"/>
                <w:sz w:val="24"/>
              </w:rPr>
              <w:t>数 量</w:t>
            </w:r>
          </w:p>
        </w:tc>
        <w:tc>
          <w:tcPr>
            <w:tcW w:w="1404" w:type="dxa"/>
            <w:vAlign w:val="center"/>
          </w:tcPr>
          <w:p>
            <w:pPr>
              <w:spacing w:line="360" w:lineRule="auto"/>
              <w:ind w:right="84"/>
              <w:jc w:val="center"/>
              <w:rPr>
                <w:position w:val="-32"/>
                <w:sz w:val="24"/>
              </w:rPr>
            </w:pPr>
            <w:r>
              <w:rPr>
                <w:position w:val="-32"/>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pPr>
              <w:spacing w:line="360" w:lineRule="auto"/>
              <w:ind w:right="84"/>
              <w:rPr>
                <w:position w:val="-40"/>
                <w:u w:val="single"/>
              </w:rPr>
            </w:pPr>
          </w:p>
        </w:tc>
        <w:tc>
          <w:tcPr>
            <w:tcW w:w="2520" w:type="dxa"/>
          </w:tcPr>
          <w:p>
            <w:pPr>
              <w:spacing w:line="360" w:lineRule="auto"/>
              <w:ind w:right="84"/>
              <w:rPr>
                <w:position w:val="-40"/>
                <w:u w:val="single"/>
              </w:rPr>
            </w:pPr>
          </w:p>
        </w:tc>
        <w:tc>
          <w:tcPr>
            <w:tcW w:w="1441" w:type="dxa"/>
          </w:tcPr>
          <w:p>
            <w:pPr>
              <w:spacing w:line="360" w:lineRule="auto"/>
              <w:ind w:right="84"/>
              <w:rPr>
                <w:position w:val="-40"/>
                <w:u w:val="single"/>
              </w:rPr>
            </w:pPr>
          </w:p>
        </w:tc>
        <w:tc>
          <w:tcPr>
            <w:tcW w:w="1439" w:type="dxa"/>
          </w:tcPr>
          <w:p>
            <w:pPr>
              <w:spacing w:line="360" w:lineRule="auto"/>
              <w:ind w:right="84"/>
              <w:rPr>
                <w:position w:val="-40"/>
                <w:u w:val="single"/>
              </w:rPr>
            </w:pPr>
          </w:p>
        </w:tc>
        <w:tc>
          <w:tcPr>
            <w:tcW w:w="900" w:type="dxa"/>
          </w:tcPr>
          <w:p>
            <w:pPr>
              <w:spacing w:line="360" w:lineRule="auto"/>
              <w:ind w:right="84"/>
              <w:rPr>
                <w:position w:val="-40"/>
                <w:u w:val="single"/>
              </w:rPr>
            </w:pPr>
          </w:p>
        </w:tc>
        <w:tc>
          <w:tcPr>
            <w:tcW w:w="1404" w:type="dxa"/>
          </w:tcPr>
          <w:p>
            <w:pPr>
              <w:spacing w:line="360" w:lineRule="auto"/>
              <w:ind w:right="84"/>
              <w:rPr>
                <w:position w:val="-40"/>
                <w:u w:val="single"/>
              </w:rPr>
            </w:pPr>
          </w:p>
        </w:tc>
      </w:tr>
    </w:tbl>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 xml:space="preserve">日期：  </w:t>
      </w:r>
    </w:p>
    <w:p>
      <w:pPr>
        <w:widowControl/>
        <w:jc w:val="left"/>
        <w:rPr>
          <w:b/>
          <w:sz w:val="24"/>
          <w:szCs w:val="24"/>
        </w:rPr>
      </w:pPr>
      <w:r>
        <w:rPr>
          <w:b/>
          <w:sz w:val="24"/>
          <w:szCs w:val="24"/>
        </w:rPr>
        <w:br w:type="page"/>
      </w:r>
    </w:p>
    <w:p>
      <w:pPr>
        <w:tabs>
          <w:tab w:val="left" w:pos="240"/>
          <w:tab w:val="left" w:pos="7665"/>
        </w:tabs>
        <w:rPr>
          <w:b/>
          <w:sz w:val="24"/>
          <w:szCs w:val="24"/>
        </w:rPr>
      </w:pPr>
      <w:r>
        <w:rPr>
          <w:b/>
          <w:sz w:val="24"/>
          <w:szCs w:val="24"/>
        </w:rPr>
        <w:t>附件1</w:t>
      </w:r>
      <w:r>
        <w:rPr>
          <w:rFonts w:hint="eastAsia"/>
          <w:b/>
          <w:sz w:val="24"/>
          <w:szCs w:val="24"/>
        </w:rPr>
        <w:t>2</w:t>
      </w:r>
      <w:r>
        <w:rPr>
          <w:b/>
          <w:sz w:val="24"/>
          <w:szCs w:val="24"/>
        </w:rPr>
        <w:t>-3</w:t>
      </w:r>
    </w:p>
    <w:p>
      <w:pPr>
        <w:tabs>
          <w:tab w:val="left" w:pos="240"/>
        </w:tabs>
        <w:jc w:val="center"/>
        <w:rPr>
          <w:b/>
          <w:sz w:val="24"/>
          <w:szCs w:val="24"/>
        </w:rPr>
      </w:pPr>
      <w:r>
        <w:rPr>
          <w:b/>
          <w:sz w:val="24"/>
          <w:szCs w:val="24"/>
        </w:rPr>
        <w:t>采购人须向供应商提供的条件</w:t>
      </w:r>
    </w:p>
    <w:p>
      <w:pPr>
        <w:tabs>
          <w:tab w:val="left" w:pos="240"/>
        </w:tabs>
      </w:pP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975"/>
        <w:gridCol w:w="996"/>
        <w:gridCol w:w="1494"/>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7" w:hRule="atLeast"/>
          <w:jc w:val="center"/>
        </w:trPr>
        <w:tc>
          <w:tcPr>
            <w:tcW w:w="840" w:type="dxa"/>
            <w:tcBorders>
              <w:bottom w:val="single" w:color="auto" w:sz="4" w:space="0"/>
            </w:tcBorders>
          </w:tcPr>
          <w:p>
            <w:pPr>
              <w:tabs>
                <w:tab w:val="left" w:pos="240"/>
              </w:tabs>
              <w:jc w:val="center"/>
              <w:rPr>
                <w:position w:val="-50"/>
                <w:sz w:val="24"/>
              </w:rPr>
            </w:pPr>
            <w:r>
              <w:rPr>
                <w:position w:val="-50"/>
                <w:sz w:val="24"/>
              </w:rPr>
              <w:t>序 号</w:t>
            </w:r>
          </w:p>
        </w:tc>
        <w:tc>
          <w:tcPr>
            <w:tcW w:w="1890" w:type="dxa"/>
            <w:tcBorders>
              <w:bottom w:val="single" w:color="auto" w:sz="4" w:space="0"/>
            </w:tcBorders>
          </w:tcPr>
          <w:p>
            <w:pPr>
              <w:tabs>
                <w:tab w:val="left" w:pos="240"/>
              </w:tabs>
              <w:jc w:val="center"/>
              <w:rPr>
                <w:position w:val="-32"/>
                <w:sz w:val="24"/>
              </w:rPr>
            </w:pPr>
            <w:r>
              <w:rPr>
                <w:position w:val="-32"/>
                <w:sz w:val="24"/>
              </w:rPr>
              <w:t>设施或设备</w:t>
            </w:r>
          </w:p>
          <w:p>
            <w:pPr>
              <w:tabs>
                <w:tab w:val="left" w:pos="240"/>
              </w:tabs>
              <w:jc w:val="center"/>
              <w:rPr>
                <w:sz w:val="24"/>
              </w:rPr>
            </w:pPr>
            <w:r>
              <w:rPr>
                <w:position w:val="-32"/>
                <w:sz w:val="24"/>
              </w:rPr>
              <w:t>名  称</w:t>
            </w:r>
          </w:p>
        </w:tc>
        <w:tc>
          <w:tcPr>
            <w:tcW w:w="975" w:type="dxa"/>
            <w:tcBorders>
              <w:bottom w:val="single" w:color="auto" w:sz="4" w:space="0"/>
            </w:tcBorders>
          </w:tcPr>
          <w:p>
            <w:pPr>
              <w:tabs>
                <w:tab w:val="left" w:pos="240"/>
              </w:tabs>
              <w:jc w:val="center"/>
              <w:rPr>
                <w:position w:val="-50"/>
                <w:sz w:val="24"/>
              </w:rPr>
            </w:pPr>
            <w:r>
              <w:rPr>
                <w:position w:val="-50"/>
                <w:sz w:val="24"/>
              </w:rPr>
              <w:t>单 位</w:t>
            </w:r>
          </w:p>
        </w:tc>
        <w:tc>
          <w:tcPr>
            <w:tcW w:w="996" w:type="dxa"/>
            <w:tcBorders>
              <w:bottom w:val="single" w:color="auto" w:sz="4" w:space="0"/>
            </w:tcBorders>
          </w:tcPr>
          <w:p>
            <w:pPr>
              <w:tabs>
                <w:tab w:val="left" w:pos="240"/>
              </w:tabs>
              <w:jc w:val="center"/>
              <w:rPr>
                <w:position w:val="-50"/>
                <w:sz w:val="24"/>
              </w:rPr>
            </w:pPr>
            <w:r>
              <w:rPr>
                <w:position w:val="-50"/>
                <w:sz w:val="24"/>
              </w:rPr>
              <w:t>数 量</w:t>
            </w:r>
          </w:p>
        </w:tc>
        <w:tc>
          <w:tcPr>
            <w:tcW w:w="1494" w:type="dxa"/>
            <w:tcBorders>
              <w:bottom w:val="single" w:color="auto" w:sz="4" w:space="0"/>
            </w:tcBorders>
          </w:tcPr>
          <w:p>
            <w:pPr>
              <w:tabs>
                <w:tab w:val="left" w:pos="240"/>
              </w:tabs>
              <w:jc w:val="center"/>
              <w:rPr>
                <w:position w:val="-32"/>
                <w:sz w:val="24"/>
              </w:rPr>
            </w:pPr>
            <w:r>
              <w:rPr>
                <w:position w:val="-32"/>
                <w:sz w:val="24"/>
              </w:rPr>
              <w:t>是否有偿   提 供</w:t>
            </w:r>
          </w:p>
        </w:tc>
        <w:tc>
          <w:tcPr>
            <w:tcW w:w="2409" w:type="dxa"/>
            <w:tcBorders>
              <w:bottom w:val="single" w:color="auto" w:sz="4" w:space="0"/>
            </w:tcBorders>
          </w:tcPr>
          <w:p>
            <w:pPr>
              <w:tabs>
                <w:tab w:val="left" w:pos="240"/>
              </w:tabs>
              <w:jc w:val="center"/>
              <w:rPr>
                <w:position w:val="-50"/>
                <w:sz w:val="24"/>
              </w:rPr>
            </w:pPr>
            <w:r>
              <w:rPr>
                <w:position w:val="-50"/>
                <w:sz w:val="24"/>
              </w:rPr>
              <w:t xml:space="preserve">如有偿提供的说明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95" w:hRule="atLeast"/>
          <w:jc w:val="center"/>
        </w:trPr>
        <w:tc>
          <w:tcPr>
            <w:tcW w:w="840" w:type="dxa"/>
          </w:tcPr>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p>
            <w:pPr>
              <w:tabs>
                <w:tab w:val="left" w:pos="240"/>
              </w:tabs>
            </w:pPr>
          </w:p>
        </w:tc>
        <w:tc>
          <w:tcPr>
            <w:tcW w:w="1890" w:type="dxa"/>
          </w:tcPr>
          <w:p>
            <w:pPr>
              <w:tabs>
                <w:tab w:val="left" w:pos="240"/>
              </w:tabs>
            </w:pPr>
          </w:p>
        </w:tc>
        <w:tc>
          <w:tcPr>
            <w:tcW w:w="975" w:type="dxa"/>
          </w:tcPr>
          <w:p>
            <w:pPr>
              <w:tabs>
                <w:tab w:val="left" w:pos="240"/>
              </w:tabs>
            </w:pPr>
          </w:p>
        </w:tc>
        <w:tc>
          <w:tcPr>
            <w:tcW w:w="996" w:type="dxa"/>
          </w:tcPr>
          <w:p>
            <w:pPr>
              <w:tabs>
                <w:tab w:val="left" w:pos="240"/>
              </w:tabs>
            </w:pPr>
          </w:p>
        </w:tc>
        <w:tc>
          <w:tcPr>
            <w:tcW w:w="1494" w:type="dxa"/>
          </w:tcPr>
          <w:p>
            <w:pPr>
              <w:tabs>
                <w:tab w:val="left" w:pos="240"/>
              </w:tabs>
            </w:pPr>
          </w:p>
        </w:tc>
        <w:tc>
          <w:tcPr>
            <w:tcW w:w="2409" w:type="dxa"/>
          </w:tcPr>
          <w:p>
            <w:pPr>
              <w:tabs>
                <w:tab w:val="left" w:pos="240"/>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8604" w:type="dxa"/>
            <w:gridSpan w:val="6"/>
          </w:tcPr>
          <w:p>
            <w:pPr>
              <w:pStyle w:val="19"/>
            </w:pPr>
            <w:r>
              <w:t>备注：凡需采购人提供的设备、房屋、通讯及其他办公设施，应注明免费提供或不免费提供，如有偿提供，采购人承担多少，供应商承担多少，本表应详细列清。</w:t>
            </w:r>
          </w:p>
          <w:p>
            <w:pPr>
              <w:tabs>
                <w:tab w:val="left" w:pos="240"/>
              </w:tabs>
            </w:pPr>
          </w:p>
        </w:tc>
      </w:tr>
    </w:tbl>
    <w:p>
      <w:pPr>
        <w:tabs>
          <w:tab w:val="left" w:pos="240"/>
          <w:tab w:val="left" w:pos="7665"/>
        </w:tabs>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 xml:space="preserve">日期：  </w:t>
      </w:r>
    </w:p>
    <w:p>
      <w:pPr>
        <w:widowControl/>
        <w:jc w:val="left"/>
        <w:rPr>
          <w:b/>
          <w:sz w:val="24"/>
        </w:rPr>
      </w:pPr>
      <w:r>
        <w:rPr>
          <w:b/>
          <w:sz w:val="24"/>
        </w:rPr>
        <w:br w:type="page"/>
      </w:r>
    </w:p>
    <w:p>
      <w:pPr>
        <w:tabs>
          <w:tab w:val="left" w:pos="360"/>
        </w:tabs>
        <w:spacing w:line="360" w:lineRule="auto"/>
        <w:ind w:firstLine="448" w:firstLineChars="200"/>
        <w:rPr>
          <w:b/>
          <w:sz w:val="24"/>
        </w:rPr>
      </w:pPr>
      <w:r>
        <w:rPr>
          <w:b/>
          <w:sz w:val="24"/>
        </w:rPr>
        <w:t>附件1</w:t>
      </w:r>
      <w:r>
        <w:rPr>
          <w:rFonts w:hint="eastAsia"/>
          <w:b/>
          <w:sz w:val="24"/>
        </w:rPr>
        <w:t>3</w:t>
      </w:r>
    </w:p>
    <w:p>
      <w:pPr>
        <w:tabs>
          <w:tab w:val="left" w:pos="360"/>
        </w:tabs>
        <w:spacing w:line="360" w:lineRule="auto"/>
        <w:ind w:firstLine="448" w:firstLineChars="200"/>
        <w:rPr>
          <w:b/>
          <w:sz w:val="24"/>
        </w:rPr>
      </w:pPr>
    </w:p>
    <w:p>
      <w:pPr>
        <w:tabs>
          <w:tab w:val="left" w:pos="360"/>
        </w:tabs>
        <w:spacing w:line="360" w:lineRule="auto"/>
        <w:jc w:val="center"/>
        <w:rPr>
          <w:b/>
          <w:bCs/>
          <w:sz w:val="24"/>
        </w:rPr>
      </w:pPr>
      <w:r>
        <w:rPr>
          <w:rFonts w:hint="eastAsia"/>
          <w:b/>
          <w:bCs/>
          <w:sz w:val="24"/>
        </w:rPr>
        <w:t>书面</w:t>
      </w:r>
      <w:r>
        <w:rPr>
          <w:b/>
          <w:bCs/>
          <w:sz w:val="24"/>
        </w:rPr>
        <w:t>声明</w:t>
      </w:r>
    </w:p>
    <w:p>
      <w:pPr>
        <w:pStyle w:val="34"/>
        <w:tabs>
          <w:tab w:val="left" w:pos="360"/>
        </w:tabs>
        <w:spacing w:line="360" w:lineRule="auto"/>
        <w:ind w:firstLine="446"/>
        <w:rPr>
          <w:sz w:val="24"/>
        </w:rPr>
      </w:pPr>
    </w:p>
    <w:p>
      <w:pPr>
        <w:pStyle w:val="34"/>
        <w:tabs>
          <w:tab w:val="left" w:pos="360"/>
        </w:tabs>
        <w:spacing w:line="360" w:lineRule="auto"/>
        <w:ind w:firstLine="446"/>
        <w:rPr>
          <w:sz w:val="24"/>
        </w:rPr>
      </w:pPr>
      <w:r>
        <w:rPr>
          <w:rFonts w:hint="eastAsia"/>
          <w:sz w:val="24"/>
        </w:rPr>
        <w:t>参加政府采购活动前</w:t>
      </w:r>
      <w:r>
        <w:rPr>
          <w:sz w:val="24"/>
        </w:rPr>
        <w:t>3</w:t>
      </w:r>
      <w:r>
        <w:rPr>
          <w:rFonts w:hint="eastAsia"/>
          <w:sz w:val="24"/>
        </w:rPr>
        <w:t>年我单位在经营活动中没有重大违法记录。</w:t>
      </w:r>
    </w:p>
    <w:p>
      <w:pPr>
        <w:pStyle w:val="34"/>
        <w:tabs>
          <w:tab w:val="left" w:pos="360"/>
        </w:tabs>
        <w:spacing w:line="360" w:lineRule="auto"/>
        <w:ind w:firstLine="446"/>
        <w:rPr>
          <w:sz w:val="24"/>
        </w:rPr>
      </w:pPr>
      <w:r>
        <w:rPr>
          <w:rFonts w:hint="eastAsia"/>
          <w:sz w:val="24"/>
        </w:rPr>
        <w:t>我单位具备良好的商业信誉和健全的财务会计制度，依法缴纳税收和社会保障资金。</w:t>
      </w:r>
    </w:p>
    <w:p>
      <w:pPr>
        <w:pStyle w:val="34"/>
        <w:tabs>
          <w:tab w:val="left" w:pos="360"/>
        </w:tabs>
        <w:spacing w:line="360" w:lineRule="auto"/>
        <w:ind w:firstLine="446"/>
        <w:rPr>
          <w:sz w:val="24"/>
        </w:rPr>
      </w:pPr>
    </w:p>
    <w:p>
      <w:pPr>
        <w:pStyle w:val="34"/>
        <w:tabs>
          <w:tab w:val="left" w:pos="360"/>
        </w:tabs>
        <w:spacing w:line="360" w:lineRule="auto"/>
        <w:ind w:firstLine="446"/>
        <w:rPr>
          <w:sz w:val="24"/>
        </w:rPr>
      </w:pPr>
    </w:p>
    <w:p>
      <w:pPr>
        <w:autoSpaceDE w:val="0"/>
        <w:autoSpaceDN w:val="0"/>
        <w:spacing w:line="500" w:lineRule="exact"/>
        <w:ind w:left="3840"/>
        <w:jc w:val="left"/>
        <w:rPr>
          <w:sz w:val="24"/>
          <w:szCs w:val="24"/>
        </w:rPr>
      </w:pPr>
      <w:r>
        <w:rPr>
          <w:sz w:val="24"/>
          <w:szCs w:val="24"/>
        </w:rPr>
        <w:t>投标人名称：</w:t>
      </w:r>
    </w:p>
    <w:p>
      <w:pPr>
        <w:autoSpaceDE w:val="0"/>
        <w:autoSpaceDN w:val="0"/>
        <w:spacing w:line="500" w:lineRule="exact"/>
        <w:ind w:left="3840"/>
        <w:jc w:val="left"/>
        <w:rPr>
          <w:sz w:val="24"/>
          <w:szCs w:val="24"/>
        </w:rPr>
      </w:pPr>
    </w:p>
    <w:p>
      <w:pPr>
        <w:autoSpaceDE w:val="0"/>
        <w:autoSpaceDN w:val="0"/>
        <w:spacing w:line="500" w:lineRule="exact"/>
        <w:ind w:left="3840"/>
        <w:jc w:val="left"/>
        <w:rPr>
          <w:sz w:val="24"/>
          <w:szCs w:val="24"/>
        </w:rPr>
      </w:pPr>
      <w:r>
        <w:rPr>
          <w:sz w:val="24"/>
          <w:szCs w:val="24"/>
        </w:rPr>
        <w:t>日期：</w:t>
      </w:r>
    </w:p>
    <w:p>
      <w:pPr>
        <w:autoSpaceDE w:val="0"/>
        <w:autoSpaceDN w:val="0"/>
        <w:spacing w:line="500" w:lineRule="exact"/>
        <w:ind w:left="3840"/>
        <w:jc w:val="left"/>
        <w:rPr>
          <w:sz w:val="24"/>
          <w:szCs w:val="24"/>
        </w:rPr>
      </w:pPr>
    </w:p>
    <w:p>
      <w:pPr>
        <w:pStyle w:val="34"/>
        <w:tabs>
          <w:tab w:val="left" w:pos="360"/>
        </w:tabs>
        <w:spacing w:line="360" w:lineRule="auto"/>
        <w:ind w:firstLine="0" w:firstLineChars="0"/>
        <w:rPr>
          <w:sz w:val="24"/>
          <w:u w:val="single"/>
        </w:rPr>
      </w:pPr>
      <w:r>
        <w:rPr>
          <w:rFonts w:hint="eastAsia"/>
          <w:sz w:val="24"/>
          <w:u w:val="single"/>
        </w:rPr>
        <w:t xml:space="preserve">                                                                     </w:t>
      </w:r>
    </w:p>
    <w:p>
      <w:pPr>
        <w:pStyle w:val="34"/>
        <w:tabs>
          <w:tab w:val="left" w:pos="360"/>
        </w:tabs>
        <w:spacing w:line="360" w:lineRule="auto"/>
        <w:ind w:firstLine="446"/>
        <w:rPr>
          <w:sz w:val="24"/>
        </w:rPr>
      </w:pPr>
    </w:p>
    <w:p>
      <w:pPr>
        <w:pStyle w:val="34"/>
        <w:spacing w:line="360" w:lineRule="auto"/>
        <w:ind w:firstLine="0" w:firstLineChars="0"/>
        <w:jc w:val="center"/>
        <w:rPr>
          <w:b/>
          <w:sz w:val="24"/>
        </w:rPr>
      </w:pPr>
    </w:p>
    <w:p>
      <w:pPr>
        <w:pStyle w:val="34"/>
        <w:spacing w:line="360" w:lineRule="auto"/>
        <w:ind w:firstLine="0" w:firstLineChars="0"/>
        <w:jc w:val="center"/>
        <w:rPr>
          <w:b/>
          <w:sz w:val="24"/>
        </w:rPr>
      </w:pPr>
    </w:p>
    <w:p>
      <w:pPr>
        <w:pStyle w:val="34"/>
        <w:spacing w:line="360" w:lineRule="auto"/>
        <w:ind w:firstLine="0" w:firstLineChars="0"/>
        <w:jc w:val="center"/>
        <w:rPr>
          <w:b/>
          <w:sz w:val="24"/>
        </w:rPr>
      </w:pPr>
      <w:r>
        <w:rPr>
          <w:rFonts w:hint="eastAsia"/>
          <w:b/>
          <w:sz w:val="24"/>
        </w:rPr>
        <w:t>证明材料</w:t>
      </w:r>
    </w:p>
    <w:p>
      <w:pPr>
        <w:pStyle w:val="34"/>
        <w:tabs>
          <w:tab w:val="left" w:pos="360"/>
        </w:tabs>
        <w:spacing w:line="360" w:lineRule="auto"/>
        <w:ind w:firstLine="446"/>
        <w:rPr>
          <w:sz w:val="24"/>
        </w:rPr>
      </w:pPr>
    </w:p>
    <w:p>
      <w:pPr>
        <w:pStyle w:val="34"/>
        <w:tabs>
          <w:tab w:val="left" w:pos="360"/>
        </w:tabs>
        <w:spacing w:line="360" w:lineRule="auto"/>
        <w:ind w:firstLine="446"/>
        <w:rPr>
          <w:sz w:val="24"/>
        </w:rPr>
      </w:pPr>
      <w:r>
        <w:rPr>
          <w:sz w:val="24"/>
        </w:rPr>
        <w:t>我单位具备</w:t>
      </w:r>
      <w:r>
        <w:rPr>
          <w:rFonts w:hint="eastAsia"/>
          <w:sz w:val="24"/>
        </w:rPr>
        <w:t>履行本项目合同所必需的设备和专业技术能力。</w:t>
      </w:r>
    </w:p>
    <w:p>
      <w:pPr>
        <w:pStyle w:val="34"/>
        <w:tabs>
          <w:tab w:val="left" w:pos="360"/>
        </w:tabs>
        <w:spacing w:line="360" w:lineRule="auto"/>
        <w:ind w:firstLine="446"/>
        <w:rPr>
          <w:sz w:val="24"/>
        </w:rPr>
      </w:pPr>
    </w:p>
    <w:p>
      <w:pPr>
        <w:autoSpaceDE w:val="0"/>
        <w:autoSpaceDN w:val="0"/>
        <w:spacing w:line="500" w:lineRule="exact"/>
        <w:ind w:left="3840"/>
        <w:jc w:val="left"/>
        <w:rPr>
          <w:sz w:val="24"/>
          <w:szCs w:val="24"/>
        </w:rPr>
      </w:pPr>
    </w:p>
    <w:p>
      <w:pPr>
        <w:autoSpaceDE w:val="0"/>
        <w:autoSpaceDN w:val="0"/>
        <w:spacing w:line="500" w:lineRule="exact"/>
        <w:ind w:left="3840"/>
        <w:jc w:val="left"/>
        <w:rPr>
          <w:sz w:val="24"/>
          <w:szCs w:val="24"/>
        </w:rPr>
      </w:pPr>
    </w:p>
    <w:p>
      <w:pPr>
        <w:autoSpaceDE w:val="0"/>
        <w:autoSpaceDN w:val="0"/>
        <w:spacing w:line="500" w:lineRule="exact"/>
        <w:ind w:left="3840"/>
        <w:jc w:val="left"/>
        <w:rPr>
          <w:sz w:val="24"/>
          <w:szCs w:val="24"/>
        </w:rPr>
      </w:pPr>
      <w:r>
        <w:rPr>
          <w:sz w:val="24"/>
          <w:szCs w:val="24"/>
        </w:rPr>
        <w:t>投标人名称：</w:t>
      </w:r>
    </w:p>
    <w:p>
      <w:pPr>
        <w:autoSpaceDE w:val="0"/>
        <w:autoSpaceDN w:val="0"/>
        <w:spacing w:line="500" w:lineRule="exact"/>
        <w:ind w:left="3840"/>
        <w:jc w:val="left"/>
        <w:rPr>
          <w:sz w:val="24"/>
          <w:szCs w:val="24"/>
        </w:rPr>
      </w:pPr>
    </w:p>
    <w:p>
      <w:pPr>
        <w:autoSpaceDE w:val="0"/>
        <w:autoSpaceDN w:val="0"/>
        <w:spacing w:line="500" w:lineRule="exact"/>
        <w:ind w:left="3840"/>
        <w:jc w:val="left"/>
        <w:rPr>
          <w:b/>
          <w:sz w:val="24"/>
        </w:rPr>
      </w:pPr>
      <w:r>
        <w:rPr>
          <w:sz w:val="24"/>
          <w:szCs w:val="24"/>
        </w:rPr>
        <w:t>日期：</w:t>
      </w:r>
    </w:p>
    <w:p>
      <w:pPr>
        <w:widowControl/>
        <w:jc w:val="left"/>
        <w:rPr>
          <w:b/>
          <w:sz w:val="24"/>
        </w:rPr>
      </w:pPr>
      <w:r>
        <w:rPr>
          <w:b/>
          <w:sz w:val="24"/>
        </w:rPr>
        <w:br w:type="page"/>
      </w:r>
    </w:p>
    <w:p>
      <w:pPr>
        <w:spacing w:line="560" w:lineRule="exact"/>
        <w:jc w:val="left"/>
        <w:rPr>
          <w:b/>
          <w:sz w:val="24"/>
        </w:rPr>
      </w:pPr>
      <w:r>
        <w:rPr>
          <w:b/>
          <w:sz w:val="24"/>
        </w:rPr>
        <w:t>附件1</w:t>
      </w:r>
      <w:r>
        <w:rPr>
          <w:rFonts w:hint="eastAsia"/>
          <w:b/>
          <w:sz w:val="24"/>
        </w:rPr>
        <w:t>4</w:t>
      </w:r>
      <w:r>
        <w:rPr>
          <w:b/>
          <w:sz w:val="24"/>
        </w:rPr>
        <w:t>：投标人认为需要提供的其他资料</w:t>
      </w:r>
    </w:p>
    <w:p>
      <w:pPr>
        <w:autoSpaceDE w:val="0"/>
        <w:autoSpaceDN w:val="0"/>
        <w:adjustRightInd w:val="0"/>
        <w:spacing w:line="560" w:lineRule="exact"/>
        <w:outlineLvl w:val="0"/>
        <w:rPr>
          <w:b/>
          <w:sz w:val="24"/>
        </w:rPr>
      </w:pPr>
    </w:p>
    <w:p>
      <w:pPr>
        <w:tabs>
          <w:tab w:val="left" w:pos="412"/>
          <w:tab w:val="left" w:pos="618"/>
        </w:tabs>
        <w:spacing w:line="520" w:lineRule="exact"/>
        <w:jc w:val="center"/>
        <w:rPr>
          <w:sz w:val="24"/>
          <w:szCs w:val="21"/>
        </w:rPr>
      </w:pPr>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
    <w:altName w:val="宋体"/>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b/>
      </w:rPr>
      <w:fldChar w:fldCharType="begin"/>
    </w:r>
    <w:r>
      <w:rPr>
        <w:b/>
      </w:rPr>
      <w:instrText xml:space="preserve">PAGE  \* Arabic  \* MERGEFORMAT</w:instrText>
    </w:r>
    <w:r>
      <w:rPr>
        <w:b/>
      </w:rPr>
      <w:fldChar w:fldCharType="separate"/>
    </w:r>
    <w:r>
      <w:rPr>
        <w:b/>
        <w:lang w:val="zh-CN"/>
      </w:rPr>
      <w:t>7</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4C8"/>
    <w:rsid w:val="00001FD1"/>
    <w:rsid w:val="00002A40"/>
    <w:rsid w:val="00004BE1"/>
    <w:rsid w:val="00005A05"/>
    <w:rsid w:val="00006243"/>
    <w:rsid w:val="00006501"/>
    <w:rsid w:val="00006C16"/>
    <w:rsid w:val="00007F41"/>
    <w:rsid w:val="00010DCF"/>
    <w:rsid w:val="000117B3"/>
    <w:rsid w:val="00011B73"/>
    <w:rsid w:val="00013068"/>
    <w:rsid w:val="00013701"/>
    <w:rsid w:val="000140B4"/>
    <w:rsid w:val="00017C2D"/>
    <w:rsid w:val="00020E27"/>
    <w:rsid w:val="00024835"/>
    <w:rsid w:val="00024BF1"/>
    <w:rsid w:val="00024E74"/>
    <w:rsid w:val="000308AC"/>
    <w:rsid w:val="00030FDC"/>
    <w:rsid w:val="00032015"/>
    <w:rsid w:val="0003242C"/>
    <w:rsid w:val="00033A5B"/>
    <w:rsid w:val="00033D18"/>
    <w:rsid w:val="000345BC"/>
    <w:rsid w:val="00034E45"/>
    <w:rsid w:val="00035055"/>
    <w:rsid w:val="000361C8"/>
    <w:rsid w:val="00036A32"/>
    <w:rsid w:val="0003743D"/>
    <w:rsid w:val="000376DF"/>
    <w:rsid w:val="000403B6"/>
    <w:rsid w:val="0004130F"/>
    <w:rsid w:val="000417BA"/>
    <w:rsid w:val="00042F29"/>
    <w:rsid w:val="00042FFE"/>
    <w:rsid w:val="00043B7E"/>
    <w:rsid w:val="00044070"/>
    <w:rsid w:val="0004475D"/>
    <w:rsid w:val="00045022"/>
    <w:rsid w:val="00046460"/>
    <w:rsid w:val="000469AD"/>
    <w:rsid w:val="000472EE"/>
    <w:rsid w:val="00050365"/>
    <w:rsid w:val="00052B54"/>
    <w:rsid w:val="00056208"/>
    <w:rsid w:val="0005620B"/>
    <w:rsid w:val="0005643C"/>
    <w:rsid w:val="000567CA"/>
    <w:rsid w:val="00056ECA"/>
    <w:rsid w:val="00056EF3"/>
    <w:rsid w:val="00057491"/>
    <w:rsid w:val="000607D4"/>
    <w:rsid w:val="00060B6F"/>
    <w:rsid w:val="000617A1"/>
    <w:rsid w:val="00062D77"/>
    <w:rsid w:val="0006487A"/>
    <w:rsid w:val="00065BDD"/>
    <w:rsid w:val="000661F1"/>
    <w:rsid w:val="0006661E"/>
    <w:rsid w:val="0007081F"/>
    <w:rsid w:val="00071B37"/>
    <w:rsid w:val="00072919"/>
    <w:rsid w:val="00073133"/>
    <w:rsid w:val="00073ECF"/>
    <w:rsid w:val="0007418A"/>
    <w:rsid w:val="00074F44"/>
    <w:rsid w:val="00075452"/>
    <w:rsid w:val="000756A0"/>
    <w:rsid w:val="00075C85"/>
    <w:rsid w:val="00076BA5"/>
    <w:rsid w:val="0007747C"/>
    <w:rsid w:val="00080367"/>
    <w:rsid w:val="000826F9"/>
    <w:rsid w:val="0008313E"/>
    <w:rsid w:val="000831B0"/>
    <w:rsid w:val="00083B4F"/>
    <w:rsid w:val="000842C1"/>
    <w:rsid w:val="00086439"/>
    <w:rsid w:val="00090D0B"/>
    <w:rsid w:val="00092093"/>
    <w:rsid w:val="00092400"/>
    <w:rsid w:val="00093E5B"/>
    <w:rsid w:val="00094246"/>
    <w:rsid w:val="000A1142"/>
    <w:rsid w:val="000A1F05"/>
    <w:rsid w:val="000A4146"/>
    <w:rsid w:val="000A54B8"/>
    <w:rsid w:val="000A5CEA"/>
    <w:rsid w:val="000A62E5"/>
    <w:rsid w:val="000B068A"/>
    <w:rsid w:val="000B157F"/>
    <w:rsid w:val="000B1CA7"/>
    <w:rsid w:val="000B2975"/>
    <w:rsid w:val="000B4BF2"/>
    <w:rsid w:val="000B520E"/>
    <w:rsid w:val="000C3083"/>
    <w:rsid w:val="000C337F"/>
    <w:rsid w:val="000C552C"/>
    <w:rsid w:val="000C573B"/>
    <w:rsid w:val="000C6CA8"/>
    <w:rsid w:val="000C7A3F"/>
    <w:rsid w:val="000D26D7"/>
    <w:rsid w:val="000D2F5A"/>
    <w:rsid w:val="000D304C"/>
    <w:rsid w:val="000D3112"/>
    <w:rsid w:val="000D3B22"/>
    <w:rsid w:val="000D4EA3"/>
    <w:rsid w:val="000D514E"/>
    <w:rsid w:val="000D5DE9"/>
    <w:rsid w:val="000E1D6E"/>
    <w:rsid w:val="000E3729"/>
    <w:rsid w:val="000E3A51"/>
    <w:rsid w:val="000E3FFA"/>
    <w:rsid w:val="000E50F9"/>
    <w:rsid w:val="000E5380"/>
    <w:rsid w:val="000E660F"/>
    <w:rsid w:val="000E69C0"/>
    <w:rsid w:val="000E6A76"/>
    <w:rsid w:val="000E71F6"/>
    <w:rsid w:val="000E775B"/>
    <w:rsid w:val="000F0035"/>
    <w:rsid w:val="000F1202"/>
    <w:rsid w:val="000F1454"/>
    <w:rsid w:val="000F1687"/>
    <w:rsid w:val="000F48D9"/>
    <w:rsid w:val="000F4D4E"/>
    <w:rsid w:val="000F5C82"/>
    <w:rsid w:val="000F6957"/>
    <w:rsid w:val="000F6A99"/>
    <w:rsid w:val="000F7788"/>
    <w:rsid w:val="000F7CBE"/>
    <w:rsid w:val="001035D7"/>
    <w:rsid w:val="00110D79"/>
    <w:rsid w:val="0011152B"/>
    <w:rsid w:val="0011216F"/>
    <w:rsid w:val="001134D0"/>
    <w:rsid w:val="00113AA2"/>
    <w:rsid w:val="001165C6"/>
    <w:rsid w:val="00121CDE"/>
    <w:rsid w:val="00122667"/>
    <w:rsid w:val="00123BF8"/>
    <w:rsid w:val="001256ED"/>
    <w:rsid w:val="0012609D"/>
    <w:rsid w:val="00126378"/>
    <w:rsid w:val="001307C5"/>
    <w:rsid w:val="00130AD2"/>
    <w:rsid w:val="00133127"/>
    <w:rsid w:val="00135039"/>
    <w:rsid w:val="00136D2C"/>
    <w:rsid w:val="00136F51"/>
    <w:rsid w:val="001375E0"/>
    <w:rsid w:val="00137E70"/>
    <w:rsid w:val="001411F4"/>
    <w:rsid w:val="00141664"/>
    <w:rsid w:val="00143B4D"/>
    <w:rsid w:val="00143EB8"/>
    <w:rsid w:val="0014400B"/>
    <w:rsid w:val="00145FEE"/>
    <w:rsid w:val="00145FF3"/>
    <w:rsid w:val="0014712D"/>
    <w:rsid w:val="00151A9A"/>
    <w:rsid w:val="00152128"/>
    <w:rsid w:val="001524A8"/>
    <w:rsid w:val="001526D6"/>
    <w:rsid w:val="00153D9D"/>
    <w:rsid w:val="00154571"/>
    <w:rsid w:val="00155128"/>
    <w:rsid w:val="00155411"/>
    <w:rsid w:val="00161AF2"/>
    <w:rsid w:val="00161F5F"/>
    <w:rsid w:val="001641AE"/>
    <w:rsid w:val="001659F0"/>
    <w:rsid w:val="00166ECA"/>
    <w:rsid w:val="001704C8"/>
    <w:rsid w:val="001707F2"/>
    <w:rsid w:val="00170DF2"/>
    <w:rsid w:val="00171C6D"/>
    <w:rsid w:val="00172489"/>
    <w:rsid w:val="00173561"/>
    <w:rsid w:val="0017520C"/>
    <w:rsid w:val="001762DB"/>
    <w:rsid w:val="0017744A"/>
    <w:rsid w:val="00177EB8"/>
    <w:rsid w:val="00181ED5"/>
    <w:rsid w:val="001834DA"/>
    <w:rsid w:val="001835D7"/>
    <w:rsid w:val="001837F4"/>
    <w:rsid w:val="00185D85"/>
    <w:rsid w:val="00186526"/>
    <w:rsid w:val="00186706"/>
    <w:rsid w:val="00193954"/>
    <w:rsid w:val="00193A50"/>
    <w:rsid w:val="00193BCD"/>
    <w:rsid w:val="0019431D"/>
    <w:rsid w:val="00194FBC"/>
    <w:rsid w:val="00196A86"/>
    <w:rsid w:val="00196D6B"/>
    <w:rsid w:val="00196E07"/>
    <w:rsid w:val="001A01CF"/>
    <w:rsid w:val="001A0F97"/>
    <w:rsid w:val="001A142F"/>
    <w:rsid w:val="001A2919"/>
    <w:rsid w:val="001A3DE3"/>
    <w:rsid w:val="001A46F9"/>
    <w:rsid w:val="001A515E"/>
    <w:rsid w:val="001A69AE"/>
    <w:rsid w:val="001A7E14"/>
    <w:rsid w:val="001B3B40"/>
    <w:rsid w:val="001B5BEA"/>
    <w:rsid w:val="001B7A36"/>
    <w:rsid w:val="001C0132"/>
    <w:rsid w:val="001C0E64"/>
    <w:rsid w:val="001C1981"/>
    <w:rsid w:val="001C2B28"/>
    <w:rsid w:val="001C50CC"/>
    <w:rsid w:val="001C7055"/>
    <w:rsid w:val="001C7268"/>
    <w:rsid w:val="001D00CB"/>
    <w:rsid w:val="001D1850"/>
    <w:rsid w:val="001D32CF"/>
    <w:rsid w:val="001D3ACD"/>
    <w:rsid w:val="001D4FB9"/>
    <w:rsid w:val="001D501D"/>
    <w:rsid w:val="001D5E41"/>
    <w:rsid w:val="001D6B92"/>
    <w:rsid w:val="001E30AF"/>
    <w:rsid w:val="001E310C"/>
    <w:rsid w:val="001E3AAF"/>
    <w:rsid w:val="001E3CB7"/>
    <w:rsid w:val="001F0C14"/>
    <w:rsid w:val="001F1E90"/>
    <w:rsid w:val="001F2867"/>
    <w:rsid w:val="001F28DA"/>
    <w:rsid w:val="001F29C1"/>
    <w:rsid w:val="001F2B50"/>
    <w:rsid w:val="001F345B"/>
    <w:rsid w:val="001F4AD6"/>
    <w:rsid w:val="001F6467"/>
    <w:rsid w:val="001F65EF"/>
    <w:rsid w:val="001F6DCF"/>
    <w:rsid w:val="001F7956"/>
    <w:rsid w:val="001F7A52"/>
    <w:rsid w:val="002027E3"/>
    <w:rsid w:val="00204B95"/>
    <w:rsid w:val="00205B78"/>
    <w:rsid w:val="00206328"/>
    <w:rsid w:val="0020759C"/>
    <w:rsid w:val="00207C76"/>
    <w:rsid w:val="002113A2"/>
    <w:rsid w:val="00211616"/>
    <w:rsid w:val="00212E26"/>
    <w:rsid w:val="00213244"/>
    <w:rsid w:val="00214D65"/>
    <w:rsid w:val="0021638D"/>
    <w:rsid w:val="0022041A"/>
    <w:rsid w:val="00220469"/>
    <w:rsid w:val="00220883"/>
    <w:rsid w:val="00222FAF"/>
    <w:rsid w:val="0022613D"/>
    <w:rsid w:val="00230077"/>
    <w:rsid w:val="00231275"/>
    <w:rsid w:val="00231287"/>
    <w:rsid w:val="002320BD"/>
    <w:rsid w:val="00232459"/>
    <w:rsid w:val="00232789"/>
    <w:rsid w:val="00233134"/>
    <w:rsid w:val="00233239"/>
    <w:rsid w:val="00233634"/>
    <w:rsid w:val="0023422D"/>
    <w:rsid w:val="002360CD"/>
    <w:rsid w:val="00240DB6"/>
    <w:rsid w:val="00240F84"/>
    <w:rsid w:val="0024127E"/>
    <w:rsid w:val="00242503"/>
    <w:rsid w:val="00242948"/>
    <w:rsid w:val="00243DC1"/>
    <w:rsid w:val="00244482"/>
    <w:rsid w:val="00245DAF"/>
    <w:rsid w:val="0024790F"/>
    <w:rsid w:val="00247A26"/>
    <w:rsid w:val="00250531"/>
    <w:rsid w:val="00250CEF"/>
    <w:rsid w:val="00251A9E"/>
    <w:rsid w:val="00251ED7"/>
    <w:rsid w:val="00252F5E"/>
    <w:rsid w:val="00255546"/>
    <w:rsid w:val="00255CA7"/>
    <w:rsid w:val="00256A4A"/>
    <w:rsid w:val="002575F6"/>
    <w:rsid w:val="0025795F"/>
    <w:rsid w:val="00261C83"/>
    <w:rsid w:val="00263FB7"/>
    <w:rsid w:val="00264E8A"/>
    <w:rsid w:val="002654C8"/>
    <w:rsid w:val="00265B2C"/>
    <w:rsid w:val="00265CF6"/>
    <w:rsid w:val="00266403"/>
    <w:rsid w:val="00266672"/>
    <w:rsid w:val="00266956"/>
    <w:rsid w:val="00266AAA"/>
    <w:rsid w:val="00267101"/>
    <w:rsid w:val="00270448"/>
    <w:rsid w:val="00270BE3"/>
    <w:rsid w:val="00271086"/>
    <w:rsid w:val="0027114A"/>
    <w:rsid w:val="0027215A"/>
    <w:rsid w:val="00274610"/>
    <w:rsid w:val="00274CF5"/>
    <w:rsid w:val="00274DD6"/>
    <w:rsid w:val="00275C48"/>
    <w:rsid w:val="002762B4"/>
    <w:rsid w:val="0027741B"/>
    <w:rsid w:val="00277AEF"/>
    <w:rsid w:val="002804EC"/>
    <w:rsid w:val="00280C49"/>
    <w:rsid w:val="00281A22"/>
    <w:rsid w:val="00281B0B"/>
    <w:rsid w:val="00282377"/>
    <w:rsid w:val="0028284B"/>
    <w:rsid w:val="0028315A"/>
    <w:rsid w:val="00283BE8"/>
    <w:rsid w:val="00286A3C"/>
    <w:rsid w:val="00287CFF"/>
    <w:rsid w:val="00291A28"/>
    <w:rsid w:val="00292094"/>
    <w:rsid w:val="00292BE5"/>
    <w:rsid w:val="00293728"/>
    <w:rsid w:val="00293B4A"/>
    <w:rsid w:val="002948B5"/>
    <w:rsid w:val="00294986"/>
    <w:rsid w:val="00294D43"/>
    <w:rsid w:val="00294EAF"/>
    <w:rsid w:val="00295416"/>
    <w:rsid w:val="00295883"/>
    <w:rsid w:val="00295F3C"/>
    <w:rsid w:val="0029610C"/>
    <w:rsid w:val="00297EAE"/>
    <w:rsid w:val="002A3C32"/>
    <w:rsid w:val="002A4B3C"/>
    <w:rsid w:val="002A59C2"/>
    <w:rsid w:val="002A5E55"/>
    <w:rsid w:val="002A660D"/>
    <w:rsid w:val="002A7B57"/>
    <w:rsid w:val="002B18D9"/>
    <w:rsid w:val="002B3BB4"/>
    <w:rsid w:val="002B3BFC"/>
    <w:rsid w:val="002B538F"/>
    <w:rsid w:val="002B7E9C"/>
    <w:rsid w:val="002C0346"/>
    <w:rsid w:val="002C1B67"/>
    <w:rsid w:val="002C2083"/>
    <w:rsid w:val="002C50EA"/>
    <w:rsid w:val="002C5A2D"/>
    <w:rsid w:val="002C696D"/>
    <w:rsid w:val="002C6C31"/>
    <w:rsid w:val="002D02A5"/>
    <w:rsid w:val="002D07F8"/>
    <w:rsid w:val="002D09CD"/>
    <w:rsid w:val="002D114E"/>
    <w:rsid w:val="002D17E4"/>
    <w:rsid w:val="002D1D5D"/>
    <w:rsid w:val="002D1D64"/>
    <w:rsid w:val="002D4603"/>
    <w:rsid w:val="002D4E8E"/>
    <w:rsid w:val="002D5B4E"/>
    <w:rsid w:val="002D5FEA"/>
    <w:rsid w:val="002D6704"/>
    <w:rsid w:val="002D6DA5"/>
    <w:rsid w:val="002D7781"/>
    <w:rsid w:val="002D780C"/>
    <w:rsid w:val="002E1053"/>
    <w:rsid w:val="002E192F"/>
    <w:rsid w:val="002E245E"/>
    <w:rsid w:val="002E3C4F"/>
    <w:rsid w:val="002E4440"/>
    <w:rsid w:val="002E4551"/>
    <w:rsid w:val="002F1119"/>
    <w:rsid w:val="002F245E"/>
    <w:rsid w:val="002F2B42"/>
    <w:rsid w:val="002F2C9F"/>
    <w:rsid w:val="002F4372"/>
    <w:rsid w:val="002F4388"/>
    <w:rsid w:val="002F4792"/>
    <w:rsid w:val="002F5650"/>
    <w:rsid w:val="002F70FA"/>
    <w:rsid w:val="003036EA"/>
    <w:rsid w:val="00305E3B"/>
    <w:rsid w:val="003104E5"/>
    <w:rsid w:val="0031086D"/>
    <w:rsid w:val="00310E16"/>
    <w:rsid w:val="00311322"/>
    <w:rsid w:val="00311DE3"/>
    <w:rsid w:val="00313073"/>
    <w:rsid w:val="003135A7"/>
    <w:rsid w:val="0031461A"/>
    <w:rsid w:val="00314802"/>
    <w:rsid w:val="00314D15"/>
    <w:rsid w:val="003159EF"/>
    <w:rsid w:val="00320416"/>
    <w:rsid w:val="00320542"/>
    <w:rsid w:val="00321DA5"/>
    <w:rsid w:val="00322EA4"/>
    <w:rsid w:val="00324441"/>
    <w:rsid w:val="003246AC"/>
    <w:rsid w:val="00324A4F"/>
    <w:rsid w:val="00324DDC"/>
    <w:rsid w:val="00325832"/>
    <w:rsid w:val="00330B45"/>
    <w:rsid w:val="00330C7B"/>
    <w:rsid w:val="00330F1D"/>
    <w:rsid w:val="0033138A"/>
    <w:rsid w:val="00332319"/>
    <w:rsid w:val="00335E90"/>
    <w:rsid w:val="00341B4E"/>
    <w:rsid w:val="003427C3"/>
    <w:rsid w:val="00343849"/>
    <w:rsid w:val="00343936"/>
    <w:rsid w:val="00343990"/>
    <w:rsid w:val="003445BD"/>
    <w:rsid w:val="003473CD"/>
    <w:rsid w:val="00347443"/>
    <w:rsid w:val="00350E8A"/>
    <w:rsid w:val="0035257E"/>
    <w:rsid w:val="00355EEA"/>
    <w:rsid w:val="00355FE3"/>
    <w:rsid w:val="003562E3"/>
    <w:rsid w:val="00360A5E"/>
    <w:rsid w:val="00364265"/>
    <w:rsid w:val="00367868"/>
    <w:rsid w:val="003704B5"/>
    <w:rsid w:val="0037085F"/>
    <w:rsid w:val="00373C07"/>
    <w:rsid w:val="003745F7"/>
    <w:rsid w:val="00374D2C"/>
    <w:rsid w:val="00375FE1"/>
    <w:rsid w:val="00377781"/>
    <w:rsid w:val="003839AE"/>
    <w:rsid w:val="00383A58"/>
    <w:rsid w:val="003840EC"/>
    <w:rsid w:val="0038431F"/>
    <w:rsid w:val="00384368"/>
    <w:rsid w:val="00385320"/>
    <w:rsid w:val="00385FC8"/>
    <w:rsid w:val="00386C2D"/>
    <w:rsid w:val="003918BD"/>
    <w:rsid w:val="00391B5F"/>
    <w:rsid w:val="00391FD0"/>
    <w:rsid w:val="0039235B"/>
    <w:rsid w:val="003926CA"/>
    <w:rsid w:val="00393D9B"/>
    <w:rsid w:val="00394B36"/>
    <w:rsid w:val="00395727"/>
    <w:rsid w:val="0039586B"/>
    <w:rsid w:val="00397E24"/>
    <w:rsid w:val="003A29F7"/>
    <w:rsid w:val="003A2A60"/>
    <w:rsid w:val="003A30F8"/>
    <w:rsid w:val="003A347C"/>
    <w:rsid w:val="003A3B52"/>
    <w:rsid w:val="003A3CF3"/>
    <w:rsid w:val="003A4B1D"/>
    <w:rsid w:val="003A6917"/>
    <w:rsid w:val="003A6FD2"/>
    <w:rsid w:val="003A7FEB"/>
    <w:rsid w:val="003B0605"/>
    <w:rsid w:val="003B084F"/>
    <w:rsid w:val="003B20F9"/>
    <w:rsid w:val="003B2849"/>
    <w:rsid w:val="003B2B1C"/>
    <w:rsid w:val="003B2BB0"/>
    <w:rsid w:val="003B2CC9"/>
    <w:rsid w:val="003B339F"/>
    <w:rsid w:val="003B5E6C"/>
    <w:rsid w:val="003B6213"/>
    <w:rsid w:val="003B6D2D"/>
    <w:rsid w:val="003B7218"/>
    <w:rsid w:val="003B78E0"/>
    <w:rsid w:val="003C05E1"/>
    <w:rsid w:val="003C289A"/>
    <w:rsid w:val="003C6BEF"/>
    <w:rsid w:val="003C71A3"/>
    <w:rsid w:val="003C7A89"/>
    <w:rsid w:val="003C7ED9"/>
    <w:rsid w:val="003D0497"/>
    <w:rsid w:val="003D10B2"/>
    <w:rsid w:val="003D12EE"/>
    <w:rsid w:val="003D2351"/>
    <w:rsid w:val="003D2EF8"/>
    <w:rsid w:val="003D6DDA"/>
    <w:rsid w:val="003E100D"/>
    <w:rsid w:val="003E16C0"/>
    <w:rsid w:val="003E1D9F"/>
    <w:rsid w:val="003E2404"/>
    <w:rsid w:val="003E2BBE"/>
    <w:rsid w:val="003E318D"/>
    <w:rsid w:val="003E4B1B"/>
    <w:rsid w:val="003E5355"/>
    <w:rsid w:val="003E55B9"/>
    <w:rsid w:val="003E5923"/>
    <w:rsid w:val="003E5E39"/>
    <w:rsid w:val="003E6E8F"/>
    <w:rsid w:val="003E71CA"/>
    <w:rsid w:val="003F28ED"/>
    <w:rsid w:val="003F4036"/>
    <w:rsid w:val="003F4142"/>
    <w:rsid w:val="003F481B"/>
    <w:rsid w:val="003F5331"/>
    <w:rsid w:val="003F642C"/>
    <w:rsid w:val="003F68DF"/>
    <w:rsid w:val="003F68FF"/>
    <w:rsid w:val="003F6B18"/>
    <w:rsid w:val="003F7025"/>
    <w:rsid w:val="00400991"/>
    <w:rsid w:val="00400F7E"/>
    <w:rsid w:val="0040134A"/>
    <w:rsid w:val="00401962"/>
    <w:rsid w:val="00402107"/>
    <w:rsid w:val="00402BE6"/>
    <w:rsid w:val="0040553A"/>
    <w:rsid w:val="004055D4"/>
    <w:rsid w:val="0040569C"/>
    <w:rsid w:val="004073D3"/>
    <w:rsid w:val="00407908"/>
    <w:rsid w:val="00407C06"/>
    <w:rsid w:val="00410A95"/>
    <w:rsid w:val="00410B10"/>
    <w:rsid w:val="00411416"/>
    <w:rsid w:val="0041168C"/>
    <w:rsid w:val="00411C39"/>
    <w:rsid w:val="00412894"/>
    <w:rsid w:val="00413972"/>
    <w:rsid w:val="00414802"/>
    <w:rsid w:val="004153D6"/>
    <w:rsid w:val="00415D1E"/>
    <w:rsid w:val="00415D39"/>
    <w:rsid w:val="00416AFE"/>
    <w:rsid w:val="004176FC"/>
    <w:rsid w:val="004200A3"/>
    <w:rsid w:val="004217BB"/>
    <w:rsid w:val="00424D37"/>
    <w:rsid w:val="00424EF2"/>
    <w:rsid w:val="00424F07"/>
    <w:rsid w:val="004259D7"/>
    <w:rsid w:val="00425B9F"/>
    <w:rsid w:val="004267C9"/>
    <w:rsid w:val="004269D9"/>
    <w:rsid w:val="00427F8D"/>
    <w:rsid w:val="00430A20"/>
    <w:rsid w:val="00431536"/>
    <w:rsid w:val="00431C42"/>
    <w:rsid w:val="00431FC5"/>
    <w:rsid w:val="00432C99"/>
    <w:rsid w:val="00433591"/>
    <w:rsid w:val="00434386"/>
    <w:rsid w:val="004377AC"/>
    <w:rsid w:val="00437DB0"/>
    <w:rsid w:val="00441E89"/>
    <w:rsid w:val="004424FE"/>
    <w:rsid w:val="00442726"/>
    <w:rsid w:val="00443B1A"/>
    <w:rsid w:val="00443C74"/>
    <w:rsid w:val="00445313"/>
    <w:rsid w:val="00446120"/>
    <w:rsid w:val="00446E68"/>
    <w:rsid w:val="00447974"/>
    <w:rsid w:val="0045174E"/>
    <w:rsid w:val="004519C8"/>
    <w:rsid w:val="004536DD"/>
    <w:rsid w:val="00454160"/>
    <w:rsid w:val="004559D5"/>
    <w:rsid w:val="00455C9F"/>
    <w:rsid w:val="00455F7E"/>
    <w:rsid w:val="0045618D"/>
    <w:rsid w:val="00456846"/>
    <w:rsid w:val="00456E96"/>
    <w:rsid w:val="00457760"/>
    <w:rsid w:val="00457B84"/>
    <w:rsid w:val="00460809"/>
    <w:rsid w:val="00461A5D"/>
    <w:rsid w:val="0046640A"/>
    <w:rsid w:val="0046701C"/>
    <w:rsid w:val="0046734F"/>
    <w:rsid w:val="004675C5"/>
    <w:rsid w:val="00467B91"/>
    <w:rsid w:val="00467BBC"/>
    <w:rsid w:val="00470560"/>
    <w:rsid w:val="00472418"/>
    <w:rsid w:val="00472C82"/>
    <w:rsid w:val="004740E4"/>
    <w:rsid w:val="0047534C"/>
    <w:rsid w:val="00476B86"/>
    <w:rsid w:val="00480BCD"/>
    <w:rsid w:val="004826E0"/>
    <w:rsid w:val="00482F3C"/>
    <w:rsid w:val="004849F6"/>
    <w:rsid w:val="00485319"/>
    <w:rsid w:val="00486F1E"/>
    <w:rsid w:val="00491047"/>
    <w:rsid w:val="0049363D"/>
    <w:rsid w:val="00495ECD"/>
    <w:rsid w:val="004A0F57"/>
    <w:rsid w:val="004A18BA"/>
    <w:rsid w:val="004A1E95"/>
    <w:rsid w:val="004A3709"/>
    <w:rsid w:val="004A3758"/>
    <w:rsid w:val="004A3B65"/>
    <w:rsid w:val="004A3F33"/>
    <w:rsid w:val="004A4E98"/>
    <w:rsid w:val="004A7516"/>
    <w:rsid w:val="004A7F72"/>
    <w:rsid w:val="004B0800"/>
    <w:rsid w:val="004B0E80"/>
    <w:rsid w:val="004B15B1"/>
    <w:rsid w:val="004B21B1"/>
    <w:rsid w:val="004B2DBB"/>
    <w:rsid w:val="004B31C4"/>
    <w:rsid w:val="004B326B"/>
    <w:rsid w:val="004B4D3A"/>
    <w:rsid w:val="004B4DE0"/>
    <w:rsid w:val="004B725D"/>
    <w:rsid w:val="004C0251"/>
    <w:rsid w:val="004C1F92"/>
    <w:rsid w:val="004C2815"/>
    <w:rsid w:val="004C5B83"/>
    <w:rsid w:val="004C65FD"/>
    <w:rsid w:val="004C7125"/>
    <w:rsid w:val="004D06E3"/>
    <w:rsid w:val="004D0995"/>
    <w:rsid w:val="004D2B4D"/>
    <w:rsid w:val="004D2DC3"/>
    <w:rsid w:val="004D4031"/>
    <w:rsid w:val="004D563B"/>
    <w:rsid w:val="004D5F22"/>
    <w:rsid w:val="004D6293"/>
    <w:rsid w:val="004D6546"/>
    <w:rsid w:val="004D6ABE"/>
    <w:rsid w:val="004E0B40"/>
    <w:rsid w:val="004E1922"/>
    <w:rsid w:val="004E1CA8"/>
    <w:rsid w:val="004E20E2"/>
    <w:rsid w:val="004E2FAC"/>
    <w:rsid w:val="004E38E3"/>
    <w:rsid w:val="004E44E5"/>
    <w:rsid w:val="004E4AE9"/>
    <w:rsid w:val="004E4F0B"/>
    <w:rsid w:val="004E65F6"/>
    <w:rsid w:val="004E6724"/>
    <w:rsid w:val="004E75B5"/>
    <w:rsid w:val="004E7E90"/>
    <w:rsid w:val="004F011E"/>
    <w:rsid w:val="004F2B79"/>
    <w:rsid w:val="004F55DE"/>
    <w:rsid w:val="004F5A29"/>
    <w:rsid w:val="004F5D17"/>
    <w:rsid w:val="004F7AFC"/>
    <w:rsid w:val="004F7B5C"/>
    <w:rsid w:val="00500217"/>
    <w:rsid w:val="005016F6"/>
    <w:rsid w:val="00501DEC"/>
    <w:rsid w:val="0050233F"/>
    <w:rsid w:val="00502349"/>
    <w:rsid w:val="00502D44"/>
    <w:rsid w:val="00502D72"/>
    <w:rsid w:val="00504FBF"/>
    <w:rsid w:val="005053F9"/>
    <w:rsid w:val="005057EB"/>
    <w:rsid w:val="0050600F"/>
    <w:rsid w:val="00506A46"/>
    <w:rsid w:val="00506AB1"/>
    <w:rsid w:val="00506C8E"/>
    <w:rsid w:val="00506CD1"/>
    <w:rsid w:val="00506EDA"/>
    <w:rsid w:val="00511BDC"/>
    <w:rsid w:val="005131C3"/>
    <w:rsid w:val="00513A4E"/>
    <w:rsid w:val="00514EDA"/>
    <w:rsid w:val="00515442"/>
    <w:rsid w:val="00517513"/>
    <w:rsid w:val="00517CB0"/>
    <w:rsid w:val="005201BE"/>
    <w:rsid w:val="005239D5"/>
    <w:rsid w:val="00524604"/>
    <w:rsid w:val="00525EE9"/>
    <w:rsid w:val="00530059"/>
    <w:rsid w:val="0053021A"/>
    <w:rsid w:val="00530D50"/>
    <w:rsid w:val="005329BE"/>
    <w:rsid w:val="005334B4"/>
    <w:rsid w:val="0053392E"/>
    <w:rsid w:val="00534907"/>
    <w:rsid w:val="00534937"/>
    <w:rsid w:val="005349D4"/>
    <w:rsid w:val="005378F0"/>
    <w:rsid w:val="00537D63"/>
    <w:rsid w:val="005407BF"/>
    <w:rsid w:val="00541378"/>
    <w:rsid w:val="00542508"/>
    <w:rsid w:val="00542EDD"/>
    <w:rsid w:val="0054313B"/>
    <w:rsid w:val="00544107"/>
    <w:rsid w:val="0054449B"/>
    <w:rsid w:val="00544955"/>
    <w:rsid w:val="005449BE"/>
    <w:rsid w:val="00546543"/>
    <w:rsid w:val="00547367"/>
    <w:rsid w:val="005506C7"/>
    <w:rsid w:val="0055079B"/>
    <w:rsid w:val="00550B2F"/>
    <w:rsid w:val="005523A6"/>
    <w:rsid w:val="00555248"/>
    <w:rsid w:val="00555DDD"/>
    <w:rsid w:val="0055739D"/>
    <w:rsid w:val="005575D2"/>
    <w:rsid w:val="00557C71"/>
    <w:rsid w:val="0056011E"/>
    <w:rsid w:val="0056453E"/>
    <w:rsid w:val="00570D6F"/>
    <w:rsid w:val="0057120E"/>
    <w:rsid w:val="005718A8"/>
    <w:rsid w:val="00572118"/>
    <w:rsid w:val="00572610"/>
    <w:rsid w:val="00572E0A"/>
    <w:rsid w:val="005737C6"/>
    <w:rsid w:val="005745DB"/>
    <w:rsid w:val="00574922"/>
    <w:rsid w:val="00575DF4"/>
    <w:rsid w:val="00576189"/>
    <w:rsid w:val="00576DB0"/>
    <w:rsid w:val="00580546"/>
    <w:rsid w:val="005823AD"/>
    <w:rsid w:val="00583F9F"/>
    <w:rsid w:val="005842A0"/>
    <w:rsid w:val="005845A5"/>
    <w:rsid w:val="0058472E"/>
    <w:rsid w:val="00584D37"/>
    <w:rsid w:val="005858D5"/>
    <w:rsid w:val="00585C24"/>
    <w:rsid w:val="005863E7"/>
    <w:rsid w:val="00591C4D"/>
    <w:rsid w:val="0059464B"/>
    <w:rsid w:val="0059473B"/>
    <w:rsid w:val="00594F17"/>
    <w:rsid w:val="005953CA"/>
    <w:rsid w:val="005960BA"/>
    <w:rsid w:val="005A15D1"/>
    <w:rsid w:val="005A1801"/>
    <w:rsid w:val="005A1927"/>
    <w:rsid w:val="005A2527"/>
    <w:rsid w:val="005A28A8"/>
    <w:rsid w:val="005A3F6F"/>
    <w:rsid w:val="005A40D9"/>
    <w:rsid w:val="005A4E6F"/>
    <w:rsid w:val="005A5CF8"/>
    <w:rsid w:val="005A6731"/>
    <w:rsid w:val="005B0248"/>
    <w:rsid w:val="005B0F84"/>
    <w:rsid w:val="005B13F8"/>
    <w:rsid w:val="005B2D18"/>
    <w:rsid w:val="005B352D"/>
    <w:rsid w:val="005B5E63"/>
    <w:rsid w:val="005B5FB5"/>
    <w:rsid w:val="005B631B"/>
    <w:rsid w:val="005B6420"/>
    <w:rsid w:val="005C1F12"/>
    <w:rsid w:val="005C2556"/>
    <w:rsid w:val="005C463B"/>
    <w:rsid w:val="005C4964"/>
    <w:rsid w:val="005C4AB3"/>
    <w:rsid w:val="005C5386"/>
    <w:rsid w:val="005C5E6D"/>
    <w:rsid w:val="005C5EB1"/>
    <w:rsid w:val="005C7405"/>
    <w:rsid w:val="005D086D"/>
    <w:rsid w:val="005D1B17"/>
    <w:rsid w:val="005D3683"/>
    <w:rsid w:val="005D3AB2"/>
    <w:rsid w:val="005D560A"/>
    <w:rsid w:val="005D57E0"/>
    <w:rsid w:val="005D5BE5"/>
    <w:rsid w:val="005D792B"/>
    <w:rsid w:val="005D7BB7"/>
    <w:rsid w:val="005E2966"/>
    <w:rsid w:val="005E2E16"/>
    <w:rsid w:val="005E3793"/>
    <w:rsid w:val="005E4E71"/>
    <w:rsid w:val="005E6149"/>
    <w:rsid w:val="005E6EEC"/>
    <w:rsid w:val="005E7FF4"/>
    <w:rsid w:val="005F09CC"/>
    <w:rsid w:val="005F0B19"/>
    <w:rsid w:val="005F1315"/>
    <w:rsid w:val="005F14A5"/>
    <w:rsid w:val="005F1EBE"/>
    <w:rsid w:val="005F2890"/>
    <w:rsid w:val="005F297C"/>
    <w:rsid w:val="005F3EB2"/>
    <w:rsid w:val="005F58E3"/>
    <w:rsid w:val="005F7264"/>
    <w:rsid w:val="00600140"/>
    <w:rsid w:val="006001B2"/>
    <w:rsid w:val="006011A3"/>
    <w:rsid w:val="006014DA"/>
    <w:rsid w:val="00602CF1"/>
    <w:rsid w:val="00603746"/>
    <w:rsid w:val="0060379A"/>
    <w:rsid w:val="006038D0"/>
    <w:rsid w:val="006047D8"/>
    <w:rsid w:val="00611A86"/>
    <w:rsid w:val="00612BD3"/>
    <w:rsid w:val="00613EAC"/>
    <w:rsid w:val="00613F54"/>
    <w:rsid w:val="00614E3A"/>
    <w:rsid w:val="00616168"/>
    <w:rsid w:val="006168B5"/>
    <w:rsid w:val="00616B13"/>
    <w:rsid w:val="00620130"/>
    <w:rsid w:val="00620534"/>
    <w:rsid w:val="00622893"/>
    <w:rsid w:val="00623A31"/>
    <w:rsid w:val="00625361"/>
    <w:rsid w:val="0062548D"/>
    <w:rsid w:val="00627516"/>
    <w:rsid w:val="00630039"/>
    <w:rsid w:val="00630B07"/>
    <w:rsid w:val="00631029"/>
    <w:rsid w:val="00632268"/>
    <w:rsid w:val="00633921"/>
    <w:rsid w:val="00634642"/>
    <w:rsid w:val="00634D5B"/>
    <w:rsid w:val="00635270"/>
    <w:rsid w:val="00635CA9"/>
    <w:rsid w:val="00635DAE"/>
    <w:rsid w:val="00635E02"/>
    <w:rsid w:val="00636723"/>
    <w:rsid w:val="00637E05"/>
    <w:rsid w:val="00637E0C"/>
    <w:rsid w:val="0064134F"/>
    <w:rsid w:val="00641801"/>
    <w:rsid w:val="00641933"/>
    <w:rsid w:val="00643E2E"/>
    <w:rsid w:val="00644A35"/>
    <w:rsid w:val="006478CA"/>
    <w:rsid w:val="00652FE3"/>
    <w:rsid w:val="0065347D"/>
    <w:rsid w:val="006543D6"/>
    <w:rsid w:val="00657717"/>
    <w:rsid w:val="006577EB"/>
    <w:rsid w:val="00657812"/>
    <w:rsid w:val="00657B89"/>
    <w:rsid w:val="006606D7"/>
    <w:rsid w:val="006619FF"/>
    <w:rsid w:val="00664115"/>
    <w:rsid w:val="00665F3D"/>
    <w:rsid w:val="006675D6"/>
    <w:rsid w:val="00670BE5"/>
    <w:rsid w:val="006720DF"/>
    <w:rsid w:val="00673826"/>
    <w:rsid w:val="00674146"/>
    <w:rsid w:val="006741E5"/>
    <w:rsid w:val="00676F1C"/>
    <w:rsid w:val="00677C71"/>
    <w:rsid w:val="006801E2"/>
    <w:rsid w:val="006802EF"/>
    <w:rsid w:val="006852AB"/>
    <w:rsid w:val="00685987"/>
    <w:rsid w:val="006871AB"/>
    <w:rsid w:val="0068721C"/>
    <w:rsid w:val="00687A9B"/>
    <w:rsid w:val="00687D0B"/>
    <w:rsid w:val="00692004"/>
    <w:rsid w:val="006959FD"/>
    <w:rsid w:val="00697818"/>
    <w:rsid w:val="006A0D80"/>
    <w:rsid w:val="006A1852"/>
    <w:rsid w:val="006A1ABF"/>
    <w:rsid w:val="006A1C8A"/>
    <w:rsid w:val="006A29E0"/>
    <w:rsid w:val="006A2FF7"/>
    <w:rsid w:val="006A3C4A"/>
    <w:rsid w:val="006A3D1C"/>
    <w:rsid w:val="006A437D"/>
    <w:rsid w:val="006A4BDB"/>
    <w:rsid w:val="006A5D28"/>
    <w:rsid w:val="006A62BC"/>
    <w:rsid w:val="006A6621"/>
    <w:rsid w:val="006A6F51"/>
    <w:rsid w:val="006A75E7"/>
    <w:rsid w:val="006B00FC"/>
    <w:rsid w:val="006B0EC3"/>
    <w:rsid w:val="006B3128"/>
    <w:rsid w:val="006B33DB"/>
    <w:rsid w:val="006B52A7"/>
    <w:rsid w:val="006B5955"/>
    <w:rsid w:val="006B6EF7"/>
    <w:rsid w:val="006C0461"/>
    <w:rsid w:val="006C0C1A"/>
    <w:rsid w:val="006C16C6"/>
    <w:rsid w:val="006C17CC"/>
    <w:rsid w:val="006C21BF"/>
    <w:rsid w:val="006C23C2"/>
    <w:rsid w:val="006C5231"/>
    <w:rsid w:val="006C59A5"/>
    <w:rsid w:val="006C7FB3"/>
    <w:rsid w:val="006D1CF3"/>
    <w:rsid w:val="006D41AD"/>
    <w:rsid w:val="006D42FB"/>
    <w:rsid w:val="006D4DA1"/>
    <w:rsid w:val="006E0CD2"/>
    <w:rsid w:val="006E1997"/>
    <w:rsid w:val="006E20B1"/>
    <w:rsid w:val="006E2EB7"/>
    <w:rsid w:val="006E3C81"/>
    <w:rsid w:val="006E654C"/>
    <w:rsid w:val="006E76A5"/>
    <w:rsid w:val="006F0645"/>
    <w:rsid w:val="006F0F55"/>
    <w:rsid w:val="006F1700"/>
    <w:rsid w:val="006F239F"/>
    <w:rsid w:val="006F3A3B"/>
    <w:rsid w:val="006F4AE9"/>
    <w:rsid w:val="006F70DA"/>
    <w:rsid w:val="0070070A"/>
    <w:rsid w:val="0070411C"/>
    <w:rsid w:val="00705018"/>
    <w:rsid w:val="007058B3"/>
    <w:rsid w:val="00705D69"/>
    <w:rsid w:val="007071EE"/>
    <w:rsid w:val="0071193F"/>
    <w:rsid w:val="00714853"/>
    <w:rsid w:val="00716652"/>
    <w:rsid w:val="007225BB"/>
    <w:rsid w:val="007236BA"/>
    <w:rsid w:val="007238DD"/>
    <w:rsid w:val="00723D02"/>
    <w:rsid w:val="00723D84"/>
    <w:rsid w:val="00723EDE"/>
    <w:rsid w:val="00724717"/>
    <w:rsid w:val="0072534D"/>
    <w:rsid w:val="00725C22"/>
    <w:rsid w:val="00725E21"/>
    <w:rsid w:val="0072660C"/>
    <w:rsid w:val="00727280"/>
    <w:rsid w:val="00727814"/>
    <w:rsid w:val="00727CF8"/>
    <w:rsid w:val="0073013F"/>
    <w:rsid w:val="00730404"/>
    <w:rsid w:val="00731AB7"/>
    <w:rsid w:val="007321FD"/>
    <w:rsid w:val="00735BCF"/>
    <w:rsid w:val="007360DE"/>
    <w:rsid w:val="00736B7F"/>
    <w:rsid w:val="00737076"/>
    <w:rsid w:val="00740550"/>
    <w:rsid w:val="0074180F"/>
    <w:rsid w:val="00742D4A"/>
    <w:rsid w:val="007439C4"/>
    <w:rsid w:val="007446DE"/>
    <w:rsid w:val="00744ED4"/>
    <w:rsid w:val="00745CD5"/>
    <w:rsid w:val="00745E40"/>
    <w:rsid w:val="00746019"/>
    <w:rsid w:val="007460F7"/>
    <w:rsid w:val="00746D3F"/>
    <w:rsid w:val="00747CAF"/>
    <w:rsid w:val="00750AB2"/>
    <w:rsid w:val="00750D87"/>
    <w:rsid w:val="00752125"/>
    <w:rsid w:val="00752F51"/>
    <w:rsid w:val="007532A0"/>
    <w:rsid w:val="007546DF"/>
    <w:rsid w:val="00755358"/>
    <w:rsid w:val="007558DB"/>
    <w:rsid w:val="00755AB9"/>
    <w:rsid w:val="00756566"/>
    <w:rsid w:val="007576F5"/>
    <w:rsid w:val="00757FB9"/>
    <w:rsid w:val="00760557"/>
    <w:rsid w:val="00760746"/>
    <w:rsid w:val="007615B0"/>
    <w:rsid w:val="0076239E"/>
    <w:rsid w:val="00763245"/>
    <w:rsid w:val="0076470D"/>
    <w:rsid w:val="00765885"/>
    <w:rsid w:val="00766299"/>
    <w:rsid w:val="00766680"/>
    <w:rsid w:val="007667F4"/>
    <w:rsid w:val="00766870"/>
    <w:rsid w:val="0076753E"/>
    <w:rsid w:val="007702C7"/>
    <w:rsid w:val="00770823"/>
    <w:rsid w:val="007737A3"/>
    <w:rsid w:val="007738A0"/>
    <w:rsid w:val="00773946"/>
    <w:rsid w:val="0077606A"/>
    <w:rsid w:val="00777024"/>
    <w:rsid w:val="0078146D"/>
    <w:rsid w:val="00781801"/>
    <w:rsid w:val="00781AB2"/>
    <w:rsid w:val="00784C33"/>
    <w:rsid w:val="0079363C"/>
    <w:rsid w:val="007936AD"/>
    <w:rsid w:val="00793B6E"/>
    <w:rsid w:val="00794B66"/>
    <w:rsid w:val="00794BAC"/>
    <w:rsid w:val="0079536F"/>
    <w:rsid w:val="0079776F"/>
    <w:rsid w:val="0079785B"/>
    <w:rsid w:val="007A4BB5"/>
    <w:rsid w:val="007A4FB6"/>
    <w:rsid w:val="007A5AEB"/>
    <w:rsid w:val="007A6815"/>
    <w:rsid w:val="007A6AA6"/>
    <w:rsid w:val="007B0D45"/>
    <w:rsid w:val="007B0EEB"/>
    <w:rsid w:val="007B1550"/>
    <w:rsid w:val="007B188D"/>
    <w:rsid w:val="007B1B3A"/>
    <w:rsid w:val="007B1F2A"/>
    <w:rsid w:val="007B35BE"/>
    <w:rsid w:val="007B4E82"/>
    <w:rsid w:val="007B5D7F"/>
    <w:rsid w:val="007B7C1E"/>
    <w:rsid w:val="007C1D1B"/>
    <w:rsid w:val="007C3FEA"/>
    <w:rsid w:val="007C4D4C"/>
    <w:rsid w:val="007C54BA"/>
    <w:rsid w:val="007D05E9"/>
    <w:rsid w:val="007D1428"/>
    <w:rsid w:val="007D20C2"/>
    <w:rsid w:val="007D36F1"/>
    <w:rsid w:val="007D53EC"/>
    <w:rsid w:val="007D6398"/>
    <w:rsid w:val="007D6858"/>
    <w:rsid w:val="007D6EC1"/>
    <w:rsid w:val="007E485B"/>
    <w:rsid w:val="007E4C39"/>
    <w:rsid w:val="007E4CD6"/>
    <w:rsid w:val="007E5872"/>
    <w:rsid w:val="007E5B14"/>
    <w:rsid w:val="007E5E28"/>
    <w:rsid w:val="007E73D8"/>
    <w:rsid w:val="007E7EEC"/>
    <w:rsid w:val="007F1F0C"/>
    <w:rsid w:val="007F5589"/>
    <w:rsid w:val="007F55DE"/>
    <w:rsid w:val="007F6940"/>
    <w:rsid w:val="007F79A8"/>
    <w:rsid w:val="008005A8"/>
    <w:rsid w:val="008021F3"/>
    <w:rsid w:val="00802CE5"/>
    <w:rsid w:val="0080403E"/>
    <w:rsid w:val="00804AD7"/>
    <w:rsid w:val="00805098"/>
    <w:rsid w:val="00807A77"/>
    <w:rsid w:val="00810E64"/>
    <w:rsid w:val="00811022"/>
    <w:rsid w:val="008111A5"/>
    <w:rsid w:val="00811713"/>
    <w:rsid w:val="008122D7"/>
    <w:rsid w:val="00813668"/>
    <w:rsid w:val="00814C9A"/>
    <w:rsid w:val="008153EA"/>
    <w:rsid w:val="0081655E"/>
    <w:rsid w:val="008175A2"/>
    <w:rsid w:val="00822CD6"/>
    <w:rsid w:val="008259FC"/>
    <w:rsid w:val="00825AB9"/>
    <w:rsid w:val="00832534"/>
    <w:rsid w:val="00833562"/>
    <w:rsid w:val="00833F9B"/>
    <w:rsid w:val="00834C99"/>
    <w:rsid w:val="00834EDE"/>
    <w:rsid w:val="00837228"/>
    <w:rsid w:val="00840A68"/>
    <w:rsid w:val="008428BF"/>
    <w:rsid w:val="00842C03"/>
    <w:rsid w:val="00843BE9"/>
    <w:rsid w:val="008444AE"/>
    <w:rsid w:val="0084514E"/>
    <w:rsid w:val="008465BF"/>
    <w:rsid w:val="0084689E"/>
    <w:rsid w:val="008527D8"/>
    <w:rsid w:val="00852DD8"/>
    <w:rsid w:val="00852EBB"/>
    <w:rsid w:val="008536EB"/>
    <w:rsid w:val="00855218"/>
    <w:rsid w:val="0085585F"/>
    <w:rsid w:val="00855FFB"/>
    <w:rsid w:val="00856C7F"/>
    <w:rsid w:val="00860D85"/>
    <w:rsid w:val="00861293"/>
    <w:rsid w:val="00861DDC"/>
    <w:rsid w:val="008654C1"/>
    <w:rsid w:val="00865823"/>
    <w:rsid w:val="0086630A"/>
    <w:rsid w:val="008704E3"/>
    <w:rsid w:val="00871005"/>
    <w:rsid w:val="00872A7C"/>
    <w:rsid w:val="008733A2"/>
    <w:rsid w:val="00874016"/>
    <w:rsid w:val="00883479"/>
    <w:rsid w:val="00885DD4"/>
    <w:rsid w:val="008860BA"/>
    <w:rsid w:val="00886809"/>
    <w:rsid w:val="0088750D"/>
    <w:rsid w:val="008879C5"/>
    <w:rsid w:val="00890051"/>
    <w:rsid w:val="00890E22"/>
    <w:rsid w:val="00890E84"/>
    <w:rsid w:val="00890EEA"/>
    <w:rsid w:val="00891241"/>
    <w:rsid w:val="0089306D"/>
    <w:rsid w:val="0089364F"/>
    <w:rsid w:val="008943FE"/>
    <w:rsid w:val="008951B3"/>
    <w:rsid w:val="00895914"/>
    <w:rsid w:val="008971E6"/>
    <w:rsid w:val="008A1AC1"/>
    <w:rsid w:val="008A1E8A"/>
    <w:rsid w:val="008A73E8"/>
    <w:rsid w:val="008B1221"/>
    <w:rsid w:val="008B1326"/>
    <w:rsid w:val="008B1506"/>
    <w:rsid w:val="008B202B"/>
    <w:rsid w:val="008B2458"/>
    <w:rsid w:val="008B2747"/>
    <w:rsid w:val="008B3001"/>
    <w:rsid w:val="008B3CFE"/>
    <w:rsid w:val="008B4BFE"/>
    <w:rsid w:val="008B5DBC"/>
    <w:rsid w:val="008B7061"/>
    <w:rsid w:val="008C05D0"/>
    <w:rsid w:val="008C0EC2"/>
    <w:rsid w:val="008C1439"/>
    <w:rsid w:val="008C151A"/>
    <w:rsid w:val="008C3B0C"/>
    <w:rsid w:val="008C3C92"/>
    <w:rsid w:val="008C4E8A"/>
    <w:rsid w:val="008C52AA"/>
    <w:rsid w:val="008C7ABA"/>
    <w:rsid w:val="008D1A2E"/>
    <w:rsid w:val="008D283D"/>
    <w:rsid w:val="008D3125"/>
    <w:rsid w:val="008D394D"/>
    <w:rsid w:val="008D4422"/>
    <w:rsid w:val="008D640B"/>
    <w:rsid w:val="008D6965"/>
    <w:rsid w:val="008E08E4"/>
    <w:rsid w:val="008E1AA7"/>
    <w:rsid w:val="008E3C04"/>
    <w:rsid w:val="008E3CC1"/>
    <w:rsid w:val="008E563C"/>
    <w:rsid w:val="008E56E2"/>
    <w:rsid w:val="008E57F5"/>
    <w:rsid w:val="008E6868"/>
    <w:rsid w:val="008F0EFA"/>
    <w:rsid w:val="008F35A8"/>
    <w:rsid w:val="008F51DE"/>
    <w:rsid w:val="0090166C"/>
    <w:rsid w:val="009016E3"/>
    <w:rsid w:val="00901C94"/>
    <w:rsid w:val="00902053"/>
    <w:rsid w:val="00903505"/>
    <w:rsid w:val="00903DDB"/>
    <w:rsid w:val="009060E8"/>
    <w:rsid w:val="00906B69"/>
    <w:rsid w:val="009071A1"/>
    <w:rsid w:val="0090766A"/>
    <w:rsid w:val="00911DC5"/>
    <w:rsid w:val="00913750"/>
    <w:rsid w:val="00913D68"/>
    <w:rsid w:val="00913F09"/>
    <w:rsid w:val="009157E0"/>
    <w:rsid w:val="00915DF7"/>
    <w:rsid w:val="0091725D"/>
    <w:rsid w:val="00917496"/>
    <w:rsid w:val="0092151E"/>
    <w:rsid w:val="00922D69"/>
    <w:rsid w:val="00924B4A"/>
    <w:rsid w:val="0092600D"/>
    <w:rsid w:val="00926414"/>
    <w:rsid w:val="009270C7"/>
    <w:rsid w:val="00927D37"/>
    <w:rsid w:val="00931C3C"/>
    <w:rsid w:val="00934EB7"/>
    <w:rsid w:val="0093630E"/>
    <w:rsid w:val="00936E99"/>
    <w:rsid w:val="009370C6"/>
    <w:rsid w:val="009400D8"/>
    <w:rsid w:val="00941D94"/>
    <w:rsid w:val="00941DBE"/>
    <w:rsid w:val="0094212E"/>
    <w:rsid w:val="009427B0"/>
    <w:rsid w:val="00942B32"/>
    <w:rsid w:val="009432E0"/>
    <w:rsid w:val="00943513"/>
    <w:rsid w:val="0094458A"/>
    <w:rsid w:val="0094466C"/>
    <w:rsid w:val="0094494E"/>
    <w:rsid w:val="00944B1C"/>
    <w:rsid w:val="00945CFD"/>
    <w:rsid w:val="00945DE8"/>
    <w:rsid w:val="009470D2"/>
    <w:rsid w:val="00947EC9"/>
    <w:rsid w:val="009513F7"/>
    <w:rsid w:val="00951A8D"/>
    <w:rsid w:val="009533CE"/>
    <w:rsid w:val="009537B5"/>
    <w:rsid w:val="00954E5D"/>
    <w:rsid w:val="00955B43"/>
    <w:rsid w:val="0095612C"/>
    <w:rsid w:val="0095726E"/>
    <w:rsid w:val="00961108"/>
    <w:rsid w:val="00962A82"/>
    <w:rsid w:val="009662F0"/>
    <w:rsid w:val="009668F1"/>
    <w:rsid w:val="00966BCE"/>
    <w:rsid w:val="0097467D"/>
    <w:rsid w:val="00974B43"/>
    <w:rsid w:val="0097558D"/>
    <w:rsid w:val="00975852"/>
    <w:rsid w:val="0097639F"/>
    <w:rsid w:val="009769EA"/>
    <w:rsid w:val="00977FB6"/>
    <w:rsid w:val="009809F0"/>
    <w:rsid w:val="009820A2"/>
    <w:rsid w:val="009829B0"/>
    <w:rsid w:val="009833F3"/>
    <w:rsid w:val="00984AB0"/>
    <w:rsid w:val="0098544D"/>
    <w:rsid w:val="0098596C"/>
    <w:rsid w:val="00986145"/>
    <w:rsid w:val="00987484"/>
    <w:rsid w:val="009908ED"/>
    <w:rsid w:val="0099209B"/>
    <w:rsid w:val="0099413A"/>
    <w:rsid w:val="00994BDB"/>
    <w:rsid w:val="00994D53"/>
    <w:rsid w:val="0099688A"/>
    <w:rsid w:val="00997403"/>
    <w:rsid w:val="009A02C9"/>
    <w:rsid w:val="009A0B32"/>
    <w:rsid w:val="009A0D32"/>
    <w:rsid w:val="009A1028"/>
    <w:rsid w:val="009A3371"/>
    <w:rsid w:val="009A3F39"/>
    <w:rsid w:val="009A418D"/>
    <w:rsid w:val="009A4641"/>
    <w:rsid w:val="009A5F5B"/>
    <w:rsid w:val="009A657F"/>
    <w:rsid w:val="009A6D9C"/>
    <w:rsid w:val="009A70B1"/>
    <w:rsid w:val="009A7596"/>
    <w:rsid w:val="009B0B2B"/>
    <w:rsid w:val="009B294B"/>
    <w:rsid w:val="009B477B"/>
    <w:rsid w:val="009B50B5"/>
    <w:rsid w:val="009C0EA3"/>
    <w:rsid w:val="009C2768"/>
    <w:rsid w:val="009C2CE0"/>
    <w:rsid w:val="009C36D0"/>
    <w:rsid w:val="009C50C3"/>
    <w:rsid w:val="009C5400"/>
    <w:rsid w:val="009C547D"/>
    <w:rsid w:val="009C6579"/>
    <w:rsid w:val="009C69C7"/>
    <w:rsid w:val="009C6CF3"/>
    <w:rsid w:val="009D0ABF"/>
    <w:rsid w:val="009D187B"/>
    <w:rsid w:val="009D1E28"/>
    <w:rsid w:val="009D2385"/>
    <w:rsid w:val="009D24A0"/>
    <w:rsid w:val="009D3511"/>
    <w:rsid w:val="009D5C8E"/>
    <w:rsid w:val="009D6251"/>
    <w:rsid w:val="009D7342"/>
    <w:rsid w:val="009D767F"/>
    <w:rsid w:val="009E0499"/>
    <w:rsid w:val="009E105F"/>
    <w:rsid w:val="009E2558"/>
    <w:rsid w:val="009E2587"/>
    <w:rsid w:val="009E31C5"/>
    <w:rsid w:val="009E3B6B"/>
    <w:rsid w:val="009E44DC"/>
    <w:rsid w:val="009E6E62"/>
    <w:rsid w:val="009E7D35"/>
    <w:rsid w:val="009F090B"/>
    <w:rsid w:val="009F216C"/>
    <w:rsid w:val="009F2269"/>
    <w:rsid w:val="009F3382"/>
    <w:rsid w:val="009F3D46"/>
    <w:rsid w:val="009F3FC3"/>
    <w:rsid w:val="009F45AA"/>
    <w:rsid w:val="009F598A"/>
    <w:rsid w:val="009F5AC3"/>
    <w:rsid w:val="009F60C9"/>
    <w:rsid w:val="00A002FE"/>
    <w:rsid w:val="00A02228"/>
    <w:rsid w:val="00A02AF5"/>
    <w:rsid w:val="00A03C90"/>
    <w:rsid w:val="00A03EDD"/>
    <w:rsid w:val="00A0405A"/>
    <w:rsid w:val="00A06703"/>
    <w:rsid w:val="00A071FC"/>
    <w:rsid w:val="00A072D3"/>
    <w:rsid w:val="00A07548"/>
    <w:rsid w:val="00A07966"/>
    <w:rsid w:val="00A07A8C"/>
    <w:rsid w:val="00A11799"/>
    <w:rsid w:val="00A11FFD"/>
    <w:rsid w:val="00A12C8D"/>
    <w:rsid w:val="00A13505"/>
    <w:rsid w:val="00A148A6"/>
    <w:rsid w:val="00A14CD9"/>
    <w:rsid w:val="00A163A6"/>
    <w:rsid w:val="00A21EAF"/>
    <w:rsid w:val="00A2223B"/>
    <w:rsid w:val="00A223F7"/>
    <w:rsid w:val="00A252F0"/>
    <w:rsid w:val="00A264A9"/>
    <w:rsid w:val="00A268F2"/>
    <w:rsid w:val="00A26C90"/>
    <w:rsid w:val="00A34CF4"/>
    <w:rsid w:val="00A3561D"/>
    <w:rsid w:val="00A35BC5"/>
    <w:rsid w:val="00A363C7"/>
    <w:rsid w:val="00A40F3E"/>
    <w:rsid w:val="00A4235B"/>
    <w:rsid w:val="00A425E9"/>
    <w:rsid w:val="00A430A4"/>
    <w:rsid w:val="00A440E2"/>
    <w:rsid w:val="00A44702"/>
    <w:rsid w:val="00A45815"/>
    <w:rsid w:val="00A459AA"/>
    <w:rsid w:val="00A46099"/>
    <w:rsid w:val="00A51052"/>
    <w:rsid w:val="00A5132F"/>
    <w:rsid w:val="00A5241A"/>
    <w:rsid w:val="00A52E40"/>
    <w:rsid w:val="00A536EF"/>
    <w:rsid w:val="00A53848"/>
    <w:rsid w:val="00A53C66"/>
    <w:rsid w:val="00A54C15"/>
    <w:rsid w:val="00A551E5"/>
    <w:rsid w:val="00A55790"/>
    <w:rsid w:val="00A55CB3"/>
    <w:rsid w:val="00A57696"/>
    <w:rsid w:val="00A60795"/>
    <w:rsid w:val="00A60AF2"/>
    <w:rsid w:val="00A62455"/>
    <w:rsid w:val="00A63263"/>
    <w:rsid w:val="00A64878"/>
    <w:rsid w:val="00A64F8F"/>
    <w:rsid w:val="00A6552B"/>
    <w:rsid w:val="00A66E59"/>
    <w:rsid w:val="00A67A1C"/>
    <w:rsid w:val="00A711EB"/>
    <w:rsid w:val="00A71330"/>
    <w:rsid w:val="00A71D59"/>
    <w:rsid w:val="00A71F58"/>
    <w:rsid w:val="00A77740"/>
    <w:rsid w:val="00A8009D"/>
    <w:rsid w:val="00A8016E"/>
    <w:rsid w:val="00A80AAB"/>
    <w:rsid w:val="00A818A9"/>
    <w:rsid w:val="00A82C4D"/>
    <w:rsid w:val="00A84363"/>
    <w:rsid w:val="00A86804"/>
    <w:rsid w:val="00A86DA4"/>
    <w:rsid w:val="00A9070D"/>
    <w:rsid w:val="00A90C1C"/>
    <w:rsid w:val="00A90E13"/>
    <w:rsid w:val="00A92667"/>
    <w:rsid w:val="00A92A1A"/>
    <w:rsid w:val="00A936E7"/>
    <w:rsid w:val="00A9562A"/>
    <w:rsid w:val="00A97408"/>
    <w:rsid w:val="00A97998"/>
    <w:rsid w:val="00A979D9"/>
    <w:rsid w:val="00AA0286"/>
    <w:rsid w:val="00AA0FDA"/>
    <w:rsid w:val="00AA2CF3"/>
    <w:rsid w:val="00AA3118"/>
    <w:rsid w:val="00AA3926"/>
    <w:rsid w:val="00AA4103"/>
    <w:rsid w:val="00AA6053"/>
    <w:rsid w:val="00AA6B88"/>
    <w:rsid w:val="00AA772B"/>
    <w:rsid w:val="00AA7D92"/>
    <w:rsid w:val="00AB0F96"/>
    <w:rsid w:val="00AB1AAB"/>
    <w:rsid w:val="00AB1AB2"/>
    <w:rsid w:val="00AB1C32"/>
    <w:rsid w:val="00AB26B5"/>
    <w:rsid w:val="00AB472B"/>
    <w:rsid w:val="00AB69B4"/>
    <w:rsid w:val="00AC04F7"/>
    <w:rsid w:val="00AC0593"/>
    <w:rsid w:val="00AC0B2F"/>
    <w:rsid w:val="00AC1DB1"/>
    <w:rsid w:val="00AC35E3"/>
    <w:rsid w:val="00AC6628"/>
    <w:rsid w:val="00AC77DC"/>
    <w:rsid w:val="00AC7CD8"/>
    <w:rsid w:val="00AD0B92"/>
    <w:rsid w:val="00AD4123"/>
    <w:rsid w:val="00AD760B"/>
    <w:rsid w:val="00AE0449"/>
    <w:rsid w:val="00AE15EA"/>
    <w:rsid w:val="00AE1773"/>
    <w:rsid w:val="00AE204B"/>
    <w:rsid w:val="00AE2054"/>
    <w:rsid w:val="00AE2ECF"/>
    <w:rsid w:val="00AE4505"/>
    <w:rsid w:val="00AE5C1F"/>
    <w:rsid w:val="00AE602E"/>
    <w:rsid w:val="00AE73F1"/>
    <w:rsid w:val="00AF0309"/>
    <w:rsid w:val="00AF0331"/>
    <w:rsid w:val="00AF06D9"/>
    <w:rsid w:val="00AF3DA6"/>
    <w:rsid w:val="00AF3F1E"/>
    <w:rsid w:val="00AF4C34"/>
    <w:rsid w:val="00AF5C39"/>
    <w:rsid w:val="00AF71CD"/>
    <w:rsid w:val="00B012DE"/>
    <w:rsid w:val="00B01C48"/>
    <w:rsid w:val="00B02A8C"/>
    <w:rsid w:val="00B03A0F"/>
    <w:rsid w:val="00B05458"/>
    <w:rsid w:val="00B05BF8"/>
    <w:rsid w:val="00B07152"/>
    <w:rsid w:val="00B07EB1"/>
    <w:rsid w:val="00B11A51"/>
    <w:rsid w:val="00B1328E"/>
    <w:rsid w:val="00B135B2"/>
    <w:rsid w:val="00B13707"/>
    <w:rsid w:val="00B13CB8"/>
    <w:rsid w:val="00B13CD0"/>
    <w:rsid w:val="00B16EA9"/>
    <w:rsid w:val="00B17AD9"/>
    <w:rsid w:val="00B17BB1"/>
    <w:rsid w:val="00B208E4"/>
    <w:rsid w:val="00B2233E"/>
    <w:rsid w:val="00B24A31"/>
    <w:rsid w:val="00B25107"/>
    <w:rsid w:val="00B272DF"/>
    <w:rsid w:val="00B31309"/>
    <w:rsid w:val="00B31F0E"/>
    <w:rsid w:val="00B31F81"/>
    <w:rsid w:val="00B322C1"/>
    <w:rsid w:val="00B3236A"/>
    <w:rsid w:val="00B32A76"/>
    <w:rsid w:val="00B32C88"/>
    <w:rsid w:val="00B331B2"/>
    <w:rsid w:val="00B33C9F"/>
    <w:rsid w:val="00B34903"/>
    <w:rsid w:val="00B34F5F"/>
    <w:rsid w:val="00B35321"/>
    <w:rsid w:val="00B372DC"/>
    <w:rsid w:val="00B37B78"/>
    <w:rsid w:val="00B37FB0"/>
    <w:rsid w:val="00B40B33"/>
    <w:rsid w:val="00B419D1"/>
    <w:rsid w:val="00B4237D"/>
    <w:rsid w:val="00B42656"/>
    <w:rsid w:val="00B443B4"/>
    <w:rsid w:val="00B443F8"/>
    <w:rsid w:val="00B451B0"/>
    <w:rsid w:val="00B45601"/>
    <w:rsid w:val="00B45888"/>
    <w:rsid w:val="00B45B15"/>
    <w:rsid w:val="00B51D96"/>
    <w:rsid w:val="00B520AB"/>
    <w:rsid w:val="00B53BD7"/>
    <w:rsid w:val="00B55825"/>
    <w:rsid w:val="00B558D2"/>
    <w:rsid w:val="00B56096"/>
    <w:rsid w:val="00B5727A"/>
    <w:rsid w:val="00B65BC2"/>
    <w:rsid w:val="00B6637D"/>
    <w:rsid w:val="00B666EF"/>
    <w:rsid w:val="00B66F8E"/>
    <w:rsid w:val="00B671A0"/>
    <w:rsid w:val="00B672E6"/>
    <w:rsid w:val="00B672EC"/>
    <w:rsid w:val="00B701CA"/>
    <w:rsid w:val="00B7176B"/>
    <w:rsid w:val="00B728F9"/>
    <w:rsid w:val="00B729D1"/>
    <w:rsid w:val="00B73295"/>
    <w:rsid w:val="00B733C4"/>
    <w:rsid w:val="00B807F7"/>
    <w:rsid w:val="00B8141F"/>
    <w:rsid w:val="00B81789"/>
    <w:rsid w:val="00B81C25"/>
    <w:rsid w:val="00B82049"/>
    <w:rsid w:val="00B821F5"/>
    <w:rsid w:val="00B84566"/>
    <w:rsid w:val="00B8466A"/>
    <w:rsid w:val="00B85D52"/>
    <w:rsid w:val="00B86890"/>
    <w:rsid w:val="00B91501"/>
    <w:rsid w:val="00B91DF1"/>
    <w:rsid w:val="00B9236E"/>
    <w:rsid w:val="00B95479"/>
    <w:rsid w:val="00B95E29"/>
    <w:rsid w:val="00BA12AE"/>
    <w:rsid w:val="00BA1CC4"/>
    <w:rsid w:val="00BA33E7"/>
    <w:rsid w:val="00BA43A4"/>
    <w:rsid w:val="00BA47AA"/>
    <w:rsid w:val="00BA48C0"/>
    <w:rsid w:val="00BA4E83"/>
    <w:rsid w:val="00BA5BF7"/>
    <w:rsid w:val="00BB1B3F"/>
    <w:rsid w:val="00BB21E1"/>
    <w:rsid w:val="00BB355D"/>
    <w:rsid w:val="00BB52E5"/>
    <w:rsid w:val="00BB7013"/>
    <w:rsid w:val="00BB7A3A"/>
    <w:rsid w:val="00BC0FFC"/>
    <w:rsid w:val="00BC5201"/>
    <w:rsid w:val="00BC5D73"/>
    <w:rsid w:val="00BC6742"/>
    <w:rsid w:val="00BC74D7"/>
    <w:rsid w:val="00BC78CE"/>
    <w:rsid w:val="00BD03F2"/>
    <w:rsid w:val="00BD0EA1"/>
    <w:rsid w:val="00BD11D6"/>
    <w:rsid w:val="00BD1BDB"/>
    <w:rsid w:val="00BD5A2E"/>
    <w:rsid w:val="00BD751A"/>
    <w:rsid w:val="00BD7D56"/>
    <w:rsid w:val="00BE20B2"/>
    <w:rsid w:val="00BE2BDB"/>
    <w:rsid w:val="00BE4C81"/>
    <w:rsid w:val="00BE4FFC"/>
    <w:rsid w:val="00BE5E79"/>
    <w:rsid w:val="00BF1002"/>
    <w:rsid w:val="00BF1387"/>
    <w:rsid w:val="00BF17D0"/>
    <w:rsid w:val="00BF27F1"/>
    <w:rsid w:val="00BF2886"/>
    <w:rsid w:val="00BF3297"/>
    <w:rsid w:val="00BF3B42"/>
    <w:rsid w:val="00BF402E"/>
    <w:rsid w:val="00BF45BA"/>
    <w:rsid w:val="00BF4D1A"/>
    <w:rsid w:val="00BF71AA"/>
    <w:rsid w:val="00BF7BBF"/>
    <w:rsid w:val="00C00E8D"/>
    <w:rsid w:val="00C00FD2"/>
    <w:rsid w:val="00C01AD0"/>
    <w:rsid w:val="00C024BA"/>
    <w:rsid w:val="00C030CD"/>
    <w:rsid w:val="00C0439B"/>
    <w:rsid w:val="00C04640"/>
    <w:rsid w:val="00C0504F"/>
    <w:rsid w:val="00C051B4"/>
    <w:rsid w:val="00C06329"/>
    <w:rsid w:val="00C0765F"/>
    <w:rsid w:val="00C07C56"/>
    <w:rsid w:val="00C137F2"/>
    <w:rsid w:val="00C1421A"/>
    <w:rsid w:val="00C15C04"/>
    <w:rsid w:val="00C16980"/>
    <w:rsid w:val="00C2393C"/>
    <w:rsid w:val="00C23D41"/>
    <w:rsid w:val="00C24346"/>
    <w:rsid w:val="00C24668"/>
    <w:rsid w:val="00C258AC"/>
    <w:rsid w:val="00C26EE1"/>
    <w:rsid w:val="00C2725A"/>
    <w:rsid w:val="00C27942"/>
    <w:rsid w:val="00C326FE"/>
    <w:rsid w:val="00C337B7"/>
    <w:rsid w:val="00C3515D"/>
    <w:rsid w:val="00C352E4"/>
    <w:rsid w:val="00C3670B"/>
    <w:rsid w:val="00C36B4C"/>
    <w:rsid w:val="00C36D88"/>
    <w:rsid w:val="00C371AE"/>
    <w:rsid w:val="00C37976"/>
    <w:rsid w:val="00C37B06"/>
    <w:rsid w:val="00C450E7"/>
    <w:rsid w:val="00C45C58"/>
    <w:rsid w:val="00C463C8"/>
    <w:rsid w:val="00C465F5"/>
    <w:rsid w:val="00C46786"/>
    <w:rsid w:val="00C4698B"/>
    <w:rsid w:val="00C46D4E"/>
    <w:rsid w:val="00C47204"/>
    <w:rsid w:val="00C4744E"/>
    <w:rsid w:val="00C55371"/>
    <w:rsid w:val="00C553EC"/>
    <w:rsid w:val="00C555A4"/>
    <w:rsid w:val="00C55AB7"/>
    <w:rsid w:val="00C55ACC"/>
    <w:rsid w:val="00C55EA0"/>
    <w:rsid w:val="00C56D5C"/>
    <w:rsid w:val="00C6143B"/>
    <w:rsid w:val="00C62B86"/>
    <w:rsid w:val="00C637D6"/>
    <w:rsid w:val="00C64582"/>
    <w:rsid w:val="00C6657F"/>
    <w:rsid w:val="00C67013"/>
    <w:rsid w:val="00C67308"/>
    <w:rsid w:val="00C67560"/>
    <w:rsid w:val="00C720A2"/>
    <w:rsid w:val="00C7230E"/>
    <w:rsid w:val="00C72A5F"/>
    <w:rsid w:val="00C73869"/>
    <w:rsid w:val="00C73B5E"/>
    <w:rsid w:val="00C75FD0"/>
    <w:rsid w:val="00C76C8E"/>
    <w:rsid w:val="00C83E43"/>
    <w:rsid w:val="00C83E83"/>
    <w:rsid w:val="00C8474B"/>
    <w:rsid w:val="00C8488C"/>
    <w:rsid w:val="00C853FC"/>
    <w:rsid w:val="00C86054"/>
    <w:rsid w:val="00C86D80"/>
    <w:rsid w:val="00C90170"/>
    <w:rsid w:val="00C91ACA"/>
    <w:rsid w:val="00C92DA9"/>
    <w:rsid w:val="00C94926"/>
    <w:rsid w:val="00CA0D71"/>
    <w:rsid w:val="00CA1029"/>
    <w:rsid w:val="00CA262C"/>
    <w:rsid w:val="00CA4D64"/>
    <w:rsid w:val="00CA6017"/>
    <w:rsid w:val="00CB0677"/>
    <w:rsid w:val="00CB0EA6"/>
    <w:rsid w:val="00CB1696"/>
    <w:rsid w:val="00CB36D6"/>
    <w:rsid w:val="00CB3AFA"/>
    <w:rsid w:val="00CB46D6"/>
    <w:rsid w:val="00CB680C"/>
    <w:rsid w:val="00CB7B28"/>
    <w:rsid w:val="00CC0F1C"/>
    <w:rsid w:val="00CC353A"/>
    <w:rsid w:val="00CC3889"/>
    <w:rsid w:val="00CC3D49"/>
    <w:rsid w:val="00CC4687"/>
    <w:rsid w:val="00CC4B50"/>
    <w:rsid w:val="00CC4C89"/>
    <w:rsid w:val="00CC52B1"/>
    <w:rsid w:val="00CC55ED"/>
    <w:rsid w:val="00CC5AE1"/>
    <w:rsid w:val="00CC74EF"/>
    <w:rsid w:val="00CD0B61"/>
    <w:rsid w:val="00CD166B"/>
    <w:rsid w:val="00CD214D"/>
    <w:rsid w:val="00CD4977"/>
    <w:rsid w:val="00CD4D29"/>
    <w:rsid w:val="00CD5427"/>
    <w:rsid w:val="00CD79BD"/>
    <w:rsid w:val="00CD7E96"/>
    <w:rsid w:val="00CE085C"/>
    <w:rsid w:val="00CE143E"/>
    <w:rsid w:val="00CE2547"/>
    <w:rsid w:val="00CE48BF"/>
    <w:rsid w:val="00CE5BA4"/>
    <w:rsid w:val="00CE72A3"/>
    <w:rsid w:val="00CE7C4A"/>
    <w:rsid w:val="00CF04BB"/>
    <w:rsid w:val="00CF0708"/>
    <w:rsid w:val="00CF12F5"/>
    <w:rsid w:val="00CF14DA"/>
    <w:rsid w:val="00CF1AAC"/>
    <w:rsid w:val="00CF1FA9"/>
    <w:rsid w:val="00CF27B5"/>
    <w:rsid w:val="00CF31B8"/>
    <w:rsid w:val="00CF3464"/>
    <w:rsid w:val="00CF3D52"/>
    <w:rsid w:val="00CF4653"/>
    <w:rsid w:val="00CF492A"/>
    <w:rsid w:val="00CF6248"/>
    <w:rsid w:val="00CF6EAD"/>
    <w:rsid w:val="00CF703D"/>
    <w:rsid w:val="00CF7B58"/>
    <w:rsid w:val="00D00474"/>
    <w:rsid w:val="00D008C0"/>
    <w:rsid w:val="00D011DA"/>
    <w:rsid w:val="00D06832"/>
    <w:rsid w:val="00D06931"/>
    <w:rsid w:val="00D07C3A"/>
    <w:rsid w:val="00D11006"/>
    <w:rsid w:val="00D12CAF"/>
    <w:rsid w:val="00D12E10"/>
    <w:rsid w:val="00D12FCA"/>
    <w:rsid w:val="00D13280"/>
    <w:rsid w:val="00D15DCE"/>
    <w:rsid w:val="00D2196F"/>
    <w:rsid w:val="00D2261A"/>
    <w:rsid w:val="00D23188"/>
    <w:rsid w:val="00D23274"/>
    <w:rsid w:val="00D24F4E"/>
    <w:rsid w:val="00D25C62"/>
    <w:rsid w:val="00D2606C"/>
    <w:rsid w:val="00D260FE"/>
    <w:rsid w:val="00D31DC1"/>
    <w:rsid w:val="00D3230E"/>
    <w:rsid w:val="00D33827"/>
    <w:rsid w:val="00D33DB6"/>
    <w:rsid w:val="00D34383"/>
    <w:rsid w:val="00D35FD3"/>
    <w:rsid w:val="00D424B8"/>
    <w:rsid w:val="00D43B88"/>
    <w:rsid w:val="00D43D4D"/>
    <w:rsid w:val="00D46065"/>
    <w:rsid w:val="00D54FC5"/>
    <w:rsid w:val="00D551D8"/>
    <w:rsid w:val="00D577A6"/>
    <w:rsid w:val="00D57E7B"/>
    <w:rsid w:val="00D6031B"/>
    <w:rsid w:val="00D61415"/>
    <w:rsid w:val="00D6169A"/>
    <w:rsid w:val="00D616C1"/>
    <w:rsid w:val="00D6320F"/>
    <w:rsid w:val="00D65355"/>
    <w:rsid w:val="00D653A4"/>
    <w:rsid w:val="00D65F9B"/>
    <w:rsid w:val="00D73247"/>
    <w:rsid w:val="00D74671"/>
    <w:rsid w:val="00D747AE"/>
    <w:rsid w:val="00D76709"/>
    <w:rsid w:val="00D7690F"/>
    <w:rsid w:val="00D8305A"/>
    <w:rsid w:val="00D83358"/>
    <w:rsid w:val="00D8458A"/>
    <w:rsid w:val="00D85E94"/>
    <w:rsid w:val="00D872E5"/>
    <w:rsid w:val="00D873D6"/>
    <w:rsid w:val="00D87A4B"/>
    <w:rsid w:val="00D87A82"/>
    <w:rsid w:val="00D87B1B"/>
    <w:rsid w:val="00D87DED"/>
    <w:rsid w:val="00D87FCA"/>
    <w:rsid w:val="00D902A8"/>
    <w:rsid w:val="00D93409"/>
    <w:rsid w:val="00D94293"/>
    <w:rsid w:val="00D9463C"/>
    <w:rsid w:val="00D94BC3"/>
    <w:rsid w:val="00D9515A"/>
    <w:rsid w:val="00D957F8"/>
    <w:rsid w:val="00D974E0"/>
    <w:rsid w:val="00DA0CA2"/>
    <w:rsid w:val="00DA1C99"/>
    <w:rsid w:val="00DA30D4"/>
    <w:rsid w:val="00DA3B07"/>
    <w:rsid w:val="00DA3F0B"/>
    <w:rsid w:val="00DA44A4"/>
    <w:rsid w:val="00DA4783"/>
    <w:rsid w:val="00DA4AE5"/>
    <w:rsid w:val="00DA5924"/>
    <w:rsid w:val="00DA5A23"/>
    <w:rsid w:val="00DA60E1"/>
    <w:rsid w:val="00DA65F2"/>
    <w:rsid w:val="00DA6882"/>
    <w:rsid w:val="00DB1959"/>
    <w:rsid w:val="00DB1E0C"/>
    <w:rsid w:val="00DB3092"/>
    <w:rsid w:val="00DB3474"/>
    <w:rsid w:val="00DB61DC"/>
    <w:rsid w:val="00DB682A"/>
    <w:rsid w:val="00DB6E16"/>
    <w:rsid w:val="00DC010C"/>
    <w:rsid w:val="00DC1B6F"/>
    <w:rsid w:val="00DC1E27"/>
    <w:rsid w:val="00DC3263"/>
    <w:rsid w:val="00DC49AD"/>
    <w:rsid w:val="00DC5888"/>
    <w:rsid w:val="00DC590F"/>
    <w:rsid w:val="00DD0E3F"/>
    <w:rsid w:val="00DD12DA"/>
    <w:rsid w:val="00DD1593"/>
    <w:rsid w:val="00DD1FB1"/>
    <w:rsid w:val="00DD327D"/>
    <w:rsid w:val="00DD3932"/>
    <w:rsid w:val="00DD4A57"/>
    <w:rsid w:val="00DD4D01"/>
    <w:rsid w:val="00DD7985"/>
    <w:rsid w:val="00DD7CAD"/>
    <w:rsid w:val="00DE030C"/>
    <w:rsid w:val="00DE45AA"/>
    <w:rsid w:val="00DE4901"/>
    <w:rsid w:val="00DE5AD4"/>
    <w:rsid w:val="00DE5B26"/>
    <w:rsid w:val="00DE5E14"/>
    <w:rsid w:val="00DE78D0"/>
    <w:rsid w:val="00DF03C2"/>
    <w:rsid w:val="00DF12BE"/>
    <w:rsid w:val="00DF2A97"/>
    <w:rsid w:val="00DF2DBE"/>
    <w:rsid w:val="00E01C29"/>
    <w:rsid w:val="00E01FE3"/>
    <w:rsid w:val="00E02588"/>
    <w:rsid w:val="00E034E2"/>
    <w:rsid w:val="00E03DC6"/>
    <w:rsid w:val="00E03E6D"/>
    <w:rsid w:val="00E0438B"/>
    <w:rsid w:val="00E07B01"/>
    <w:rsid w:val="00E10370"/>
    <w:rsid w:val="00E11058"/>
    <w:rsid w:val="00E1164E"/>
    <w:rsid w:val="00E12721"/>
    <w:rsid w:val="00E12E28"/>
    <w:rsid w:val="00E140D0"/>
    <w:rsid w:val="00E14238"/>
    <w:rsid w:val="00E14B75"/>
    <w:rsid w:val="00E15D14"/>
    <w:rsid w:val="00E20F2B"/>
    <w:rsid w:val="00E2195D"/>
    <w:rsid w:val="00E227FF"/>
    <w:rsid w:val="00E23C8C"/>
    <w:rsid w:val="00E24CFC"/>
    <w:rsid w:val="00E26969"/>
    <w:rsid w:val="00E269BA"/>
    <w:rsid w:val="00E26E8D"/>
    <w:rsid w:val="00E303FF"/>
    <w:rsid w:val="00E335AA"/>
    <w:rsid w:val="00E33E4D"/>
    <w:rsid w:val="00E3427C"/>
    <w:rsid w:val="00E34833"/>
    <w:rsid w:val="00E3578B"/>
    <w:rsid w:val="00E37FE1"/>
    <w:rsid w:val="00E40D53"/>
    <w:rsid w:val="00E41875"/>
    <w:rsid w:val="00E41D23"/>
    <w:rsid w:val="00E455E0"/>
    <w:rsid w:val="00E47843"/>
    <w:rsid w:val="00E53369"/>
    <w:rsid w:val="00E53ED9"/>
    <w:rsid w:val="00E575B1"/>
    <w:rsid w:val="00E578C5"/>
    <w:rsid w:val="00E57A7E"/>
    <w:rsid w:val="00E57EB6"/>
    <w:rsid w:val="00E60CAD"/>
    <w:rsid w:val="00E60FB2"/>
    <w:rsid w:val="00E610D4"/>
    <w:rsid w:val="00E6154E"/>
    <w:rsid w:val="00E66052"/>
    <w:rsid w:val="00E66DC8"/>
    <w:rsid w:val="00E67265"/>
    <w:rsid w:val="00E67745"/>
    <w:rsid w:val="00E70592"/>
    <w:rsid w:val="00E70BF4"/>
    <w:rsid w:val="00E716E0"/>
    <w:rsid w:val="00E718EB"/>
    <w:rsid w:val="00E71BED"/>
    <w:rsid w:val="00E71FE6"/>
    <w:rsid w:val="00E741D3"/>
    <w:rsid w:val="00E753DF"/>
    <w:rsid w:val="00E76785"/>
    <w:rsid w:val="00E77325"/>
    <w:rsid w:val="00E81B33"/>
    <w:rsid w:val="00E81D71"/>
    <w:rsid w:val="00E839EF"/>
    <w:rsid w:val="00E85C37"/>
    <w:rsid w:val="00E86DBB"/>
    <w:rsid w:val="00E874C8"/>
    <w:rsid w:val="00E902A9"/>
    <w:rsid w:val="00E90FE0"/>
    <w:rsid w:val="00E91E13"/>
    <w:rsid w:val="00E91F83"/>
    <w:rsid w:val="00E92A1C"/>
    <w:rsid w:val="00E92C60"/>
    <w:rsid w:val="00E92E37"/>
    <w:rsid w:val="00E940DA"/>
    <w:rsid w:val="00E942E1"/>
    <w:rsid w:val="00E94513"/>
    <w:rsid w:val="00E966A1"/>
    <w:rsid w:val="00E96AAF"/>
    <w:rsid w:val="00E976C4"/>
    <w:rsid w:val="00EA3BA2"/>
    <w:rsid w:val="00EA48B8"/>
    <w:rsid w:val="00EA66B5"/>
    <w:rsid w:val="00EA6EC8"/>
    <w:rsid w:val="00EB01B6"/>
    <w:rsid w:val="00EB16C5"/>
    <w:rsid w:val="00EB1F35"/>
    <w:rsid w:val="00EB26BC"/>
    <w:rsid w:val="00EB39C5"/>
    <w:rsid w:val="00EB45C3"/>
    <w:rsid w:val="00EB47D5"/>
    <w:rsid w:val="00EB518F"/>
    <w:rsid w:val="00EB6C44"/>
    <w:rsid w:val="00EB71D6"/>
    <w:rsid w:val="00EB773D"/>
    <w:rsid w:val="00EB7971"/>
    <w:rsid w:val="00EC07CF"/>
    <w:rsid w:val="00EC0C29"/>
    <w:rsid w:val="00EC0CB6"/>
    <w:rsid w:val="00EC0FB5"/>
    <w:rsid w:val="00EC29FA"/>
    <w:rsid w:val="00EC2FAA"/>
    <w:rsid w:val="00EC3647"/>
    <w:rsid w:val="00EC36BA"/>
    <w:rsid w:val="00EC3ACA"/>
    <w:rsid w:val="00EC4BB5"/>
    <w:rsid w:val="00EC6AE3"/>
    <w:rsid w:val="00EC6E7D"/>
    <w:rsid w:val="00EC7A3B"/>
    <w:rsid w:val="00EC7A55"/>
    <w:rsid w:val="00ED080B"/>
    <w:rsid w:val="00ED0E03"/>
    <w:rsid w:val="00ED1A6D"/>
    <w:rsid w:val="00ED1F37"/>
    <w:rsid w:val="00ED2670"/>
    <w:rsid w:val="00ED3B82"/>
    <w:rsid w:val="00ED3E72"/>
    <w:rsid w:val="00ED4B6D"/>
    <w:rsid w:val="00ED6893"/>
    <w:rsid w:val="00ED6E80"/>
    <w:rsid w:val="00EE172E"/>
    <w:rsid w:val="00EE2DE2"/>
    <w:rsid w:val="00EE3A04"/>
    <w:rsid w:val="00EE3ECB"/>
    <w:rsid w:val="00EE4ED5"/>
    <w:rsid w:val="00EE564B"/>
    <w:rsid w:val="00EE57F5"/>
    <w:rsid w:val="00EE79D6"/>
    <w:rsid w:val="00EF0694"/>
    <w:rsid w:val="00EF0D03"/>
    <w:rsid w:val="00EF0E84"/>
    <w:rsid w:val="00EF18D1"/>
    <w:rsid w:val="00EF1FF5"/>
    <w:rsid w:val="00EF5154"/>
    <w:rsid w:val="00EF5351"/>
    <w:rsid w:val="00EF6FDB"/>
    <w:rsid w:val="00EF7338"/>
    <w:rsid w:val="00EF7492"/>
    <w:rsid w:val="00F0146F"/>
    <w:rsid w:val="00F0388C"/>
    <w:rsid w:val="00F03D03"/>
    <w:rsid w:val="00F041C4"/>
    <w:rsid w:val="00F04FF1"/>
    <w:rsid w:val="00F06646"/>
    <w:rsid w:val="00F067E4"/>
    <w:rsid w:val="00F0691A"/>
    <w:rsid w:val="00F075C0"/>
    <w:rsid w:val="00F07FF9"/>
    <w:rsid w:val="00F11332"/>
    <w:rsid w:val="00F12271"/>
    <w:rsid w:val="00F12A5A"/>
    <w:rsid w:val="00F12D63"/>
    <w:rsid w:val="00F13D26"/>
    <w:rsid w:val="00F15242"/>
    <w:rsid w:val="00F1678E"/>
    <w:rsid w:val="00F176DE"/>
    <w:rsid w:val="00F203DB"/>
    <w:rsid w:val="00F22BB4"/>
    <w:rsid w:val="00F2389E"/>
    <w:rsid w:val="00F238DF"/>
    <w:rsid w:val="00F24726"/>
    <w:rsid w:val="00F251C5"/>
    <w:rsid w:val="00F25204"/>
    <w:rsid w:val="00F25935"/>
    <w:rsid w:val="00F25BBB"/>
    <w:rsid w:val="00F306C7"/>
    <w:rsid w:val="00F30C8C"/>
    <w:rsid w:val="00F32EE8"/>
    <w:rsid w:val="00F32F05"/>
    <w:rsid w:val="00F3376C"/>
    <w:rsid w:val="00F33DDF"/>
    <w:rsid w:val="00F347FE"/>
    <w:rsid w:val="00F353DB"/>
    <w:rsid w:val="00F35CD4"/>
    <w:rsid w:val="00F37004"/>
    <w:rsid w:val="00F3701B"/>
    <w:rsid w:val="00F3707F"/>
    <w:rsid w:val="00F374A1"/>
    <w:rsid w:val="00F37D10"/>
    <w:rsid w:val="00F40389"/>
    <w:rsid w:val="00F41B8B"/>
    <w:rsid w:val="00F42256"/>
    <w:rsid w:val="00F430BE"/>
    <w:rsid w:val="00F436AA"/>
    <w:rsid w:val="00F43FF6"/>
    <w:rsid w:val="00F44516"/>
    <w:rsid w:val="00F47E7C"/>
    <w:rsid w:val="00F50D17"/>
    <w:rsid w:val="00F51AD2"/>
    <w:rsid w:val="00F54317"/>
    <w:rsid w:val="00F55168"/>
    <w:rsid w:val="00F5571C"/>
    <w:rsid w:val="00F56DCC"/>
    <w:rsid w:val="00F57097"/>
    <w:rsid w:val="00F578E2"/>
    <w:rsid w:val="00F57BAD"/>
    <w:rsid w:val="00F60053"/>
    <w:rsid w:val="00F61CAD"/>
    <w:rsid w:val="00F6265B"/>
    <w:rsid w:val="00F62C8D"/>
    <w:rsid w:val="00F66CC7"/>
    <w:rsid w:val="00F66DD2"/>
    <w:rsid w:val="00F67304"/>
    <w:rsid w:val="00F67C9D"/>
    <w:rsid w:val="00F67CB5"/>
    <w:rsid w:val="00F70820"/>
    <w:rsid w:val="00F715A7"/>
    <w:rsid w:val="00F71F72"/>
    <w:rsid w:val="00F747DD"/>
    <w:rsid w:val="00F74DA1"/>
    <w:rsid w:val="00F75A9B"/>
    <w:rsid w:val="00F75B08"/>
    <w:rsid w:val="00F802DA"/>
    <w:rsid w:val="00F81682"/>
    <w:rsid w:val="00F85E89"/>
    <w:rsid w:val="00F86DB5"/>
    <w:rsid w:val="00F86E3C"/>
    <w:rsid w:val="00F86E7B"/>
    <w:rsid w:val="00F90730"/>
    <w:rsid w:val="00F9117A"/>
    <w:rsid w:val="00F92891"/>
    <w:rsid w:val="00F947FC"/>
    <w:rsid w:val="00F97162"/>
    <w:rsid w:val="00F97DED"/>
    <w:rsid w:val="00FA0615"/>
    <w:rsid w:val="00FA12E2"/>
    <w:rsid w:val="00FA16EF"/>
    <w:rsid w:val="00FA19E4"/>
    <w:rsid w:val="00FA3C61"/>
    <w:rsid w:val="00FA4865"/>
    <w:rsid w:val="00FA5B3E"/>
    <w:rsid w:val="00FB0198"/>
    <w:rsid w:val="00FB0A47"/>
    <w:rsid w:val="00FB0C84"/>
    <w:rsid w:val="00FB1997"/>
    <w:rsid w:val="00FB3025"/>
    <w:rsid w:val="00FB32CE"/>
    <w:rsid w:val="00FB430E"/>
    <w:rsid w:val="00FB56AE"/>
    <w:rsid w:val="00FB5E5B"/>
    <w:rsid w:val="00FB6827"/>
    <w:rsid w:val="00FC04B4"/>
    <w:rsid w:val="00FC0AB5"/>
    <w:rsid w:val="00FC231B"/>
    <w:rsid w:val="00FC2BB6"/>
    <w:rsid w:val="00FC4DF5"/>
    <w:rsid w:val="00FC5AA6"/>
    <w:rsid w:val="00FC610C"/>
    <w:rsid w:val="00FC6823"/>
    <w:rsid w:val="00FC7BCC"/>
    <w:rsid w:val="00FC7FDF"/>
    <w:rsid w:val="00FD0E9F"/>
    <w:rsid w:val="00FD168B"/>
    <w:rsid w:val="00FD1AAE"/>
    <w:rsid w:val="00FD25E2"/>
    <w:rsid w:val="00FD2929"/>
    <w:rsid w:val="00FD2A0F"/>
    <w:rsid w:val="00FD2B53"/>
    <w:rsid w:val="00FD3118"/>
    <w:rsid w:val="00FD4506"/>
    <w:rsid w:val="00FD4590"/>
    <w:rsid w:val="00FD5833"/>
    <w:rsid w:val="00FD796D"/>
    <w:rsid w:val="00FE0A49"/>
    <w:rsid w:val="00FE251C"/>
    <w:rsid w:val="00FE3329"/>
    <w:rsid w:val="00FE4A64"/>
    <w:rsid w:val="00FE7ABA"/>
    <w:rsid w:val="00FE7F76"/>
    <w:rsid w:val="00FF3B80"/>
    <w:rsid w:val="00FF4582"/>
    <w:rsid w:val="00FF5906"/>
    <w:rsid w:val="00FF5F6F"/>
    <w:rsid w:val="00FF6654"/>
    <w:rsid w:val="6E5808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48"/>
    <w:semiHidden/>
    <w:unhideWhenUsed/>
    <w:uiPriority w:val="99"/>
    <w:pPr>
      <w:jc w:val="left"/>
    </w:pPr>
  </w:style>
  <w:style w:type="paragraph" w:styleId="6">
    <w:name w:val="Body Text"/>
    <w:basedOn w:val="1"/>
    <w:link w:val="53"/>
    <w:semiHidden/>
    <w:unhideWhenUsed/>
    <w:uiPriority w:val="99"/>
    <w:pPr>
      <w:spacing w:after="120"/>
    </w:pPr>
  </w:style>
  <w:style w:type="paragraph" w:styleId="7">
    <w:name w:val="Body Text Indent"/>
    <w:basedOn w:val="1"/>
    <w:link w:val="28"/>
    <w:qFormat/>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qFormat/>
    <w:uiPriority w:val="0"/>
    <w:pPr>
      <w:adjustRightInd w:val="0"/>
      <w:spacing w:line="360" w:lineRule="atLeast"/>
      <w:textAlignment w:val="baseline"/>
    </w:pPr>
    <w:rPr>
      <w:sz w:val="32"/>
    </w:rPr>
  </w:style>
  <w:style w:type="paragraph" w:styleId="12">
    <w:name w:val="Body Text Indent 2"/>
    <w:basedOn w:val="1"/>
    <w:link w:val="35"/>
    <w:semiHidden/>
    <w:unhideWhenUsed/>
    <w:qFormat/>
    <w:uiPriority w:val="99"/>
    <w:pPr>
      <w:spacing w:after="120" w:line="480" w:lineRule="auto"/>
      <w:ind w:left="420" w:leftChars="200"/>
    </w:pPr>
  </w:style>
  <w:style w:type="paragraph" w:styleId="13">
    <w:name w:val="Balloon Text"/>
    <w:basedOn w:val="1"/>
    <w:link w:val="50"/>
    <w:semiHidden/>
    <w:unhideWhenUsed/>
    <w:uiPriority w:val="99"/>
    <w:rPr>
      <w:sz w:val="18"/>
      <w:szCs w:val="18"/>
    </w:rPr>
  </w:style>
  <w:style w:type="paragraph" w:styleId="14">
    <w:name w:val="footer"/>
    <w:basedOn w:val="1"/>
    <w:link w:val="32"/>
    <w:unhideWhenUsed/>
    <w:qFormat/>
    <w:uiPriority w:val="99"/>
    <w:pPr>
      <w:tabs>
        <w:tab w:val="center" w:pos="4153"/>
        <w:tab w:val="right" w:pos="8306"/>
      </w:tabs>
      <w:snapToGrid w:val="0"/>
      <w:jc w:val="left"/>
    </w:pPr>
    <w:rPr>
      <w:sz w:val="18"/>
      <w:szCs w:val="18"/>
    </w:rPr>
  </w:style>
  <w:style w:type="paragraph" w:styleId="15">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0"/>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qFormat/>
    <w:uiPriority w:val="99"/>
    <w:pPr>
      <w:spacing w:after="120"/>
      <w:ind w:left="420" w:leftChars="200"/>
    </w:pPr>
    <w:rPr>
      <w:sz w:val="16"/>
      <w:szCs w:val="16"/>
    </w:rPr>
  </w:style>
  <w:style w:type="paragraph" w:styleId="19">
    <w:name w:val="Body Text 2"/>
    <w:basedOn w:val="1"/>
    <w:link w:val="37"/>
    <w:semiHidden/>
    <w:unhideWhenUsed/>
    <w:qFormat/>
    <w:uiPriority w:val="99"/>
    <w:pPr>
      <w:spacing w:after="120" w:line="480" w:lineRule="auto"/>
    </w:pPr>
  </w:style>
  <w:style w:type="paragraph" w:styleId="20">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49"/>
    <w:semiHidden/>
    <w:unhideWhenUsed/>
    <w:uiPriority w:val="99"/>
    <w:rPr>
      <w:b/>
      <w:bCs/>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qFormat/>
    <w:uiPriority w:val="99"/>
    <w:rPr>
      <w:color w:val="0000FF" w:themeColor="hyperlink"/>
      <w:u w:val="single"/>
      <w14:textFill>
        <w14:solidFill>
          <w14:schemeClr w14:val="hlink"/>
        </w14:solidFill>
      </w14:textFill>
    </w:rPr>
  </w:style>
  <w:style w:type="character" w:styleId="27">
    <w:name w:val="annotation reference"/>
    <w:basedOn w:val="24"/>
    <w:semiHidden/>
    <w:unhideWhenUsed/>
    <w:uiPriority w:val="99"/>
    <w:rPr>
      <w:sz w:val="21"/>
      <w:szCs w:val="21"/>
    </w:rPr>
  </w:style>
  <w:style w:type="character" w:customStyle="1" w:styleId="28">
    <w:name w:val="正文文本缩进 Char"/>
    <w:basedOn w:val="24"/>
    <w:link w:val="7"/>
    <w:qFormat/>
    <w:uiPriority w:val="0"/>
    <w:rPr>
      <w:rFonts w:ascii="宋体" w:hAnsi="宋体" w:eastAsia="宋体" w:cs="Times New Roman"/>
      <w:sz w:val="24"/>
      <w:szCs w:val="20"/>
    </w:rPr>
  </w:style>
  <w:style w:type="paragraph" w:customStyle="1" w:styleId="29">
    <w:name w:val="Default"/>
    <w:link w:val="51"/>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0">
    <w:name w:val="副标题 Char"/>
    <w:basedOn w:val="24"/>
    <w:link w:val="16"/>
    <w:qFormat/>
    <w:uiPriority w:val="0"/>
    <w:rPr>
      <w:rFonts w:ascii="Cambria" w:hAnsi="Cambria" w:eastAsia="宋体" w:cs="Times New Roman"/>
      <w:b/>
      <w:bCs/>
      <w:kern w:val="28"/>
      <w:sz w:val="32"/>
      <w:szCs w:val="32"/>
      <w:lang w:val="zh-CN" w:eastAsia="zh-CN"/>
    </w:rPr>
  </w:style>
  <w:style w:type="character" w:customStyle="1" w:styleId="31">
    <w:name w:val="页眉 Char"/>
    <w:basedOn w:val="24"/>
    <w:link w:val="15"/>
    <w:qFormat/>
    <w:uiPriority w:val="99"/>
    <w:rPr>
      <w:rFonts w:ascii="Times New Roman" w:hAnsi="Times New Roman" w:eastAsia="宋体" w:cs="Times New Roman"/>
      <w:sz w:val="18"/>
      <w:szCs w:val="18"/>
    </w:rPr>
  </w:style>
  <w:style w:type="character" w:customStyle="1" w:styleId="32">
    <w:name w:val="页脚 Char"/>
    <w:basedOn w:val="24"/>
    <w:link w:val="14"/>
    <w:qFormat/>
    <w:uiPriority w:val="99"/>
    <w:rPr>
      <w:rFonts w:ascii="Times New Roman" w:hAnsi="Times New Roman" w:eastAsia="宋体" w:cs="Times New Roman"/>
      <w:sz w:val="18"/>
      <w:szCs w:val="18"/>
    </w:rPr>
  </w:style>
  <w:style w:type="character" w:customStyle="1" w:styleId="33">
    <w:name w:val="日期 Char"/>
    <w:basedOn w:val="24"/>
    <w:link w:val="11"/>
    <w:qFormat/>
    <w:uiPriority w:val="0"/>
    <w:rPr>
      <w:rFonts w:ascii="Times New Roman" w:hAnsi="Times New Roman" w:eastAsia="宋体" w:cs="Times New Roman"/>
      <w:sz w:val="32"/>
      <w:szCs w:val="20"/>
    </w:rPr>
  </w:style>
  <w:style w:type="paragraph" w:styleId="34">
    <w:name w:val="List Paragraph"/>
    <w:basedOn w:val="1"/>
    <w:link w:val="52"/>
    <w:qFormat/>
    <w:uiPriority w:val="34"/>
    <w:pPr>
      <w:ind w:firstLine="420" w:firstLineChars="200"/>
    </w:pPr>
  </w:style>
  <w:style w:type="character" w:customStyle="1" w:styleId="35">
    <w:name w:val="正文文本缩进 2 Char"/>
    <w:basedOn w:val="24"/>
    <w:link w:val="12"/>
    <w:semiHidden/>
    <w:qFormat/>
    <w:uiPriority w:val="99"/>
    <w:rPr>
      <w:rFonts w:ascii="Times New Roman" w:hAnsi="Times New Roman" w:eastAsia="宋体" w:cs="Times New Roman"/>
      <w:szCs w:val="20"/>
    </w:rPr>
  </w:style>
  <w:style w:type="character" w:customStyle="1" w:styleId="36">
    <w:name w:val="标题 3 Char"/>
    <w:basedOn w:val="24"/>
    <w:link w:val="2"/>
    <w:qFormat/>
    <w:uiPriority w:val="0"/>
    <w:rPr>
      <w:rFonts w:ascii="Times New Roman" w:hAnsi="Times New Roman" w:eastAsia="宋体" w:cs="Times New Roman"/>
      <w:b/>
      <w:bCs/>
      <w:sz w:val="32"/>
      <w:szCs w:val="32"/>
    </w:rPr>
  </w:style>
  <w:style w:type="character" w:customStyle="1" w:styleId="37">
    <w:name w:val="正文文本 2 Char"/>
    <w:basedOn w:val="24"/>
    <w:link w:val="19"/>
    <w:semiHidden/>
    <w:qFormat/>
    <w:uiPriority w:val="99"/>
    <w:rPr>
      <w:rFonts w:ascii="Times New Roman" w:hAnsi="Times New Roman" w:eastAsia="宋体" w:cs="Times New Roman"/>
      <w:szCs w:val="20"/>
    </w:rPr>
  </w:style>
  <w:style w:type="paragraph" w:customStyle="1" w:styleId="38">
    <w:name w:val="Char"/>
    <w:basedOn w:val="1"/>
    <w:qFormat/>
    <w:uiPriority w:val="0"/>
    <w:pPr>
      <w:tabs>
        <w:tab w:val="left" w:pos="360"/>
      </w:tabs>
    </w:pPr>
    <w:rPr>
      <w:sz w:val="24"/>
      <w:szCs w:val="24"/>
    </w:rPr>
  </w:style>
  <w:style w:type="character" w:customStyle="1" w:styleId="39">
    <w:name w:val="纯文本 Char"/>
    <w:basedOn w:val="24"/>
    <w:semiHidden/>
    <w:qFormat/>
    <w:uiPriority w:val="99"/>
    <w:rPr>
      <w:rFonts w:ascii="宋体" w:hAnsi="Courier New" w:eastAsia="宋体" w:cs="Courier New"/>
      <w:szCs w:val="21"/>
    </w:rPr>
  </w:style>
  <w:style w:type="character" w:customStyle="1" w:styleId="40">
    <w:name w:val="纯文本 Char1"/>
    <w:link w:val="9"/>
    <w:qFormat/>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qFormat/>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2"/>
    <w:basedOn w:val="1"/>
    <w:uiPriority w:val="0"/>
    <w:pPr>
      <w:tabs>
        <w:tab w:val="left" w:pos="360"/>
      </w:tabs>
    </w:pPr>
    <w:rPr>
      <w:sz w:val="24"/>
      <w:szCs w:val="24"/>
    </w:rPr>
  </w:style>
  <w:style w:type="paragraph" w:customStyle="1" w:styleId="47">
    <w:name w:val="列出段落1"/>
    <w:basedOn w:val="1"/>
    <w:semiHidden/>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批注文字 Char"/>
    <w:basedOn w:val="24"/>
    <w:link w:val="5"/>
    <w:semiHidden/>
    <w:uiPriority w:val="99"/>
    <w:rPr>
      <w:rFonts w:ascii="Times New Roman" w:hAnsi="Times New Roman" w:eastAsia="宋体" w:cs="Times New Roman"/>
      <w:szCs w:val="20"/>
    </w:rPr>
  </w:style>
  <w:style w:type="character" w:customStyle="1" w:styleId="49">
    <w:name w:val="批注主题 Char"/>
    <w:basedOn w:val="48"/>
    <w:link w:val="21"/>
    <w:semiHidden/>
    <w:uiPriority w:val="99"/>
    <w:rPr>
      <w:rFonts w:ascii="Times New Roman" w:hAnsi="Times New Roman" w:eastAsia="宋体" w:cs="Times New Roman"/>
      <w:b/>
      <w:bCs/>
      <w:szCs w:val="20"/>
    </w:rPr>
  </w:style>
  <w:style w:type="character" w:customStyle="1" w:styleId="50">
    <w:name w:val="批注框文本 Char"/>
    <w:basedOn w:val="24"/>
    <w:link w:val="13"/>
    <w:semiHidden/>
    <w:uiPriority w:val="99"/>
    <w:rPr>
      <w:rFonts w:ascii="Times New Roman" w:hAnsi="Times New Roman" w:eastAsia="宋体" w:cs="Times New Roman"/>
      <w:sz w:val="18"/>
      <w:szCs w:val="18"/>
    </w:rPr>
  </w:style>
  <w:style w:type="character" w:customStyle="1" w:styleId="51">
    <w:name w:val="Default Char"/>
    <w:link w:val="29"/>
    <w:qFormat/>
    <w:locked/>
    <w:uiPriority w:val="0"/>
    <w:rPr>
      <w:rFonts w:ascii="......." w:hAnsi="Calibri" w:eastAsia="......." w:cs="......."/>
      <w:color w:val="000000"/>
      <w:kern w:val="0"/>
      <w:sz w:val="24"/>
      <w:szCs w:val="24"/>
    </w:rPr>
  </w:style>
  <w:style w:type="character" w:customStyle="1" w:styleId="52">
    <w:name w:val="列出段落 Char"/>
    <w:link w:val="34"/>
    <w:uiPriority w:val="34"/>
    <w:rPr>
      <w:rFonts w:ascii="Times New Roman" w:hAnsi="Times New Roman" w:eastAsia="宋体" w:cs="Times New Roman"/>
      <w:szCs w:val="20"/>
    </w:rPr>
  </w:style>
  <w:style w:type="character" w:customStyle="1" w:styleId="53">
    <w:name w:val="正文文本 Char"/>
    <w:basedOn w:val="24"/>
    <w:link w:val="6"/>
    <w:semiHidden/>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69730B-03FA-4C56-9087-699BB877CF39}">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72</Pages>
  <Words>5629</Words>
  <Characters>32087</Characters>
  <Lines>267</Lines>
  <Paragraphs>75</Paragraphs>
  <TotalTime>14</TotalTime>
  <ScaleCrop>false</ScaleCrop>
  <LinksUpToDate>false</LinksUpToDate>
  <CharactersWithSpaces>37641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2024-10-08T09:35:00Z</dcterms:created>
  <dc:creator>未定义</dc:creator>
  <cp:lastModifiedBy>Administrator</cp:lastModifiedBy>
  <dcterms:modified xsi:type="dcterms:W3CDTF">2024-12-06T07:30:18Z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