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国家税务总局天津市滨海新区税务局12366纳税缴费服务热线远程座席服务补充项目</w:t>
      </w:r>
      <w:bookmarkEnd w:id="0"/>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1" w:name="生成日期_currentDateTime_ym"/>
      <w:r>
        <w:rPr>
          <w:rFonts w:ascii="宋体" w:eastAsia="宋体" w:hAnsi="宋体" w:cs="宋体" w:hint="eastAsia"/>
          <w:sz w:val="36"/>
          <w:szCs w:val="36"/>
          <w:lang w:eastAsia="zh-CN"/>
        </w:rPr>
        <w:t>2025年02月</w:t>
      </w:r>
      <w:bookmarkEnd w:id="1"/>
      <w:bookmarkStart w:id="2" w:name="_GoBack"/>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3.2服务内容和要求</w:t>
        </w:r>
        <w:r>
          <w:tab/>
        </w:r>
        <w:r>
          <w:fldChar w:fldCharType="begin"/>
        </w:r>
        <w:r>
          <w:instrText xml:space="preserve"> PAGEREF _Toc256000021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3.2.1技术和服务客观指标</w:t>
        </w:r>
        <w:r>
          <w:tab/>
        </w:r>
        <w:r>
          <w:fldChar w:fldCharType="begin"/>
        </w:r>
        <w:r>
          <w:instrText xml:space="preserve"> PAGEREF _Toc256000022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3.2.2技术和服务其他要求</w:t>
        </w:r>
        <w:r>
          <w:tab/>
        </w:r>
        <w:r>
          <w:fldChar w:fldCharType="begin"/>
        </w:r>
        <w:r>
          <w:instrText xml:space="preserve"> PAGEREF _Toc256000023 \h </w:instrText>
        </w:r>
        <w:r>
          <w:fldChar w:fldCharType="separate"/>
        </w:r>
        <w:r>
          <w:t>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kern w:val="36"/>
          </w:rPr>
          <w:t>4人员要求</w:t>
        </w:r>
        <w:r>
          <w:tab/>
        </w:r>
        <w:r>
          <w:fldChar w:fldCharType="begin"/>
        </w:r>
        <w:r>
          <w:instrText xml:space="preserve"> PAGEREF _Toc256000024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rPr>
          <w:t>4.1总体要求</w:t>
        </w:r>
        <w:r>
          <w:tab/>
        </w:r>
        <w:r>
          <w:fldChar w:fldCharType="begin"/>
        </w:r>
        <w:r>
          <w:instrText xml:space="preserve"> PAGEREF _Toc256000025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4.2管理团队</w:t>
        </w:r>
        <w:r>
          <w:tab/>
        </w:r>
        <w:r>
          <w:fldChar w:fldCharType="begin"/>
        </w:r>
        <w:r>
          <w:instrText xml:space="preserve"> PAGEREF _Toc256000026 \h </w:instrText>
        </w:r>
        <w:r>
          <w:fldChar w:fldCharType="separate"/>
        </w:r>
        <w:r>
          <w:t>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rPr>
          <w:t>4.2.1项目经理</w:t>
        </w:r>
        <w:r>
          <w:tab/>
        </w:r>
        <w:r>
          <w:fldChar w:fldCharType="begin"/>
        </w:r>
        <w:r>
          <w:instrText xml:space="preserve"> PAGEREF _Toc256000027 \h </w:instrText>
        </w:r>
        <w:r>
          <w:fldChar w:fldCharType="separate"/>
        </w:r>
        <w:r>
          <w:t>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4.3技术团队</w:t>
        </w:r>
        <w:r>
          <w:tab/>
        </w:r>
        <w:r>
          <w:fldChar w:fldCharType="begin"/>
        </w:r>
        <w:r>
          <w:instrText xml:space="preserve"> PAGEREF _Toc256000028 \h </w:instrText>
        </w:r>
        <w:r>
          <w:fldChar w:fldCharType="separate"/>
        </w:r>
        <w:r>
          <w:t>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rPr>
          <w:t>4.4优选资质/优选指标</w:t>
        </w:r>
        <w:r>
          <w:tab/>
        </w:r>
        <w:r>
          <w:fldChar w:fldCharType="begin"/>
        </w:r>
        <w:r>
          <w:instrText xml:space="preserve"> PAGEREF _Toc256000029 \h </w:instrText>
        </w:r>
        <w:r>
          <w:fldChar w:fldCharType="separate"/>
        </w:r>
        <w:r>
          <w:t>9</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kern w:val="36"/>
          </w:rPr>
          <w:t>5管理实施要求</w:t>
        </w:r>
        <w:r>
          <w:tab/>
        </w:r>
        <w:r>
          <w:fldChar w:fldCharType="begin"/>
        </w:r>
        <w:r>
          <w:instrText xml:space="preserve"> PAGEREF _Toc256000030 \h </w:instrText>
        </w:r>
        <w:r>
          <w:fldChar w:fldCharType="separate"/>
        </w:r>
        <w:r>
          <w:t>9</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6风险管控要求</w:t>
        </w:r>
        <w:r>
          <w:tab/>
        </w:r>
        <w:r>
          <w:fldChar w:fldCharType="begin"/>
        </w:r>
        <w:r>
          <w:instrText xml:space="preserve"> PAGEREF _Toc256000031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kern w:val="36"/>
          </w:rPr>
          <w:t>7履约验收要求</w:t>
        </w:r>
        <w:r>
          <w:tab/>
        </w:r>
        <w:r>
          <w:fldChar w:fldCharType="begin"/>
        </w:r>
        <w:r>
          <w:instrText xml:space="preserve"> PAGEREF _Toc256000032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rPr>
          <w:t>7.1总体要求</w:t>
        </w:r>
        <w:r>
          <w:tab/>
        </w:r>
        <w:r>
          <w:fldChar w:fldCharType="begin"/>
        </w:r>
        <w:r>
          <w:instrText xml:space="preserve"> PAGEREF _Toc256000033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7.2具体要求</w:t>
        </w:r>
        <w:r>
          <w:tab/>
        </w:r>
        <w:r>
          <w:fldChar w:fldCharType="begin"/>
        </w:r>
        <w:r>
          <w:instrText xml:space="preserve"> PAGEREF _Toc256000034 \h </w:instrText>
        </w:r>
        <w:r>
          <w:fldChar w:fldCharType="separate"/>
        </w:r>
        <w:r>
          <w:t>13</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kern w:val="36"/>
          </w:rPr>
          <w:t>8其他要求</w:t>
        </w:r>
        <w:r>
          <w:tab/>
        </w:r>
        <w:r>
          <w:fldChar w:fldCharType="begin"/>
        </w:r>
        <w:r>
          <w:instrText xml:space="preserve"> PAGEREF _Toc256000035 \h </w:instrText>
        </w:r>
        <w:r>
          <w:fldChar w:fldCharType="separate"/>
        </w:r>
        <w:r>
          <w:t>14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rPr>
          <w:t>8.1必备要求</w:t>
        </w:r>
        <w:r>
          <w:tab/>
        </w:r>
        <w:r>
          <w:fldChar w:fldCharType="begin"/>
        </w:r>
        <w:r>
          <w:instrText xml:space="preserve"> PAGEREF _Toc256000036 \h </w:instrText>
        </w:r>
        <w:r>
          <w:fldChar w:fldCharType="separate"/>
        </w:r>
        <w:r>
          <w:t>14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8.1.1通用必备要求</w:t>
        </w:r>
        <w:r>
          <w:tab/>
        </w:r>
        <w:r>
          <w:fldChar w:fldCharType="begin"/>
        </w:r>
        <w:r>
          <w:instrText xml:space="preserve"> PAGEREF _Toc256000037 \h </w:instrText>
        </w:r>
        <w:r>
          <w:fldChar w:fldCharType="separate"/>
        </w:r>
        <w:r>
          <w:t>14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8.2付款安排建议</w:t>
        </w:r>
        <w:r>
          <w:tab/>
        </w:r>
        <w:r>
          <w:fldChar w:fldCharType="begin"/>
        </w:r>
        <w:r>
          <w:instrText xml:space="preserve"> PAGEREF _Toc256000038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8.3其他要求</w:t>
        </w:r>
        <w:r>
          <w:tab/>
        </w:r>
        <w:r>
          <w:fldChar w:fldCharType="begin"/>
        </w:r>
        <w:r>
          <w:instrText xml:space="preserve"> PAGEREF _Toc256000039 \h </w:instrText>
        </w:r>
        <w:r>
          <w:fldChar w:fldCharType="separate"/>
        </w:r>
        <w:r>
          <w:t>15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8.3.1保密要求</w:t>
        </w:r>
        <w:r>
          <w:tab/>
        </w:r>
        <w:r>
          <w:fldChar w:fldCharType="begin"/>
        </w:r>
        <w:r>
          <w:instrText xml:space="preserve"> PAGEREF _Toc256000040 \h </w:instrText>
        </w:r>
        <w:r>
          <w:fldChar w:fldCharType="separate"/>
        </w:r>
        <w:r>
          <w:t>15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8.3.2知识转移要求</w:t>
        </w:r>
        <w:r>
          <w:tab/>
        </w:r>
        <w:r>
          <w:fldChar w:fldCharType="begin"/>
        </w:r>
        <w:r>
          <w:instrText xml:space="preserve"> PAGEREF _Toc256000041 \h </w:instrText>
        </w:r>
        <w:r>
          <w:fldChar w:fldCharType="separate"/>
        </w:r>
        <w:r>
          <w:t>16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2" w:history="1">
        <w:r>
          <w:rPr>
            <w:rStyle w:val="Hyperlink"/>
            <w:rFonts w:ascii="仿宋_GB2312" w:eastAsia="仿宋_GB2312" w:hAnsi="仿宋_GB2312" w:cs="仿宋_GB2312"/>
          </w:rPr>
          <w:t>8.3.3知识产权要求</w:t>
        </w:r>
        <w:r>
          <w:tab/>
        </w:r>
        <w:r>
          <w:fldChar w:fldCharType="begin"/>
        </w:r>
        <w:r>
          <w:instrText xml:space="preserve"> PAGEREF _Toc256000042 \h </w:instrText>
        </w:r>
        <w:r>
          <w:fldChar w:fldCharType="separate"/>
        </w:r>
        <w:r>
          <w:t>16</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15"/>
        <w:spacing w:before="0" w:after="0" w:line="360" w:lineRule="auto"/>
        <w:ind w:firstLine="560"/>
        <w:jc w:val="both"/>
        <w:rPr>
          <w:rFonts w:ascii="Times New Roman" w:eastAsia="Times New Roman" w:hAnsi="Times New Roman" w:cs="Times New Roman"/>
        </w:rPr>
      </w:pPr>
      <w:r>
        <w:rPr>
          <w:rFonts w:ascii="仿宋_GB2312" w:eastAsia="仿宋_GB2312" w:hAnsi="仿宋_GB2312" w:cs="仿宋_GB2312"/>
          <w:sz w:val="28"/>
          <w:szCs w:val="28"/>
        </w:rPr>
        <w:t>12366纳税缴费服务热线（以下简称“12366热线”）自成立以来，始终秉承“用心倾听、真诚服务”的宗旨，为纳税人缴费人提供高效、便捷、规范、全面的专业化咨询服务。国家税务总局</w:t>
      </w:r>
      <w:r>
        <w:rPr>
          <w:rFonts w:ascii="仿宋_GB2312" w:eastAsia="仿宋_GB2312" w:hAnsi="仿宋_GB2312" w:cs="仿宋_GB2312"/>
          <w:sz w:val="28"/>
          <w:szCs w:val="28"/>
        </w:rPr>
        <w:t>天津市滨海新区</w:t>
      </w:r>
      <w:r>
        <w:rPr>
          <w:rFonts w:ascii="仿宋_GB2312" w:eastAsia="仿宋_GB2312" w:hAnsi="仿宋_GB2312" w:cs="仿宋_GB2312"/>
          <w:sz w:val="28"/>
          <w:szCs w:val="28"/>
        </w:rPr>
        <w:t>税务局</w:t>
      </w:r>
      <w:r>
        <w:rPr>
          <w:rFonts w:ascii="仿宋_GB2312" w:eastAsia="仿宋_GB2312" w:hAnsi="仿宋_GB2312" w:cs="仿宋_GB2312"/>
          <w:sz w:val="28"/>
          <w:szCs w:val="28"/>
        </w:rPr>
        <w:t>12366热线是为纳税人缴费人提供咨询服务的重要平台，已实现工作日“5×8小时”人工服务，已逐步成为沟通征纳双方、和谐征纳关系的桥梁和纽带。</w:t>
      </w:r>
    </w:p>
    <w:p>
      <w:pPr>
        <w:pStyle w:val="15"/>
        <w:spacing w:before="0" w:after="0" w:line="360" w:lineRule="auto"/>
        <w:ind w:firstLine="560"/>
        <w:jc w:val="both"/>
        <w:rPr>
          <w:rFonts w:ascii="Times New Roman" w:eastAsia="Times New Roman" w:hAnsi="Times New Roman" w:cs="Times New Roman"/>
        </w:rPr>
      </w:pPr>
      <w:r>
        <w:rPr>
          <w:rFonts w:ascii="仿宋_GB2312" w:eastAsia="仿宋_GB2312" w:hAnsi="仿宋_GB2312" w:cs="仿宋_GB2312"/>
          <w:sz w:val="28"/>
          <w:szCs w:val="28"/>
        </w:rPr>
        <w:t>为进一步强化运行管理，提升服务质效，结合</w:t>
      </w:r>
      <w:r>
        <w:rPr>
          <w:rFonts w:ascii="仿宋_GB2312" w:eastAsia="仿宋_GB2312" w:hAnsi="仿宋_GB2312" w:cs="仿宋_GB2312"/>
          <w:sz w:val="28"/>
          <w:szCs w:val="28"/>
        </w:rPr>
        <w:t>12366热线转型升级工作目标，充分发挥第三方服务单位运营管理经验，巩固现有工作成效，持续创新服务方式，全方位、多渠道为纳税人缴费人提供更加精细化、个性化的服务，国家税务总局</w:t>
      </w:r>
      <w:r>
        <w:rPr>
          <w:rFonts w:ascii="仿宋_GB2312" w:eastAsia="仿宋_GB2312" w:hAnsi="仿宋_GB2312" w:cs="仿宋_GB2312"/>
          <w:sz w:val="28"/>
          <w:szCs w:val="28"/>
        </w:rPr>
        <w:t>天津市滨海新区</w:t>
      </w:r>
      <w:r>
        <w:rPr>
          <w:rFonts w:ascii="仿宋_GB2312" w:eastAsia="仿宋_GB2312" w:hAnsi="仿宋_GB2312" w:cs="仿宋_GB2312"/>
          <w:sz w:val="28"/>
          <w:szCs w:val="28"/>
        </w:rPr>
        <w:t>税务局通过公开招标方式采购</w:t>
      </w:r>
      <w:r>
        <w:rPr>
          <w:rFonts w:ascii="仿宋_GB2312" w:eastAsia="仿宋_GB2312" w:hAnsi="仿宋_GB2312" w:cs="仿宋_GB2312"/>
          <w:sz w:val="28"/>
          <w:szCs w:val="28"/>
        </w:rPr>
        <w:t>12366热线咨询服务。</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本项目以建设全市一流的</w:t>
      </w:r>
      <w:r>
        <w:rPr>
          <w:rFonts w:ascii="仿宋_GB2312" w:eastAsia="仿宋_GB2312" w:hAnsi="仿宋_GB2312" w:cs="仿宋_GB2312"/>
          <w:sz w:val="28"/>
          <w:szCs w:val="28"/>
        </w:rPr>
        <w:t>12366热线为目标，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5×8小时”人工座席服务。人工座席负责提供征纳互动服务，以接听、回拨等方式受理纳税人缴费人的电话咨询、意见建议，对“好差评”结果为不满意的电话进行回访</w:t>
      </w:r>
      <w:r>
        <w:rPr>
          <w:rFonts w:ascii="仿宋_GB2312" w:eastAsia="仿宋_GB2312" w:hAnsi="仿宋_GB2312" w:cs="仿宋_GB2312"/>
          <w:sz w:val="28"/>
          <w:szCs w:val="28"/>
        </w:rPr>
        <w:t>。</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本项目采购内容为</w:t>
      </w:r>
      <w:r>
        <w:rPr>
          <w:rFonts w:ascii="仿宋_GB2312" w:eastAsia="仿宋_GB2312" w:hAnsi="仿宋_GB2312" w:cs="仿宋_GB2312"/>
          <w:sz w:val="28"/>
          <w:szCs w:val="28"/>
        </w:rPr>
        <w:t>12366热线咨询服务，</w:t>
      </w:r>
      <w:r>
        <w:rPr>
          <w:rFonts w:ascii="仿宋_GB2312" w:eastAsia="仿宋_GB2312" w:hAnsi="仿宋_GB2312" w:cs="仿宋_GB2312"/>
          <w:sz w:val="28"/>
          <w:szCs w:val="28"/>
        </w:rPr>
        <w:t>国家税务总局</w:t>
      </w:r>
      <w:r>
        <w:rPr>
          <w:rFonts w:ascii="仿宋_GB2312" w:eastAsia="仿宋_GB2312" w:hAnsi="仿宋_GB2312" w:cs="仿宋_GB2312"/>
          <w:sz w:val="28"/>
          <w:szCs w:val="28"/>
        </w:rPr>
        <w:t>天津市滨海新区</w:t>
      </w:r>
      <w:r>
        <w:rPr>
          <w:rFonts w:ascii="仿宋_GB2312" w:eastAsia="仿宋_GB2312" w:hAnsi="仿宋_GB2312" w:cs="仿宋_GB2312"/>
          <w:sz w:val="28"/>
          <w:szCs w:val="28"/>
        </w:rPr>
        <w:t>税务局</w:t>
      </w:r>
      <w:r>
        <w:rPr>
          <w:rFonts w:ascii="仿宋_GB2312" w:eastAsia="仿宋_GB2312" w:hAnsi="仿宋_GB2312" w:cs="仿宋_GB2312"/>
          <w:sz w:val="28"/>
          <w:szCs w:val="28"/>
        </w:rPr>
        <w:t>提供办公场地、人员工位及相关办公设备，中标供应商提供服务人员及接听设备。本项目需要服务人员</w:t>
      </w:r>
      <w:r>
        <w:rPr>
          <w:rFonts w:ascii="仿宋_GB2312" w:eastAsia="仿宋_GB2312" w:hAnsi="仿宋_GB2312" w:cs="仿宋_GB2312"/>
          <w:sz w:val="28"/>
          <w:szCs w:val="28"/>
        </w:rPr>
        <w:t>8</w:t>
      </w:r>
      <w:r>
        <w:rPr>
          <w:rFonts w:ascii="仿宋_GB2312" w:eastAsia="仿宋_GB2312" w:hAnsi="仿宋_GB2312" w:cs="仿宋_GB2312"/>
          <w:sz w:val="28"/>
          <w:szCs w:val="28"/>
        </w:rPr>
        <w:t>人，中标供应商按照</w:t>
      </w:r>
      <w:r>
        <w:rPr>
          <w:rFonts w:ascii="仿宋_GB2312" w:eastAsia="仿宋_GB2312" w:hAnsi="仿宋_GB2312" w:cs="仿宋_GB2312"/>
          <w:sz w:val="28"/>
          <w:szCs w:val="28"/>
        </w:rPr>
        <w:t>国家税务总局</w:t>
      </w:r>
      <w:r>
        <w:rPr>
          <w:rFonts w:ascii="仿宋_GB2312" w:eastAsia="仿宋_GB2312" w:hAnsi="仿宋_GB2312" w:cs="仿宋_GB2312"/>
          <w:sz w:val="28"/>
          <w:szCs w:val="28"/>
        </w:rPr>
        <w:t>天津市滨海新区</w:t>
      </w:r>
      <w:r>
        <w:rPr>
          <w:rFonts w:ascii="仿宋_GB2312" w:eastAsia="仿宋_GB2312" w:hAnsi="仿宋_GB2312" w:cs="仿宋_GB2312"/>
          <w:sz w:val="28"/>
          <w:szCs w:val="28"/>
        </w:rPr>
        <w:t>税务局</w:t>
      </w:r>
      <w:r>
        <w:rPr>
          <w:rFonts w:ascii="仿宋_GB2312" w:eastAsia="仿宋_GB2312" w:hAnsi="仿宋_GB2312" w:cs="仿宋_GB2312"/>
          <w:sz w:val="28"/>
          <w:szCs w:val="28"/>
        </w:rPr>
        <w:t>要求培训、管理服务人员，配合</w:t>
      </w:r>
      <w:r>
        <w:rPr>
          <w:rFonts w:ascii="仿宋_GB2312" w:eastAsia="仿宋_GB2312" w:hAnsi="仿宋_GB2312" w:cs="仿宋_GB2312"/>
          <w:sz w:val="28"/>
          <w:szCs w:val="28"/>
        </w:rPr>
        <w:t>国家税务总局</w:t>
      </w:r>
      <w:r>
        <w:rPr>
          <w:rFonts w:ascii="仿宋_GB2312" w:eastAsia="仿宋_GB2312" w:hAnsi="仿宋_GB2312" w:cs="仿宋_GB2312"/>
          <w:sz w:val="28"/>
          <w:szCs w:val="28"/>
        </w:rPr>
        <w:t>天津市滨海新区</w:t>
      </w:r>
      <w:r>
        <w:rPr>
          <w:rFonts w:ascii="仿宋_GB2312" w:eastAsia="仿宋_GB2312" w:hAnsi="仿宋_GB2312" w:cs="仿宋_GB2312"/>
          <w:sz w:val="28"/>
          <w:szCs w:val="28"/>
        </w:rPr>
        <w:t>税务局</w:t>
      </w:r>
      <w:r>
        <w:rPr>
          <w:rFonts w:ascii="仿宋_GB2312" w:eastAsia="仿宋_GB2312" w:hAnsi="仿宋_GB2312" w:cs="仿宋_GB2312"/>
          <w:sz w:val="28"/>
          <w:szCs w:val="28"/>
        </w:rPr>
        <w:t>对</w:t>
      </w:r>
      <w:r>
        <w:rPr>
          <w:rFonts w:ascii="仿宋_GB2312" w:eastAsia="仿宋_GB2312" w:hAnsi="仿宋_GB2312" w:cs="仿宋_GB2312"/>
          <w:sz w:val="28"/>
          <w:szCs w:val="28"/>
        </w:rPr>
        <w:t>12366热线的日常管理工作，共同落实服务规范和绩效管理办法等制度体系。</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按照国家税务总局天津市税务局对</w:t>
      </w:r>
      <w:r>
        <w:rPr>
          <w:rFonts w:ascii="仿宋_GB2312" w:eastAsia="仿宋_GB2312" w:hAnsi="仿宋_GB2312" w:cs="仿宋_GB2312"/>
          <w:sz w:val="28"/>
          <w:szCs w:val="28"/>
        </w:rPr>
        <w:t>12366热线咨询服务的要求，须为12366热线提供工作日“5×8小时”人工座席服务。</w:t>
      </w:r>
      <w:r>
        <w:t> </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自签订合同之日起</w:t>
      </w:r>
      <w:r>
        <w:rPr>
          <w:rFonts w:ascii="仿宋_GB2312" w:eastAsia="仿宋_GB2312" w:hAnsi="仿宋_GB2312" w:cs="仿宋_GB2312"/>
          <w:sz w:val="28"/>
          <w:szCs w:val="28"/>
        </w:rPr>
        <w:t>八个月</w:t>
      </w:r>
      <w:r>
        <w:rPr>
          <w:rFonts w:ascii="仿宋_GB2312" w:eastAsia="仿宋_GB2312" w:hAnsi="仿宋_GB2312" w:cs="仿宋_GB2312"/>
          <w:sz w:val="28"/>
          <w:szCs w:val="28"/>
        </w:rPr>
        <w:t>。</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国家税务总局</w:t>
      </w:r>
      <w:r>
        <w:rPr>
          <w:rFonts w:ascii="仿宋_GB2312" w:eastAsia="仿宋_GB2312" w:hAnsi="仿宋_GB2312" w:cs="仿宋_GB2312"/>
          <w:sz w:val="28"/>
          <w:szCs w:val="28"/>
        </w:rPr>
        <w:t>天津市滨海新区</w:t>
      </w:r>
      <w:r>
        <w:rPr>
          <w:rFonts w:ascii="仿宋_GB2312" w:eastAsia="仿宋_GB2312" w:hAnsi="仿宋_GB2312" w:cs="仿宋_GB2312"/>
          <w:sz w:val="28"/>
          <w:szCs w:val="28"/>
        </w:rPr>
        <w:t>税务局</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spacing w:before="0" w:after="0" w:line="360" w:lineRule="auto"/>
        <w:rPr>
          <w:rFonts w:ascii="仿宋_GB2312" w:eastAsia="仿宋_GB2312" w:hAnsi="仿宋_GB2312" w:cs="仿宋_GB2312"/>
          <w:sz w:val="28"/>
          <w:szCs w:val="28"/>
        </w:rPr>
      </w:pPr>
      <w:r>
        <w:rPr>
          <w:rFonts w:ascii="FangSong_GB2312" w:eastAsia="FangSong_GB2312" w:hAnsi="FangSong_GB2312" w:cs="FangSong_GB2312"/>
          <w:color w:val="95A5A6"/>
          <w:sz w:val="28"/>
          <w:szCs w:val="28"/>
        </w:rPr>
        <w:t>无</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投标人提供以下资料的为优选资质：</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1.完全按照以下要求提供曾实施服务业绩的，提供的证明材料均不得遮挡涂黑。</w:t>
      </w:r>
    </w:p>
    <w:p>
      <w:pPr>
        <w:pStyle w:val="15"/>
        <w:spacing w:before="0" w:after="0" w:line="360" w:lineRule="auto"/>
        <w:ind w:firstLine="560"/>
        <w:jc w:val="both"/>
        <w:rPr>
          <w:rFonts w:ascii="Times New Roman" w:eastAsia="Times New Roman" w:hAnsi="Times New Roman" w:cs="Times New Roman"/>
        </w:rPr>
      </w:pPr>
      <w:r>
        <w:rPr>
          <w:rFonts w:ascii="仿宋_GB2312" w:eastAsia="仿宋_GB2312" w:hAnsi="仿宋_GB2312" w:cs="仿宋_GB2312"/>
          <w:sz w:val="28"/>
          <w:szCs w:val="28"/>
        </w:rPr>
        <w:t>2.合同原件扫描件。投标人提供的2021年1月以来（以合同签订日期为准）独立承担的与本项目相类似且已完成的案例、买卖双方名称及盖章、服务期限（合同服务起始日期为2021年1月1日或以后，且履行至少1年的时间）。</w:t>
      </w:r>
    </w:p>
    <w:p>
      <w:pPr>
        <w:pStyle w:val="15"/>
        <w:spacing w:before="0" w:after="0" w:line="360" w:lineRule="auto"/>
        <w:ind w:firstLine="560"/>
        <w:jc w:val="both"/>
        <w:rPr>
          <w:rFonts w:ascii="Times New Roman" w:eastAsia="Times New Roman" w:hAnsi="Times New Roman" w:cs="Times New Roman"/>
        </w:rPr>
      </w:pPr>
      <w:r>
        <w:rPr>
          <w:rFonts w:ascii="仿宋_GB2312" w:eastAsia="仿宋_GB2312" w:hAnsi="仿宋_GB2312" w:cs="仿宋_GB2312"/>
          <w:sz w:val="28"/>
          <w:szCs w:val="28"/>
        </w:rPr>
        <w:t>3.已完成的合同，提供加盖合同甲方单位公章的成功履行合同的相关证明材料原件扫描件，合同正在实施的，提供加盖合同甲方单位公章的合同履行情况良好的相关证明材料原件扫描件。</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投标人应根据项目需求对服务方案及内容、项目需求理解、实施方案、保密管理、培训方案、应急保障方案、验收方案等内容进行响应。</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以下相关方案，若作为评审因素，则投标人应在满足★关键指标项要求的前提下，根据项目特点和采购需求，制定更为完整、详细、可操作性强的方案。</w:t>
      </w:r>
    </w:p>
    <w:p>
      <w:pPr>
        <w:pStyle w:val="MsoNormal"/>
        <w:spacing w:before="0" w:after="0" w:line="360" w:lineRule="auto"/>
        <w:ind w:firstLine="561"/>
        <w:rPr>
          <w:rFonts w:ascii="Times New Roman" w:eastAsia="Times New Roman" w:hAnsi="Times New Roman" w:cs="Times New Roman"/>
        </w:rPr>
      </w:pPr>
      <w:r>
        <w:rPr>
          <w:rFonts w:ascii="仿宋_GB2312" w:eastAsia="仿宋_GB2312" w:hAnsi="仿宋_GB2312" w:cs="仿宋_GB2312"/>
          <w:sz w:val="28"/>
          <w:szCs w:val="28"/>
        </w:rPr>
        <w:t>以下相关方案，若作为评审因素，则投标人应在满足</w:t>
      </w:r>
      <w:r>
        <w:rPr>
          <w:rFonts w:ascii="仿宋_GB2312" w:eastAsia="仿宋_GB2312" w:hAnsi="仿宋_GB2312" w:cs="仿宋_GB2312"/>
          <w:sz w:val="28"/>
          <w:szCs w:val="28"/>
        </w:rPr>
        <w:t>★关键指标项要求的前提下，根据项目特点和采购需求，制定更为完整、详细、可操作性强的方案。</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投标人应根据项目需求对服务方案及内容、项目需求理解、实施方案、保密管理、培训方案、应急保障方案、验收方案等内容进行响应。</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为构建天津税务系统</w:t>
      </w:r>
      <w:r>
        <w:rPr>
          <w:rFonts w:ascii="仿宋_GB2312" w:eastAsia="仿宋_GB2312" w:hAnsi="仿宋_GB2312" w:cs="仿宋_GB2312"/>
          <w:sz w:val="28"/>
          <w:szCs w:val="28"/>
        </w:rPr>
        <w:t>“一键接入、市区联动、规范统一”的12366税费咨询服务体系，协同服务新模式，持续推进办税缴费服务提质增效，提升纳税人缴费人满意度和获得感。面向纳税人缴费人提供工作日“5×8小时”人工座席服务，服务内容包括税费咨询、涉税费查询、纳税缴费程序咨询辅导、征纳互动服务、意见建议受理、税费政策宣传、满意度回访、需求收集、数据分析应用等。</w:t>
      </w:r>
      <w:r>
        <w:t> </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3.2服务内容和要求</w:t>
      </w:r>
      <w:bookmarkEnd w:id="24"/>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采购文件（技术部分）中有标注★号的，为必备服务要求，必须满足，如未作出响应，将导致响应无效；#为重要服务内容、△为一般服务内容。</w:t>
      </w:r>
    </w:p>
    <w:p>
      <w:pPr>
        <w:pStyle w:val="Heading3"/>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sz w:val="28"/>
          <w:szCs w:val="28"/>
        </w:rPr>
        <w:t>3.2.1技术和服务客观指标</w:t>
      </w:r>
      <w:bookmarkEnd w:id="2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3.2.1.1服务1</w:t>
      </w:r>
    </w:p>
    <w:p>
      <w:pPr>
        <w:pStyle w:val="Heading3"/>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sz w:val="28"/>
          <w:szCs w:val="28"/>
        </w:rPr>
        <w:t>3.2.2技术和服务其他要求</w:t>
      </w:r>
      <w:bookmarkEnd w:id="26"/>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热线电话服务。主要包括解答纳税人缴费人向</w:t>
      </w:r>
      <w:r>
        <w:rPr>
          <w:rFonts w:ascii="仿宋_GB2312" w:eastAsia="仿宋_GB2312" w:hAnsi="仿宋_GB2312" w:cs="仿宋_GB2312"/>
          <w:sz w:val="28"/>
          <w:szCs w:val="28"/>
        </w:rPr>
        <w:t>12366远程座席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APP等系统以及服务期内新增的各类系统。</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2.电话回呼。通过人工主动呼出的方式向纳税人缴费人提供涉税费咨询服务。电话回呼包括留言回呼、纠错回呼、承诺回呼、遇忙（呼损）回呼等。</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3.征纳互动服务</w:t>
      </w:r>
      <w:r>
        <w:rPr>
          <w:rFonts w:ascii="仿宋_GB2312" w:eastAsia="仿宋_GB2312" w:hAnsi="仿宋_GB2312" w:cs="仿宋_GB2312"/>
          <w:sz w:val="28"/>
          <w:szCs w:val="28"/>
        </w:rPr>
        <w:t>。</w:t>
      </w:r>
      <w:r>
        <w:rPr>
          <w:rFonts w:ascii="仿宋_GB2312" w:eastAsia="仿宋_GB2312" w:hAnsi="仿宋_GB2312" w:cs="仿宋_GB2312"/>
          <w:sz w:val="28"/>
          <w:szCs w:val="28"/>
        </w:rPr>
        <w:t>通过征纳互动受理纳税人缴费人咨询，对通过</w:t>
      </w:r>
      <w:r>
        <w:rPr>
          <w:rFonts w:ascii="仿宋_GB2312" w:eastAsia="仿宋_GB2312" w:hAnsi="仿宋_GB2312" w:cs="仿宋_GB2312"/>
          <w:sz w:val="28"/>
          <w:szCs w:val="28"/>
        </w:rPr>
        <w:t>12366热线发起咨询的符合条件的反向拉起互动，提升咨询效率。</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4.后台支撑服务。主要解决热线人员无法及时回复或解决的问题，包括但不限于疑难问题的解答、业务工单等。</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5.宣传培训服务。包括相关涉税涉费热点问题的整理、编辑以及配合宣传和发布服务。</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6.需求采集服务。作为税务局和纳税人缴费人之间的沟通桥梁，了解纳税人缴费人的实际需求，利用服务纳税人缴费人时获得的需求信息和数据，定期提供需求报告，为税务局提高纳税服务水平提供决策依据。</w:t>
      </w:r>
    </w:p>
    <w:p>
      <w:pPr>
        <w:pStyle w:val="Heading1"/>
        <w:keepNext w:val="0"/>
        <w:spacing w:before="0" w:after="0" w:line="360" w:lineRule="auto"/>
        <w:jc w:val="center"/>
        <w:rPr>
          <w:rFonts w:ascii="仿宋_GB2312" w:eastAsia="仿宋_GB2312" w:hAnsi="仿宋_GB2312" w:cs="仿宋_GB2312"/>
          <w:b/>
          <w:bCs/>
          <w:sz w:val="32"/>
          <w:szCs w:val="32"/>
        </w:rPr>
      </w:pPr>
      <w:bookmarkStart w:id="27" w:name="_Toc256000024"/>
      <w:r>
        <w:rPr>
          <w:rFonts w:ascii="仿宋_GB2312" w:eastAsia="仿宋_GB2312" w:hAnsi="仿宋_GB2312" w:cs="仿宋_GB2312"/>
          <w:kern w:val="36"/>
        </w:rPr>
        <w:t>4人员要求</w:t>
      </w:r>
      <w:bookmarkEnd w:id="27"/>
    </w:p>
    <w:p>
      <w:pPr>
        <w:pStyle w:val="Heading2"/>
        <w:keepNext w:val="0"/>
        <w:spacing w:before="0" w:after="0" w:line="360" w:lineRule="auto"/>
        <w:rPr>
          <w:rFonts w:ascii="仿宋_GB2312" w:eastAsia="仿宋_GB2312" w:hAnsi="仿宋_GB2312" w:cs="仿宋_GB2312"/>
          <w:b/>
          <w:bCs/>
          <w:sz w:val="28"/>
          <w:szCs w:val="28"/>
        </w:rPr>
      </w:pPr>
      <w:bookmarkStart w:id="28" w:name="_Toc256000025"/>
      <w:r>
        <w:rPr>
          <w:rFonts w:ascii="仿宋_GB2312" w:eastAsia="仿宋_GB2312" w:hAnsi="仿宋_GB2312" w:cs="仿宋_GB2312"/>
          <w:i w:val="0"/>
          <w:iCs w:val="0"/>
        </w:rPr>
        <w:t>4.1总体要求</w:t>
      </w:r>
      <w:bookmarkEnd w:id="28"/>
    </w:p>
    <w:p>
      <w:pPr>
        <w:pStyle w:val="15"/>
        <w:spacing w:before="0" w:after="0" w:line="360" w:lineRule="auto"/>
        <w:ind w:firstLine="561"/>
        <w:rPr>
          <w:rFonts w:ascii="Times New Roman" w:eastAsia="Times New Roman" w:hAnsi="Times New Roman" w:cs="Times New Roman"/>
        </w:rPr>
      </w:pPr>
      <w:r>
        <w:rPr>
          <w:rFonts w:ascii="仿宋_GB2312" w:eastAsia="仿宋_GB2312" w:hAnsi="仿宋_GB2312" w:cs="仿宋_GB2312"/>
          <w:sz w:val="28"/>
          <w:szCs w:val="28"/>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w:t>
      </w:r>
      <w:r>
        <w:rPr>
          <w:rFonts w:ascii="仿宋_GB2312" w:eastAsia="仿宋_GB2312" w:hAnsi="仿宋_GB2312" w:cs="仿宋_GB2312"/>
          <w:sz w:val="28"/>
          <w:szCs w:val="28"/>
        </w:rPr>
        <w:t>席</w:t>
      </w:r>
      <w:r>
        <w:rPr>
          <w:rFonts w:ascii="仿宋_GB2312" w:eastAsia="仿宋_GB2312" w:hAnsi="仿宋_GB2312" w:cs="仿宋_GB2312"/>
        </w:rPr>
        <w:t>人员，配合区局完成各项服务内容，完善服务规范，落实关于</w:t>
      </w:r>
      <w:r>
        <w:rPr>
          <w:rFonts w:ascii="仿宋_GB2312" w:eastAsia="仿宋_GB2312" w:hAnsi="仿宋_GB2312" w:cs="仿宋_GB2312"/>
          <w:sz w:val="28"/>
          <w:szCs w:val="28"/>
        </w:rPr>
        <w:t>12366热线绩效管理要求。</w:t>
      </w:r>
    </w:p>
    <w:p>
      <w:pPr>
        <w:pStyle w:val="Heading2"/>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i w:val="0"/>
          <w:iCs w:val="0"/>
        </w:rPr>
        <w:t>4.2管理团队</w:t>
      </w:r>
      <w:bookmarkEnd w:id="29"/>
    </w:p>
    <w:p>
      <w:pPr>
        <w:pStyle w:val="Heading3"/>
        <w:keepNext w:val="0"/>
        <w:spacing w:before="0" w:after="0" w:line="360" w:lineRule="auto"/>
        <w:rPr>
          <w:rFonts w:ascii="仿宋_GB2312" w:eastAsia="仿宋_GB2312" w:hAnsi="仿宋_GB2312" w:cs="仿宋_GB2312"/>
          <w:b/>
          <w:bCs/>
          <w:sz w:val="28"/>
          <w:szCs w:val="28"/>
        </w:rPr>
      </w:pPr>
      <w:bookmarkStart w:id="30" w:name="_Toc256000027"/>
      <w:r>
        <w:rPr>
          <w:rFonts w:ascii="仿宋_GB2312" w:eastAsia="仿宋_GB2312" w:hAnsi="仿宋_GB2312" w:cs="仿宋_GB2312"/>
          <w:sz w:val="28"/>
          <w:szCs w:val="28"/>
        </w:rPr>
        <w:t>4.2.1项目经理</w:t>
      </w:r>
      <w:bookmarkEnd w:id="30"/>
    </w:p>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4.3技术团队</w:t>
      </w:r>
      <w:bookmarkEnd w:id="31"/>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提供热线咨询服务人员</w:t>
      </w:r>
      <w:r>
        <w:rPr>
          <w:rFonts w:ascii="仿宋_GB2312" w:eastAsia="仿宋_GB2312" w:hAnsi="仿宋_GB2312" w:cs="仿宋_GB2312"/>
          <w:sz w:val="28"/>
          <w:szCs w:val="28"/>
        </w:rPr>
        <w:t>8</w:t>
      </w:r>
      <w:r>
        <w:rPr>
          <w:rFonts w:ascii="仿宋_GB2312" w:eastAsia="仿宋_GB2312" w:hAnsi="仿宋_GB2312" w:cs="仿宋_GB2312"/>
          <w:sz w:val="28"/>
          <w:szCs w:val="28"/>
        </w:rPr>
        <w:t>人，指定其中1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w:t>
      </w:r>
      <w:r>
        <w:rPr>
          <w:rFonts w:ascii="仿宋_GB2312" w:eastAsia="仿宋_GB2312" w:hAnsi="仿宋_GB2312" w:cs="仿宋_GB2312"/>
          <w:sz w:val="28"/>
          <w:szCs w:val="28"/>
        </w:rPr>
        <w:t>7</w:t>
      </w:r>
      <w:r>
        <w:rPr>
          <w:rFonts w:ascii="仿宋_GB2312" w:eastAsia="仿宋_GB2312" w:hAnsi="仿宋_GB2312" w:cs="仿宋_GB2312"/>
          <w:sz w:val="28"/>
          <w:szCs w:val="28"/>
        </w:rPr>
        <w:t>名12366热线咨询服务人员负责通过12366热线电话向纳税人解答关于税收法律、行政法规、纳税程序以及社会保险费和税务机关管辖的非税收入征管有关问题，引导投诉举报等。</w:t>
      </w:r>
    </w:p>
    <w:p>
      <w:pPr>
        <w:pBdr>
          <w:left w:val="none" w:sz="0" w:space="30" w:color="auto"/>
        </w:pBdr>
        <w:spacing w:before="0" w:after="0" w:line="360" w:lineRule="auto"/>
        <w:ind w:left="600"/>
        <w:rPr>
          <w:rFonts w:ascii="Times New Roman" w:eastAsia="Times New Roman" w:hAnsi="Times New Roman" w:cs="Times New Roman"/>
        </w:rPr>
      </w:pPr>
      <w:r>
        <w:rPr>
          <w:rFonts w:ascii="仿宋_GB2312" w:eastAsia="仿宋_GB2312" w:hAnsi="仿宋_GB2312" w:cs="仿宋_GB2312"/>
          <w:sz w:val="28"/>
          <w:szCs w:val="28"/>
        </w:rPr>
        <w:t>中标供应商提供的服务人员需要符合以下条件：</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1.能熟练运用电脑办公软件，汉字录入速度不低于80字/分钟；</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2.具有一定的税收基本业务知识，取得会计、税务类相关证书或考试合格证明，具备电话热线工作经验，其中财会、税收等财税经济类专业或具有相关财税工作经验的人员，不得少于</w:t>
      </w:r>
      <w:r>
        <w:rPr>
          <w:rFonts w:ascii="仿宋_GB2312" w:eastAsia="仿宋_GB2312" w:hAnsi="仿宋_GB2312" w:cs="仿宋_GB2312"/>
          <w:sz w:val="28"/>
          <w:szCs w:val="28"/>
        </w:rPr>
        <w:t>6</w:t>
      </w:r>
      <w:r>
        <w:rPr>
          <w:rFonts w:ascii="仿宋_GB2312" w:eastAsia="仿宋_GB2312" w:hAnsi="仿宋_GB2312" w:cs="仿宋_GB2312"/>
          <w:sz w:val="28"/>
          <w:szCs w:val="28"/>
        </w:rPr>
        <w:t>人；</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3.普通话发音基本标准，语调自然，表达流畅，具备较强的服务意识和良好的语言表达能力、沟通能力、记忆能力、心理承受能力和学习能力；</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4.身体健康；</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5.12366热线人员上岗前由中标方组织培训，经考核通过后方能上岗</w:t>
      </w:r>
      <w:r>
        <w:rPr>
          <w:rFonts w:ascii="仿宋_GB2312" w:eastAsia="仿宋_GB2312" w:hAnsi="仿宋_GB2312" w:cs="仿宋_GB2312"/>
          <w:sz w:val="28"/>
          <w:szCs w:val="28"/>
        </w:rPr>
        <w:t>；</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6.符合采购方要求及日常管理工作规范。</w:t>
      </w:r>
    </w:p>
    <w:p>
      <w:pPr>
        <w:pStyle w:val="Heading2"/>
        <w:keepNext w:val="0"/>
        <w:spacing w:before="0" w:after="0" w:line="360" w:lineRule="auto"/>
        <w:rPr>
          <w:rFonts w:ascii="仿宋_GB2312" w:eastAsia="仿宋_GB2312" w:hAnsi="仿宋_GB2312" w:cs="仿宋_GB2312"/>
          <w:b/>
          <w:bCs/>
          <w:sz w:val="28"/>
          <w:szCs w:val="28"/>
        </w:rPr>
      </w:pPr>
      <w:bookmarkStart w:id="32" w:name="_Toc256000029"/>
      <w:r>
        <w:rPr>
          <w:rFonts w:ascii="仿宋_GB2312" w:eastAsia="仿宋_GB2312" w:hAnsi="仿宋_GB2312" w:cs="仿宋_GB2312"/>
          <w:i w:val="0"/>
          <w:iCs w:val="0"/>
        </w:rPr>
        <w:t>4.4优选资质/优选指标</w:t>
      </w:r>
      <w:bookmarkEnd w:id="32"/>
    </w:p>
    <w:p>
      <w:pPr>
        <w:pStyle w:val="Heading1"/>
        <w:keepNext w:val="0"/>
        <w:spacing w:before="0" w:after="0" w:line="360" w:lineRule="auto"/>
        <w:jc w:val="center"/>
        <w:rPr>
          <w:rFonts w:ascii="仿宋_GB2312" w:eastAsia="仿宋_GB2312" w:hAnsi="仿宋_GB2312" w:cs="仿宋_GB2312"/>
          <w:b/>
          <w:bCs/>
          <w:sz w:val="32"/>
          <w:szCs w:val="32"/>
        </w:rPr>
      </w:pPr>
      <w:bookmarkStart w:id="33" w:name="_Toc256000030"/>
      <w:r>
        <w:rPr>
          <w:rFonts w:ascii="仿宋_GB2312" w:eastAsia="仿宋_GB2312" w:hAnsi="仿宋_GB2312" w:cs="仿宋_GB2312"/>
          <w:kern w:val="36"/>
        </w:rPr>
        <w:t>5管理实施要求</w:t>
      </w:r>
      <w:bookmarkEnd w:id="33"/>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（一）</w:t>
      </w:r>
      <w:r>
        <w:rPr>
          <w:rFonts w:ascii="仿宋_GB2312" w:eastAsia="仿宋_GB2312" w:hAnsi="仿宋_GB2312" w:cs="仿宋_GB2312"/>
          <w:sz w:val="28"/>
          <w:szCs w:val="28"/>
        </w:rPr>
        <w:t>实施要求</w:t>
      </w:r>
      <w:r>
        <w:rPr>
          <w:rFonts w:ascii="仿宋_GB2312" w:eastAsia="仿宋_GB2312" w:hAnsi="仿宋_GB2312" w:cs="仿宋_GB2312"/>
          <w:sz w:val="28"/>
          <w:szCs w:val="28"/>
        </w:rPr>
        <w:t>         </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1. </w:t>
      </w:r>
      <w:r>
        <w:rPr>
          <w:rFonts w:ascii="仿宋_GB2312" w:eastAsia="仿宋_GB2312" w:hAnsi="仿宋_GB2312" w:cs="仿宋_GB2312"/>
          <w:sz w:val="28"/>
          <w:szCs w:val="28"/>
        </w:rPr>
        <w:t>中标方应提供所有座席人员的身份信息资料。</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2. </w:t>
      </w:r>
      <w:r>
        <w:rPr>
          <w:rFonts w:ascii="仿宋_GB2312" w:eastAsia="仿宋_GB2312" w:hAnsi="仿宋_GB2312" w:cs="仿宋_GB2312"/>
          <w:sz w:val="28"/>
          <w:szCs w:val="28"/>
        </w:rPr>
        <w:t>服务期内发生各种事故：包括安全、交通、防火和劳资纠纷等事件均由中标方承担相应责任。</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3. </w:t>
      </w:r>
      <w:r>
        <w:rPr>
          <w:rFonts w:ascii="仿宋_GB2312" w:eastAsia="仿宋_GB2312" w:hAnsi="仿宋_GB2312" w:cs="仿宋_GB2312"/>
          <w:sz w:val="28"/>
          <w:szCs w:val="28"/>
        </w:rPr>
        <w:t>中标方需确保所提供服务的工作时长，工作期间不得擅离职守，注重仪容仪表、工作态度，保证为纳税人提供准确、快捷的纳税服务。</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4. </w:t>
      </w:r>
      <w:r>
        <w:rPr>
          <w:rFonts w:ascii="仿宋_GB2312" w:eastAsia="仿宋_GB2312" w:hAnsi="仿宋_GB2312" w:cs="仿宋_GB2312"/>
          <w:sz w:val="28"/>
          <w:szCs w:val="28"/>
        </w:rPr>
        <w:t>中标方需确保提供座席服务过程中遵守采购方各项廉洁纪律，做到认真履行工作职责，谨言慎行，坚决不做损害纳税人利益和损害税务机关形象的事情。</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5. </w:t>
      </w:r>
      <w:r>
        <w:rPr>
          <w:rFonts w:ascii="仿宋_GB2312" w:eastAsia="仿宋_GB2312" w:hAnsi="仿宋_GB2312" w:cs="仿宋_GB2312"/>
          <w:sz w:val="28"/>
          <w:szCs w:val="28"/>
        </w:rPr>
        <w:t>如采购方对中标方提供的人员出现</w:t>
      </w:r>
      <w:r>
        <w:rPr>
          <w:rFonts w:ascii="仿宋_GB2312" w:eastAsia="仿宋_GB2312" w:hAnsi="仿宋_GB2312" w:cs="仿宋_GB2312"/>
          <w:sz w:val="28"/>
          <w:szCs w:val="28"/>
        </w:rPr>
        <w:t>3次不服从管理、违反采购方制定的相关规章制度，采购方可以要求更换，中标方必须及时且无条件的为采购方更换合格的人员。</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6. </w:t>
      </w:r>
      <w:r>
        <w:rPr>
          <w:rFonts w:ascii="仿宋_GB2312" w:eastAsia="仿宋_GB2312" w:hAnsi="仿宋_GB2312" w:cs="仿宋_GB2312"/>
          <w:sz w:val="28"/>
          <w:szCs w:val="28"/>
        </w:rPr>
        <w:t>服务期内，采购方按月度对中标方的工作质量、履约情况、工作配合度等进行综合评价，评价合格则继续履行服务合同。如项目服务未达到要求，则采购方上报监管部门终止服务合同。</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7. </w:t>
      </w:r>
      <w:r>
        <w:rPr>
          <w:rFonts w:ascii="仿宋_GB2312" w:eastAsia="仿宋_GB2312" w:hAnsi="仿宋_GB2312" w:cs="仿宋_GB2312"/>
          <w:sz w:val="28"/>
          <w:szCs w:val="28"/>
        </w:rPr>
        <w:t>对服务人员的撤换或辞退等须经采购方同意认可。</w:t>
      </w:r>
      <w:r>
        <w:rPr>
          <w:rFonts w:ascii="仿宋_GB2312" w:eastAsia="仿宋_GB2312" w:hAnsi="仿宋_GB2312" w:cs="仿宋_GB2312"/>
          <w:sz w:val="28"/>
          <w:szCs w:val="28"/>
        </w:rPr>
        <w:t xml:space="preserve">      </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（二）</w:t>
      </w:r>
      <w:r>
        <w:rPr>
          <w:rFonts w:ascii="仿宋_GB2312" w:eastAsia="仿宋_GB2312" w:hAnsi="仿宋_GB2312" w:cs="仿宋_GB2312"/>
          <w:sz w:val="28"/>
          <w:szCs w:val="28"/>
        </w:rPr>
        <w:t>应急服务要求</w:t>
      </w:r>
      <w:r>
        <w:rPr>
          <w:rFonts w:ascii="仿宋_GB2312" w:eastAsia="仿宋_GB2312" w:hAnsi="仿宋_GB2312" w:cs="仿宋_GB2312"/>
          <w:sz w:val="28"/>
          <w:szCs w:val="28"/>
        </w:rPr>
        <w:t xml:space="preserve">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要求中标方必须建立和完善突发事件的应急预案和处理机制，防患于未然。当出现不可预知的紧急情况时，保证服务正常开展。</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（三）</w:t>
      </w:r>
      <w:r>
        <w:rPr>
          <w:rFonts w:ascii="仿宋_GB2312" w:eastAsia="仿宋_GB2312" w:hAnsi="仿宋_GB2312" w:cs="仿宋_GB2312"/>
          <w:sz w:val="28"/>
          <w:szCs w:val="28"/>
        </w:rPr>
        <w:t>人员保密要求</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1.中标方签订合同前必须按照国家相关保密规定和采购方签订《保密协议》，对违反《保密协议》相关内容规定的，采购方有权追究其法律责任。所有服务人员必须严格遵守国家、地方、行业相关保密管理政策规定。</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2.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       </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（四）人员稳定性要求</w:t>
      </w:r>
      <w:r>
        <w:rPr>
          <w:rFonts w:ascii="仿宋_GB2312" w:eastAsia="仿宋_GB2312" w:hAnsi="仿宋_GB2312" w:cs="仿宋_GB2312"/>
          <w:sz w:val="28"/>
          <w:szCs w:val="28"/>
        </w:rPr>
        <w:t>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在服务期间，未经采购方同意，中标方不得随意更换座席人员。座席人员因为请假、调走、辞职或被中标方辞退等原因导致座席人员不足时，需及时安排远程</w:t>
      </w:r>
      <w:r>
        <w:rPr>
          <w:rFonts w:ascii="仿宋_GB2312" w:eastAsia="仿宋_GB2312" w:hAnsi="仿宋_GB2312" w:cs="仿宋_GB2312"/>
          <w:sz w:val="28"/>
          <w:szCs w:val="28"/>
        </w:rPr>
        <w:t>替接人员以满足区局接听需求。服务人员因为调走、辞职或被中标方辞退等原因导致服务人员不足时，需在三天内补充，缺席人数不能同时超过</w:t>
      </w:r>
      <w:r>
        <w:rPr>
          <w:rFonts w:ascii="仿宋_GB2312" w:eastAsia="仿宋_GB2312" w:hAnsi="仿宋_GB2312" w:cs="仿宋_GB2312"/>
          <w:sz w:val="28"/>
          <w:szCs w:val="28"/>
        </w:rPr>
        <w:t>2人，中标方在3天内未能及时补齐符合完成项目需求的服务人员，每月不得超过二次，否则视为中标方违约，采购方有权终止合同。           </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五</w:t>
      </w:r>
      <w:r>
        <w:rPr>
          <w:rFonts w:ascii="仿宋_GB2312" w:eastAsia="仿宋_GB2312" w:hAnsi="仿宋_GB2312" w:cs="仿宋_GB2312"/>
          <w:sz w:val="28"/>
          <w:szCs w:val="28"/>
        </w:rPr>
        <w:t>）</w:t>
      </w:r>
      <w:r>
        <w:rPr>
          <w:rFonts w:ascii="仿宋_GB2312" w:eastAsia="仿宋_GB2312" w:hAnsi="仿宋_GB2312" w:cs="仿宋_GB2312"/>
          <w:sz w:val="28"/>
          <w:szCs w:val="28"/>
        </w:rPr>
        <w:t>保密要求</w:t>
      </w:r>
      <w:r>
        <w:rPr>
          <w:rFonts w:ascii="仿宋_GB2312" w:eastAsia="仿宋_GB2312" w:hAnsi="仿宋_GB2312" w:cs="仿宋_GB2312"/>
          <w:sz w:val="28"/>
          <w:szCs w:val="28"/>
        </w:rPr>
        <w:t xml:space="preserve">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pPr>
        <w:pStyle w:val="15"/>
        <w:spacing w:before="0" w:after="0" w:line="360" w:lineRule="auto"/>
        <w:ind w:left="77" w:firstLine="0"/>
        <w:rPr>
          <w:rFonts w:ascii="Times New Roman" w:eastAsia="Times New Roman" w:hAnsi="Times New Roman" w:cs="Times New Roman"/>
        </w:rPr>
      </w:pPr>
      <w:r>
        <w:rPr>
          <w:rFonts w:ascii="仿宋_GB2312" w:eastAsia="仿宋_GB2312" w:hAnsi="仿宋_GB2312" w:cs="仿宋_GB2312"/>
          <w:sz w:val="28"/>
          <w:szCs w:val="28"/>
        </w:rPr>
        <w:t>（六）</w:t>
      </w:r>
      <w:r>
        <w:rPr>
          <w:rFonts w:ascii="仿宋_GB2312" w:eastAsia="仿宋_GB2312" w:hAnsi="仿宋_GB2312" w:cs="仿宋_GB2312"/>
          <w:sz w:val="28"/>
          <w:szCs w:val="28"/>
        </w:rPr>
        <w:t>进驻和接管要求</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签订合同之日起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w:t>
      </w:r>
      <w:r>
        <w:rPr>
          <w:rFonts w:ascii="仿宋_GB2312" w:eastAsia="仿宋_GB2312" w:hAnsi="仿宋_GB2312" w:cs="仿宋_GB2312"/>
          <w:sz w:val="28"/>
          <w:szCs w:val="28"/>
        </w:rPr>
        <w:t>进驻、接管保留相关记录。</w:t>
      </w:r>
      <w:r>
        <w:rPr>
          <w:rFonts w:ascii="仿宋_GB2312" w:eastAsia="仿宋_GB2312" w:hAnsi="仿宋_GB2312" w:cs="仿宋_GB2312"/>
          <w:sz w:val="28"/>
          <w:szCs w:val="28"/>
        </w:rPr>
        <w:t xml:space="preserve">    </w:t>
      </w:r>
    </w:p>
    <w:p>
      <w:pPr>
        <w:pStyle w:val="15"/>
        <w:spacing w:before="0" w:after="0" w:line="360" w:lineRule="auto"/>
        <w:ind w:left="77" w:firstLine="0"/>
        <w:rPr>
          <w:rFonts w:ascii="Times New Roman" w:eastAsia="Times New Roman" w:hAnsi="Times New Roman" w:cs="Times New Roman"/>
        </w:rPr>
      </w:pPr>
      <w:r>
        <w:rPr>
          <w:rFonts w:ascii="仿宋_GB2312" w:eastAsia="仿宋_GB2312" w:hAnsi="仿宋_GB2312" w:cs="仿宋_GB2312"/>
          <w:sz w:val="28"/>
          <w:szCs w:val="28"/>
        </w:rPr>
        <w:t>（七）</w:t>
      </w:r>
      <w:r>
        <w:rPr>
          <w:rFonts w:ascii="仿宋_GB2312" w:eastAsia="仿宋_GB2312" w:hAnsi="仿宋_GB2312" w:cs="仿宋_GB2312"/>
          <w:sz w:val="28"/>
          <w:szCs w:val="28"/>
        </w:rPr>
        <w:t>费用分割</w:t>
      </w:r>
      <w:r>
        <w:rPr>
          <w:rFonts w:ascii="仿宋_GB2312" w:eastAsia="仿宋_GB2312" w:hAnsi="仿宋_GB2312" w:cs="仿宋_GB2312"/>
          <w:sz w:val="28"/>
          <w:szCs w:val="28"/>
        </w:rPr>
        <w:t>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如因中标方引起的劳资纠纷问题，影响正常工作的，采购方有权另行聘请人员确保正常工作，所产生的费用由中标方承担，采购方不承担所产生的任何费用。</w:t>
      </w:r>
      <w:r>
        <w:rPr>
          <w:rFonts w:ascii="仿宋_GB2312" w:eastAsia="仿宋_GB2312" w:hAnsi="仿宋_GB2312" w:cs="仿宋_GB2312"/>
          <w:sz w:val="28"/>
          <w:szCs w:val="28"/>
        </w:rPr>
        <w:t>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中标方在合同生效前对全部座席人员完成岗前培训，保障本项目在合同生效后顺利开展。培训实施后，对参加培训的座席人员进行考核，要求事先编制详细的考核计划和考核标准，考核通过后方可正式上岗。</w:t>
      </w:r>
    </w:p>
    <w:p>
      <w:pPr>
        <w:pStyle w:val="MsoNormal"/>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3.本项目开展工作所需的场地、办公家具、软硬件设备、水电费用、网络费用等由采购人承担。</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4.项目座席人员工装费用、</w:t>
      </w:r>
      <w:r>
        <w:rPr>
          <w:rFonts w:ascii="仿宋_GB2312" w:eastAsia="仿宋_GB2312" w:hAnsi="仿宋_GB2312" w:cs="仿宋_GB2312"/>
          <w:sz w:val="28"/>
          <w:szCs w:val="28"/>
        </w:rPr>
        <w:t>8</w:t>
      </w:r>
      <w:r>
        <w:rPr>
          <w:rFonts w:ascii="仿宋_GB2312" w:eastAsia="仿宋_GB2312" w:hAnsi="仿宋_GB2312" w:cs="仿宋_GB2312"/>
          <w:sz w:val="28"/>
          <w:szCs w:val="28"/>
        </w:rPr>
        <w:t>套接听设备（能进行网络连接和IP地址配置的IP话机）由中标供应商承担。</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5.项目座席人员自愿在采购人食堂用早午餐，费用自理。</w:t>
      </w:r>
    </w:p>
    <w:p>
      <w:pPr>
        <w:pStyle w:val="15"/>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 xml:space="preserve"> （八）履约责任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1.中标供应商在服务过程中应满足本需求书提出的运行质量标准，若出现重大失误或重大事故并给</w:t>
      </w:r>
      <w:r>
        <w:rPr>
          <w:rFonts w:ascii="仿宋_GB2312" w:eastAsia="仿宋_GB2312" w:hAnsi="仿宋_GB2312" w:cs="仿宋_GB2312"/>
          <w:sz w:val="28"/>
          <w:szCs w:val="28"/>
        </w:rPr>
        <w:t>国家税务总局天津市滨海新区税务局</w:t>
      </w:r>
      <w:r>
        <w:rPr>
          <w:rFonts w:ascii="仿宋_GB2312" w:eastAsia="仿宋_GB2312" w:hAnsi="仿宋_GB2312" w:cs="仿宋_GB2312"/>
          <w:sz w:val="28"/>
          <w:szCs w:val="28"/>
        </w:rPr>
        <w:t>造成损失，</w:t>
      </w:r>
      <w:r>
        <w:rPr>
          <w:rFonts w:ascii="仿宋_GB2312" w:eastAsia="仿宋_GB2312" w:hAnsi="仿宋_GB2312" w:cs="仿宋_GB2312"/>
          <w:sz w:val="28"/>
          <w:szCs w:val="28"/>
        </w:rPr>
        <w:t>国家税务总局天津市滨海新区税务局</w:t>
      </w:r>
      <w:r>
        <w:rPr>
          <w:rFonts w:ascii="仿宋_GB2312" w:eastAsia="仿宋_GB2312" w:hAnsi="仿宋_GB2312" w:cs="仿宋_GB2312"/>
          <w:sz w:val="28"/>
          <w:szCs w:val="28"/>
        </w:rPr>
        <w:t>有权终止合同，停止付款并要求中标供应商赔偿实际造成的</w:t>
      </w:r>
      <w:r>
        <w:rPr>
          <w:rFonts w:ascii="仿宋_GB2312" w:eastAsia="仿宋_GB2312" w:hAnsi="仿宋_GB2312" w:cs="仿宋_GB2312"/>
          <w:sz w:val="28"/>
          <w:szCs w:val="28"/>
        </w:rPr>
        <w:t>损失。</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2.中标供应商每月度服务质效考核验收未达到规定标准的，</w:t>
      </w:r>
      <w:r>
        <w:rPr>
          <w:rFonts w:ascii="仿宋_GB2312" w:eastAsia="仿宋_GB2312" w:hAnsi="仿宋_GB2312" w:cs="仿宋_GB2312"/>
          <w:sz w:val="28"/>
          <w:szCs w:val="28"/>
        </w:rPr>
        <w:t>国家税务总局天津市滨海新区税务局</w:t>
      </w:r>
      <w:r>
        <w:rPr>
          <w:rFonts w:ascii="仿宋_GB2312" w:eastAsia="仿宋_GB2312" w:hAnsi="仿宋_GB2312" w:cs="仿宋_GB2312"/>
          <w:sz w:val="28"/>
          <w:szCs w:val="28"/>
        </w:rPr>
        <w:t>按照供应商月度服务费的</w:t>
      </w:r>
      <w:r>
        <w:rPr>
          <w:rFonts w:ascii="仿宋_GB2312" w:eastAsia="仿宋_GB2312" w:hAnsi="仿宋_GB2312" w:cs="仿宋_GB2312"/>
          <w:sz w:val="28"/>
          <w:szCs w:val="28"/>
        </w:rPr>
        <w:t>1‰-5‰进行扣减</w:t>
      </w:r>
      <w:r>
        <w:rPr>
          <w:rFonts w:ascii="仿宋_GB2312" w:eastAsia="仿宋_GB2312" w:hAnsi="仿宋_GB2312" w:cs="仿宋_GB2312"/>
          <w:sz w:val="28"/>
          <w:szCs w:val="28"/>
        </w:rPr>
        <w:t>。</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3.中标供应商每月度评价满意率低于要求的，</w:t>
      </w:r>
      <w:r>
        <w:rPr>
          <w:rFonts w:ascii="仿宋_GB2312" w:eastAsia="仿宋_GB2312" w:hAnsi="仿宋_GB2312" w:cs="仿宋_GB2312"/>
          <w:sz w:val="28"/>
          <w:szCs w:val="28"/>
        </w:rPr>
        <w:t>国家税务总局天津市滨海新区税务局</w:t>
      </w:r>
      <w:r>
        <w:rPr>
          <w:rFonts w:ascii="仿宋_GB2312" w:eastAsia="仿宋_GB2312" w:hAnsi="仿宋_GB2312" w:cs="仿宋_GB2312"/>
          <w:sz w:val="28"/>
          <w:szCs w:val="28"/>
        </w:rPr>
        <w:t>按照供应商月度服务费的</w:t>
      </w:r>
      <w:r>
        <w:rPr>
          <w:rFonts w:ascii="仿宋_GB2312" w:eastAsia="仿宋_GB2312" w:hAnsi="仿宋_GB2312" w:cs="仿宋_GB2312"/>
          <w:sz w:val="28"/>
          <w:szCs w:val="28"/>
        </w:rPr>
        <w:t>1‰-5‰进行</w:t>
      </w:r>
      <w:r>
        <w:rPr>
          <w:rFonts w:ascii="仿宋_GB2312" w:eastAsia="仿宋_GB2312" w:hAnsi="仿宋_GB2312" w:cs="仿宋_GB2312"/>
          <w:sz w:val="28"/>
          <w:szCs w:val="28"/>
        </w:rPr>
        <w:t>扣</w:t>
      </w:r>
      <w:r>
        <w:rPr>
          <w:rFonts w:ascii="仿宋_GB2312" w:eastAsia="仿宋_GB2312" w:hAnsi="仿宋_GB2312" w:cs="仿宋_GB2312"/>
          <w:sz w:val="28"/>
          <w:szCs w:val="28"/>
        </w:rPr>
        <w:t>减</w:t>
      </w:r>
      <w:r>
        <w:rPr>
          <w:rFonts w:ascii="仿宋_GB2312" w:eastAsia="仿宋_GB2312" w:hAnsi="仿宋_GB2312" w:cs="仿宋_GB2312"/>
          <w:sz w:val="28"/>
          <w:szCs w:val="28"/>
        </w:rPr>
        <w:t>。</w:t>
      </w:r>
      <w:r>
        <w:rPr>
          <w:rFonts w:ascii="仿宋_GB2312" w:eastAsia="仿宋_GB2312" w:hAnsi="仿宋_GB2312" w:cs="仿宋_GB2312"/>
          <w:sz w:val="28"/>
          <w:szCs w:val="28"/>
        </w:rPr>
        <w:t xml:space="preserve">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4.中标供应商每月度被投诉数量超过来电总量的万分之一，经</w:t>
      </w:r>
      <w:r>
        <w:rPr>
          <w:rFonts w:ascii="仿宋_GB2312" w:eastAsia="仿宋_GB2312" w:hAnsi="仿宋_GB2312" w:cs="仿宋_GB2312"/>
          <w:sz w:val="28"/>
          <w:szCs w:val="28"/>
        </w:rPr>
        <w:t>国家税务总局天津市滨海新区税务局</w:t>
      </w:r>
      <w:r>
        <w:rPr>
          <w:rFonts w:ascii="仿宋_GB2312" w:eastAsia="仿宋_GB2312" w:hAnsi="仿宋_GB2312" w:cs="仿宋_GB2312"/>
          <w:sz w:val="28"/>
          <w:szCs w:val="28"/>
        </w:rPr>
        <w:t>调查属实且认为</w:t>
      </w:r>
      <w:r>
        <w:rPr>
          <w:rFonts w:ascii="仿宋_GB2312" w:eastAsia="仿宋_GB2312" w:hAnsi="仿宋_GB2312" w:cs="仿宋_GB2312"/>
          <w:spacing w:val="-20"/>
          <w:sz w:val="28"/>
          <w:szCs w:val="28"/>
        </w:rPr>
        <w:t>投诉合理则按照供应商月度服务费的</w:t>
      </w:r>
      <w:r>
        <w:rPr>
          <w:rFonts w:ascii="仿宋_GB2312" w:eastAsia="仿宋_GB2312" w:hAnsi="仿宋_GB2312" w:cs="仿宋_GB2312"/>
          <w:spacing w:val="-20"/>
          <w:sz w:val="28"/>
          <w:szCs w:val="28"/>
        </w:rPr>
        <w:t>1‰-5‰进行扣</w:t>
      </w:r>
      <w:r>
        <w:rPr>
          <w:rFonts w:ascii="仿宋_GB2312" w:eastAsia="仿宋_GB2312" w:hAnsi="仿宋_GB2312" w:cs="仿宋_GB2312"/>
          <w:spacing w:val="-20"/>
          <w:sz w:val="28"/>
          <w:szCs w:val="28"/>
        </w:rPr>
        <w:t>减</w:t>
      </w:r>
      <w:r>
        <w:rPr>
          <w:rFonts w:ascii="仿宋_GB2312" w:eastAsia="仿宋_GB2312" w:hAnsi="仿宋_GB2312" w:cs="仿宋_GB2312"/>
          <w:spacing w:val="-20"/>
          <w:sz w:val="28"/>
          <w:szCs w:val="28"/>
        </w:rPr>
        <w:t>。</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5.中标供应商运行管理不到位、服务不规范、未按照要求履行工作职责产生负面影响的，或被通报批评产生负面影响的，</w:t>
      </w:r>
      <w:r>
        <w:rPr>
          <w:rFonts w:ascii="仿宋_GB2312" w:eastAsia="仿宋_GB2312" w:hAnsi="仿宋_GB2312" w:cs="仿宋_GB2312"/>
          <w:sz w:val="28"/>
          <w:szCs w:val="28"/>
        </w:rPr>
        <w:t>国家税务总局天津市滨海新区税务局</w:t>
      </w:r>
      <w:r>
        <w:rPr>
          <w:rFonts w:ascii="仿宋_GB2312" w:eastAsia="仿宋_GB2312" w:hAnsi="仿宋_GB2312" w:cs="仿宋_GB2312"/>
          <w:sz w:val="28"/>
          <w:szCs w:val="28"/>
        </w:rPr>
        <w:t>按照供应商月度服务费的</w:t>
      </w:r>
      <w:r>
        <w:rPr>
          <w:rFonts w:ascii="仿宋_GB2312" w:eastAsia="仿宋_GB2312" w:hAnsi="仿宋_GB2312" w:cs="仿宋_GB2312"/>
          <w:sz w:val="28"/>
          <w:szCs w:val="28"/>
        </w:rPr>
        <w:t>1‰-5‰进行扣减。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6.未经采购方同意，中标方不得将承包项目发包或转包，否则，视为中标方违约，采购方有权解除服务合同。</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 xml:space="preserve">7.若中标方在1年内违反其服务承诺或以下情况三次或以上，则视为中标方违约，采购方有权拒绝支付本期项目服务费，并终止合同。 </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1）非税务机关责任，导致服务出现质量问题。</w:t>
      </w:r>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2）没有按照采购方要求对服务人员进行管理、培训、调配。</w:t>
      </w:r>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6风险管控要求</w:t>
      </w:r>
      <w:bookmarkEnd w:id="34"/>
    </w:p>
    <w:p>
      <w:pPr>
        <w:pStyle w:val="15"/>
        <w:spacing w:before="0" w:after="0" w:line="360" w:lineRule="auto"/>
        <w:ind w:firstLine="560"/>
        <w:rPr>
          <w:rFonts w:ascii="Times New Roman" w:eastAsia="Times New Roman" w:hAnsi="Times New Roman" w:cs="Times New Roman"/>
        </w:rPr>
      </w:pPr>
      <w:r>
        <w:rPr>
          <w:rFonts w:ascii="仿宋_GB2312" w:eastAsia="仿宋_GB2312" w:hAnsi="仿宋_GB2312" w:cs="仿宋_GB2312"/>
          <w:sz w:val="28"/>
          <w:szCs w:val="28"/>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Pr>
          <w:rFonts w:ascii="仿宋_GB2312" w:eastAsia="仿宋_GB2312" w:hAnsi="仿宋_GB2312" w:cs="仿宋_GB2312"/>
          <w:sz w:val="28"/>
          <w:szCs w:val="28"/>
        </w:rPr>
        <w:t>，</w:t>
      </w:r>
      <w:r>
        <w:rPr>
          <w:rFonts w:ascii="仿宋_GB2312" w:eastAsia="仿宋_GB2312" w:hAnsi="仿宋_GB2312" w:cs="仿宋_GB2312"/>
          <w:sz w:val="28"/>
          <w:szCs w:val="28"/>
        </w:rPr>
        <w:t>采取应急措施</w:t>
      </w:r>
      <w:r>
        <w:rPr>
          <w:rFonts w:ascii="仿宋_GB2312" w:eastAsia="仿宋_GB2312" w:hAnsi="仿宋_GB2312" w:cs="仿宋_GB2312"/>
          <w:sz w:val="28"/>
          <w:szCs w:val="28"/>
        </w:rPr>
        <w:t>，</w:t>
      </w:r>
      <w:r>
        <w:rPr>
          <w:rFonts w:ascii="仿宋_GB2312" w:eastAsia="仿宋_GB2312" w:hAnsi="仿宋_GB2312" w:cs="仿宋_GB2312"/>
          <w:sz w:val="28"/>
          <w:szCs w:val="28"/>
        </w:rPr>
        <w:t>最大限度减少各方损失。</w:t>
      </w:r>
    </w:p>
    <w:p>
      <w:pPr>
        <w:pStyle w:val="Heading1"/>
        <w:keepNext w:val="0"/>
        <w:spacing w:before="0" w:after="0" w:line="360" w:lineRule="auto"/>
        <w:jc w:val="center"/>
        <w:rPr>
          <w:rFonts w:ascii="仿宋_GB2312" w:eastAsia="仿宋_GB2312" w:hAnsi="仿宋_GB2312" w:cs="仿宋_GB2312"/>
          <w:b/>
          <w:bCs/>
          <w:sz w:val="32"/>
          <w:szCs w:val="32"/>
        </w:rPr>
      </w:pPr>
      <w:bookmarkStart w:id="35" w:name="_Toc256000032"/>
      <w:r>
        <w:rPr>
          <w:rFonts w:ascii="仿宋_GB2312" w:eastAsia="仿宋_GB2312" w:hAnsi="仿宋_GB2312" w:cs="仿宋_GB2312"/>
          <w:kern w:val="36"/>
        </w:rPr>
        <w:t>7履约验收要求</w:t>
      </w:r>
      <w:bookmarkEnd w:id="35"/>
    </w:p>
    <w:p>
      <w:pPr>
        <w:pStyle w:val="Heading2"/>
        <w:keepNext w:val="0"/>
        <w:spacing w:before="0" w:after="0" w:line="360" w:lineRule="auto"/>
        <w:rPr>
          <w:rFonts w:ascii="仿宋_GB2312" w:eastAsia="仿宋_GB2312" w:hAnsi="仿宋_GB2312" w:cs="仿宋_GB2312"/>
          <w:b/>
          <w:bCs/>
          <w:sz w:val="28"/>
          <w:szCs w:val="28"/>
        </w:rPr>
      </w:pPr>
      <w:bookmarkStart w:id="36" w:name="_Toc256000033"/>
      <w:r>
        <w:rPr>
          <w:rFonts w:ascii="仿宋_GB2312" w:eastAsia="仿宋_GB2312" w:hAnsi="仿宋_GB2312" w:cs="仿宋_GB2312"/>
          <w:i w:val="0"/>
          <w:iCs w:val="0"/>
        </w:rPr>
        <w:t>7.1总体要求</w:t>
      </w:r>
      <w:bookmarkEnd w:id="36"/>
    </w:p>
    <w:tbl>
      <w:tblPr>
        <w:tblW w:w="5000" w:type="pct"/>
        <w:tblInd w:w="30" w:type="dxa"/>
        <w:tblCellMar>
          <w:top w:w="15" w:type="dxa"/>
          <w:left w:w="15" w:type="dxa"/>
          <w:bottom w:w="15" w:type="dxa"/>
          <w:right w:w="15" w:type="dxa"/>
        </w:tblCellMar>
      </w:tblPr>
      <w:tblGrid>
        <w:gridCol w:w="4665"/>
        <w:gridCol w:w="4665"/>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服务方应按期按要求提供服务</w:t>
            </w:r>
          </w:p>
        </w:tc>
      </w:tr>
    </w:tbl>
    <w:p>
      <w:pPr>
        <w:pStyle w:val="Heading2"/>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i w:val="0"/>
          <w:iCs w:val="0"/>
        </w:rPr>
        <w:t>7.2具体要求</w:t>
      </w:r>
      <w:bookmarkEnd w:id="37"/>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Heading1"/>
        <w:keepNext w:val="0"/>
        <w:spacing w:before="0" w:after="0" w:line="360" w:lineRule="auto"/>
        <w:jc w:val="center"/>
        <w:rPr>
          <w:rFonts w:ascii="仿宋_GB2312" w:eastAsia="仿宋_GB2312" w:hAnsi="仿宋_GB2312" w:cs="仿宋_GB2312"/>
          <w:b/>
          <w:bCs/>
          <w:sz w:val="32"/>
          <w:szCs w:val="32"/>
        </w:rPr>
      </w:pPr>
      <w:bookmarkStart w:id="38" w:name="_Toc256000035"/>
      <w:r>
        <w:rPr>
          <w:rFonts w:ascii="仿宋_GB2312" w:eastAsia="仿宋_GB2312" w:hAnsi="仿宋_GB2312" w:cs="仿宋_GB2312"/>
          <w:kern w:val="36"/>
        </w:rPr>
        <w:t>8其他要求</w:t>
      </w:r>
      <w:bookmarkEnd w:id="38"/>
    </w:p>
    <w:p>
      <w:pPr>
        <w:pStyle w:val="Heading2"/>
        <w:keepNext w:val="0"/>
        <w:spacing w:before="0" w:after="0" w:line="360" w:lineRule="auto"/>
        <w:rPr>
          <w:rFonts w:ascii="仿宋_GB2312" w:eastAsia="仿宋_GB2312" w:hAnsi="仿宋_GB2312" w:cs="仿宋_GB2312"/>
          <w:b/>
          <w:bCs/>
          <w:sz w:val="28"/>
          <w:szCs w:val="28"/>
        </w:rPr>
      </w:pPr>
      <w:bookmarkStart w:id="39" w:name="_Toc256000036"/>
      <w:r>
        <w:rPr>
          <w:rFonts w:ascii="仿宋_GB2312" w:eastAsia="仿宋_GB2312" w:hAnsi="仿宋_GB2312" w:cs="仿宋_GB2312"/>
          <w:i w:val="0"/>
          <w:iCs w:val="0"/>
        </w:rPr>
        <w:t>8.1必备要求</w:t>
      </w:r>
      <w:bookmarkEnd w:id="39"/>
    </w:p>
    <w:p>
      <w:pPr>
        <w:pStyle w:val="Heading3"/>
        <w:keepNext w:val="0"/>
        <w:spacing w:before="0" w:after="0" w:line="360" w:lineRule="auto"/>
        <w:rPr>
          <w:rFonts w:ascii="仿宋_GB2312" w:eastAsia="仿宋_GB2312" w:hAnsi="仿宋_GB2312" w:cs="仿宋_GB2312"/>
          <w:b/>
          <w:bCs/>
          <w:sz w:val="28"/>
          <w:szCs w:val="28"/>
        </w:rPr>
      </w:pPr>
      <w:bookmarkStart w:id="40" w:name="_Toc256000037"/>
      <w:r>
        <w:rPr>
          <w:rFonts w:ascii="仿宋_GB2312" w:eastAsia="仿宋_GB2312" w:hAnsi="仿宋_GB2312" w:cs="仿宋_GB2312"/>
          <w:sz w:val="28"/>
          <w:szCs w:val="28"/>
        </w:rPr>
        <w:t>8.1.1通用必备要求</w:t>
      </w:r>
      <w:bookmarkEnd w:id="40"/>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i w:val="0"/>
          <w:iCs w:val="0"/>
        </w:rPr>
        <w:t>8.2付款安排建议</w:t>
      </w:r>
      <w:bookmarkEnd w:id="41"/>
    </w:p>
    <w:tbl>
      <w:tblPr>
        <w:tblW w:w="5000" w:type="pct"/>
        <w:tblInd w:w="30" w:type="dxa"/>
        <w:tblCellMar>
          <w:top w:w="15" w:type="dxa"/>
          <w:left w:w="15" w:type="dxa"/>
          <w:bottom w:w="15" w:type="dxa"/>
          <w:right w:w="15" w:type="dxa"/>
        </w:tblCellMar>
      </w:tblPr>
      <w:tblGrid>
        <w:gridCol w:w="1019"/>
        <w:gridCol w:w="9419"/>
        <w:gridCol w:w="1235"/>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甲方在每两次验收服务合格、收到发票后7个工作日内，支付乙方服务费（特殊情况以签订合同为准）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甲方在每两次验收服务合格、收到发票后7个工作日内，支付乙方服务费（特殊情况以签订合同为准）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甲方在每两次验收服务合格、收到发票后7个工作日内，支付乙方服务费（特殊情况以签订合同为准）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甲方在每两次验收服务合格、收到发票后7个工作日内，支付乙方服务费（特殊情况以签订合同为准）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r>
    </w:tbl>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8.3其他要求</w:t>
      </w:r>
      <w:bookmarkEnd w:id="42"/>
    </w:p>
    <w:p>
      <w:pPr>
        <w:pStyle w:val="Heading3"/>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sz w:val="28"/>
          <w:szCs w:val="28"/>
        </w:rPr>
        <w:t>8.3.1保密要求</w:t>
      </w:r>
      <w:bookmarkEnd w:id="43"/>
    </w:p>
    <w:p>
      <w:pPr>
        <w:pStyle w:val="15"/>
        <w:spacing w:before="0" w:after="0" w:line="360" w:lineRule="auto"/>
        <w:ind w:firstLine="641"/>
        <w:jc w:val="both"/>
        <w:rPr>
          <w:rFonts w:ascii="Times New Roman" w:eastAsia="Times New Roman" w:hAnsi="Times New Roman" w:cs="Times New Roman"/>
        </w:rPr>
      </w:pPr>
      <w:r>
        <w:rPr>
          <w:rFonts w:ascii="仿宋_GB2312" w:eastAsia="仿宋_GB2312" w:hAnsi="仿宋_GB2312" w:cs="仿宋_GB2312"/>
          <w:sz w:val="28"/>
          <w:szCs w:val="28"/>
        </w:rPr>
        <w:t>1.中标方签订合同前必须按照国家相关保密规定和采购方签订《保密协议》，对违反《保密协议》相关内容规定的，采购方有权追究其法律责任。所有服务人员必须严格遵守国家、地方、行业相关保密管理政策规定。</w:t>
      </w:r>
    </w:p>
    <w:p>
      <w:pPr>
        <w:pStyle w:val="15"/>
        <w:spacing w:before="0" w:after="0" w:line="360" w:lineRule="auto"/>
        <w:ind w:firstLine="641"/>
        <w:jc w:val="both"/>
        <w:rPr>
          <w:rFonts w:ascii="Times New Roman" w:eastAsia="Times New Roman" w:hAnsi="Times New Roman" w:cs="Times New Roman"/>
        </w:rPr>
      </w:pPr>
      <w:r>
        <w:rPr>
          <w:rFonts w:ascii="仿宋_GB2312" w:eastAsia="仿宋_GB2312" w:hAnsi="仿宋_GB2312" w:cs="仿宋_GB2312"/>
          <w:sz w:val="28"/>
          <w:szCs w:val="28"/>
        </w:rPr>
        <w:t>2.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8.3.2知识转移要求</w:t>
      </w:r>
      <w:bookmarkEnd w:id="44"/>
    </w:p>
    <w:p>
      <w:pPr>
        <w:pStyle w:val="Heading3"/>
        <w:keepNext w:val="0"/>
        <w:spacing w:before="0" w:after="0" w:line="360" w:lineRule="auto"/>
        <w:rPr>
          <w:rFonts w:ascii="仿宋_GB2312" w:eastAsia="仿宋_GB2312" w:hAnsi="仿宋_GB2312" w:cs="仿宋_GB2312"/>
          <w:b/>
          <w:bCs/>
          <w:sz w:val="28"/>
          <w:szCs w:val="28"/>
        </w:rPr>
      </w:pPr>
      <w:bookmarkStart w:id="45" w:name="_Toc256000042"/>
      <w:r>
        <w:rPr>
          <w:rFonts w:ascii="仿宋_GB2312" w:eastAsia="仿宋_GB2312" w:hAnsi="仿宋_GB2312" w:cs="仿宋_GB2312"/>
          <w:sz w:val="28"/>
          <w:szCs w:val="28"/>
        </w:rPr>
        <w:t>8.3.3知识产权要求</w:t>
      </w:r>
      <w:bookmarkEnd w:id="45"/>
    </w:p>
    <w:p>
      <w:pPr>
        <w:spacing w:before="0" w:after="0" w:line="360" w:lineRule="auto"/>
        <w:jc w:val="left"/>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16</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5">
    <w:name w:val="15"/>
    <w:basedOn w:val="Normal"/>
  </w:style>
  <w:style w:type="paragraph" w:customStyle="1" w:styleId="MsoNormal">
    <w:name w:val="MsoNormal"/>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16</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