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国家税务总局天津市税务局2025年机关食堂食材采购项目（主副食调料等其他类）</w:t>
      </w:r>
      <w:bookmarkEnd w:id="0"/>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1" w:name="生成日期_currentDateTime_ym"/>
      <w:r>
        <w:rPr>
          <w:rFonts w:ascii="宋体" w:eastAsia="宋体" w:hAnsi="宋体" w:cs="宋体" w:hint="eastAsia"/>
          <w:sz w:val="36"/>
          <w:szCs w:val="36"/>
          <w:lang w:eastAsia="zh-CN"/>
        </w:rPr>
        <w:t>2025年02月</w:t>
      </w:r>
      <w:bookmarkEnd w:id="1"/>
      <w:bookmarkStart w:id="2" w:name="_GoBack"/>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3.5.1质量安全把控服务要求</w:t>
        </w:r>
        <w:r>
          <w:tab/>
        </w:r>
        <w:r>
          <w:fldChar w:fldCharType="begin"/>
        </w:r>
        <w:r>
          <w:instrText xml:space="preserve"> PAGEREF _Toc256000025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3.5.2供应方案要求</w:t>
        </w:r>
        <w:r>
          <w:tab/>
        </w:r>
        <w:r>
          <w:fldChar w:fldCharType="begin"/>
        </w:r>
        <w:r>
          <w:instrText xml:space="preserve"> PAGEREF _Toc256000026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kern w:val="36"/>
          </w:rPr>
          <w:t>4人员要求</w:t>
        </w:r>
        <w:r>
          <w:tab/>
        </w:r>
        <w:r>
          <w:fldChar w:fldCharType="begin"/>
        </w:r>
        <w:r>
          <w:instrText xml:space="preserve"> PAGEREF _Toc256000027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4.1团队要求</w:t>
        </w:r>
        <w:r>
          <w:tab/>
        </w:r>
        <w:r>
          <w:fldChar w:fldCharType="begin"/>
        </w:r>
        <w:r>
          <w:instrText xml:space="preserve"> PAGEREF _Toc256000028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4.1.1基本要求</w:t>
        </w:r>
        <w:r>
          <w:tab/>
        </w:r>
        <w:r>
          <w:fldChar w:fldCharType="begin"/>
        </w:r>
        <w:r>
          <w:instrText xml:space="preserve"> PAGEREF _Toc256000029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rPr>
          <w:t>4.1.2优选资质/优选指标</w:t>
        </w:r>
        <w:r>
          <w:tab/>
        </w:r>
        <w:r>
          <w:fldChar w:fldCharType="begin"/>
        </w:r>
        <w:r>
          <w:instrText xml:space="preserve"> PAGEREF _Toc256000030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5管理实施要求</w:t>
        </w:r>
        <w:r>
          <w:tab/>
        </w:r>
        <w:r>
          <w:fldChar w:fldCharType="begin"/>
        </w:r>
        <w:r>
          <w:instrText xml:space="preserve"> PAGEREF _Toc256000031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6风险管控要求</w:t>
        </w:r>
        <w:r>
          <w:tab/>
        </w:r>
        <w:r>
          <w:fldChar w:fldCharType="begin"/>
        </w:r>
        <w:r>
          <w:instrText xml:space="preserve"> PAGEREF _Toc256000032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kern w:val="36"/>
          </w:rPr>
          <w:t>7履约验收要求</w:t>
        </w:r>
        <w:r>
          <w:tab/>
        </w:r>
        <w:r>
          <w:fldChar w:fldCharType="begin"/>
        </w:r>
        <w:r>
          <w:instrText xml:space="preserve"> PAGEREF _Toc256000033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7.1总体要求</w:t>
        </w:r>
        <w:r>
          <w:tab/>
        </w:r>
        <w:r>
          <w:fldChar w:fldCharType="begin"/>
        </w:r>
        <w:r>
          <w:instrText xml:space="preserve"> PAGEREF _Toc256000034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7.2具体要求</w:t>
        </w:r>
        <w:r>
          <w:tab/>
        </w:r>
        <w:r>
          <w:fldChar w:fldCharType="begin"/>
        </w:r>
        <w:r>
          <w:instrText xml:space="preserve"> PAGEREF _Toc256000035 \h </w:instrText>
        </w:r>
        <w:r>
          <w:fldChar w:fldCharType="separate"/>
        </w:r>
        <w:r>
          <w:t>12</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kern w:val="36"/>
          </w:rPr>
          <w:t>8其他要求</w:t>
        </w:r>
        <w:r>
          <w:tab/>
        </w:r>
        <w:r>
          <w:fldChar w:fldCharType="begin"/>
        </w:r>
        <w:r>
          <w:instrText xml:space="preserve"> PAGEREF _Toc256000036 \h </w:instrText>
        </w:r>
        <w:r>
          <w:fldChar w:fldCharType="separate"/>
        </w:r>
        <w:r>
          <w:t>14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8.1必备要求</w:t>
        </w:r>
        <w:r>
          <w:tab/>
        </w:r>
        <w:r>
          <w:fldChar w:fldCharType="begin"/>
        </w:r>
        <w:r>
          <w:instrText xml:space="preserve"> PAGEREF _Toc256000037 \h </w:instrText>
        </w:r>
        <w:r>
          <w:fldChar w:fldCharType="separate"/>
        </w:r>
        <w:r>
          <w:t>14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8.1.1通用必备要求</w:t>
        </w:r>
        <w:r>
          <w:tab/>
        </w:r>
        <w:r>
          <w:fldChar w:fldCharType="begin"/>
        </w:r>
        <w:r>
          <w:instrText xml:space="preserve"> PAGEREF _Toc256000038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8.2付款安排建议</w:t>
        </w:r>
        <w:r>
          <w:tab/>
        </w:r>
        <w:r>
          <w:fldChar w:fldCharType="begin"/>
        </w:r>
        <w:r>
          <w:instrText xml:space="preserve"> PAGEREF _Toc256000039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8.3其他要求</w:t>
        </w:r>
        <w:r>
          <w:tab/>
        </w:r>
        <w:r>
          <w:fldChar w:fldCharType="begin"/>
        </w:r>
        <w:r>
          <w:instrText xml:space="preserve"> PAGEREF _Toc256000040 \h </w:instrText>
        </w:r>
        <w:r>
          <w:fldChar w:fldCharType="separate"/>
        </w:r>
        <w:r>
          <w:t>17</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8.3.1保密要求</w:t>
        </w:r>
        <w:r>
          <w:tab/>
        </w:r>
        <w:r>
          <w:fldChar w:fldCharType="begin"/>
        </w:r>
        <w:r>
          <w:instrText xml:space="preserve"> PAGEREF _Toc256000041 \h </w:instrText>
        </w:r>
        <w:r>
          <w:fldChar w:fldCharType="separate"/>
        </w:r>
        <w:r>
          <w:t>17</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8.3.2知识产权要求</w:t>
        </w:r>
        <w:r>
          <w:tab/>
        </w:r>
        <w:r>
          <w:fldChar w:fldCharType="begin"/>
        </w:r>
        <w:r>
          <w:instrText xml:space="preserve"> PAGEREF _Toc256000042 \h </w:instrText>
        </w:r>
        <w:r>
          <w:fldChar w:fldCharType="separate"/>
        </w:r>
        <w:r>
          <w:t>17</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MsoNormal"/>
        <w:spacing w:before="0" w:after="0" w:line="360" w:lineRule="auto"/>
        <w:ind w:left="0" w:right="0" w:firstLine="420"/>
        <w:jc w:val="both"/>
        <w:rPr>
          <w:rFonts w:ascii="Calibri" w:eastAsia="Calibri" w:hAnsi="Calibri" w:cs="Calibri"/>
          <w:sz w:val="21"/>
          <w:szCs w:val="21"/>
        </w:rPr>
      </w:pPr>
      <w:r>
        <w:rPr>
          <w:rFonts w:ascii="仿宋_GB2312" w:eastAsia="仿宋_GB2312" w:hAnsi="仿宋_GB2312" w:cs="仿宋_GB2312"/>
          <w:sz w:val="28"/>
          <w:szCs w:val="28"/>
        </w:rPr>
        <w:t>2025年市局机关食堂食材采购项目（主副食调料等其他类），包含米、面、杂粮、油、鸡蛋及调料等，</w:t>
      </w:r>
      <w:r>
        <w:rPr>
          <w:rFonts w:ascii="仿宋_GB2312" w:eastAsia="仿宋_GB2312" w:hAnsi="仿宋_GB2312" w:cs="仿宋_GB2312"/>
          <w:sz w:val="28"/>
          <w:szCs w:val="28"/>
        </w:rPr>
        <w:t>采购预算为人民</w:t>
      </w:r>
      <w:r>
        <w:rPr>
          <w:rFonts w:ascii="仿宋_GB2312" w:eastAsia="仿宋_GB2312" w:hAnsi="仿宋_GB2312" w:cs="仿宋_GB2312"/>
          <w:sz w:val="28"/>
          <w:szCs w:val="28"/>
        </w:rPr>
        <w:t>币144.00</w:t>
      </w:r>
      <w:r>
        <w:rPr>
          <w:rFonts w:ascii="仿宋_GB2312" w:eastAsia="仿宋_GB2312" w:hAnsi="仿宋_GB2312" w:cs="仿宋_GB2312"/>
          <w:sz w:val="28"/>
          <w:szCs w:val="28"/>
        </w:rPr>
        <w:t>万元，供</w:t>
      </w:r>
      <w:r>
        <w:rPr>
          <w:rFonts w:ascii="仿宋_GB2312" w:eastAsia="仿宋_GB2312" w:hAnsi="仿宋_GB2312" w:cs="仿宋_GB2312"/>
          <w:sz w:val="28"/>
          <w:szCs w:val="28"/>
        </w:rPr>
        <w:t>应商按照</w:t>
      </w:r>
      <w:r>
        <w:rPr>
          <w:rFonts w:ascii="仿宋_GB2312" w:eastAsia="仿宋_GB2312" w:hAnsi="仿宋_GB2312" w:cs="仿宋_GB2312"/>
          <w:sz w:val="28"/>
          <w:szCs w:val="28"/>
        </w:rPr>
        <w:t>本包</w:t>
      </w:r>
      <w:r>
        <w:rPr>
          <w:rFonts w:ascii="仿宋_GB2312" w:eastAsia="仿宋_GB2312" w:hAnsi="仿宋_GB2312" w:cs="仿宋_GB2312"/>
          <w:sz w:val="28"/>
          <w:szCs w:val="28"/>
        </w:rPr>
        <w:t>金额进行投标报价，投标价</w:t>
      </w:r>
      <w:r>
        <w:rPr>
          <w:rFonts w:ascii="仿宋_GB2312" w:eastAsia="仿宋_GB2312" w:hAnsi="仿宋_GB2312" w:cs="仿宋_GB2312"/>
          <w:sz w:val="28"/>
          <w:szCs w:val="28"/>
        </w:rPr>
        <w:t>格</w:t>
      </w:r>
      <w:r>
        <w:rPr>
          <w:rFonts w:ascii="仿宋_GB2312" w:eastAsia="仿宋_GB2312" w:hAnsi="仿宋_GB2312" w:cs="仿宋_GB2312"/>
          <w:sz w:val="28"/>
          <w:szCs w:val="28"/>
        </w:rPr>
        <w:t>不得超过预算。投标</w:t>
      </w:r>
      <w:r>
        <w:rPr>
          <w:rFonts w:ascii="仿宋_GB2312" w:eastAsia="仿宋_GB2312" w:hAnsi="仿宋_GB2312" w:cs="仿宋_GB2312"/>
          <w:sz w:val="28"/>
          <w:szCs w:val="28"/>
        </w:rPr>
        <w:t>价格</w:t>
      </w:r>
      <w:r>
        <w:rPr>
          <w:rFonts w:ascii="仿宋_GB2312" w:eastAsia="仿宋_GB2312" w:hAnsi="仿宋_GB2312" w:cs="仿宋_GB2312"/>
          <w:sz w:val="28"/>
          <w:szCs w:val="28"/>
        </w:rPr>
        <w:t>不作为最终合同金额，</w:t>
      </w:r>
      <w:r>
        <w:rPr>
          <w:rFonts w:ascii="仿宋_GB2312" w:eastAsia="仿宋_GB2312" w:hAnsi="仿宋_GB2312" w:cs="仿宋_GB2312"/>
          <w:sz w:val="28"/>
          <w:szCs w:val="28"/>
        </w:rPr>
        <w:t>采购食材</w:t>
      </w:r>
      <w:r>
        <w:rPr>
          <w:rFonts w:ascii="仿宋_GB2312" w:eastAsia="仿宋_GB2312" w:hAnsi="仿宋_GB2312" w:cs="仿宋_GB2312"/>
          <w:sz w:val="28"/>
          <w:szCs w:val="28"/>
        </w:rPr>
        <w:t>按实际采购量进行结算</w:t>
      </w:r>
      <w:r>
        <w:rPr>
          <w:rFonts w:ascii="仿宋_GB2312" w:eastAsia="仿宋_GB2312" w:hAnsi="仿宋_GB2312" w:cs="仿宋_GB2312"/>
          <w:sz w:val="28"/>
          <w:szCs w:val="28"/>
        </w:rPr>
        <w:t>，总结算金额不超过采购预算</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MsoBodyText"/>
        <w:spacing w:before="0" w:after="0" w:line="360" w:lineRule="auto"/>
        <w:ind w:firstLine="640"/>
        <w:jc w:val="both"/>
        <w:rPr>
          <w:rFonts w:ascii="Calibri" w:eastAsia="Calibri" w:hAnsi="Calibri" w:cs="Calibri"/>
          <w:sz w:val="21"/>
          <w:szCs w:val="21"/>
        </w:rPr>
      </w:pPr>
      <w:r>
        <w:rPr>
          <w:rFonts w:ascii="仿宋_GB2312" w:eastAsia="仿宋_GB2312" w:hAnsi="仿宋_GB2312" w:cs="仿宋_GB2312"/>
          <w:spacing w:val="0"/>
          <w:sz w:val="28"/>
          <w:szCs w:val="28"/>
        </w:rPr>
        <w:t>本项目旨在为市局机关食堂提供质优价廉的</w:t>
      </w:r>
      <w:r>
        <w:rPr>
          <w:rFonts w:ascii="仿宋_GB2312" w:eastAsia="仿宋_GB2312" w:hAnsi="仿宋_GB2312" w:cs="仿宋_GB2312"/>
          <w:sz w:val="28"/>
          <w:szCs w:val="28"/>
        </w:rPr>
        <w:t>米、面、杂粮、油、鸡蛋及调料</w:t>
      </w:r>
      <w:r>
        <w:rPr>
          <w:rFonts w:ascii="仿宋_GB2312" w:eastAsia="仿宋_GB2312" w:hAnsi="仿宋_GB2312" w:cs="仿宋_GB2312"/>
          <w:spacing w:val="0"/>
          <w:sz w:val="28"/>
          <w:szCs w:val="28"/>
        </w:rPr>
        <w:t>等食材，在确保市局机关食品安全的基础上，提供高效便捷的服务。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本包采购</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天津市税务局</w:t>
      </w:r>
      <w:r>
        <w:rPr>
          <w:rFonts w:ascii="仿宋_GB2312" w:eastAsia="仿宋_GB2312" w:hAnsi="仿宋_GB2312" w:cs="仿宋_GB2312"/>
          <w:sz w:val="28"/>
          <w:szCs w:val="28"/>
        </w:rPr>
        <w:t>机关食堂所需</w:t>
      </w:r>
      <w:r>
        <w:rPr>
          <w:rFonts w:ascii="仿宋_GB2312" w:eastAsia="仿宋_GB2312" w:hAnsi="仿宋_GB2312" w:cs="仿宋_GB2312"/>
          <w:sz w:val="28"/>
          <w:szCs w:val="28"/>
        </w:rPr>
        <w:t>的</w:t>
      </w:r>
      <w:r>
        <w:rPr>
          <w:rFonts w:ascii="仿宋_GB2312" w:eastAsia="仿宋_GB2312" w:hAnsi="仿宋_GB2312" w:cs="仿宋_GB2312"/>
          <w:sz w:val="28"/>
          <w:szCs w:val="28"/>
        </w:rPr>
        <w:t>主副食调料等其他食材</w:t>
      </w:r>
      <w:r>
        <w:rPr>
          <w:rFonts w:ascii="仿宋_GB2312" w:eastAsia="仿宋_GB2312" w:hAnsi="仿宋_GB2312" w:cs="仿宋_GB2312"/>
          <w:sz w:val="28"/>
          <w:szCs w:val="28"/>
        </w:rPr>
        <w:t>，含</w:t>
      </w:r>
      <w:r>
        <w:rPr>
          <w:rFonts w:ascii="仿宋_GB2312" w:eastAsia="仿宋_GB2312" w:hAnsi="仿宋_GB2312" w:cs="仿宋_GB2312"/>
          <w:sz w:val="28"/>
          <w:szCs w:val="28"/>
        </w:rPr>
        <w:t>相应</w:t>
      </w:r>
      <w:r>
        <w:rPr>
          <w:rFonts w:ascii="仿宋_GB2312" w:eastAsia="仿宋_GB2312" w:hAnsi="仿宋_GB2312" w:cs="仿宋_GB2312"/>
          <w:sz w:val="28"/>
          <w:szCs w:val="28"/>
        </w:rPr>
        <w:t>配送。</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6"/>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pacing w:val="0"/>
          <w:sz w:val="28"/>
          <w:szCs w:val="28"/>
        </w:rPr>
        <w:t>按照采购人需求，为市局机关提供2025年度</w:t>
      </w:r>
      <w:r>
        <w:rPr>
          <w:rFonts w:ascii="仿宋_GB2312" w:eastAsia="仿宋_GB2312" w:hAnsi="仿宋_GB2312" w:cs="仿宋_GB2312"/>
          <w:sz w:val="28"/>
          <w:szCs w:val="28"/>
        </w:rPr>
        <w:t>主副食调料等其他类</w:t>
      </w:r>
      <w:r>
        <w:rPr>
          <w:rFonts w:ascii="仿宋_GB2312" w:eastAsia="仿宋_GB2312" w:hAnsi="仿宋_GB2312" w:cs="仿宋_GB2312"/>
          <w:spacing w:val="0"/>
          <w:sz w:val="28"/>
          <w:szCs w:val="28"/>
        </w:rPr>
        <w:t>食材，并提供相应简单加工及配送服务。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MsoNormal"/>
        <w:spacing w:before="0" w:after="0" w:line="360" w:lineRule="auto"/>
        <w:ind w:left="0" w:right="0" w:firstLine="420"/>
        <w:jc w:val="both"/>
        <w:rPr>
          <w:rFonts w:ascii="Calibri" w:eastAsia="Calibri" w:hAnsi="Calibri" w:cs="Calibri"/>
          <w:sz w:val="21"/>
          <w:szCs w:val="21"/>
        </w:rPr>
      </w:pPr>
      <w:r>
        <w:rPr>
          <w:rFonts w:ascii="仿宋_GB2312" w:eastAsia="仿宋_GB2312" w:hAnsi="仿宋_GB2312" w:cs="仿宋_GB2312"/>
          <w:sz w:val="28"/>
          <w:szCs w:val="28"/>
        </w:rPr>
        <w:t>自签订合同之日起1年。</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MsoNormal"/>
        <w:spacing w:before="0" w:after="0" w:line="360" w:lineRule="auto"/>
        <w:ind w:left="0" w:right="0" w:firstLine="420"/>
        <w:jc w:val="both"/>
        <w:rPr>
          <w:rFonts w:ascii="Calibri" w:eastAsia="Calibri" w:hAnsi="Calibri" w:cs="Calibri"/>
          <w:sz w:val="21"/>
          <w:szCs w:val="21"/>
        </w:rPr>
      </w:pPr>
      <w:r>
        <w:rPr>
          <w:rFonts w:ascii="仿宋_GB2312" w:eastAsia="仿宋_GB2312" w:hAnsi="仿宋_GB2312" w:cs="仿宋_GB2312"/>
          <w:sz w:val="28"/>
          <w:szCs w:val="28"/>
        </w:rPr>
        <w:t>国家税务总局天津市税务局</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天津市河北区民主道</w:t>
      </w:r>
      <w:r>
        <w:rPr>
          <w:rFonts w:ascii="仿宋_GB2312" w:eastAsia="仿宋_GB2312" w:hAnsi="仿宋_GB2312" w:cs="仿宋_GB2312"/>
          <w:sz w:val="28"/>
          <w:szCs w:val="28"/>
        </w:rPr>
        <w:t>16号</w:t>
      </w:r>
      <w:r>
        <w:rPr>
          <w:rFonts w:ascii="仿宋_GB2312" w:eastAsia="仿宋_GB2312" w:hAnsi="仿宋_GB2312" w:cs="仿宋_GB2312"/>
          <w:sz w:val="28"/>
          <w:szCs w:val="28"/>
        </w:rPr>
        <w:t>）、国家税务总局天津市税务局北安道办公区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（天津市河北区北安道</w:t>
      </w:r>
      <w:r>
        <w:rPr>
          <w:rFonts w:ascii="仿宋_GB2312" w:eastAsia="仿宋_GB2312" w:hAnsi="仿宋_GB2312" w:cs="仿宋_GB2312"/>
          <w:sz w:val="28"/>
          <w:szCs w:val="28"/>
        </w:rPr>
        <w:t>38号</w:t>
      </w:r>
      <w:r>
        <w:rPr>
          <w:rFonts w:ascii="仿宋_GB2312" w:eastAsia="仿宋_GB2312" w:hAnsi="仿宋_GB2312" w:cs="仿宋_GB2312"/>
          <w:sz w:val="28"/>
          <w:szCs w:val="28"/>
        </w:rPr>
        <w:t>）和国家税务总局天津市税务局流霞路办公区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（天津市空港国际物流经济区流霞路</w:t>
      </w:r>
      <w:r>
        <w:rPr>
          <w:rFonts w:ascii="仿宋_GB2312" w:eastAsia="仿宋_GB2312" w:hAnsi="仿宋_GB2312" w:cs="仿宋_GB2312"/>
          <w:sz w:val="28"/>
          <w:szCs w:val="28"/>
        </w:rPr>
        <w:t>50号</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15"/>
        <w:spacing w:before="0" w:after="0" w:line="360" w:lineRule="auto"/>
        <w:ind w:left="0" w:right="0"/>
        <w:rPr>
          <w:rFonts w:ascii="Times New Roman" w:eastAsia="Times New Roman" w:hAnsi="Times New Roman" w:cs="Times New Roman"/>
        </w:rPr>
      </w:pPr>
      <w:r>
        <w:rPr>
          <w:rFonts w:ascii="仿宋_GB2312" w:eastAsia="仿宋_GB2312" w:hAnsi="仿宋_GB2312" w:cs="仿宋_GB2312"/>
          <w:sz w:val="28"/>
          <w:szCs w:val="28"/>
        </w:rPr>
        <w:t>投标人应遵守有关国家法律、法规和条例</w:t>
      </w:r>
      <w:r>
        <w:rPr>
          <w:rFonts w:ascii="仿宋_GB2312" w:eastAsia="仿宋_GB2312" w:hAnsi="仿宋_GB2312" w:cs="仿宋_GB2312"/>
          <w:sz w:val="28"/>
          <w:szCs w:val="28"/>
        </w:rPr>
        <w:t>,具备《中华人民共和国政府采购法》第二十二条的规定和本文件中规定的条件。</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供应商具有《食品经营许可证》或《食品生产许可证》。仅提供《食品生产许可证》的，许可范围应包括本包中</w:t>
      </w:r>
      <w:r>
        <w:rPr>
          <w:rFonts w:ascii="仿宋_GB2312" w:eastAsia="仿宋_GB2312" w:hAnsi="仿宋_GB2312" w:cs="仿宋_GB2312"/>
          <w:sz w:val="28"/>
          <w:szCs w:val="28"/>
        </w:rPr>
        <w:t>除食用农产品外</w:t>
      </w:r>
      <w:r>
        <w:rPr>
          <w:rFonts w:ascii="仿宋_GB2312" w:eastAsia="仿宋_GB2312" w:hAnsi="仿宋_GB2312" w:cs="仿宋_GB2312"/>
          <w:sz w:val="28"/>
          <w:szCs w:val="28"/>
        </w:rPr>
        <w:t>的全部供应品类。</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989"/>
        <w:gridCol w:w="4386"/>
        <w:gridCol w:w="1978"/>
        <w:gridCol w:w="197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颁发部门</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相关要求</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食品安全管理体系认证证书（ISO 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职业健康安全管理体系认证证书（ISO45001）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spacing w:before="0" w:after="0" w:line="360" w:lineRule="auto"/>
        <w:ind w:firstLine="480"/>
        <w:rPr>
          <w:rFonts w:ascii="Times New Roman" w:eastAsia="Times New Roman" w:hAnsi="Times New Roman" w:cs="Times New Roman"/>
        </w:rPr>
      </w:pPr>
      <w:r>
        <w:rPr>
          <w:rFonts w:ascii="仿宋_GB2312" w:eastAsia="仿宋_GB2312" w:hAnsi="仿宋_GB2312" w:cs="仿宋_GB2312"/>
          <w:color w:val="000000"/>
          <w:sz w:val="28"/>
          <w:szCs w:val="28"/>
        </w:rPr>
        <w:t>有效案例为2022年1月1日以来（以合同签订日期为准），供应商独立承担的食材供应项目案例（必须包含本包采购的</w:t>
      </w:r>
      <w:r>
        <w:rPr>
          <w:rFonts w:ascii="仿宋_GB2312" w:eastAsia="仿宋_GB2312" w:hAnsi="仿宋_GB2312" w:cs="仿宋_GB2312"/>
          <w:color w:val="000000"/>
          <w:sz w:val="28"/>
          <w:szCs w:val="28"/>
        </w:rPr>
        <w:t>米、面、杂粮、油、鸡蛋及调料等</w:t>
      </w:r>
      <w:r>
        <w:rPr>
          <w:rFonts w:ascii="仿宋_GB2312" w:eastAsia="仿宋_GB2312" w:hAnsi="仿宋_GB2312" w:cs="仿宋_GB2312"/>
          <w:color w:val="000000"/>
          <w:sz w:val="28"/>
          <w:szCs w:val="28"/>
        </w:rPr>
        <w:t>），予以加分考虑。</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FangSong_GB2312" w:eastAsia="FangSong_GB2312" w:hAnsi="FangSong_GB2312" w:cs="FangSong_GB2312"/>
          <w:sz w:val="28"/>
          <w:szCs w:val="28"/>
        </w:rPr>
        <w:t>供应商须承诺所提供的</w:t>
      </w:r>
      <w:r>
        <w:rPr>
          <w:sz w:val="28"/>
          <w:szCs w:val="28"/>
        </w:rPr>
        <w:t>货物</w:t>
      </w:r>
      <w:r>
        <w:rPr>
          <w:rFonts w:ascii="FangSong_GB2312" w:eastAsia="FangSong_GB2312" w:hAnsi="FangSong_GB2312" w:cs="FangSong_GB2312"/>
          <w:sz w:val="28"/>
          <w:szCs w:val="28"/>
        </w:rPr>
        <w:t>、人员符合相关国家强制性规定。具体需求详见项目需求、人员要求、管理实施要求、风险管控要求、履约验收要求及其他要求。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0"/>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865"/>
        <w:gridCol w:w="1751"/>
        <w:gridCol w:w="1751"/>
        <w:gridCol w:w="1654"/>
        <w:gridCol w:w="1654"/>
        <w:gridCol w:w="1654"/>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蚕豆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绿豆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红小豆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芝麻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酱油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豆瓣酱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料酒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麻酱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火锅底料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耗油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蒸鱼豉油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胡椒粉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椒盐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孜然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八角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干辣椒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其他干调料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味精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糖</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淀粉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腐乳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复合调料粉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酵母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小苏打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泡打粉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吉利丁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点心调味粉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酥油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速冻水饺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粉丝</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春卷皮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鹌鹑蛋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干木耳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银耳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干腐竹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大枣</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桂圆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蛋挞皮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披萨皮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奥利奥碎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糯米粉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瓜子仁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干果碎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蜂蜜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tbl>
      <w:tblPr>
        <w:tblW w:w="5000" w:type="pct"/>
        <w:tblInd w:w="30" w:type="dxa"/>
        <w:tblCellMar>
          <w:top w:w="15" w:type="dxa"/>
          <w:left w:w="15" w:type="dxa"/>
          <w:bottom w:w="15" w:type="dxa"/>
          <w:right w:w="15" w:type="dxa"/>
        </w:tblCellMar>
      </w:tblPr>
      <w:tblGrid>
        <w:gridCol w:w="496"/>
        <w:gridCol w:w="1754"/>
        <w:gridCol w:w="2804"/>
        <w:gridCol w:w="2065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（1）食品必须符合国家饮食卫生标准，同时保证食品新鲜，不得出现腐烂、变质，以次充好等情况；</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（2）食品的质量与包装应符合国家相关法律法规的规定，符合行业主管部门发布的规定、标准、规范；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 按规定必须经由法定食品检验机构检测的食品，投标人应在交货时向采购人提供同批次食品检验报告或合格证（复印件加盖公章）。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面条米线质量要求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不含非食品用化学物质、无杂质。以小麦、大米为原料的面条、米线颜色呈白色、乳白色、奶黄色，色亮不发灰发暗。表面结构细密、光滑。软硬适中，爽口不粘牙，口感光滑，具有清香，无异味。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(1)通用面粉达GB/T 1355-2021国家标准。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(2)高筋面粉达GB/T 8607-1988国家标准，质量等级一级；低筋面粉达GB8608-1988标准，质量等级一级。色泽正常，干爽无异味。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食用油通用标准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供应非转基因食用油。外观的色泽、透明度、气味滋味等无异常，定型包装。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大豆油质量标准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投标人自有或租赁库房，面积不小于300平米。能够满足按采购人需求完成配送任务，确保三个办公区同时送货。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投标人自有或租赁配送中心，面积不小于500平米。能够满足按采购人需求完成配送任务，确保三个办公区同时送货。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主食供应链能力要求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具有自有、签约的大米、面粉生产基地、加工厂或者直销、代理、经销商资格之一。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具有自有或签约的食用油加工厂或者直销、代理、经销商资格之一。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具有自有或签约的蛋类生产工厂或者直销、代理、经销商资格之一。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2022年 1月1日以来具有主副食调料等其他类其他食材类食材（含本包拟配送食材）的进货内容。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新鲜鸡蛋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规范包装要求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采购人按期（周）向投标人发布采购内容，投标人应在送货前一个工作日与采购人核对确认采购内容无误后，在次日6点前配送至采购人指定验收地点。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7"/>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投标人定价费率低于0.8的，需提供详细相关佐证材料，证明投标人在报价费率下可以保障食材供应品质符合采购人要求。</w:t>
      </w:r>
    </w:p>
    <w:p>
      <w:pPr>
        <w:pStyle w:val="Heading3"/>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sz w:val="28"/>
          <w:szCs w:val="28"/>
        </w:rPr>
        <w:t>3.5.1质量安全把控服务要求</w:t>
      </w:r>
      <w:bookmarkEnd w:id="28"/>
    </w:p>
    <w:p>
      <w:pPr>
        <w:pStyle w:val="20"/>
        <w:spacing w:before="0" w:after="0" w:line="360" w:lineRule="auto"/>
        <w:ind w:firstLine="642"/>
        <w:rPr>
          <w:rFonts w:ascii="Times New Roman" w:eastAsia="Times New Roman" w:hAnsi="Times New Roman" w:cs="Times New Roman"/>
        </w:rPr>
      </w:pPr>
      <w:r>
        <w:rPr>
          <w:rFonts w:ascii="仿宋_GB2312" w:eastAsia="仿宋_GB2312" w:hAnsi="仿宋_GB2312" w:cs="仿宋_GB2312"/>
          <w:b/>
          <w:bCs/>
          <w:sz w:val="28"/>
          <w:szCs w:val="28"/>
        </w:rPr>
        <w:t>1.投标人应提供质量安全把控方案。</w:t>
      </w:r>
      <w:r>
        <w:rPr>
          <w:rFonts w:ascii="仿宋_GB2312" w:eastAsia="仿宋_GB2312" w:hAnsi="仿宋_GB2312" w:cs="仿宋_GB2312"/>
          <w:sz w:val="28"/>
          <w:szCs w:val="28"/>
        </w:rPr>
        <w:t>方案内容详细描述供应货物质量把控措施、检验检疫关键环节</w:t>
      </w:r>
      <w:r>
        <w:rPr>
          <w:rFonts w:ascii="仿宋_GB2312" w:eastAsia="仿宋_GB2312" w:hAnsi="仿宋_GB2312" w:cs="仿宋_GB2312"/>
          <w:sz w:val="28"/>
          <w:szCs w:val="28"/>
        </w:rPr>
        <w:t>把控</w:t>
      </w:r>
      <w:r>
        <w:rPr>
          <w:rFonts w:ascii="仿宋_GB2312" w:eastAsia="仿宋_GB2312" w:hAnsi="仿宋_GB2312" w:cs="仿宋_GB2312"/>
          <w:sz w:val="28"/>
          <w:szCs w:val="28"/>
        </w:rPr>
        <w:t>、不符合质量标准货品处置等内容，确保提供食材安全可靠。</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2.投</w:t>
      </w:r>
      <w:r>
        <w:rPr>
          <w:rFonts w:ascii="仿宋_GB2312" w:eastAsia="仿宋_GB2312" w:hAnsi="仿宋_GB2312" w:cs="仿宋_GB2312"/>
          <w:sz w:val="28"/>
          <w:szCs w:val="28"/>
        </w:rPr>
        <w:t>标人</w:t>
      </w:r>
      <w:r>
        <w:rPr>
          <w:rFonts w:ascii="仿宋_GB2312" w:eastAsia="仿宋_GB2312" w:hAnsi="仿宋_GB2312" w:cs="仿宋_GB2312"/>
          <w:sz w:val="28"/>
          <w:szCs w:val="28"/>
        </w:rPr>
        <w:t>供应以下食品</w:t>
      </w:r>
      <w:r>
        <w:rPr>
          <w:rFonts w:ascii="仿宋_GB2312" w:eastAsia="仿宋_GB2312" w:hAnsi="仿宋_GB2312" w:cs="仿宋_GB2312"/>
          <w:sz w:val="28"/>
          <w:szCs w:val="28"/>
        </w:rPr>
        <w:t>的</w:t>
      </w:r>
      <w:r>
        <w:rPr>
          <w:rFonts w:ascii="仿宋_GB2312" w:eastAsia="仿宋_GB2312" w:hAnsi="仿宋_GB2312" w:cs="仿宋_GB2312"/>
          <w:sz w:val="28"/>
          <w:szCs w:val="28"/>
        </w:rPr>
        <w:t>，采购人全部退货，投标人承担由此造成的一切经济责任和法律责任</w:t>
      </w:r>
      <w:r>
        <w:rPr>
          <w:rFonts w:ascii="仿宋_GB2312" w:eastAsia="仿宋_GB2312" w:hAnsi="仿宋_GB2312" w:cs="仿宋_GB2312"/>
          <w:sz w:val="28"/>
          <w:szCs w:val="28"/>
        </w:rPr>
        <w:t>：</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腐败变质、油脂酸败、霉变、生虫、污秽不洁、混有异物或者其他感官性状异常，对人体健康有害的；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含有毒、有害物质或者被有毒、有害物质污染，对人体健康有害的；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含有致病性寄生虫、微生物或者微生物含量超过国家限定标准的；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掺假、掺杂、伪造，影响营养、卫生的；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用非食品原料加工的，加入非食品用化学物质或者将非食品当作食品的；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超过保质期限的；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（7）</w:t>
      </w:r>
      <w:r>
        <w:rPr>
          <w:rFonts w:ascii="仿宋_GB2312" w:eastAsia="仿宋_GB2312" w:hAnsi="仿宋_GB2312" w:cs="仿宋_GB2312"/>
          <w:sz w:val="28"/>
          <w:szCs w:val="28"/>
        </w:rPr>
        <w:t>使用有色、有毒塑料制品、包装食材的；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（8）</w:t>
      </w:r>
      <w:r>
        <w:rPr>
          <w:rFonts w:ascii="仿宋_GB2312" w:eastAsia="仿宋_GB2312" w:hAnsi="仿宋_GB2312" w:cs="仿宋_GB2312"/>
          <w:sz w:val="28"/>
          <w:szCs w:val="28"/>
        </w:rPr>
        <w:t>其他不符合《食品安全法》</w:t>
      </w:r>
      <w:r>
        <w:rPr>
          <w:rFonts w:ascii="仿宋_GB2312" w:eastAsia="仿宋_GB2312" w:hAnsi="仿宋_GB2312" w:cs="仿宋_GB2312"/>
          <w:sz w:val="28"/>
          <w:szCs w:val="28"/>
        </w:rPr>
        <w:t>和</w:t>
      </w:r>
      <w:r>
        <w:rPr>
          <w:rFonts w:ascii="仿宋_GB2312" w:eastAsia="仿宋_GB2312" w:hAnsi="仿宋_GB2312" w:cs="仿宋_GB2312"/>
          <w:sz w:val="28"/>
          <w:szCs w:val="28"/>
        </w:rPr>
        <w:t>《产品质量法》等相关规定的。</w:t>
      </w:r>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凡投标人所供应货物</w:t>
      </w:r>
      <w:r>
        <w:rPr>
          <w:rFonts w:ascii="仿宋_GB2312" w:eastAsia="仿宋_GB2312" w:hAnsi="仿宋_GB2312" w:cs="仿宋_GB2312"/>
          <w:sz w:val="28"/>
          <w:szCs w:val="28"/>
        </w:rPr>
        <w:t>应为原箱包装，拆包或重组包装的应提前向采购人说明，</w:t>
      </w:r>
      <w:r>
        <w:rPr>
          <w:rFonts w:ascii="仿宋_GB2312" w:eastAsia="仿宋_GB2312" w:hAnsi="仿宋_GB2312" w:cs="仿宋_GB2312"/>
          <w:sz w:val="28"/>
          <w:szCs w:val="28"/>
        </w:rPr>
        <w:t>定量包装批量误差</w:t>
      </w:r>
      <w:r>
        <w:rPr>
          <w:rFonts w:ascii="仿宋_GB2312" w:eastAsia="仿宋_GB2312" w:hAnsi="仿宋_GB2312" w:cs="仿宋_GB2312"/>
          <w:sz w:val="28"/>
          <w:szCs w:val="28"/>
        </w:rPr>
        <w:t>不应</w:t>
      </w:r>
      <w:r>
        <w:rPr>
          <w:rFonts w:ascii="仿宋_GB2312" w:eastAsia="仿宋_GB2312" w:hAnsi="仿宋_GB2312" w:cs="仿宋_GB2312"/>
          <w:sz w:val="28"/>
          <w:szCs w:val="28"/>
        </w:rPr>
        <w:t>超过实际标示的5%</w:t>
      </w:r>
      <w:r>
        <w:rPr>
          <w:rFonts w:ascii="仿宋_GB2312" w:eastAsia="仿宋_GB2312" w:hAnsi="仿宋_GB2312" w:cs="仿宋_GB2312"/>
          <w:sz w:val="28"/>
          <w:szCs w:val="28"/>
        </w:rPr>
        <w:t>。</w:t>
      </w:r>
    </w:p>
    <w:p>
      <w:pPr>
        <w:pStyle w:val="Heading3"/>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sz w:val="28"/>
          <w:szCs w:val="28"/>
        </w:rPr>
        <w:t>3.5.2供应方案要求</w:t>
      </w:r>
      <w:bookmarkEnd w:id="29"/>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投标人应提交科学合理的供应方案。方案应包含服务团队管理措施、内部采购管理措施、储存分拣管理措施、科学合理运输措施等。</w:t>
      </w:r>
    </w:p>
    <w:p>
      <w:pPr>
        <w:pStyle w:val="Heading1"/>
        <w:keepNext w:val="0"/>
        <w:spacing w:before="0" w:after="0" w:line="360" w:lineRule="auto"/>
        <w:jc w:val="center"/>
        <w:rPr>
          <w:rFonts w:ascii="仿宋_GB2312" w:eastAsia="仿宋_GB2312" w:hAnsi="仿宋_GB2312" w:cs="仿宋_GB2312"/>
          <w:b/>
          <w:bCs/>
          <w:sz w:val="32"/>
          <w:szCs w:val="32"/>
        </w:rPr>
      </w:pPr>
      <w:bookmarkStart w:id="30" w:name="_Toc256000027"/>
      <w:r>
        <w:rPr>
          <w:rFonts w:ascii="仿宋_GB2312" w:eastAsia="仿宋_GB2312" w:hAnsi="仿宋_GB2312" w:cs="仿宋_GB2312"/>
          <w:kern w:val="36"/>
        </w:rPr>
        <w:t>4人员要求</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4.1团队要求</w:t>
      </w:r>
      <w:bookmarkEnd w:id="31"/>
    </w:p>
    <w:p>
      <w:pPr>
        <w:pStyle w:val="Heading3"/>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sz w:val="28"/>
          <w:szCs w:val="28"/>
        </w:rPr>
        <w:t>4.1.1基本要求</w:t>
      </w:r>
      <w:bookmarkEnd w:id="32"/>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1.投标人应</w:t>
      </w:r>
      <w:r>
        <w:rPr>
          <w:rFonts w:ascii="仿宋_GB2312" w:eastAsia="仿宋_GB2312" w:hAnsi="仿宋_GB2312" w:cs="仿宋_GB2312"/>
          <w:sz w:val="28"/>
          <w:szCs w:val="28"/>
        </w:rPr>
        <w:t>提供</w:t>
      </w:r>
      <w:r>
        <w:rPr>
          <w:rFonts w:ascii="仿宋_GB2312" w:eastAsia="仿宋_GB2312" w:hAnsi="仿宋_GB2312" w:cs="仿宋_GB2312"/>
          <w:sz w:val="28"/>
          <w:szCs w:val="28"/>
        </w:rPr>
        <w:t>专业的管理和采购团队，</w:t>
      </w:r>
      <w:r>
        <w:rPr>
          <w:rFonts w:ascii="仿宋_GB2312" w:eastAsia="仿宋_GB2312" w:hAnsi="仿宋_GB2312" w:cs="仿宋_GB2312"/>
          <w:sz w:val="28"/>
          <w:szCs w:val="28"/>
        </w:rPr>
        <w:t>团队编制和人员资质务必保证运营服务质量。提供的服务团队应保持稳定，承诺项目执行期间人员变动不超过20%。</w:t>
      </w:r>
    </w:p>
    <w:p>
      <w:pPr>
        <w:pStyle w:val="18"/>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2. </w:t>
      </w:r>
      <w:r>
        <w:rPr>
          <w:rFonts w:ascii="仿宋_GB2312" w:eastAsia="仿宋_GB2312" w:hAnsi="仿宋_GB2312" w:cs="仿宋_GB2312"/>
          <w:b/>
          <w:bCs/>
          <w:sz w:val="28"/>
          <w:szCs w:val="28"/>
        </w:rPr>
        <w:t>投标人服务团队须配有以下人员，出具盖有投标人公章的服务团队人员名单。</w:t>
      </w:r>
    </w:p>
    <w:p>
      <w:pPr>
        <w:pStyle w:val="18"/>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为本项目提供的服务团队</w:t>
      </w:r>
      <w:r>
        <w:rPr>
          <w:rFonts w:ascii="仿宋_GB2312" w:eastAsia="仿宋_GB2312" w:hAnsi="仿宋_GB2312" w:cs="仿宋_GB2312"/>
          <w:b/>
          <w:bCs/>
          <w:sz w:val="28"/>
          <w:szCs w:val="28"/>
        </w:rPr>
        <w:t>中</w:t>
      </w:r>
      <w:r>
        <w:rPr>
          <w:rFonts w:ascii="仿宋_GB2312" w:eastAsia="仿宋_GB2312" w:hAnsi="仿宋_GB2312" w:cs="仿宋_GB2312"/>
          <w:b/>
          <w:bCs/>
          <w:sz w:val="28"/>
          <w:szCs w:val="28"/>
        </w:rPr>
        <w:t>所有人员</w:t>
      </w:r>
      <w:r>
        <w:rPr>
          <w:rFonts w:ascii="仿宋_GB2312" w:eastAsia="仿宋_GB2312" w:hAnsi="仿宋_GB2312" w:cs="仿宋_GB2312"/>
          <w:b/>
          <w:bCs/>
          <w:sz w:val="28"/>
          <w:szCs w:val="28"/>
        </w:rPr>
        <w:t>必须提供</w:t>
      </w:r>
      <w:r>
        <w:rPr>
          <w:rFonts w:ascii="仿宋_GB2312" w:eastAsia="仿宋_GB2312" w:hAnsi="仿宋_GB2312" w:cs="仿宋_GB2312"/>
          <w:b/>
          <w:bCs/>
          <w:sz w:val="28"/>
          <w:szCs w:val="28"/>
        </w:rPr>
        <w:t>缴纳社保证明材料</w:t>
      </w:r>
      <w:r>
        <w:rPr>
          <w:rFonts w:ascii="仿宋_GB2312" w:eastAsia="仿宋_GB2312" w:hAnsi="仿宋_GB2312" w:cs="仿宋_GB2312"/>
          <w:b/>
          <w:bCs/>
          <w:sz w:val="28"/>
          <w:szCs w:val="28"/>
        </w:rPr>
        <w:t>，除会计外</w:t>
      </w:r>
      <w:r>
        <w:rPr>
          <w:rFonts w:ascii="仿宋_GB2312" w:eastAsia="仿宋_GB2312" w:hAnsi="仿宋_GB2312" w:cs="仿宋_GB2312"/>
          <w:b/>
          <w:bCs/>
          <w:sz w:val="28"/>
          <w:szCs w:val="28"/>
        </w:rPr>
        <w:t>必须具有</w:t>
      </w:r>
      <w:r>
        <w:rPr>
          <w:rFonts w:ascii="仿宋_GB2312" w:eastAsia="仿宋_GB2312" w:hAnsi="仿宋_GB2312" w:cs="仿宋_GB2312"/>
          <w:b/>
          <w:bCs/>
          <w:sz w:val="28"/>
          <w:szCs w:val="28"/>
        </w:rPr>
        <w:t>从业人员</w:t>
      </w:r>
      <w:r>
        <w:rPr>
          <w:rFonts w:ascii="仿宋_GB2312" w:eastAsia="仿宋_GB2312" w:hAnsi="仿宋_GB2312" w:cs="仿宋_GB2312"/>
          <w:b/>
          <w:bCs/>
          <w:sz w:val="28"/>
          <w:szCs w:val="28"/>
        </w:rPr>
        <w:t>健康证</w:t>
      </w:r>
      <w:r>
        <w:rPr>
          <w:rFonts w:ascii="仿宋_GB2312" w:eastAsia="仿宋_GB2312" w:hAnsi="仿宋_GB2312" w:cs="仿宋_GB2312"/>
          <w:b/>
          <w:bCs/>
          <w:sz w:val="28"/>
          <w:szCs w:val="28"/>
        </w:rPr>
        <w:t>明，否则不予认可</w:t>
      </w:r>
      <w:r>
        <w:rPr>
          <w:rFonts w:ascii="仿宋_GB2312" w:eastAsia="仿宋_GB2312" w:hAnsi="仿宋_GB2312" w:cs="仿宋_GB2312"/>
          <w:b/>
          <w:bCs/>
          <w:sz w:val="28"/>
          <w:szCs w:val="28"/>
        </w:rPr>
        <w:t>。</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符合以下工作经验要求的应出具</w:t>
      </w:r>
      <w:r>
        <w:rPr>
          <w:rFonts w:ascii="仿宋_GB2312" w:eastAsia="仿宋_GB2312" w:hAnsi="仿宋_GB2312" w:cs="仿宋_GB2312"/>
          <w:sz w:val="28"/>
          <w:szCs w:val="28"/>
        </w:rPr>
        <w:t>工作简历，予以加分考虑。</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经理1人，具有5年以上食材供应项目管理工作经验。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供应业务员2人，</w:t>
      </w:r>
      <w:r>
        <w:rPr>
          <w:rFonts w:ascii="仿宋_GB2312" w:eastAsia="仿宋_GB2312" w:hAnsi="仿宋_GB2312" w:cs="仿宋_GB2312"/>
          <w:sz w:val="28"/>
          <w:szCs w:val="28"/>
        </w:rPr>
        <w:t>具有3年及以上食材供应项目工作经验。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食品安全管理员1人，</w:t>
      </w:r>
      <w:r>
        <w:rPr>
          <w:rFonts w:ascii="仿宋_GB2312" w:eastAsia="仿宋_GB2312" w:hAnsi="仿宋_GB2312" w:cs="仿宋_GB2312"/>
          <w:sz w:val="28"/>
          <w:szCs w:val="28"/>
        </w:rPr>
        <w:t>具有3年及以上食品安全管理工作经验。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采购员2人，</w:t>
      </w:r>
      <w:r>
        <w:rPr>
          <w:rFonts w:ascii="仿宋_GB2312" w:eastAsia="仿宋_GB2312" w:hAnsi="仿宋_GB2312" w:cs="仿宋_GB2312"/>
          <w:sz w:val="28"/>
          <w:szCs w:val="28"/>
        </w:rPr>
        <w:t>具有3年及以上食材采购工作经验。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会计1人，</w:t>
      </w:r>
      <w:r>
        <w:rPr>
          <w:rFonts w:ascii="仿宋_GB2312" w:eastAsia="仿宋_GB2312" w:hAnsi="仿宋_GB2312" w:cs="仿宋_GB2312"/>
          <w:sz w:val="28"/>
          <w:szCs w:val="28"/>
        </w:rPr>
        <w:t>具有初级及以上会计职称，5年及以上会计工作经验。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配送司机2名，具有3年以上相关工作经验。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以上人员在服务过程中应</w:t>
      </w:r>
      <w:r>
        <w:rPr>
          <w:rFonts w:ascii="仿宋_GB2312" w:eastAsia="仿宋_GB2312" w:hAnsi="仿宋_GB2312" w:cs="仿宋_GB2312"/>
          <w:sz w:val="28"/>
          <w:szCs w:val="28"/>
        </w:rPr>
        <w:t>热情服务、遵规守法，具备较强的沟通能力和临时紧急配送调换的处置能力。</w:t>
      </w:r>
    </w:p>
    <w:p>
      <w:pPr>
        <w:pStyle w:val="Heading3"/>
        <w:keepNext w:val="0"/>
        <w:spacing w:before="0" w:after="0" w:line="360" w:lineRule="auto"/>
        <w:rPr>
          <w:rFonts w:ascii="仿宋_GB2312" w:eastAsia="仿宋_GB2312" w:hAnsi="仿宋_GB2312" w:cs="仿宋_GB2312"/>
          <w:b/>
          <w:bCs/>
          <w:sz w:val="28"/>
          <w:szCs w:val="28"/>
        </w:rPr>
      </w:pPr>
      <w:bookmarkStart w:id="33" w:name="_Toc256000030"/>
      <w:r>
        <w:rPr>
          <w:rFonts w:ascii="仿宋_GB2312" w:eastAsia="仿宋_GB2312" w:hAnsi="仿宋_GB2312" w:cs="仿宋_GB2312"/>
          <w:sz w:val="28"/>
          <w:szCs w:val="28"/>
        </w:rPr>
        <w:t>4.1.2优选资质/优选指标</w:t>
      </w:r>
      <w:bookmarkEnd w:id="33"/>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5管理实施要求</w:t>
      </w:r>
      <w:bookmarkEnd w:id="34"/>
    </w:p>
    <w:p>
      <w:pPr>
        <w:pStyle w:val="MsoNormal"/>
        <w:spacing w:before="0" w:after="0" w:line="360" w:lineRule="auto"/>
        <w:ind w:left="0" w:right="0" w:firstLine="480"/>
      </w:pP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,明确经理、供应业务员、食品安全管理员、采购员、会计、司机等各岗位工作职责，制定岗位工作说明，确保制度能有效运转。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6风险管控要求</w:t>
      </w:r>
      <w:bookmarkEnd w:id="35"/>
    </w:p>
    <w:p>
      <w:pPr>
        <w:pStyle w:val="17"/>
        <w:spacing w:before="0" w:after="0" w:line="360" w:lineRule="auto"/>
        <w:ind w:firstLine="642"/>
        <w:rPr>
          <w:rFonts w:ascii="Times New Roman" w:eastAsia="Times New Roman" w:hAnsi="Times New Roman" w:cs="Times New Roman"/>
        </w:rPr>
      </w:pPr>
      <w:r>
        <w:rPr>
          <w:rFonts w:ascii="FangSong" w:eastAsia="FangSong" w:hAnsi="FangSong" w:cs="FangSong"/>
          <w:b/>
          <w:bCs/>
          <w:sz w:val="28"/>
          <w:szCs w:val="28"/>
        </w:rPr>
        <w:t>（一）</w:t>
      </w:r>
      <w:r>
        <w:rPr>
          <w:rFonts w:ascii="FangSong" w:eastAsia="FangSong" w:hAnsi="FangSong" w:cs="FangSong"/>
          <w:b/>
          <w:bCs/>
          <w:sz w:val="28"/>
          <w:szCs w:val="28"/>
        </w:rPr>
        <w:t>应急保障方案要求</w:t>
      </w:r>
    </w:p>
    <w:p>
      <w:pPr>
        <w:pStyle w:val="17"/>
        <w:spacing w:before="0" w:after="0" w:line="360" w:lineRule="auto"/>
        <w:ind w:firstLine="640"/>
        <w:rPr>
          <w:rFonts w:ascii="Times New Roman" w:eastAsia="Times New Roman" w:hAnsi="Times New Roman" w:cs="Times New Roman"/>
        </w:rPr>
      </w:pPr>
      <w:r>
        <w:rPr>
          <w:rFonts w:ascii="FangSong" w:eastAsia="FangSong" w:hAnsi="FangSong" w:cs="FangSong"/>
          <w:sz w:val="28"/>
          <w:szCs w:val="28"/>
        </w:rPr>
        <w:t>投标人应提供在自然灾害、极端事件、市场关闭、物资紧缺等突发紧急情况下拟采取的应急保障方案，包括充分供应、按时保障、质量管控等措施，确保总局食材及时供应不间断。</w:t>
      </w:r>
    </w:p>
    <w:p>
      <w:pPr>
        <w:pStyle w:val="21"/>
        <w:spacing w:before="0" w:after="0" w:line="360" w:lineRule="auto"/>
        <w:rPr>
          <w:rFonts w:ascii="Times New Roman" w:eastAsia="Times New Roman" w:hAnsi="Times New Roman" w:cs="Times New Roman"/>
        </w:rPr>
      </w:pPr>
      <w:r>
        <w:rPr>
          <w:rFonts w:ascii="FangSong" w:eastAsia="FangSong" w:hAnsi="FangSong" w:cs="FangSong"/>
          <w:b/>
          <w:bCs/>
          <w:sz w:val="28"/>
          <w:szCs w:val="28"/>
        </w:rPr>
        <w:t>（二）违约风险管控要求</w:t>
      </w:r>
    </w:p>
    <w:p>
      <w:pPr>
        <w:pStyle w:val="2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.投标人中标后采用先送货后结账的模式，</w:t>
      </w:r>
      <w:r>
        <w:rPr>
          <w:rFonts w:ascii="FangSong" w:eastAsia="FangSong" w:hAnsi="FangSong" w:cs="FangSong"/>
          <w:sz w:val="28"/>
          <w:szCs w:val="28"/>
        </w:rPr>
        <w:t>不收取履约保证金。有下列情形之一的，采购人有权按照以下约定及合同违约相关条款处理：</w:t>
      </w:r>
    </w:p>
    <w:p>
      <w:pPr>
        <w:pStyle w:val="25"/>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1）</w:t>
      </w:r>
      <w:r>
        <w:rPr>
          <w:rFonts w:ascii="FangSong" w:eastAsia="FangSong" w:hAnsi="FangSong" w:cs="FangSong"/>
          <w:sz w:val="28"/>
          <w:szCs w:val="28"/>
        </w:rPr>
        <w:t>因投标人配送不及时导致采购人供餐延误并造成重大影响的；</w:t>
      </w:r>
    </w:p>
    <w:p>
      <w:pPr>
        <w:pStyle w:val="25"/>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2）</w:t>
      </w:r>
      <w:r>
        <w:rPr>
          <w:rFonts w:ascii="FangSong" w:eastAsia="FangSong" w:hAnsi="FangSong" w:cs="FangSong"/>
          <w:sz w:val="28"/>
          <w:szCs w:val="28"/>
        </w:rPr>
        <w:t>凡经相关部门认定，因投标人所提供的原料原因造成采购人食堂出现食物中毒等卫生安全事故的，投标人除必须承担全部的法律责任外，还要全额承担因食物中毒发生所造成后果的一切费用；</w:t>
      </w:r>
    </w:p>
    <w:p>
      <w:pPr>
        <w:pStyle w:val="25"/>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3）</w:t>
      </w:r>
      <w:r>
        <w:rPr>
          <w:rFonts w:ascii="FangSong" w:eastAsia="FangSong" w:hAnsi="FangSong" w:cs="FangSong"/>
          <w:sz w:val="28"/>
          <w:szCs w:val="28"/>
        </w:rPr>
        <w:t>除不可抗力及采购人原因外，因投标人配送不及时导致采购人伙食供应延时，但经投标人采取补救措施未造成采购人不良影响的，出现三次终止供货合同；</w:t>
      </w:r>
    </w:p>
    <w:p>
      <w:pPr>
        <w:pStyle w:val="25"/>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4）</w:t>
      </w:r>
      <w:r>
        <w:rPr>
          <w:rFonts w:ascii="FangSong" w:eastAsia="FangSong" w:hAnsi="FangSong" w:cs="FangSong"/>
          <w:sz w:val="28"/>
          <w:szCs w:val="28"/>
        </w:rPr>
        <w:t>凡投标人向采购人提供产品发生质量问题影响食用，并拒绝退换的；</w:t>
      </w:r>
    </w:p>
    <w:p>
      <w:pPr>
        <w:pStyle w:val="25"/>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5）</w:t>
      </w:r>
      <w:r>
        <w:rPr>
          <w:rFonts w:ascii="FangSong" w:eastAsia="FangSong" w:hAnsi="FangSong" w:cs="FangSong"/>
          <w:sz w:val="28"/>
          <w:szCs w:val="28"/>
        </w:rPr>
        <w:t>采购人将不定期组织专人对食材进行抽检，若发现质量不符，采购人有权要求予以退换货。</w:t>
      </w:r>
    </w:p>
    <w:p>
      <w:pPr>
        <w:pStyle w:val="2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FangSong" w:eastAsia="FangSong" w:hAnsi="FangSong" w:cs="FangSong"/>
          <w:sz w:val="28"/>
          <w:szCs w:val="28"/>
        </w:rPr>
        <w:t>投标人有下列情形之一的，采购人有权解除合同，由投标人承担全部经济损失和相关责任：</w:t>
      </w:r>
    </w:p>
    <w:p>
      <w:pPr>
        <w:pStyle w:val="29"/>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1）</w:t>
      </w:r>
      <w:r>
        <w:rPr>
          <w:rFonts w:ascii="FangSong" w:eastAsia="FangSong" w:hAnsi="FangSong" w:cs="FangSong"/>
          <w:sz w:val="28"/>
          <w:szCs w:val="28"/>
        </w:rPr>
        <w:t>投标人以书面、微信、短信等方式通知采购人不再供货，包括对部分食材不再供货；</w:t>
      </w:r>
    </w:p>
    <w:p>
      <w:pPr>
        <w:pStyle w:val="29"/>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2）</w:t>
      </w:r>
      <w:r>
        <w:rPr>
          <w:rFonts w:ascii="FangSong" w:eastAsia="FangSong" w:hAnsi="FangSong" w:cs="FangSong"/>
          <w:sz w:val="28"/>
          <w:szCs w:val="28"/>
        </w:rPr>
        <w:t>投标人虽未通知采购人不再供货，但1天没有供应采购人采购的货物，包括对部分食材没有供货；</w:t>
      </w:r>
    </w:p>
    <w:p>
      <w:pPr>
        <w:pStyle w:val="MsoNormal"/>
        <w:spacing w:before="0" w:after="0" w:line="360" w:lineRule="auto"/>
        <w:ind w:firstLine="480"/>
        <w:jc w:val="both"/>
      </w:pPr>
      <w:r>
        <w:rPr>
          <w:rFonts w:ascii="FangSong" w:eastAsia="FangSong" w:hAnsi="FangSong" w:cs="FangSong"/>
          <w:sz w:val="28"/>
          <w:szCs w:val="28"/>
        </w:rPr>
        <w:t>（</w:t>
      </w:r>
      <w:r>
        <w:rPr>
          <w:rFonts w:ascii="仿宋_GB2312" w:eastAsia="仿宋_GB2312" w:hAnsi="仿宋_GB2312" w:cs="仿宋_GB2312"/>
          <w:sz w:val="28"/>
          <w:szCs w:val="28"/>
        </w:rPr>
        <w:t>3）</w:t>
      </w:r>
      <w:r>
        <w:rPr>
          <w:rFonts w:ascii="FangSong" w:eastAsia="FangSong" w:hAnsi="FangSong" w:cs="FangSong"/>
          <w:sz w:val="28"/>
          <w:szCs w:val="28"/>
        </w:rPr>
        <w:t>投标人未经采购人同意单方面提价的。</w:t>
      </w:r>
    </w:p>
    <w:p>
      <w:pPr>
        <w:pStyle w:val="Heading1"/>
        <w:keepNext w:val="0"/>
        <w:spacing w:before="0" w:after="0" w:line="360" w:lineRule="auto"/>
        <w:jc w:val="center"/>
        <w:rPr>
          <w:rFonts w:ascii="仿宋_GB2312" w:eastAsia="仿宋_GB2312" w:hAnsi="仿宋_GB2312" w:cs="仿宋_GB2312"/>
          <w:b/>
          <w:bCs/>
          <w:sz w:val="32"/>
          <w:szCs w:val="32"/>
        </w:rPr>
      </w:pPr>
      <w:bookmarkStart w:id="36" w:name="_Toc256000033"/>
      <w:r>
        <w:rPr>
          <w:rFonts w:ascii="仿宋_GB2312" w:eastAsia="仿宋_GB2312" w:hAnsi="仿宋_GB2312" w:cs="仿宋_GB2312"/>
          <w:kern w:val="36"/>
        </w:rPr>
        <w:t>7履约验收要求</w:t>
      </w:r>
      <w:bookmarkEnd w:id="36"/>
    </w:p>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7.1总体要求</w:t>
      </w:r>
      <w:bookmarkEnd w:id="37"/>
    </w:p>
    <w:tbl>
      <w:tblPr>
        <w:tblW w:w="5000" w:type="pct"/>
        <w:tblInd w:w="30" w:type="dxa"/>
        <w:tblCellMar>
          <w:top w:w="15" w:type="dxa"/>
          <w:left w:w="15" w:type="dxa"/>
          <w:bottom w:w="15" w:type="dxa"/>
          <w:right w:w="15" w:type="dxa"/>
        </w:tblCellMar>
      </w:tblPr>
      <w:tblGrid>
        <w:gridCol w:w="917"/>
        <w:gridCol w:w="2968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按月验收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（一）总体要求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2.验收时间和地点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（1）验收时间：到货当天。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地点：国家税务总局天津市税务局机关食堂（天津市河北区民主道16号）、国家税务总局天津市税务局北安道办公区机关食堂（天津市河北区北安道38号）和国家税务总局天津市税务局流霞路办公区机关食堂（天津市空港国际物流经济区流霞路50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（3）验收组织形式：采购人组织验收。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（4）验收方式：现场验收。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（5）验收内容: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（a）质量是否符合约定标准；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（b）重量、数量、价格是否与采购人的预定需求一致。</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（二）具体要求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1.验收场所的准备</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（1）投标人应在验收时提供与送货内容一致的送货单，并加盖公章。</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（2）卸货前的检查。验收人员卸货前应对货物的外观质量进行初步了解。</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要求投标人提供产品质量检测报告及卫生合格报告书，证明内容与产品内容要一致。投标人以提供原件为主，不能留原件的提供复印件。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（4）发现食品质量安全问题的处理：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4.退（补）货流程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5.包装带箱、筐的食材按照去除箱、筐后的重量计算。投标人需配合采购人库管人员进行倒筐称重，共同签字确认。</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（三）货物验收方案。</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7.2具体要求</w:t>
      </w:r>
      <w:bookmarkEnd w:id="38"/>
    </w:p>
    <w:p>
      <w:pPr>
        <w:pStyle w:val="24"/>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w:t>
      </w:r>
      <w:r>
        <w:rPr>
          <w:rFonts w:ascii="FangSong" w:eastAsia="FangSong" w:hAnsi="FangSong" w:cs="FangSong"/>
          <w:sz w:val="28"/>
          <w:szCs w:val="28"/>
        </w:rPr>
        <w:t>验收场所的准备</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应当在固定的场所进行验收，采购人定期清扫消毒，保持清洁，保证无积尘、无食品残渣，无霉斑、鼠迹、苍蝇、蟑螂，验收场所不准存放有毒、有害物品及个人生活用品。</w:t>
      </w:r>
    </w:p>
    <w:p>
      <w:pPr>
        <w:pStyle w:val="24"/>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FangSong" w:eastAsia="FangSong" w:hAnsi="FangSong" w:cs="FangSong"/>
          <w:sz w:val="28"/>
          <w:szCs w:val="28"/>
        </w:rPr>
        <w:t>验收小组按订单对采购货物的品种、质量、数量进行检查验收，对货不对版、质量不好、价格明显过于偏高的食材不予验收，对于数量不足的食材，按照实际数量入账，填制验收记录和验收单。</w:t>
      </w:r>
    </w:p>
    <w:p>
      <w:pPr>
        <w:pStyle w:val="24"/>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FangSong" w:eastAsia="FangSong" w:hAnsi="FangSong" w:cs="FangSong"/>
          <w:sz w:val="28"/>
          <w:szCs w:val="28"/>
        </w:rPr>
        <w:t>验收流程</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1</w:t>
      </w:r>
      <w:r>
        <w:rPr>
          <w:rFonts w:ascii="FangSong" w:eastAsia="FangSong" w:hAnsi="FangSong" w:cs="FangSong"/>
          <w:sz w:val="28"/>
          <w:szCs w:val="28"/>
        </w:rPr>
        <w:t>）投标人应在验收时提供与送货内容一致的送货单，并加盖公章。</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2）</w:t>
      </w:r>
      <w:r>
        <w:rPr>
          <w:rFonts w:ascii="FangSong" w:eastAsia="FangSong" w:hAnsi="FangSong" w:cs="FangSong"/>
          <w:sz w:val="28"/>
          <w:szCs w:val="28"/>
        </w:rPr>
        <w:t>卸货前的检查。验收人员卸货前应对货物的外观质量进行初步了解。</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3）</w:t>
      </w:r>
      <w:r>
        <w:rPr>
          <w:rFonts w:ascii="FangSong" w:eastAsia="FangSong" w:hAnsi="FangSong" w:cs="FangSong"/>
          <w:sz w:val="28"/>
          <w:szCs w:val="28"/>
        </w:rPr>
        <w:t>采取当场验收的方式，验收人认真检查货物，按核对品种→索证→抽查(检测）→数量、重量、质量、价格验收→签名确认→入库的程序完成验收。</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要求投标人提供产品质量检测报告及卫生合格报告书，证明内容与产品内容要一致。投标人以提供原件为主，不能留原件的提供复印件。</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w:t>
      </w:r>
      <w:r>
        <w:rPr>
          <w:rFonts w:ascii="仿宋_GB2312" w:eastAsia="仿宋_GB2312" w:hAnsi="仿宋_GB2312" w:cs="仿宋_GB2312"/>
          <w:sz w:val="28"/>
          <w:szCs w:val="28"/>
        </w:rPr>
        <w:t>4）</w:t>
      </w:r>
      <w:r>
        <w:rPr>
          <w:rFonts w:ascii="FangSong" w:eastAsia="FangSong" w:hAnsi="FangSong" w:cs="FangSong"/>
          <w:sz w:val="28"/>
          <w:szCs w:val="28"/>
        </w:rPr>
        <w:t>发现食品质量安全问题的处理：</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抽查时发现食品质量不过关或影响食用安全的，对当日所送同批次产品全部退货。</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若抽查未发现问题，按储藏要求储藏后在加工食用前发现产品质量问题的，投标人必须退货或更换。</w:t>
      </w:r>
    </w:p>
    <w:p>
      <w:pPr>
        <w:pStyle w:val="24"/>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FangSong" w:eastAsia="FangSong" w:hAnsi="FangSong" w:cs="FangSong"/>
          <w:sz w:val="28"/>
          <w:szCs w:val="28"/>
        </w:rPr>
        <w:t>退（补）货流程</w:t>
      </w:r>
    </w:p>
    <w:p>
      <w:pPr>
        <w:pStyle w:val="24"/>
        <w:spacing w:before="0" w:after="0" w:line="360" w:lineRule="auto"/>
        <w:ind w:left="0" w:firstLine="640"/>
        <w:jc w:val="both"/>
        <w:rPr>
          <w:rFonts w:ascii="Times New Roman" w:eastAsia="Times New Roman" w:hAnsi="Times New Roman" w:cs="Times New Roman"/>
        </w:rPr>
      </w:pPr>
      <w:r>
        <w:rPr>
          <w:rFonts w:ascii="FangSong" w:eastAsia="FangSong" w:hAnsi="FangSong" w:cs="FangSong"/>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24"/>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FangSong" w:eastAsia="FangSong" w:hAnsi="FangSong" w:cs="FangSong"/>
          <w:sz w:val="28"/>
          <w:szCs w:val="28"/>
        </w:rPr>
        <w:t>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9" w:name="_Toc256000036"/>
      <w:r>
        <w:rPr>
          <w:rFonts w:ascii="仿宋_GB2312" w:eastAsia="仿宋_GB2312" w:hAnsi="仿宋_GB2312" w:cs="仿宋_GB2312"/>
          <w:kern w:val="36"/>
        </w:rPr>
        <w:t>8其他要求</w:t>
      </w:r>
      <w:bookmarkEnd w:id="39"/>
    </w:p>
    <w:p>
      <w:pPr>
        <w:pStyle w:val="Heading2"/>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i w:val="0"/>
          <w:iCs w:val="0"/>
        </w:rPr>
        <w:t>8.1必备要求</w:t>
      </w:r>
      <w:bookmarkEnd w:id="40"/>
    </w:p>
    <w:p>
      <w:pPr>
        <w:pStyle w:val="Heading3"/>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sz w:val="28"/>
          <w:szCs w:val="28"/>
        </w:rPr>
        <w:t>8.1.1通用必备要求</w:t>
      </w:r>
      <w:bookmarkEnd w:id="4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8.2付款安排建议</w:t>
      </w:r>
      <w:bookmarkEnd w:id="42"/>
    </w:p>
    <w:tbl>
      <w:tblPr>
        <w:tblW w:w="5000" w:type="pct"/>
        <w:tblInd w:w="30" w:type="dxa"/>
        <w:tblCellMar>
          <w:top w:w="15" w:type="dxa"/>
          <w:left w:w="15" w:type="dxa"/>
          <w:bottom w:w="15" w:type="dxa"/>
          <w:right w:w="15" w:type="dxa"/>
        </w:tblCellMar>
      </w:tblPr>
      <w:tblGrid>
        <w:gridCol w:w="1046"/>
        <w:gridCol w:w="29484"/>
        <w:gridCol w:w="1150"/>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i w:val="0"/>
          <w:iCs w:val="0"/>
        </w:rPr>
        <w:t>8.3其他要求</w:t>
      </w:r>
      <w:bookmarkEnd w:id="43"/>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8.3.1保密要求</w:t>
      </w:r>
      <w:bookmarkEnd w:id="44"/>
    </w:p>
    <w:p>
      <w:pPr>
        <w:pStyle w:val="15"/>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32"/>
          <w:szCs w:val="32"/>
        </w:rPr>
        <w:t>中标供应商应提供遵守国家税务总局天津市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8.3.2知识产权要求</w:t>
      </w:r>
      <w:bookmarkEnd w:id="45"/>
    </w:p>
    <w:p>
      <w:pPr>
        <w:spacing w:before="0" w:after="0" w:line="360" w:lineRule="auto"/>
        <w:ind w:firstLine="560"/>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17</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soNormal">
    <w:name w:val="MsoNormal"/>
    <w:basedOn w:val="Normal"/>
  </w:style>
  <w:style w:type="paragraph" w:customStyle="1" w:styleId="MsoBodyText">
    <w:name w:val="MsoBodyText"/>
    <w:basedOn w:val="Normal"/>
  </w:style>
  <w:style w:type="paragraph" w:customStyle="1" w:styleId="16">
    <w:name w:val="16"/>
    <w:basedOn w:val="Normal"/>
  </w:style>
  <w:style w:type="paragraph" w:customStyle="1" w:styleId="15">
    <w:name w:val="15"/>
    <w:basedOn w:val="Normal"/>
  </w:style>
  <w:style w:type="paragraph" w:customStyle="1" w:styleId="17">
    <w:name w:val="17"/>
    <w:basedOn w:val="Normal"/>
  </w:style>
  <w:style w:type="paragraph" w:customStyle="1" w:styleId="20">
    <w:name w:val="20"/>
    <w:basedOn w:val="Normal"/>
  </w:style>
  <w:style w:type="paragraph" w:customStyle="1" w:styleId="19">
    <w:name w:val="19"/>
    <w:basedOn w:val="Normal"/>
  </w:style>
  <w:style w:type="paragraph" w:customStyle="1" w:styleId="18">
    <w:name w:val="18"/>
    <w:basedOn w:val="Normal"/>
  </w:style>
  <w:style w:type="paragraph" w:customStyle="1" w:styleId="21">
    <w:name w:val="21"/>
    <w:basedOn w:val="Normal"/>
  </w:style>
  <w:style w:type="paragraph" w:customStyle="1" w:styleId="29">
    <w:name w:val="29"/>
    <w:basedOn w:val="Normal"/>
  </w:style>
  <w:style w:type="paragraph" w:customStyle="1" w:styleId="25">
    <w:name w:val="25"/>
    <w:basedOn w:val="Normal"/>
  </w:style>
  <w:style w:type="paragraph" w:customStyle="1" w:styleId="24">
    <w:name w:val="24"/>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