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bookmarkStart w:id="45" w:name="_GoBack"/>
      <w:bookmarkEnd w:id="45"/>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国家税务总局天津市和平区税务局2025年12366纳税缴费服务热线远程座席咨询服务</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2025年03月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3.2服务内容和要求</w:t>
      </w:r>
      <w:r>
        <w:tab/>
      </w:r>
      <w:r>
        <w:fldChar w:fldCharType="begin"/>
      </w:r>
      <w:r>
        <w:instrText xml:space="preserve"> PAGEREF _Toc256000021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3.2.1技术和服务客观指标</w:t>
      </w:r>
      <w:r>
        <w:tab/>
      </w:r>
      <w:r>
        <w:fldChar w:fldCharType="begin"/>
      </w:r>
      <w:r>
        <w:instrText xml:space="preserve"> PAGEREF _Toc256000022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3.2.2技术和服务其他要求</w:t>
      </w:r>
      <w:r>
        <w:tab/>
      </w:r>
      <w:r>
        <w:fldChar w:fldCharType="begin"/>
      </w:r>
      <w:r>
        <w:instrText xml:space="preserve"> PAGEREF _Toc256000023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_Toc256000024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4.1总体要求</w:t>
      </w:r>
      <w:r>
        <w:tab/>
      </w:r>
      <w:r>
        <w:fldChar w:fldCharType="begin"/>
      </w:r>
      <w:r>
        <w:instrText xml:space="preserve"> PAGEREF _Toc256000025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4.2管理团队</w:t>
      </w:r>
      <w:r>
        <w:tab/>
      </w:r>
      <w:r>
        <w:fldChar w:fldCharType="begin"/>
      </w:r>
      <w:r>
        <w:instrText xml:space="preserve"> PAGEREF _Toc256000026 \h </w:instrText>
      </w:r>
      <w:r>
        <w:fldChar w:fldCharType="separate"/>
      </w:r>
      <w:r>
        <w:t>8</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4.2.1项目经理</w:t>
      </w:r>
      <w:r>
        <w:tab/>
      </w:r>
      <w:r>
        <w:fldChar w:fldCharType="begin"/>
      </w:r>
      <w:r>
        <w:instrText xml:space="preserve"> PAGEREF _Toc256000027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4.3技术团队</w:t>
      </w:r>
      <w:r>
        <w:tab/>
      </w:r>
      <w:r>
        <w:fldChar w:fldCharType="begin"/>
      </w:r>
      <w:r>
        <w:instrText xml:space="preserve"> PAGEREF _Toc256000028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4.4优选资质/优选指标</w:t>
      </w:r>
      <w:r>
        <w:tab/>
      </w:r>
      <w:r>
        <w:fldChar w:fldCharType="begin"/>
      </w:r>
      <w:r>
        <w:instrText xml:space="preserve"> PAGEREF _Toc256000029 \h </w:instrText>
      </w:r>
      <w:r>
        <w:fldChar w:fldCharType="separate"/>
      </w:r>
      <w:r>
        <w:t>9</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_Toc256000030 \h </w:instrText>
      </w:r>
      <w:r>
        <w:fldChar w:fldCharType="separate"/>
      </w:r>
      <w:r>
        <w:t>9</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_Toc256000031 \h </w:instrText>
      </w:r>
      <w:r>
        <w:fldChar w:fldCharType="separate"/>
      </w:r>
      <w:r>
        <w:t>13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_Toc256000032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_Toc256000033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_Toc256000034 \h </w:instrText>
      </w:r>
      <w:r>
        <w:fldChar w:fldCharType="separate"/>
      </w:r>
      <w:r>
        <w:t>14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_Toc256000035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_Toc256000036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_Toc256000037 \h </w:instrText>
      </w:r>
      <w:r>
        <w:fldChar w:fldCharType="separate"/>
      </w:r>
      <w:r>
        <w:t>15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_Toc256000038 \h </w:instrText>
      </w:r>
      <w:r>
        <w:fldChar w:fldCharType="separate"/>
      </w:r>
      <w:r>
        <w:t>15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_Toc256000039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_Toc256000040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rPr>
        <w:t>8.3.2知识转移要求</w:t>
      </w:r>
      <w:r>
        <w:tab/>
      </w:r>
      <w:r>
        <w:fldChar w:fldCharType="begin"/>
      </w:r>
      <w:r>
        <w:instrText xml:space="preserve"> PAGEREF _Toc256000041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rPr>
        <w:t>8.3.3知识产权要求</w:t>
      </w:r>
      <w:r>
        <w:tab/>
      </w:r>
      <w:r>
        <w:fldChar w:fldCharType="begin"/>
      </w:r>
      <w:r>
        <w:instrText xml:space="preserve"> PAGEREF _Toc256000042 \h </w:instrText>
      </w:r>
      <w:r>
        <w:fldChar w:fldCharType="separate"/>
      </w:r>
      <w:r>
        <w:t>16</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12366纳税缴费服务热线（以下简称“12366热线”）自成立以来，始终秉承“用心倾听、真诚服务”的宗旨，为纳税人缴费人提供高效、便捷、规范、全面的专业化咨询服务。国家税务总局天津市和平区税务局12366热线是为纳税人缴费人提供咨询服务的重要平台，已实现工作日“5×8小时”人工服务，已逐步成为沟通征纳双方、和谐征纳关系的桥梁和纽带。</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为进一步强化运行管理，提升服务质效，结合12366热线转型升级工作目标，充分发挥第三方服务单位运营管理经验，巩固现有工作成效，持续创新服务方式，全方位、多渠道为纳税人缴费人提供更加精细化、个性化的服务，国家税务总局天津市和平区税务局通过公开招标方式采购12366热线咨询服务。</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以建设全市一流的12366热线为目标，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5×8小时”人工座席服务。人工座席负责提供征纳互动服务，以接听、回拨等方式受理纳税人缴费人的电话咨询、意见建议，对“好差评”结果为不满意的电话进行回访。</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本项目采购内容为12366热线咨询服务，国家税务总局天津市和平区税务局提供办公场地、人员工位及相关办公设备，中标供应商提供服务人员及接听设备。本项目需要服务人员13人，中标供应商需按照国家税务总局天津市和平区税务局要求培训、管理服务人员，配合国家税务总局天津市和平区税务局对12366热线的日常管理工作，共同落实服务规范和绩效管理办法等制度体系。</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按照国家税务总局天津市税务局对12366热线咨询服务的要求，须为12366热线提供工作日“5×8小时”人工座席服务。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自签订合同之日起一年。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国家税务总局天津市和平区税务局</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无</w:t>
      </w:r>
    </w:p>
    <w:p>
      <w:pPr>
        <w:pStyle w:val="13"/>
        <w:spacing w:before="0" w:after="0" w:line="360" w:lineRule="auto"/>
        <w:ind w:firstLine="560"/>
        <w:rPr>
          <w:rFonts w:ascii="Times New Roman" w:hAnsi="Times New Roman" w:eastAsia="Times New Roman" w:cs="Times New Roman"/>
        </w:rPr>
      </w:pPr>
      <w:r>
        <w:rPr>
          <w:rFonts w:ascii="Times New Roman" w:hAnsi="Times New Roman" w:eastAsia="Times New Roman" w:cs="Times New Roman"/>
        </w:rPr>
        <w:t> </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2"/>
        <w:pBdr>
          <w:top w:val="none" w:color="auto" w:sz="0" w:space="0"/>
          <w:left w:val="none" w:color="auto" w:sz="0" w:space="0"/>
          <w:bottom w:val="none" w:color="auto" w:sz="0" w:space="0"/>
          <w:right w:val="none" w:color="auto" w:sz="0" w:space="0"/>
        </w:pBdr>
        <w:spacing w:before="0" w:after="0" w:line="360" w:lineRule="auto"/>
        <w:ind w:left="600" w:right="0"/>
        <w:rPr>
          <w:rFonts w:ascii="Times New Roman" w:hAnsi="Times New Roman" w:eastAsia="Times New Roman" w:cs="Times New Roman"/>
        </w:rPr>
      </w:pPr>
      <w:r>
        <w:rPr>
          <w:rFonts w:ascii="仿宋_GB2312" w:hAnsi="仿宋_GB2312" w:eastAsia="仿宋_GB2312" w:cs="仿宋_GB2312"/>
          <w:sz w:val="28"/>
          <w:szCs w:val="28"/>
        </w:rPr>
        <w:t>投标人提供以下资料的为优选资质：</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1.完全按照以下要求提供曾实施服务业绩的，提供的证明材料均不得遮挡涂黑。</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合同原件扫描件。投标人提供的2021年1月以来（以合同签订日期为准）独立承担的与本项目相类似且已完成的案例、买卖双方名称及盖章、服务期限（合同服务起始日期为2021年1月1日或以后，且履行至少1年的时间）。 </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3.已完成的合同，提供加盖合同甲方单位公章的成功履行合同的相关证明材料原件扫描件，合同正在实施的，提供加盖合同甲方单位公章的合同履行情况良好的相关证明材料原件扫描件。</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符合和满足本项目技术要求和其他有关要求。</w:t>
      </w:r>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投标人应根据项目需求对服务方案及内容、项目需求理解、实施方案、保密管理、培训方案、应急保障方案、验收方案等内容进行响应。</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pStyle w:val="13"/>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投标人应根据项目需求对服务方案及内容、项目需求理解、实施方案、保密管理、培训方案、应急保障方案、验收方案等内容进行响应。</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为构建天津税务系统“一键接入、市区联动、规范统一”的12366税费咨询服务体系，协同服务新模式，持续推进办税缴费服务提质增效，提升纳税人缴费人满意度和获得感。面向纳税人缴费人提供工作日“5×8小时”人工座席服务，服务内容包括税费咨询、涉税费查询、纳税缴费程序咨询辅导、征纳互动服务、意见建议受理、税费政策宣传、满意度回访、需求收集、数据分析应用等。</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3.2服务内容和要求</w:t>
      </w:r>
      <w:bookmarkEnd w:id="2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采购文件（技术部分）中有标注★号的，为必备服务要求，必须满足，如未作出响应，将导致响应无效；#为重要服务内容、△为一般服务内容。</w:t>
      </w:r>
    </w:p>
    <w:p>
      <w:pPr>
        <w:pStyle w:val="4"/>
        <w:keepNext w:val="0"/>
        <w:spacing w:before="0" w:after="0" w:line="360" w:lineRule="auto"/>
        <w:rPr>
          <w:rFonts w:ascii="仿宋_GB2312" w:hAnsi="仿宋_GB2312" w:eastAsia="仿宋_GB2312" w:cs="仿宋_GB2312"/>
          <w:b/>
          <w:bCs/>
          <w:sz w:val="28"/>
          <w:szCs w:val="28"/>
        </w:rPr>
      </w:pPr>
      <w:bookmarkStart w:id="24" w:name="_Toc256000022"/>
      <w:r>
        <w:rPr>
          <w:rFonts w:ascii="仿宋_GB2312" w:hAnsi="仿宋_GB2312" w:eastAsia="仿宋_GB2312" w:cs="仿宋_GB2312"/>
          <w:sz w:val="28"/>
          <w:szCs w:val="28"/>
        </w:rPr>
        <w:t>3.2.1技术和服务客观指标</w:t>
      </w:r>
      <w:bookmarkEnd w:id="2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3.2.1.1服务1</w:t>
      </w:r>
    </w:p>
    <w:p>
      <w:pPr>
        <w:pStyle w:val="4"/>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sz w:val="28"/>
          <w:szCs w:val="28"/>
        </w:rPr>
        <w:t>3.2.2技术和服务其他要求</w:t>
      </w:r>
      <w:bookmarkEnd w:id="25"/>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1.热线电话服务。主要包括解答纳税人缴费人向12366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2.电话回呼。通过人工主动呼出的方式向纳税人缴费人提供涉税费咨询服务。电话回呼包括留言回呼、纠错回呼、承诺回呼、遇忙（呼损）回呼等。</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3.征纳互动服务。通过征纳互动受理纳税人缴费人咨询，对通过12366热线发起咨询的符合条件的反向拉起互动，提升咨询效率。</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4.后台支撑服务。主要解决热线人员无法及时回复或解决的问题，包括但不限于疑难问题的解答、业务工单等。</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5.宣传培训服务。包括相关涉税涉费热点问题的整理、编辑以及配合宣传和发布服务。</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6.需求采集服务。作为税务局和纳税人缴费人之间的沟通桥梁，了解纳税人缴费人的实际需求，利用服务纳税人缴费人时获得的需求信息和数据，定期提供需求报告，为税务局提高纳税服务水平提供决策依据。</w:t>
      </w:r>
    </w:p>
    <w:p>
      <w:pPr>
        <w:pStyle w:val="2"/>
        <w:keepNext w:val="0"/>
        <w:spacing w:before="0" w:after="0" w:line="360" w:lineRule="auto"/>
        <w:jc w:val="center"/>
        <w:rPr>
          <w:rFonts w:ascii="仿宋_GB2312" w:hAnsi="仿宋_GB2312" w:eastAsia="仿宋_GB2312" w:cs="仿宋_GB2312"/>
          <w:b/>
          <w:bCs/>
          <w:sz w:val="32"/>
          <w:szCs w:val="32"/>
        </w:rPr>
      </w:pPr>
      <w:bookmarkStart w:id="26" w:name="_Toc256000024"/>
      <w:r>
        <w:rPr>
          <w:rFonts w:ascii="仿宋_GB2312" w:hAnsi="仿宋_GB2312" w:eastAsia="仿宋_GB2312" w:cs="仿宋_GB2312"/>
          <w:kern w:val="36"/>
        </w:rPr>
        <w:t>4人员要求</w:t>
      </w:r>
      <w:bookmarkEnd w:id="26"/>
    </w:p>
    <w:p>
      <w:pPr>
        <w:pStyle w:val="3"/>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i w:val="0"/>
          <w:iCs w:val="0"/>
        </w:rPr>
        <w:t>4.1总体要求</w:t>
      </w:r>
      <w:bookmarkEnd w:id="27"/>
    </w:p>
    <w:p>
      <w:pPr>
        <w:pStyle w:val="12"/>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pPr>
        <w:pStyle w:val="3"/>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i w:val="0"/>
          <w:iCs w:val="0"/>
        </w:rPr>
        <w:t>4.2管理团队</w:t>
      </w:r>
      <w:bookmarkEnd w:id="28"/>
    </w:p>
    <w:p>
      <w:pPr>
        <w:pStyle w:val="4"/>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sz w:val="28"/>
          <w:szCs w:val="28"/>
        </w:rPr>
        <w:t>4.2.1项目经理</w:t>
      </w:r>
      <w:bookmarkEnd w:id="29"/>
    </w:p>
    <w:p>
      <w:pPr>
        <w:pStyle w:val="3"/>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i w:val="0"/>
          <w:iCs w:val="0"/>
        </w:rPr>
        <w:t>4.3技术团队</w:t>
      </w:r>
      <w:bookmarkEnd w:id="30"/>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提供热线咨询服务人员13人。13名12366热线咨询服务人员负责通过12366热线电话向纳税人解答关于税收法律、行政法规、纳税程序以及社会保险费和税务机关管辖的非税收入征管有关问题，引导投诉举报等。</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中标供应商提供的服务人员需要符合以下条件：</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 政治思想好，热爱税收事业，遵纪守法，无违法违纪记录，能严格遵守办税服务有关的规章制度和工作纪律；</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 爱岗敬业，团结同志、服从管理。讲文明，讲道德，注重言谈举止，积极参与各项文明创建活动，严格执行文明礼仪规范，具备较强的服务意识和良好的学习能力、语言表达能力、沟通能力、记忆能力、心理承受能力；</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 身体健康，勤奋工作，认真负责，恪尽职守，服从安排，按时保质保量完成单位所安排的各项工作任务；</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 具有良好的沟通表达能力，普通话发音基本标准，语调自然，表达流畅，有较娴熟的计算机操作技能，能够熟练运用电脑办公软件，汉字录入速度不低于80字/分钟；</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5. 具有大学专科及以上学历，专业以经济类、财政金融类、会计审计类、法律类、计算机、应用数学类或具备会计、税务类相关证书、考试合格证明的优先（具有1年以上办税、财会业务类或行政政务工作经验的不受学历要求限制）；</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 遵守保密协议。无论何种原因，必须对局内在服务期内所掌握的与本服务有关的文件、资料、数据、信息做好保密措施，否则有权追究相关人员责任。</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7.12366热线人员上岗前由中标方组织培训，经考核通过后方能上岗。服务期间应符合采购方要求及日常管理工作规范。</w:t>
      </w:r>
    </w:p>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4.4优选资质/优选指标</w:t>
      </w:r>
      <w:bookmarkEnd w:id="31"/>
    </w:p>
    <w:p>
      <w:pPr>
        <w:pStyle w:val="2"/>
        <w:keepNext w:val="0"/>
        <w:spacing w:before="0" w:after="0" w:line="360" w:lineRule="auto"/>
        <w:jc w:val="center"/>
        <w:rPr>
          <w:rFonts w:ascii="仿宋_GB2312" w:hAnsi="仿宋_GB2312" w:eastAsia="仿宋_GB2312" w:cs="仿宋_GB2312"/>
          <w:b/>
          <w:bCs/>
          <w:sz w:val="32"/>
          <w:szCs w:val="32"/>
        </w:rPr>
      </w:pPr>
      <w:bookmarkStart w:id="32" w:name="_Toc256000030"/>
      <w:r>
        <w:rPr>
          <w:rFonts w:ascii="仿宋_GB2312" w:hAnsi="仿宋_GB2312" w:eastAsia="仿宋_GB2312" w:cs="仿宋_GB2312"/>
          <w:kern w:val="36"/>
        </w:rPr>
        <w:t>5管理实施要求</w:t>
      </w:r>
      <w:bookmarkEnd w:id="32"/>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（一）实施要求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1.中标方应提供所有座席人员的身份信息资料。</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2.服务期内发生各种事故：包括安全、交通、防火和劳资纠纷等事件均由中标方承担相应责任。</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3.中标方需确保所提供服务的工作时长，工作期间不得擅离职守，注重仪容仪表、工作态度，保证为纳税人提供准确、快捷的纳税服务。</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4.中标方需确保提供座席服务过程中遵守采购方各项廉洁纪律，做到认真履行工作职责，谨言慎行，坚决不做损害纳税人利益和损害税务机关形象的事情。</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5.如采购方对中标方提供的人员出现3次不服从管理、违反采购方制定的相关规章制度，采购方可以要求更换，中标方必须及时且无条件的为采购方更换合格的人员。</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服务期内，采购方按月度对中标方的工作质量、履约情况、工作配合度等进行综合评价，能够达到上级机关设定的考核要求，评价合格则继续履行服务合同。如项目服务未达到要求，则采购方上报监管部门终止服务合同。</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7.对服务人员的撤换或辞退等须经采购方同意认可。</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8.中标供应商应按月及时向服务人员发放工资待遇，不得拖欠。</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（二）应急服务要求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要求中标方必须建立和完善突发事件的应急预案和处理机制，防患于未然。当出现不可预知的紧急情况时，保证服务正常开展。</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（三）人员保密要求</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方签订合同前必须按照国家相关保密规定和采购方签订《保密协议》，对违反《保密协议》相关内容规定的，采购方有权追究其法律责任。所有服务人员必须严格遵守国家、地方、行业相关保密管理政策规定。</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（四）人员稳定性要求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在服务期间，未经采购方同意，中标方不得随意更换座席人员。座席人员因为请假、调走、辞职或被中标方辞退等原因导致座席人员不足时，需及时安排替岗人员以满足区局接听需求。服务人员因为调走、辞职或被中标方辞退等原因导致服务人员不足时，需在三天内补充，缺席人数不能同时超过2人，中标方在3天内未能及时补齐符合完成项目需求的服务人员，每月不得超过二次，否则视为中标方违约，采购方有权终止合同。</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（五）保密要求</w:t>
      </w:r>
      <w:r>
        <w:rPr>
          <w:rFonts w:ascii="Calibri" w:hAnsi="Calibri" w:eastAsia="Calibri" w:cs="Calibri"/>
          <w:sz w:val="28"/>
          <w:szCs w:val="28"/>
        </w:rPr>
        <w:t> </w:t>
      </w:r>
      <w:r>
        <w:rPr>
          <w:rFonts w:ascii="仿宋_GB2312" w:hAnsi="仿宋_GB2312" w:eastAsia="仿宋_GB2312" w:cs="仿宋_GB2312"/>
          <w:sz w:val="28"/>
          <w:szCs w:val="28"/>
        </w:rPr>
        <w:t> </w:t>
      </w:r>
      <w:r>
        <w:rPr>
          <w:rFonts w:ascii="Calibri" w:hAnsi="Calibri" w:eastAsia="Calibri" w:cs="Calibri"/>
          <w:sz w:val="28"/>
          <w:szCs w:val="28"/>
        </w:rPr>
        <w:t> </w:t>
      </w:r>
      <w:r>
        <w:rPr>
          <w:rFonts w:ascii="仿宋_GB2312" w:hAnsi="仿宋_GB2312" w:eastAsia="仿宋_GB2312" w:cs="仿宋_GB2312"/>
          <w:sz w:val="28"/>
          <w:szCs w:val="28"/>
        </w:rPr>
        <w:t> </w:t>
      </w:r>
      <w:r>
        <w:t xml:space="preserve">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pPr>
        <w:pStyle w:val="14"/>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（六）进驻和接管要求</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签订合同之日起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pPr>
        <w:pStyle w:val="14"/>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（七）费用分割</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1.如因中标方引起的劳资纠纷问题，影响正常工作的，采购方有权另行聘请人员确保正常工作，所产生的费用由中标方承担，采购方不承担所产生的任何费用。</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2.中标方在合同生效前对全部座席人员完成岗前培训，保障本项目在合同生效后顺利开展。培训实施后，对参加培训的座席人员进行考核，要求事先编制详细的考核计划和考核标准，考核通过后方可正式上岗。</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3.本项目开展工作所需的场地、办公家具、软硬件设备(除接听设备外）、水电费用、网络费用等由采购人承担。</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4.项目座席人员工装费用、13套接听设备（能进行网络连接和IP地址配置的IP话机）由中标供应商承担。</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（八）履约责任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在服务过程中应满足本需求书提出的运行质量标准，若出现重大失误或重大事故并给国家税务总局天津市和平区税务局造成损失，国家税务总局天津市和平区税务局有权终止合同，停止付款并要求中标供应商赔偿实际造成的损失。</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2.中标供应商每月度服务质效考核验收未达到规定标准的，国家税务总局天津市和平区税务局按照供应商月度服务费的1‰-5‰进行扣减。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3.中标供应商每月度评价满意率低于要求的，国家税务总局天津市和平区税务局按照供应商月度服务费的1‰-5‰进行扣减。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4.中标供应商每月度被投诉数量超过来电总量的万分之一，经国家税务总局天津市和平区税务局调查属实且认为</w:t>
      </w:r>
      <w:r>
        <w:rPr>
          <w:rFonts w:ascii="仿宋_GB2312" w:hAnsi="仿宋_GB2312" w:eastAsia="仿宋_GB2312" w:cs="仿宋_GB2312"/>
          <w:spacing w:val="-20"/>
          <w:sz w:val="28"/>
          <w:szCs w:val="28"/>
        </w:rPr>
        <w:t>投诉合理则按照供应商月度服务费的1‰-5‰进行扣减。</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5.中标供应商运行管理不到位、服务不规范、未按照要求履行工作职责产生负面影响的，或被通报批评产生负面影响的，国家税务总局天津市和平区税务局按照供应商月度服务费的1‰-5‰进行扣减。</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6.未经采购方同意，中标方不得将承包项目发包或转包，否则，视为中标方违约，采购方有权解除服务合同。</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7.若中标方在1年内违反其服务承诺或以下情况三次或以上，则视为中标方违约，采购方有权拒绝支付本期项目服务费，并终止合同。</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（1）非税务机关责任，导致服务出现质量问题。</w:t>
      </w:r>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（2）没有按照采购方要求对服务人员进行管理、培训、调配。</w:t>
      </w:r>
    </w:p>
    <w:p>
      <w:pPr>
        <w:pStyle w:val="2"/>
        <w:keepNext w:val="0"/>
        <w:spacing w:before="0" w:after="0" w:line="360" w:lineRule="auto"/>
        <w:jc w:val="center"/>
        <w:rPr>
          <w:rFonts w:ascii="仿宋_GB2312" w:hAnsi="仿宋_GB2312" w:eastAsia="仿宋_GB2312" w:cs="仿宋_GB2312"/>
          <w:b/>
          <w:bCs/>
          <w:sz w:val="32"/>
          <w:szCs w:val="32"/>
        </w:rPr>
      </w:pPr>
      <w:bookmarkStart w:id="33" w:name="_Toc256000031"/>
      <w:r>
        <w:rPr>
          <w:rFonts w:ascii="仿宋_GB2312" w:hAnsi="仿宋_GB2312" w:eastAsia="仿宋_GB2312" w:cs="仿宋_GB2312"/>
          <w:kern w:val="36"/>
        </w:rPr>
        <w:t>6风险管控要求</w:t>
      </w:r>
      <w:bookmarkEnd w:id="33"/>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pPr>
        <w:pStyle w:val="2"/>
        <w:keepNext w:val="0"/>
        <w:spacing w:before="0" w:after="0" w:line="360" w:lineRule="auto"/>
        <w:jc w:val="center"/>
        <w:rPr>
          <w:rFonts w:ascii="仿宋_GB2312" w:hAnsi="仿宋_GB2312" w:eastAsia="仿宋_GB2312" w:cs="仿宋_GB2312"/>
          <w:b/>
          <w:bCs/>
          <w:sz w:val="32"/>
          <w:szCs w:val="32"/>
        </w:rPr>
      </w:pPr>
      <w:bookmarkStart w:id="34" w:name="_Toc256000032"/>
      <w:r>
        <w:rPr>
          <w:rFonts w:ascii="仿宋_GB2312" w:hAnsi="仿宋_GB2312" w:eastAsia="仿宋_GB2312" w:cs="仿宋_GB2312"/>
          <w:kern w:val="36"/>
        </w:rPr>
        <w:t>7履约验收要求</w:t>
      </w:r>
      <w:bookmarkEnd w:id="34"/>
    </w:p>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7.1总体要求</w:t>
      </w:r>
      <w:bookmarkEnd w:id="35"/>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按月，每月进行验收，服务方应按期按要求提供服务。</w:t>
            </w:r>
          </w:p>
        </w:tc>
      </w:tr>
    </w:tbl>
    <w:p>
      <w:pPr>
        <w:pStyle w:val="3"/>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i w:val="0"/>
          <w:iCs w:val="0"/>
        </w:rPr>
        <w:t>7.2具体要求</w:t>
      </w:r>
      <w:bookmarkEnd w:id="36"/>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keepNext w:val="0"/>
        <w:spacing w:before="0" w:after="0" w:line="360" w:lineRule="auto"/>
        <w:jc w:val="center"/>
        <w:rPr>
          <w:rFonts w:ascii="仿宋_GB2312" w:hAnsi="仿宋_GB2312" w:eastAsia="仿宋_GB2312" w:cs="仿宋_GB2312"/>
          <w:b/>
          <w:bCs/>
          <w:sz w:val="32"/>
          <w:szCs w:val="32"/>
        </w:rPr>
      </w:pPr>
      <w:bookmarkStart w:id="37" w:name="_Toc256000035"/>
      <w:r>
        <w:rPr>
          <w:rFonts w:ascii="仿宋_GB2312" w:hAnsi="仿宋_GB2312" w:eastAsia="仿宋_GB2312" w:cs="仿宋_GB2312"/>
          <w:kern w:val="36"/>
        </w:rPr>
        <w:t>8其他要求</w:t>
      </w:r>
      <w:bookmarkEnd w:id="37"/>
    </w:p>
    <w:p>
      <w:pPr>
        <w:pStyle w:val="3"/>
        <w:keepNext w:val="0"/>
        <w:spacing w:before="0" w:after="0" w:line="360" w:lineRule="auto"/>
        <w:rPr>
          <w:rFonts w:ascii="仿宋_GB2312" w:hAnsi="仿宋_GB2312" w:eastAsia="仿宋_GB2312" w:cs="仿宋_GB2312"/>
          <w:b/>
          <w:bCs/>
          <w:sz w:val="28"/>
          <w:szCs w:val="28"/>
        </w:rPr>
      </w:pPr>
      <w:bookmarkStart w:id="38" w:name="_Toc256000036"/>
      <w:r>
        <w:rPr>
          <w:rFonts w:ascii="仿宋_GB2312" w:hAnsi="仿宋_GB2312" w:eastAsia="仿宋_GB2312" w:cs="仿宋_GB2312"/>
          <w:i w:val="0"/>
          <w:iCs w:val="0"/>
        </w:rPr>
        <w:t>8.1必备要求</w:t>
      </w:r>
      <w:bookmarkEnd w:id="38"/>
    </w:p>
    <w:p>
      <w:pPr>
        <w:pStyle w:val="4"/>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sz w:val="28"/>
          <w:szCs w:val="28"/>
        </w:rPr>
        <w:t>8.1.1通用必备要求</w:t>
      </w:r>
      <w:bookmarkEnd w:id="39"/>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i w:val="0"/>
          <w:iCs w:val="0"/>
        </w:rPr>
        <w:t>8.2付款安排建议</w:t>
      </w:r>
      <w:bookmarkEnd w:id="40"/>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情况下，每月服务完成，经验收合格后，于次月月初支付上月服务费用。国家税务总局天津市和平区税务局在完成对中标供应商本月的考核后，如需扣减支付费用的，在次月初支付上月合同价款时扣减。付款过程中如遇特殊情况，双方协商解决。</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8.37</w:t>
            </w:r>
          </w:p>
        </w:tc>
      </w:tr>
    </w:tbl>
    <w:p>
      <w:pPr>
        <w:pStyle w:val="3"/>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i w:val="0"/>
          <w:iCs w:val="0"/>
        </w:rPr>
        <w:t>8.3其他要求</w:t>
      </w:r>
      <w:bookmarkEnd w:id="41"/>
    </w:p>
    <w:p>
      <w:pPr>
        <w:pStyle w:val="4"/>
        <w:keepNext w:val="0"/>
        <w:spacing w:before="0" w:after="0" w:line="360" w:lineRule="auto"/>
        <w:rPr>
          <w:rFonts w:ascii="仿宋_GB2312" w:hAnsi="仿宋_GB2312" w:eastAsia="仿宋_GB2312" w:cs="仿宋_GB2312"/>
          <w:b/>
          <w:bCs/>
          <w:sz w:val="28"/>
          <w:szCs w:val="28"/>
        </w:rPr>
      </w:pPr>
      <w:bookmarkStart w:id="42" w:name="_Toc256000040"/>
      <w:r>
        <w:rPr>
          <w:rFonts w:ascii="仿宋_GB2312" w:hAnsi="仿宋_GB2312" w:eastAsia="仿宋_GB2312" w:cs="仿宋_GB2312"/>
          <w:sz w:val="28"/>
          <w:szCs w:val="28"/>
        </w:rPr>
        <w:t>8.3.1保密要求</w:t>
      </w:r>
      <w:bookmarkEnd w:id="42"/>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 xml:space="preserve">1.中标方签订合同前必须按照国家相关保密规定和采购方签订《保密协议》，对违反《保密协议》相关内容规定的，采购方有权追究其法律责任。所有服务人员必须严格遵守国家、地方、行业相关保密管理政策规定。    </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2.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pPr>
        <w:pStyle w:val="4"/>
        <w:keepNext w:val="0"/>
        <w:spacing w:before="0" w:after="0" w:line="360" w:lineRule="auto"/>
        <w:rPr>
          <w:rFonts w:ascii="仿宋_GB2312" w:hAnsi="仿宋_GB2312" w:eastAsia="仿宋_GB2312" w:cs="仿宋_GB2312"/>
          <w:b/>
          <w:bCs/>
          <w:sz w:val="28"/>
          <w:szCs w:val="28"/>
        </w:rPr>
      </w:pPr>
      <w:bookmarkStart w:id="43" w:name="_Toc256000041"/>
      <w:r>
        <w:rPr>
          <w:rFonts w:ascii="仿宋_GB2312" w:hAnsi="仿宋_GB2312" w:eastAsia="仿宋_GB2312" w:cs="仿宋_GB2312"/>
          <w:sz w:val="28"/>
          <w:szCs w:val="28"/>
        </w:rPr>
        <w:t>8.3.2知识转移要求</w:t>
      </w:r>
      <w:bookmarkEnd w:id="43"/>
    </w:p>
    <w:p>
      <w:pPr>
        <w:pStyle w:val="4"/>
        <w:keepNext w:val="0"/>
        <w:spacing w:before="0" w:after="0" w:line="360" w:lineRule="auto"/>
        <w:rPr>
          <w:rFonts w:ascii="仿宋_GB2312" w:hAnsi="仿宋_GB2312" w:eastAsia="仿宋_GB2312" w:cs="仿宋_GB2312"/>
          <w:b/>
          <w:bCs/>
          <w:sz w:val="28"/>
          <w:szCs w:val="28"/>
        </w:rPr>
      </w:pPr>
      <w:bookmarkStart w:id="44" w:name="_Toc256000042"/>
      <w:r>
        <w:rPr>
          <w:rFonts w:ascii="仿宋_GB2312" w:hAnsi="仿宋_GB2312" w:eastAsia="仿宋_GB2312" w:cs="仿宋_GB2312"/>
          <w:sz w:val="28"/>
          <w:szCs w:val="28"/>
        </w:rPr>
        <w:t>8.3.3知识产权要求</w:t>
      </w:r>
      <w:bookmarkEnd w:id="44"/>
    </w:p>
    <w:p>
      <w:pPr>
        <w:spacing w:before="0" w:after="0" w:line="360" w:lineRule="auto"/>
        <w:jc w:val="left"/>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C3468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15"/>
    <w:basedOn w:val="1"/>
    <w:qFormat/>
    <w:uiPriority w:val="0"/>
  </w:style>
  <w:style w:type="paragraph" w:customStyle="1" w:styleId="13">
    <w:name w:val="MsoNormal"/>
    <w:basedOn w:val="1"/>
    <w:qFormat/>
    <w:uiPriority w:val="0"/>
  </w:style>
  <w:style w:type="paragraph" w:customStyle="1" w:styleId="14">
    <w:name w:val="16"/>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16</Pages>
  <Words>0</Words>
  <Characters>0</Characters>
  <Lines>1</Lines>
  <Paragraphs>1</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2025-03-25T02:04:05Z</dcterms:created>
  <dc:creator>hpgs</dc:creator>
  <cp:lastModifiedBy>梁平</cp:lastModifiedBy>
  <dcterms:modified xsi:type="dcterms:W3CDTF">2025-03-25T02:04:41Z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