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8E" w:rsidRDefault="00001D8E">
      <w:pPr>
        <w:widowControl w:val="0"/>
        <w:topLinePunct/>
        <w:autoSpaceDE w:val="0"/>
        <w:autoSpaceDN w:val="0"/>
        <w:spacing w:line="360" w:lineRule="auto"/>
        <w:jc w:val="center"/>
        <w:rPr>
          <w:rFonts w:ascii="宋体" w:eastAsia="宋体" w:hAnsi="宋体" w:cs="宋体"/>
          <w:b/>
          <w:sz w:val="96"/>
          <w:szCs w:val="96"/>
          <w:lang w:eastAsia="zh-CN"/>
        </w:rPr>
      </w:pPr>
    </w:p>
    <w:p w:rsidR="00001D8E" w:rsidRDefault="00834406">
      <w:pPr>
        <w:widowControl w:val="0"/>
        <w:topLinePunct/>
        <w:autoSpaceDE w:val="0"/>
        <w:autoSpaceDN w:val="0"/>
        <w:spacing w:line="360" w:lineRule="auto"/>
        <w:jc w:val="center"/>
        <w:rPr>
          <w:rFonts w:ascii="宋体" w:eastAsia="宋体" w:hAnsi="宋体" w:cs="宋体"/>
          <w:b/>
          <w:sz w:val="96"/>
          <w:szCs w:val="96"/>
          <w:lang w:eastAsia="zh-CN"/>
        </w:rPr>
      </w:pPr>
      <w:r>
        <w:rPr>
          <w:rFonts w:ascii="宋体" w:eastAsia="宋体" w:hAnsi="宋体" w:cs="宋体" w:hint="eastAsia"/>
          <w:b/>
          <w:sz w:val="96"/>
          <w:szCs w:val="96"/>
          <w:lang w:eastAsia="zh-CN"/>
        </w:rPr>
        <w:t>采 购 需 求</w:t>
      </w:r>
    </w:p>
    <w:p w:rsidR="00001D8E" w:rsidRDefault="00001D8E">
      <w:pPr>
        <w:widowControl w:val="0"/>
        <w:topLinePunct/>
        <w:autoSpaceDE w:val="0"/>
        <w:autoSpaceDN w:val="0"/>
        <w:spacing w:line="360" w:lineRule="auto"/>
        <w:jc w:val="center"/>
        <w:rPr>
          <w:rFonts w:ascii="宋体" w:eastAsia="宋体" w:hAnsi="宋体" w:cs="宋体"/>
          <w:b/>
          <w:sz w:val="80"/>
          <w:szCs w:val="80"/>
          <w:lang w:eastAsia="zh-CN"/>
        </w:rPr>
      </w:pPr>
    </w:p>
    <w:p w:rsidR="00001D8E" w:rsidRDefault="00001D8E">
      <w:pPr>
        <w:widowControl w:val="0"/>
        <w:topLinePunct/>
        <w:autoSpaceDE w:val="0"/>
        <w:autoSpaceDN w:val="0"/>
        <w:spacing w:line="360" w:lineRule="auto"/>
        <w:jc w:val="center"/>
        <w:rPr>
          <w:rFonts w:ascii="宋体" w:eastAsia="宋体" w:hAnsi="宋体" w:cs="宋体"/>
          <w:b/>
          <w:sz w:val="80"/>
          <w:szCs w:val="80"/>
          <w:lang w:eastAsia="zh-CN"/>
        </w:rPr>
      </w:pPr>
    </w:p>
    <w:p w:rsidR="00001D8E" w:rsidRDefault="00001D8E">
      <w:pPr>
        <w:widowControl w:val="0"/>
        <w:topLinePunct/>
        <w:autoSpaceDE w:val="0"/>
        <w:autoSpaceDN w:val="0"/>
        <w:spacing w:line="360" w:lineRule="auto"/>
        <w:jc w:val="center"/>
        <w:rPr>
          <w:rFonts w:ascii="宋体" w:eastAsia="宋体" w:hAnsi="宋体" w:cs="宋体"/>
          <w:b/>
          <w:sz w:val="80"/>
          <w:szCs w:val="80"/>
          <w:lang w:eastAsia="zh-CN"/>
        </w:rPr>
      </w:pPr>
    </w:p>
    <w:p w:rsidR="00001D8E" w:rsidRDefault="00834406">
      <w:pPr>
        <w:widowControl w:val="0"/>
        <w:topLinePunct/>
        <w:autoSpaceDE w:val="0"/>
        <w:autoSpaceDN w:val="0"/>
        <w:spacing w:line="360" w:lineRule="auto"/>
        <w:jc w:val="center"/>
        <w:rPr>
          <w:rFonts w:ascii="宋体" w:eastAsia="宋体" w:hAnsi="宋体" w:cs="宋体"/>
          <w:b/>
          <w:sz w:val="30"/>
          <w:szCs w:val="30"/>
          <w:lang w:eastAsia="zh-CN"/>
        </w:rPr>
      </w:pPr>
      <w:r>
        <w:rPr>
          <w:rFonts w:ascii="宋体" w:eastAsia="宋体" w:hAnsi="宋体" w:cs="宋体" w:hint="eastAsia"/>
          <w:b/>
          <w:sz w:val="30"/>
          <w:szCs w:val="30"/>
          <w:lang w:eastAsia="zh-CN"/>
        </w:rPr>
        <w:t>项目名称：</w:t>
      </w:r>
      <w:bookmarkStart w:id="0" w:name="项目名称_projectName"/>
      <w:r w:rsidR="00555A3E" w:rsidRPr="00555A3E">
        <w:rPr>
          <w:rFonts w:ascii="宋体" w:eastAsia="宋体" w:hAnsi="宋体" w:cs="宋体" w:hint="eastAsia"/>
          <w:b/>
          <w:sz w:val="30"/>
          <w:szCs w:val="30"/>
          <w:lang w:eastAsia="zh-CN"/>
        </w:rPr>
        <w:t>国家税务总局天津市东丽区税务局</w:t>
      </w:r>
      <w:r>
        <w:rPr>
          <w:rFonts w:ascii="宋体" w:eastAsia="宋体" w:hAnsi="宋体" w:cs="宋体" w:hint="eastAsia"/>
          <w:b/>
          <w:sz w:val="30"/>
          <w:szCs w:val="30"/>
          <w:lang w:eastAsia="zh-CN"/>
        </w:rPr>
        <w:t>12366纳税缴费服务热线远程座席服务项目</w:t>
      </w:r>
      <w:bookmarkEnd w:id="0"/>
    </w:p>
    <w:p w:rsidR="00001D8E" w:rsidRPr="00555A3E" w:rsidRDefault="00001D8E">
      <w:pPr>
        <w:widowControl w:val="0"/>
        <w:spacing w:line="360" w:lineRule="auto"/>
        <w:jc w:val="both"/>
        <w:rPr>
          <w:rFonts w:ascii="宋体" w:eastAsia="宋体" w:hAnsi="宋体" w:cs="宋体"/>
          <w:kern w:val="2"/>
          <w:sz w:val="32"/>
          <w:szCs w:val="32"/>
          <w:lang w:eastAsia="zh-CN"/>
        </w:rPr>
      </w:pPr>
    </w:p>
    <w:p w:rsidR="00001D8E" w:rsidRDefault="00001D8E">
      <w:pPr>
        <w:widowControl w:val="0"/>
        <w:spacing w:line="360" w:lineRule="auto"/>
        <w:jc w:val="both"/>
        <w:rPr>
          <w:rFonts w:ascii="宋体" w:eastAsia="宋体" w:hAnsi="宋体" w:cs="宋体"/>
          <w:kern w:val="2"/>
          <w:sz w:val="32"/>
          <w:szCs w:val="32"/>
          <w:lang w:eastAsia="zh-CN"/>
        </w:rPr>
      </w:pPr>
    </w:p>
    <w:p w:rsidR="00001D8E" w:rsidRDefault="00001D8E">
      <w:pPr>
        <w:widowControl w:val="0"/>
        <w:spacing w:line="360" w:lineRule="auto"/>
        <w:jc w:val="both"/>
        <w:rPr>
          <w:rFonts w:ascii="宋体" w:eastAsia="宋体" w:hAnsi="宋体" w:cs="宋体"/>
          <w:kern w:val="2"/>
          <w:sz w:val="32"/>
          <w:szCs w:val="32"/>
          <w:lang w:eastAsia="zh-CN"/>
        </w:rPr>
      </w:pPr>
    </w:p>
    <w:p w:rsidR="00001D8E" w:rsidRDefault="00001D8E">
      <w:pPr>
        <w:widowControl w:val="0"/>
        <w:topLinePunct/>
        <w:autoSpaceDE w:val="0"/>
        <w:autoSpaceDN w:val="0"/>
        <w:spacing w:line="360" w:lineRule="auto"/>
        <w:jc w:val="both"/>
        <w:rPr>
          <w:rFonts w:ascii="宋体" w:eastAsia="宋体" w:hAnsi="宋体" w:cs="宋体"/>
          <w:sz w:val="32"/>
          <w:szCs w:val="32"/>
          <w:lang w:eastAsia="zh-CN"/>
        </w:rPr>
      </w:pPr>
    </w:p>
    <w:p w:rsidR="00001D8E" w:rsidRDefault="00834406">
      <w:pPr>
        <w:spacing w:line="360" w:lineRule="auto"/>
        <w:jc w:val="center"/>
        <w:rPr>
          <w:rFonts w:eastAsia="宋体"/>
        </w:rPr>
      </w:pPr>
      <w:bookmarkStart w:id="1" w:name="生成日期_currentDateTime_ym"/>
      <w:r>
        <w:rPr>
          <w:rFonts w:ascii="宋体" w:eastAsia="宋体" w:hAnsi="宋体" w:cs="宋体" w:hint="eastAsia"/>
          <w:sz w:val="36"/>
          <w:szCs w:val="36"/>
          <w:lang w:eastAsia="zh-CN"/>
        </w:rPr>
        <w:t>2025年0</w:t>
      </w:r>
      <w:r w:rsidR="00D60366">
        <w:rPr>
          <w:rFonts w:ascii="宋体" w:eastAsia="宋体" w:hAnsi="宋体" w:cs="宋体"/>
          <w:sz w:val="36"/>
          <w:szCs w:val="36"/>
          <w:lang w:eastAsia="zh-CN"/>
        </w:rPr>
        <w:t>3</w:t>
      </w:r>
      <w:r>
        <w:rPr>
          <w:rFonts w:ascii="宋体" w:eastAsia="宋体" w:hAnsi="宋体" w:cs="宋体" w:hint="eastAsia"/>
          <w:sz w:val="36"/>
          <w:szCs w:val="36"/>
          <w:lang w:eastAsia="zh-CN"/>
        </w:rPr>
        <w:t>月</w:t>
      </w:r>
      <w:bookmarkEnd w:id="1"/>
    </w:p>
    <w:p w:rsidR="00001D8E" w:rsidRDefault="00834406">
      <w:pPr>
        <w:spacing w:line="360" w:lineRule="auto"/>
        <w:jc w:val="center"/>
        <w:rPr>
          <w:rFonts w:ascii="宋体" w:eastAsia="宋体" w:hAnsi="宋体" w:cs="宋体"/>
          <w:sz w:val="32"/>
        </w:rPr>
      </w:pPr>
      <w:r>
        <w:br w:type="page"/>
      </w:r>
      <w:r>
        <w:rPr>
          <w:rFonts w:ascii="宋体" w:eastAsia="宋体" w:hAnsi="宋体" w:cs="宋体"/>
          <w:sz w:val="32"/>
        </w:rPr>
        <w:lastRenderedPageBreak/>
        <w:t>目 录</w:t>
      </w:r>
    </w:p>
    <w:p w:rsidR="00001D8E" w:rsidRDefault="00834406">
      <w:pPr>
        <w:pStyle w:val="10"/>
        <w:tabs>
          <w:tab w:val="right" w:leader="dot" w:pos="9016"/>
        </w:tabs>
        <w:spacing w:line="360" w:lineRule="auto"/>
        <w:rPr>
          <w:rFonts w:asciiTheme="minorHAnsi" w:hAnsiTheme="minorHAnsi"/>
          <w:sz w:val="22"/>
        </w:rPr>
      </w:pPr>
      <w:r>
        <w:rPr>
          <w:rFonts w:ascii="宋体" w:eastAsia="宋体" w:hAnsi="宋体" w:cs="宋体"/>
          <w:sz w:val="32"/>
        </w:rPr>
        <w:fldChar w:fldCharType="begin"/>
      </w:r>
      <w:r>
        <w:rPr>
          <w:rFonts w:ascii="宋体" w:eastAsia="宋体" w:hAnsi="宋体" w:cs="宋体"/>
          <w:sz w:val="32"/>
        </w:rPr>
        <w:instrText>TOC \o "1-3" \h \z \u</w:instrText>
      </w:r>
      <w:r>
        <w:rPr>
          <w:rFonts w:ascii="宋体" w:eastAsia="宋体" w:hAnsi="宋体" w:cs="宋体"/>
          <w:sz w:val="32"/>
        </w:rPr>
        <w:fldChar w:fldCharType="separate"/>
      </w:r>
      <w:hyperlink w:anchor="_Toc256000000" w:history="1">
        <w:r>
          <w:rPr>
            <w:rStyle w:val="a3"/>
            <w:rFonts w:ascii="仿宋_GB2312" w:eastAsia="仿宋_GB2312" w:hAnsi="仿宋_GB2312" w:cs="仿宋_GB2312"/>
            <w:kern w:val="36"/>
          </w:rPr>
          <w:t>1项目概述</w:t>
        </w:r>
        <w:r>
          <w:tab/>
        </w:r>
        <w:r>
          <w:fldChar w:fldCharType="begin"/>
        </w:r>
        <w:r>
          <w:instrText xml:space="preserve"> PAGEREF _Toc256000000 \h </w:instrText>
        </w:r>
        <w:r>
          <w:fldChar w:fldCharType="separate"/>
        </w:r>
        <w:r>
          <w:t>3</w:t>
        </w:r>
        <w:r>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01" w:history="1">
        <w:r w:rsidR="00834406">
          <w:rPr>
            <w:rStyle w:val="a3"/>
            <w:rFonts w:ascii="仿宋_GB2312" w:eastAsia="仿宋_GB2312" w:hAnsi="仿宋_GB2312" w:cs="仿宋_GB2312"/>
          </w:rPr>
          <w:t>1.1项目背景</w:t>
        </w:r>
        <w:r w:rsidR="00834406">
          <w:tab/>
        </w:r>
        <w:r w:rsidR="00834406">
          <w:fldChar w:fldCharType="begin"/>
        </w:r>
        <w:r w:rsidR="00834406">
          <w:instrText xml:space="preserve"> PAGEREF _Toc256000001 \h </w:instrText>
        </w:r>
        <w:r w:rsidR="00834406">
          <w:fldChar w:fldCharType="separate"/>
        </w:r>
        <w:r w:rsidR="00834406">
          <w:t>3</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02" w:history="1">
        <w:r w:rsidR="00834406">
          <w:rPr>
            <w:rStyle w:val="a3"/>
            <w:rFonts w:ascii="仿宋_GB2312" w:eastAsia="仿宋_GB2312" w:hAnsi="仿宋_GB2312" w:cs="仿宋_GB2312"/>
          </w:rPr>
          <w:t>1.1.1项目目的、意义及背景</w:t>
        </w:r>
        <w:r w:rsidR="00834406">
          <w:tab/>
        </w:r>
        <w:r w:rsidR="00834406">
          <w:fldChar w:fldCharType="begin"/>
        </w:r>
        <w:r w:rsidR="00834406">
          <w:instrText xml:space="preserve"> PAGEREF _Toc256000002 \h </w:instrText>
        </w:r>
        <w:r w:rsidR="00834406">
          <w:fldChar w:fldCharType="separate"/>
        </w:r>
        <w:r w:rsidR="00834406">
          <w:t>3</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03" w:history="1">
        <w:r w:rsidR="00834406">
          <w:rPr>
            <w:rStyle w:val="a3"/>
            <w:rFonts w:ascii="仿宋_GB2312" w:eastAsia="仿宋_GB2312" w:hAnsi="仿宋_GB2312" w:cs="仿宋_GB2312"/>
          </w:rPr>
          <w:t>1.2项目内容</w:t>
        </w:r>
        <w:r w:rsidR="00834406">
          <w:tab/>
        </w:r>
        <w:r w:rsidR="00834406">
          <w:fldChar w:fldCharType="begin"/>
        </w:r>
        <w:r w:rsidR="00834406">
          <w:instrText xml:space="preserve"> PAGEREF _Toc256000003 \h </w:instrText>
        </w:r>
        <w:r w:rsidR="00834406">
          <w:fldChar w:fldCharType="separate"/>
        </w:r>
        <w:r w:rsidR="00834406">
          <w:t>3</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04" w:history="1">
        <w:r w:rsidR="00834406">
          <w:rPr>
            <w:rStyle w:val="a3"/>
            <w:rFonts w:ascii="仿宋_GB2312" w:eastAsia="仿宋_GB2312" w:hAnsi="仿宋_GB2312" w:cs="仿宋_GB2312"/>
          </w:rPr>
          <w:t>1.2.1项目建设思路</w:t>
        </w:r>
        <w:r w:rsidR="00834406">
          <w:tab/>
        </w:r>
        <w:r w:rsidR="00834406">
          <w:fldChar w:fldCharType="begin"/>
        </w:r>
        <w:r w:rsidR="00834406">
          <w:instrText xml:space="preserve"> PAGEREF _Toc256000004 \h </w:instrText>
        </w:r>
        <w:r w:rsidR="00834406">
          <w:fldChar w:fldCharType="separate"/>
        </w:r>
        <w:r w:rsidR="00834406">
          <w:t>3</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05" w:history="1">
        <w:r w:rsidR="00834406">
          <w:rPr>
            <w:rStyle w:val="a3"/>
            <w:rFonts w:ascii="仿宋_GB2312" w:eastAsia="仿宋_GB2312" w:hAnsi="仿宋_GB2312" w:cs="仿宋_GB2312"/>
          </w:rPr>
          <w:t>1.2.2采购内容</w:t>
        </w:r>
        <w:r w:rsidR="00834406">
          <w:tab/>
        </w:r>
        <w:r w:rsidR="00834406">
          <w:fldChar w:fldCharType="begin"/>
        </w:r>
        <w:r w:rsidR="00834406">
          <w:instrText xml:space="preserve"> PAGEREF _Toc256000005 \h </w:instrText>
        </w:r>
        <w:r w:rsidR="00834406">
          <w:fldChar w:fldCharType="separate"/>
        </w:r>
        <w:r w:rsidR="00834406">
          <w:t>3</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06" w:history="1">
        <w:r w:rsidR="00834406">
          <w:rPr>
            <w:rStyle w:val="a3"/>
            <w:rFonts w:ascii="仿宋_GB2312" w:eastAsia="仿宋_GB2312" w:hAnsi="仿宋_GB2312" w:cs="仿宋_GB2312"/>
          </w:rPr>
          <w:t>1.2.3项目实施要求</w:t>
        </w:r>
        <w:r w:rsidR="00834406">
          <w:tab/>
        </w:r>
        <w:r w:rsidR="00834406">
          <w:fldChar w:fldCharType="begin"/>
        </w:r>
        <w:r w:rsidR="00834406">
          <w:instrText xml:space="preserve"> PAGEREF _Toc256000006 \h </w:instrText>
        </w:r>
        <w:r w:rsidR="00834406">
          <w:fldChar w:fldCharType="separate"/>
        </w:r>
        <w:r w:rsidR="00834406">
          <w:t>3</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07" w:history="1">
        <w:r w:rsidR="00834406">
          <w:rPr>
            <w:rStyle w:val="a3"/>
            <w:rFonts w:ascii="仿宋_GB2312" w:eastAsia="仿宋_GB2312" w:hAnsi="仿宋_GB2312" w:cs="仿宋_GB2312"/>
            <w:kern w:val="36"/>
          </w:rPr>
          <w:t>2投标/响应要求</w:t>
        </w:r>
        <w:r w:rsidR="00834406">
          <w:tab/>
        </w:r>
        <w:r w:rsidR="00834406">
          <w:fldChar w:fldCharType="begin"/>
        </w:r>
        <w:r w:rsidR="00834406">
          <w:instrText xml:space="preserve"> PAGEREF _Toc256000007 \h </w:instrText>
        </w:r>
        <w:r w:rsidR="00834406">
          <w:fldChar w:fldCharType="separate"/>
        </w:r>
        <w:r w:rsidR="00834406">
          <w:t>4</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08" w:history="1">
        <w:r w:rsidR="00834406">
          <w:rPr>
            <w:rStyle w:val="a3"/>
            <w:rFonts w:ascii="仿宋_GB2312" w:eastAsia="仿宋_GB2312" w:hAnsi="仿宋_GB2312" w:cs="仿宋_GB2312"/>
          </w:rPr>
          <w:t>2.1对供应商的要求</w:t>
        </w:r>
        <w:r w:rsidR="00834406">
          <w:tab/>
        </w:r>
        <w:r w:rsidR="00834406">
          <w:fldChar w:fldCharType="begin"/>
        </w:r>
        <w:r w:rsidR="00834406">
          <w:instrText xml:space="preserve"> PAGEREF _Toc256000008 \h </w:instrText>
        </w:r>
        <w:r w:rsidR="00834406">
          <w:fldChar w:fldCharType="separate"/>
        </w:r>
        <w:r w:rsidR="00834406">
          <w:t>4</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09" w:history="1">
        <w:r w:rsidR="00834406">
          <w:rPr>
            <w:rStyle w:val="a3"/>
            <w:rFonts w:ascii="仿宋_GB2312" w:eastAsia="仿宋_GB2312" w:hAnsi="仿宋_GB2312" w:cs="仿宋_GB2312"/>
          </w:rPr>
          <w:t>2.1.1必备资质</w:t>
        </w:r>
        <w:r w:rsidR="00834406">
          <w:tab/>
        </w:r>
        <w:r w:rsidR="00834406">
          <w:fldChar w:fldCharType="begin"/>
        </w:r>
        <w:r w:rsidR="00834406">
          <w:instrText xml:space="preserve"> PAGEREF _Toc256000009 \h </w:instrText>
        </w:r>
        <w:r w:rsidR="00834406">
          <w:fldChar w:fldCharType="separate"/>
        </w:r>
        <w:r w:rsidR="00834406">
          <w:t>4</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10" w:history="1">
        <w:r w:rsidR="00834406">
          <w:rPr>
            <w:rStyle w:val="a3"/>
            <w:rFonts w:ascii="仿宋_GB2312" w:eastAsia="仿宋_GB2312" w:hAnsi="仿宋_GB2312" w:cs="仿宋_GB2312"/>
          </w:rPr>
          <w:t>2.1.2优选资质/优选指标</w:t>
        </w:r>
        <w:r w:rsidR="00834406">
          <w:tab/>
        </w:r>
        <w:r w:rsidR="00834406">
          <w:fldChar w:fldCharType="begin"/>
        </w:r>
        <w:r w:rsidR="00834406">
          <w:instrText xml:space="preserve"> PAGEREF _Toc256000010 \h </w:instrText>
        </w:r>
        <w:r w:rsidR="00834406">
          <w:fldChar w:fldCharType="separate"/>
        </w:r>
        <w:r w:rsidR="00834406">
          <w:t>4</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11" w:history="1">
        <w:r w:rsidR="00834406">
          <w:rPr>
            <w:rStyle w:val="a3"/>
            <w:rFonts w:ascii="仿宋_GB2312" w:eastAsia="仿宋_GB2312" w:hAnsi="仿宋_GB2312" w:cs="仿宋_GB2312"/>
          </w:rPr>
          <w:t>2.1.3是否允许联合体</w:t>
        </w:r>
        <w:r w:rsidR="00834406">
          <w:tab/>
        </w:r>
        <w:r w:rsidR="00834406">
          <w:fldChar w:fldCharType="begin"/>
        </w:r>
        <w:r w:rsidR="00834406">
          <w:instrText xml:space="preserve"> PAGEREF _Toc256000011 \h </w:instrText>
        </w:r>
        <w:r w:rsidR="00834406">
          <w:fldChar w:fldCharType="separate"/>
        </w:r>
        <w:r w:rsidR="00834406">
          <w:t>4</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12" w:history="1">
        <w:r w:rsidR="00834406">
          <w:rPr>
            <w:rStyle w:val="a3"/>
            <w:rFonts w:ascii="仿宋_GB2312" w:eastAsia="仿宋_GB2312" w:hAnsi="仿宋_GB2312" w:cs="仿宋_GB2312"/>
          </w:rPr>
          <w:t>2.1.4是否专门面向中小企业</w:t>
        </w:r>
        <w:r w:rsidR="00834406">
          <w:tab/>
        </w:r>
        <w:r w:rsidR="00834406">
          <w:fldChar w:fldCharType="begin"/>
        </w:r>
        <w:r w:rsidR="00834406">
          <w:instrText xml:space="preserve"> PAGEREF _Toc256000012 \h </w:instrText>
        </w:r>
        <w:r w:rsidR="00834406">
          <w:fldChar w:fldCharType="separate"/>
        </w:r>
        <w:r w:rsidR="00834406">
          <w:t>4</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13" w:history="1">
        <w:r w:rsidR="00834406">
          <w:rPr>
            <w:rStyle w:val="a3"/>
            <w:rFonts w:ascii="仿宋_GB2312" w:eastAsia="仿宋_GB2312" w:hAnsi="仿宋_GB2312" w:cs="仿宋_GB2312"/>
          </w:rPr>
          <w:t>2.2技术部分投标/响应内容</w:t>
        </w:r>
        <w:r w:rsidR="00834406">
          <w:tab/>
        </w:r>
        <w:r w:rsidR="00834406">
          <w:fldChar w:fldCharType="begin"/>
        </w:r>
        <w:r w:rsidR="00834406">
          <w:instrText xml:space="preserve"> PAGEREF _Toc256000013 \h </w:instrText>
        </w:r>
        <w:r w:rsidR="00834406">
          <w:fldChar w:fldCharType="separate"/>
        </w:r>
        <w:r w:rsidR="00834406">
          <w:t>5</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14" w:history="1">
        <w:r w:rsidR="00834406">
          <w:rPr>
            <w:rStyle w:val="a3"/>
            <w:rFonts w:ascii="仿宋_GB2312" w:eastAsia="仿宋_GB2312" w:hAnsi="仿宋_GB2312" w:cs="仿宋_GB2312"/>
          </w:rPr>
          <w:t>2.2.1投标/响应方案要求</w:t>
        </w:r>
        <w:r w:rsidR="00834406">
          <w:tab/>
        </w:r>
        <w:r w:rsidR="00834406">
          <w:fldChar w:fldCharType="begin"/>
        </w:r>
        <w:r w:rsidR="00834406">
          <w:instrText xml:space="preserve"> PAGEREF _Toc256000014 \h </w:instrText>
        </w:r>
        <w:r w:rsidR="00834406">
          <w:fldChar w:fldCharType="separate"/>
        </w:r>
        <w:r w:rsidR="00834406">
          <w:t>5</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15" w:history="1">
        <w:r w:rsidR="00834406">
          <w:rPr>
            <w:rStyle w:val="a3"/>
            <w:rFonts w:ascii="仿宋_GB2312" w:eastAsia="仿宋_GB2312" w:hAnsi="仿宋_GB2312" w:cs="仿宋_GB2312"/>
            <w:kern w:val="36"/>
          </w:rPr>
          <w:t>3项目需求</w:t>
        </w:r>
        <w:r w:rsidR="00834406">
          <w:tab/>
        </w:r>
        <w:r w:rsidR="00834406">
          <w:fldChar w:fldCharType="begin"/>
        </w:r>
        <w:r w:rsidR="00834406">
          <w:instrText xml:space="preserve"> PAGEREF _Toc256000015 \h </w:instrText>
        </w:r>
        <w:r w:rsidR="00834406">
          <w:fldChar w:fldCharType="separate"/>
        </w:r>
        <w:r w:rsidR="00834406">
          <w:t>5</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16" w:history="1">
        <w:r w:rsidR="00834406">
          <w:rPr>
            <w:rStyle w:val="a3"/>
            <w:rFonts w:ascii="仿宋_GB2312" w:eastAsia="仿宋_GB2312" w:hAnsi="仿宋_GB2312" w:cs="仿宋_GB2312"/>
          </w:rPr>
          <w:t>3.1总体要求</w:t>
        </w:r>
        <w:r w:rsidR="00834406">
          <w:tab/>
        </w:r>
        <w:r w:rsidR="00834406">
          <w:fldChar w:fldCharType="begin"/>
        </w:r>
        <w:r w:rsidR="00834406">
          <w:instrText xml:space="preserve"> PAGEREF _Toc256000016 \h </w:instrText>
        </w:r>
        <w:r w:rsidR="00834406">
          <w:fldChar w:fldCharType="separate"/>
        </w:r>
        <w:r w:rsidR="00834406">
          <w:t>5</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17" w:history="1">
        <w:r w:rsidR="00834406">
          <w:rPr>
            <w:rStyle w:val="a3"/>
            <w:rFonts w:ascii="仿宋_GB2312" w:eastAsia="仿宋_GB2312" w:hAnsi="仿宋_GB2312" w:cs="仿宋_GB2312"/>
          </w:rPr>
          <w:t>3.2服务内容和要求</w:t>
        </w:r>
        <w:r w:rsidR="00834406">
          <w:tab/>
        </w:r>
        <w:r w:rsidR="00834406">
          <w:fldChar w:fldCharType="begin"/>
        </w:r>
        <w:r w:rsidR="00834406">
          <w:instrText xml:space="preserve"> PAGEREF _Toc256000017 \h </w:instrText>
        </w:r>
        <w:r w:rsidR="00834406">
          <w:fldChar w:fldCharType="separate"/>
        </w:r>
        <w:r w:rsidR="00834406">
          <w:t>5</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18" w:history="1">
        <w:r w:rsidR="00834406">
          <w:rPr>
            <w:rStyle w:val="a3"/>
            <w:rFonts w:ascii="仿宋_GB2312" w:eastAsia="仿宋_GB2312" w:hAnsi="仿宋_GB2312" w:cs="仿宋_GB2312"/>
          </w:rPr>
          <w:t>3.2.1技术和服务客观指标</w:t>
        </w:r>
        <w:r w:rsidR="00834406">
          <w:tab/>
        </w:r>
        <w:r w:rsidR="00834406">
          <w:fldChar w:fldCharType="begin"/>
        </w:r>
        <w:r w:rsidR="00834406">
          <w:instrText xml:space="preserve"> PAGEREF _Toc256000018 \h </w:instrText>
        </w:r>
        <w:r w:rsidR="00834406">
          <w:fldChar w:fldCharType="separate"/>
        </w:r>
        <w:r w:rsidR="00834406">
          <w:t>5</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19" w:history="1">
        <w:r w:rsidR="00834406">
          <w:rPr>
            <w:rStyle w:val="a3"/>
            <w:rFonts w:ascii="仿宋_GB2312" w:eastAsia="仿宋_GB2312" w:hAnsi="仿宋_GB2312" w:cs="仿宋_GB2312"/>
            <w:kern w:val="36"/>
          </w:rPr>
          <w:t>4人员要求</w:t>
        </w:r>
        <w:r w:rsidR="00834406">
          <w:tab/>
        </w:r>
        <w:r w:rsidR="00834406">
          <w:fldChar w:fldCharType="begin"/>
        </w:r>
        <w:r w:rsidR="00834406">
          <w:instrText xml:space="preserve"> PAGEREF _Toc256000019 \h </w:instrText>
        </w:r>
        <w:r w:rsidR="00834406">
          <w:fldChar w:fldCharType="separate"/>
        </w:r>
        <w:r w:rsidR="00834406">
          <w:t>6</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0" w:history="1">
        <w:r w:rsidR="00834406">
          <w:rPr>
            <w:rStyle w:val="a3"/>
            <w:rFonts w:ascii="仿宋_GB2312" w:eastAsia="仿宋_GB2312" w:hAnsi="仿宋_GB2312" w:cs="仿宋_GB2312"/>
          </w:rPr>
          <w:t>4.1总体要求</w:t>
        </w:r>
        <w:r w:rsidR="00834406">
          <w:tab/>
        </w:r>
        <w:r w:rsidR="00834406">
          <w:fldChar w:fldCharType="begin"/>
        </w:r>
        <w:r w:rsidR="00834406">
          <w:instrText xml:space="preserve"> PAGEREF _Toc256000020 \h </w:instrText>
        </w:r>
        <w:r w:rsidR="00834406">
          <w:fldChar w:fldCharType="separate"/>
        </w:r>
        <w:r w:rsidR="00834406">
          <w:t>6</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1" w:history="1">
        <w:r w:rsidR="00834406">
          <w:rPr>
            <w:rStyle w:val="a3"/>
            <w:rFonts w:ascii="仿宋_GB2312" w:eastAsia="仿宋_GB2312" w:hAnsi="仿宋_GB2312" w:cs="仿宋_GB2312"/>
          </w:rPr>
          <w:t>4.2管理团队</w:t>
        </w:r>
        <w:r w:rsidR="00834406">
          <w:tab/>
        </w:r>
        <w:r w:rsidR="00834406">
          <w:fldChar w:fldCharType="begin"/>
        </w:r>
        <w:r w:rsidR="00834406">
          <w:instrText xml:space="preserve"> PAGEREF _Toc256000021 \h </w:instrText>
        </w:r>
        <w:r w:rsidR="00834406">
          <w:fldChar w:fldCharType="separate"/>
        </w:r>
        <w:r w:rsidR="00834406">
          <w:t>6</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2" w:history="1">
        <w:r w:rsidR="00834406">
          <w:rPr>
            <w:rStyle w:val="a3"/>
            <w:rFonts w:ascii="仿宋_GB2312" w:eastAsia="仿宋_GB2312" w:hAnsi="仿宋_GB2312" w:cs="仿宋_GB2312"/>
          </w:rPr>
          <w:t>4.3技术团队</w:t>
        </w:r>
        <w:r w:rsidR="00834406">
          <w:tab/>
        </w:r>
        <w:r w:rsidR="00834406">
          <w:fldChar w:fldCharType="begin"/>
        </w:r>
        <w:r w:rsidR="00834406">
          <w:instrText xml:space="preserve"> PAGEREF _Toc256000022 \h </w:instrText>
        </w:r>
        <w:r w:rsidR="00834406">
          <w:fldChar w:fldCharType="separate"/>
        </w:r>
        <w:r w:rsidR="00834406">
          <w:t>6</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3" w:history="1">
        <w:r w:rsidR="00834406">
          <w:rPr>
            <w:rStyle w:val="a3"/>
            <w:rFonts w:ascii="仿宋_GB2312" w:eastAsia="仿宋_GB2312" w:hAnsi="仿宋_GB2312" w:cs="仿宋_GB2312"/>
          </w:rPr>
          <w:t>4.4优选资质/优选指标</w:t>
        </w:r>
        <w:r w:rsidR="00834406">
          <w:tab/>
        </w:r>
        <w:r w:rsidR="00834406">
          <w:fldChar w:fldCharType="begin"/>
        </w:r>
        <w:r w:rsidR="00834406">
          <w:instrText xml:space="preserve"> PAGEREF _Toc256000023 \h </w:instrText>
        </w:r>
        <w:r w:rsidR="00834406">
          <w:fldChar w:fldCharType="separate"/>
        </w:r>
        <w:r w:rsidR="00834406">
          <w:t>7</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24" w:history="1">
        <w:r w:rsidR="00834406">
          <w:rPr>
            <w:rStyle w:val="a3"/>
            <w:rFonts w:ascii="仿宋_GB2312" w:eastAsia="仿宋_GB2312" w:hAnsi="仿宋_GB2312" w:cs="仿宋_GB2312"/>
            <w:kern w:val="36"/>
          </w:rPr>
          <w:t>5管理实施要求</w:t>
        </w:r>
        <w:r w:rsidR="00834406">
          <w:tab/>
        </w:r>
        <w:r w:rsidR="00834406">
          <w:fldChar w:fldCharType="begin"/>
        </w:r>
        <w:r w:rsidR="00834406">
          <w:instrText xml:space="preserve"> PAGEREF _Toc256000024 \h </w:instrText>
        </w:r>
        <w:r w:rsidR="00834406">
          <w:fldChar w:fldCharType="separate"/>
        </w:r>
        <w:r w:rsidR="00834406">
          <w:t>7</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25" w:history="1">
        <w:r w:rsidR="00834406">
          <w:rPr>
            <w:rStyle w:val="a3"/>
            <w:rFonts w:ascii="仿宋_GB2312" w:eastAsia="仿宋_GB2312" w:hAnsi="仿宋_GB2312" w:cs="仿宋_GB2312"/>
            <w:kern w:val="36"/>
          </w:rPr>
          <w:t>6风险管控要求</w:t>
        </w:r>
        <w:r w:rsidR="00834406">
          <w:tab/>
        </w:r>
        <w:r w:rsidR="00834406">
          <w:fldChar w:fldCharType="begin"/>
        </w:r>
        <w:r w:rsidR="00834406">
          <w:instrText xml:space="preserve"> PAGEREF _Toc256000025 \h </w:instrText>
        </w:r>
        <w:r w:rsidR="00834406">
          <w:fldChar w:fldCharType="separate"/>
        </w:r>
        <w:r w:rsidR="00834406">
          <w:t>11</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26" w:history="1">
        <w:r w:rsidR="00834406">
          <w:rPr>
            <w:rStyle w:val="a3"/>
            <w:rFonts w:ascii="仿宋_GB2312" w:eastAsia="仿宋_GB2312" w:hAnsi="仿宋_GB2312" w:cs="仿宋_GB2312"/>
            <w:kern w:val="36"/>
          </w:rPr>
          <w:t>7履约验收要求</w:t>
        </w:r>
        <w:r w:rsidR="00834406">
          <w:tab/>
        </w:r>
        <w:r w:rsidR="00834406">
          <w:fldChar w:fldCharType="begin"/>
        </w:r>
        <w:r w:rsidR="00834406">
          <w:instrText xml:space="preserve"> PAGEREF _Toc256000026 \h </w:instrText>
        </w:r>
        <w:r w:rsidR="00834406">
          <w:fldChar w:fldCharType="separate"/>
        </w:r>
        <w:r w:rsidR="00834406">
          <w:t>11</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7" w:history="1">
        <w:r w:rsidR="00834406">
          <w:rPr>
            <w:rStyle w:val="a3"/>
            <w:rFonts w:ascii="仿宋_GB2312" w:eastAsia="仿宋_GB2312" w:hAnsi="仿宋_GB2312" w:cs="仿宋_GB2312"/>
          </w:rPr>
          <w:t>7.1总体要求</w:t>
        </w:r>
        <w:r w:rsidR="00834406">
          <w:tab/>
        </w:r>
        <w:r w:rsidR="00834406">
          <w:fldChar w:fldCharType="begin"/>
        </w:r>
        <w:r w:rsidR="00834406">
          <w:instrText xml:space="preserve"> PAGEREF _Toc256000027 \h </w:instrText>
        </w:r>
        <w:r w:rsidR="00834406">
          <w:fldChar w:fldCharType="separate"/>
        </w:r>
        <w:r w:rsidR="00834406">
          <w:t>11</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28" w:history="1">
        <w:r w:rsidR="00834406">
          <w:rPr>
            <w:rStyle w:val="a3"/>
            <w:rFonts w:ascii="仿宋_GB2312" w:eastAsia="仿宋_GB2312" w:hAnsi="仿宋_GB2312" w:cs="仿宋_GB2312"/>
          </w:rPr>
          <w:t>7.2具体要求</w:t>
        </w:r>
        <w:r w:rsidR="00834406">
          <w:tab/>
        </w:r>
        <w:r w:rsidR="00834406">
          <w:fldChar w:fldCharType="begin"/>
        </w:r>
        <w:r w:rsidR="00834406">
          <w:instrText xml:space="preserve"> PAGEREF _Toc256000028 \h </w:instrText>
        </w:r>
        <w:r w:rsidR="00834406">
          <w:fldChar w:fldCharType="separate"/>
        </w:r>
        <w:r w:rsidR="00834406">
          <w:t>11</w:t>
        </w:r>
        <w:r w:rsidR="00834406">
          <w:fldChar w:fldCharType="end"/>
        </w:r>
      </w:hyperlink>
    </w:p>
    <w:p w:rsidR="00001D8E" w:rsidRDefault="00003949">
      <w:pPr>
        <w:pStyle w:val="10"/>
        <w:tabs>
          <w:tab w:val="right" w:leader="dot" w:pos="9016"/>
        </w:tabs>
        <w:spacing w:line="360" w:lineRule="auto"/>
        <w:rPr>
          <w:rFonts w:asciiTheme="minorHAnsi" w:hAnsiTheme="minorHAnsi"/>
          <w:sz w:val="22"/>
        </w:rPr>
      </w:pPr>
      <w:hyperlink w:anchor="_Toc256000029" w:history="1">
        <w:r w:rsidR="00834406">
          <w:rPr>
            <w:rStyle w:val="a3"/>
            <w:rFonts w:ascii="仿宋_GB2312" w:eastAsia="仿宋_GB2312" w:hAnsi="仿宋_GB2312" w:cs="仿宋_GB2312"/>
            <w:kern w:val="36"/>
          </w:rPr>
          <w:t>8其他要求</w:t>
        </w:r>
        <w:r w:rsidR="00834406">
          <w:tab/>
        </w:r>
        <w:r w:rsidR="00834406">
          <w:fldChar w:fldCharType="begin"/>
        </w:r>
        <w:r w:rsidR="00834406">
          <w:instrText xml:space="preserve"> PAGEREF _Toc256000029 \h </w:instrText>
        </w:r>
        <w:r w:rsidR="00834406">
          <w:fldChar w:fldCharType="separate"/>
        </w:r>
        <w:r w:rsidR="00834406">
          <w:t>12</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30" w:history="1">
        <w:r w:rsidR="00834406">
          <w:rPr>
            <w:rStyle w:val="a3"/>
            <w:rFonts w:ascii="仿宋_GB2312" w:eastAsia="仿宋_GB2312" w:hAnsi="仿宋_GB2312" w:cs="仿宋_GB2312"/>
          </w:rPr>
          <w:t>8.1必备要求</w:t>
        </w:r>
        <w:r w:rsidR="00834406">
          <w:tab/>
        </w:r>
        <w:r w:rsidR="00834406">
          <w:fldChar w:fldCharType="begin"/>
        </w:r>
        <w:r w:rsidR="00834406">
          <w:instrText xml:space="preserve"> PAGEREF _Toc256000030 \h </w:instrText>
        </w:r>
        <w:r w:rsidR="00834406">
          <w:fldChar w:fldCharType="separate"/>
        </w:r>
        <w:r w:rsidR="00834406">
          <w:t>12</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31" w:history="1">
        <w:r w:rsidR="00834406">
          <w:rPr>
            <w:rStyle w:val="a3"/>
            <w:rFonts w:ascii="仿宋_GB2312" w:eastAsia="仿宋_GB2312" w:hAnsi="仿宋_GB2312" w:cs="仿宋_GB2312"/>
          </w:rPr>
          <w:t>8.1.1通用必备要求</w:t>
        </w:r>
        <w:r w:rsidR="00834406">
          <w:tab/>
        </w:r>
        <w:r w:rsidR="00834406">
          <w:fldChar w:fldCharType="begin"/>
        </w:r>
        <w:r w:rsidR="00834406">
          <w:instrText xml:space="preserve"> PAGEREF _Toc256000031 \h </w:instrText>
        </w:r>
        <w:r w:rsidR="00834406">
          <w:fldChar w:fldCharType="separate"/>
        </w:r>
        <w:r w:rsidR="00834406">
          <w:t>12</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32" w:history="1">
        <w:r w:rsidR="00834406">
          <w:rPr>
            <w:rStyle w:val="a3"/>
            <w:rFonts w:ascii="仿宋_GB2312" w:eastAsia="仿宋_GB2312" w:hAnsi="仿宋_GB2312" w:cs="仿宋_GB2312"/>
          </w:rPr>
          <w:t>8.2付款安排建议</w:t>
        </w:r>
        <w:r w:rsidR="00834406">
          <w:tab/>
        </w:r>
        <w:r w:rsidR="00834406">
          <w:fldChar w:fldCharType="begin"/>
        </w:r>
        <w:r w:rsidR="00834406">
          <w:instrText xml:space="preserve"> PAGEREF _Toc256000032 \h </w:instrText>
        </w:r>
        <w:r w:rsidR="00834406">
          <w:fldChar w:fldCharType="separate"/>
        </w:r>
        <w:r w:rsidR="00834406">
          <w:t>13</w:t>
        </w:r>
        <w:r w:rsidR="00834406">
          <w:fldChar w:fldCharType="end"/>
        </w:r>
      </w:hyperlink>
    </w:p>
    <w:p w:rsidR="00001D8E" w:rsidRDefault="00003949">
      <w:pPr>
        <w:pStyle w:val="20"/>
        <w:tabs>
          <w:tab w:val="right" w:leader="dot" w:pos="9016"/>
        </w:tabs>
        <w:spacing w:line="360" w:lineRule="auto"/>
        <w:rPr>
          <w:rFonts w:asciiTheme="minorHAnsi" w:hAnsiTheme="minorHAnsi"/>
          <w:sz w:val="22"/>
        </w:rPr>
      </w:pPr>
      <w:hyperlink w:anchor="_Toc256000033" w:history="1">
        <w:r w:rsidR="00834406">
          <w:rPr>
            <w:rStyle w:val="a3"/>
            <w:rFonts w:ascii="仿宋_GB2312" w:eastAsia="仿宋_GB2312" w:hAnsi="仿宋_GB2312" w:cs="仿宋_GB2312"/>
          </w:rPr>
          <w:t>8.3其他要求</w:t>
        </w:r>
        <w:r w:rsidR="00834406">
          <w:tab/>
        </w:r>
        <w:r w:rsidR="00834406">
          <w:fldChar w:fldCharType="begin"/>
        </w:r>
        <w:r w:rsidR="00834406">
          <w:instrText xml:space="preserve"> PAGEREF _Toc256000033 \h </w:instrText>
        </w:r>
        <w:r w:rsidR="00834406">
          <w:fldChar w:fldCharType="separate"/>
        </w:r>
        <w:r w:rsidR="00834406">
          <w:t>13</w:t>
        </w:r>
        <w:r w:rsidR="00834406">
          <w:fldChar w:fldCharType="end"/>
        </w:r>
      </w:hyperlink>
    </w:p>
    <w:p w:rsidR="00001D8E" w:rsidRDefault="00003949">
      <w:pPr>
        <w:pStyle w:val="30"/>
        <w:tabs>
          <w:tab w:val="right" w:leader="dot" w:pos="9016"/>
        </w:tabs>
        <w:spacing w:line="360" w:lineRule="auto"/>
        <w:rPr>
          <w:rFonts w:asciiTheme="minorHAnsi" w:hAnsiTheme="minorHAnsi"/>
          <w:sz w:val="22"/>
        </w:rPr>
      </w:pPr>
      <w:hyperlink w:anchor="_Toc256000034" w:history="1">
        <w:r w:rsidR="00834406">
          <w:rPr>
            <w:rStyle w:val="a3"/>
            <w:rFonts w:ascii="仿宋_GB2312" w:eastAsia="仿宋_GB2312" w:hAnsi="仿宋_GB2312" w:cs="仿宋_GB2312"/>
          </w:rPr>
          <w:t>8.3.1保密要求</w:t>
        </w:r>
        <w:r w:rsidR="00834406">
          <w:tab/>
        </w:r>
        <w:r w:rsidR="00834406">
          <w:fldChar w:fldCharType="begin"/>
        </w:r>
        <w:r w:rsidR="00834406">
          <w:instrText xml:space="preserve"> PAGEREF _Toc256000034 \h </w:instrText>
        </w:r>
        <w:r w:rsidR="00834406">
          <w:fldChar w:fldCharType="separate"/>
        </w:r>
        <w:r w:rsidR="00834406">
          <w:t>13</w:t>
        </w:r>
        <w:r w:rsidR="00834406">
          <w:fldChar w:fldCharType="end"/>
        </w:r>
      </w:hyperlink>
    </w:p>
    <w:p w:rsidR="00001D8E" w:rsidRDefault="00834406">
      <w:pPr>
        <w:spacing w:line="360" w:lineRule="auto"/>
      </w:pPr>
      <w:r>
        <w:rPr>
          <w:rFonts w:ascii="宋体" w:eastAsia="宋体" w:hAnsi="宋体" w:cs="宋体"/>
          <w:sz w:val="32"/>
        </w:rPr>
        <w:fldChar w:fldCharType="end"/>
      </w:r>
      <w:r>
        <w:br w:type="page"/>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2" w:name="_Toc256000000"/>
      <w:r>
        <w:rPr>
          <w:rFonts w:ascii="仿宋_GB2312" w:eastAsia="仿宋_GB2312" w:hAnsi="仿宋_GB2312" w:cs="仿宋_GB2312"/>
          <w:kern w:val="36"/>
          <w:lang w:eastAsia="zh-CN"/>
        </w:rPr>
        <w:t>1项目概述</w:t>
      </w:r>
      <w:bookmarkEnd w:id="2"/>
    </w:p>
    <w:p w:rsidR="00001D8E" w:rsidRDefault="00834406">
      <w:pPr>
        <w:pStyle w:val="2"/>
        <w:keepNext w:val="0"/>
        <w:spacing w:before="0" w:after="0" w:line="360" w:lineRule="auto"/>
        <w:rPr>
          <w:rFonts w:ascii="仿宋_GB2312" w:eastAsia="仿宋_GB2312" w:hAnsi="仿宋_GB2312" w:cs="仿宋_GB2312"/>
          <w:lang w:eastAsia="zh-CN"/>
        </w:rPr>
      </w:pPr>
      <w:bookmarkStart w:id="3" w:name="_Toc256000001"/>
      <w:r>
        <w:rPr>
          <w:rFonts w:ascii="仿宋_GB2312" w:eastAsia="仿宋_GB2312" w:hAnsi="仿宋_GB2312" w:cs="仿宋_GB2312"/>
          <w:i w:val="0"/>
          <w:iCs w:val="0"/>
          <w:lang w:eastAsia="zh-CN"/>
        </w:rPr>
        <w:t>1.1项目背景</w:t>
      </w:r>
      <w:bookmarkEnd w:id="3"/>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4" w:name="_Toc256000002"/>
      <w:r>
        <w:rPr>
          <w:rFonts w:ascii="仿宋_GB2312" w:eastAsia="仿宋_GB2312" w:hAnsi="仿宋_GB2312" w:cs="仿宋_GB2312"/>
          <w:sz w:val="28"/>
          <w:szCs w:val="28"/>
          <w:lang w:eastAsia="zh-CN"/>
        </w:rPr>
        <w:t>1.1.1项目目的、意义及背景</w:t>
      </w:r>
      <w:bookmarkEnd w:id="4"/>
    </w:p>
    <w:p w:rsidR="00001D8E" w:rsidRDefault="00555A3E">
      <w:pPr>
        <w:pStyle w:val="MsoNormal0"/>
        <w:spacing w:line="360" w:lineRule="auto"/>
        <w:ind w:firstLine="480"/>
        <w:rPr>
          <w:lang w:eastAsia="zh-CN"/>
        </w:rPr>
      </w:pPr>
      <w:r>
        <w:rPr>
          <w:rFonts w:ascii="仿宋_GB2312" w:eastAsia="仿宋_GB2312" w:hAnsi="仿宋_GB2312" w:cs="仿宋_GB2312"/>
          <w:sz w:val="28"/>
          <w:szCs w:val="28"/>
          <w:lang w:eastAsia="zh-CN"/>
        </w:rPr>
        <w:t>国家税务总局天津市</w:t>
      </w:r>
      <w:r>
        <w:rPr>
          <w:rFonts w:ascii="仿宋_GB2312" w:eastAsia="仿宋_GB2312" w:hAnsi="仿宋_GB2312" w:cs="仿宋_GB2312" w:hint="eastAsia"/>
          <w:sz w:val="28"/>
          <w:szCs w:val="28"/>
          <w:lang w:eastAsia="zh-CN"/>
        </w:rPr>
        <w:t>东丽</w:t>
      </w:r>
      <w:r>
        <w:rPr>
          <w:rFonts w:ascii="仿宋_GB2312" w:eastAsia="仿宋_GB2312" w:hAnsi="仿宋_GB2312" w:cs="仿宋_GB2312"/>
          <w:sz w:val="28"/>
          <w:szCs w:val="28"/>
          <w:lang w:eastAsia="zh-CN"/>
        </w:rPr>
        <w:t>区税务局</w:t>
      </w:r>
      <w:r w:rsidR="00834406">
        <w:rPr>
          <w:rFonts w:ascii="仿宋_GB2312" w:eastAsia="仿宋_GB2312" w:hAnsi="仿宋_GB2312" w:cs="仿宋_GB2312"/>
          <w:sz w:val="28"/>
          <w:szCs w:val="28"/>
          <w:lang w:eastAsia="zh-CN"/>
        </w:rPr>
        <w:t>为构建天津税务系统“一键接入、市区联动、规范统一”的12366税费咨询服务体系，协同服务新模式，持续推进办税缴费服务提质增效，提升纳税人缴费人（以下简称“纳税人”）满意度和获得感。随着新兴产业的发展，企业对于纳税服务、政策辅导的需求日益增长。为进一步强化运行管理，提升服务质效，结合12366热线转型升级工作目标，充分发挥第三方服务单位运营管理经验，巩固现有工作成效，持续创新服务方式，全方位、多渠道为纳税人缴费人提供更加精细化、个性化的服务，优化税收营商环境，</w:t>
      </w:r>
      <w:r>
        <w:rPr>
          <w:rFonts w:ascii="仿宋_GB2312" w:eastAsia="仿宋_GB2312" w:hAnsi="仿宋_GB2312" w:cs="仿宋_GB2312"/>
          <w:sz w:val="28"/>
          <w:szCs w:val="28"/>
          <w:lang w:eastAsia="zh-CN"/>
        </w:rPr>
        <w:t>国家税务总局天津市</w:t>
      </w:r>
      <w:r>
        <w:rPr>
          <w:rFonts w:ascii="仿宋_GB2312" w:eastAsia="仿宋_GB2312" w:hAnsi="仿宋_GB2312" w:cs="仿宋_GB2312" w:hint="eastAsia"/>
          <w:sz w:val="28"/>
          <w:szCs w:val="28"/>
          <w:lang w:eastAsia="zh-CN"/>
        </w:rPr>
        <w:t>东丽</w:t>
      </w:r>
      <w:r>
        <w:rPr>
          <w:rFonts w:ascii="仿宋_GB2312" w:eastAsia="仿宋_GB2312" w:hAnsi="仿宋_GB2312" w:cs="仿宋_GB2312"/>
          <w:sz w:val="28"/>
          <w:szCs w:val="28"/>
          <w:lang w:eastAsia="zh-CN"/>
        </w:rPr>
        <w:t>区税务局</w:t>
      </w:r>
      <w:r w:rsidR="00834406">
        <w:rPr>
          <w:rFonts w:ascii="仿宋_GB2312" w:eastAsia="仿宋_GB2312" w:hAnsi="仿宋_GB2312" w:cs="仿宋_GB2312"/>
          <w:sz w:val="28"/>
          <w:szCs w:val="28"/>
          <w:lang w:eastAsia="zh-CN"/>
        </w:rPr>
        <w:t>通过政府采购方式采购12366热线及其他咨询服务。</w:t>
      </w:r>
    </w:p>
    <w:p w:rsidR="00001D8E" w:rsidRDefault="00834406">
      <w:pPr>
        <w:pStyle w:val="2"/>
        <w:keepNext w:val="0"/>
        <w:spacing w:before="0" w:after="0" w:line="360" w:lineRule="auto"/>
        <w:rPr>
          <w:rFonts w:ascii="仿宋_GB2312" w:eastAsia="仿宋_GB2312" w:hAnsi="仿宋_GB2312" w:cs="仿宋_GB2312"/>
          <w:lang w:eastAsia="zh-CN"/>
        </w:rPr>
      </w:pPr>
      <w:bookmarkStart w:id="5" w:name="_Toc256000003"/>
      <w:r>
        <w:rPr>
          <w:rFonts w:ascii="仿宋_GB2312" w:eastAsia="仿宋_GB2312" w:hAnsi="仿宋_GB2312" w:cs="仿宋_GB2312"/>
          <w:i w:val="0"/>
          <w:iCs w:val="0"/>
          <w:lang w:eastAsia="zh-CN"/>
        </w:rPr>
        <w:t>1.2项目内容</w:t>
      </w:r>
      <w:bookmarkEnd w:id="5"/>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6" w:name="_Toc256000004"/>
      <w:r>
        <w:rPr>
          <w:rFonts w:ascii="仿宋_GB2312" w:eastAsia="仿宋_GB2312" w:hAnsi="仿宋_GB2312" w:cs="仿宋_GB2312"/>
          <w:sz w:val="28"/>
          <w:szCs w:val="28"/>
          <w:lang w:eastAsia="zh-CN"/>
        </w:rPr>
        <w:t>1.2.1项目建设思路</w:t>
      </w:r>
      <w:bookmarkEnd w:id="6"/>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本项目为纳税人缴费人提供专业化、规范化、标准化服务，持续提升纳税人缴费人的满意度和获得感。12366热线主要功能为：税费咨询、涉税费查询、纳税缴费程序咨询辅导、征纳互动服务、意见建议受理、税费政策宣传、满意度回访、需求收集、数据分析应用等。按照国家税务总局天津市税务局对12366热线咨询服务的要求，须提供工作日人工座席服务。人工座席负责提供以接听、回拨等方式受理纳税人缴费人的电话咨询、意见建议，对“好差评”结果为不满意的电话进行回访等相关服务。</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7" w:name="_Toc256000005"/>
      <w:r>
        <w:rPr>
          <w:rFonts w:ascii="仿宋_GB2312" w:eastAsia="仿宋_GB2312" w:hAnsi="仿宋_GB2312" w:cs="仿宋_GB2312"/>
          <w:sz w:val="28"/>
          <w:szCs w:val="28"/>
          <w:lang w:eastAsia="zh-CN"/>
        </w:rPr>
        <w:t>1.2.2采购内容</w:t>
      </w:r>
      <w:bookmarkEnd w:id="7"/>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本项目采购内容为12366热线咨询服务，</w:t>
      </w:r>
      <w:r w:rsidR="00555A3E">
        <w:rPr>
          <w:rFonts w:ascii="仿宋_GB2312" w:eastAsia="仿宋_GB2312" w:hAnsi="仿宋_GB2312" w:cs="仿宋_GB2312"/>
          <w:sz w:val="28"/>
          <w:szCs w:val="28"/>
          <w:lang w:eastAsia="zh-CN"/>
        </w:rPr>
        <w:t>国家税务总局天津市</w:t>
      </w:r>
      <w:r w:rsidR="00555A3E">
        <w:rPr>
          <w:rFonts w:ascii="仿宋_GB2312" w:eastAsia="仿宋_GB2312" w:hAnsi="仿宋_GB2312" w:cs="仿宋_GB2312" w:hint="eastAsia"/>
          <w:sz w:val="28"/>
          <w:szCs w:val="28"/>
          <w:lang w:eastAsia="zh-CN"/>
        </w:rPr>
        <w:t>东丽</w:t>
      </w:r>
      <w:r w:rsidR="00555A3E">
        <w:rPr>
          <w:rFonts w:ascii="仿宋_GB2312" w:eastAsia="仿宋_GB2312" w:hAnsi="仿宋_GB2312" w:cs="仿宋_GB2312"/>
          <w:sz w:val="28"/>
          <w:szCs w:val="28"/>
          <w:lang w:eastAsia="zh-CN"/>
        </w:rPr>
        <w:t>区税务局</w:t>
      </w:r>
      <w:r>
        <w:rPr>
          <w:rFonts w:ascii="仿宋_GB2312" w:eastAsia="仿宋_GB2312" w:hAnsi="仿宋_GB2312" w:cs="仿宋_GB2312"/>
          <w:sz w:val="28"/>
          <w:szCs w:val="28"/>
          <w:lang w:eastAsia="zh-CN"/>
        </w:rPr>
        <w:t>提供办公场地、人员工位及相关办公设备，中标供应商提供服务人员及接听设备。本项目需要服务人员</w:t>
      </w:r>
      <w:r w:rsidR="00555A3E" w:rsidRPr="00555A3E">
        <w:rPr>
          <w:rFonts w:ascii="仿宋_GB2312" w:eastAsia="仿宋_GB2312" w:hAnsi="仿宋_GB2312" w:cs="仿宋_GB2312"/>
          <w:sz w:val="28"/>
          <w:szCs w:val="28"/>
          <w:lang w:eastAsia="zh-CN"/>
        </w:rPr>
        <w:t>16</w:t>
      </w:r>
      <w:r w:rsidRPr="00555A3E">
        <w:rPr>
          <w:rFonts w:ascii="仿宋_GB2312" w:eastAsia="仿宋_GB2312" w:hAnsi="仿宋_GB2312" w:cs="仿宋_GB2312"/>
          <w:sz w:val="28"/>
          <w:szCs w:val="28"/>
          <w:lang w:eastAsia="zh-CN"/>
        </w:rPr>
        <w:t>人</w:t>
      </w:r>
      <w:r>
        <w:rPr>
          <w:rFonts w:ascii="仿宋_GB2312" w:eastAsia="仿宋_GB2312" w:hAnsi="仿宋_GB2312" w:cs="仿宋_GB2312"/>
          <w:sz w:val="28"/>
          <w:szCs w:val="28"/>
          <w:lang w:eastAsia="zh-CN"/>
        </w:rPr>
        <w:t>，中标供应商按照</w:t>
      </w:r>
      <w:r w:rsidR="00555A3E">
        <w:rPr>
          <w:rFonts w:ascii="仿宋_GB2312" w:eastAsia="仿宋_GB2312" w:hAnsi="仿宋_GB2312" w:cs="仿宋_GB2312"/>
          <w:sz w:val="28"/>
          <w:szCs w:val="28"/>
          <w:lang w:eastAsia="zh-CN"/>
        </w:rPr>
        <w:t>国家税务总</w:t>
      </w:r>
      <w:r w:rsidR="00555A3E">
        <w:rPr>
          <w:rFonts w:ascii="仿宋_GB2312" w:eastAsia="仿宋_GB2312" w:hAnsi="仿宋_GB2312" w:cs="仿宋_GB2312"/>
          <w:sz w:val="28"/>
          <w:szCs w:val="28"/>
          <w:lang w:eastAsia="zh-CN"/>
        </w:rPr>
        <w:lastRenderedPageBreak/>
        <w:t>局天津市</w:t>
      </w:r>
      <w:r w:rsidR="00555A3E">
        <w:rPr>
          <w:rFonts w:ascii="仿宋_GB2312" w:eastAsia="仿宋_GB2312" w:hAnsi="仿宋_GB2312" w:cs="仿宋_GB2312" w:hint="eastAsia"/>
          <w:sz w:val="28"/>
          <w:szCs w:val="28"/>
          <w:lang w:eastAsia="zh-CN"/>
        </w:rPr>
        <w:t>东丽</w:t>
      </w:r>
      <w:r w:rsidR="00555A3E">
        <w:rPr>
          <w:rFonts w:ascii="仿宋_GB2312" w:eastAsia="仿宋_GB2312" w:hAnsi="仿宋_GB2312" w:cs="仿宋_GB2312"/>
          <w:sz w:val="28"/>
          <w:szCs w:val="28"/>
          <w:lang w:eastAsia="zh-CN"/>
        </w:rPr>
        <w:t>区税务局</w:t>
      </w:r>
      <w:r>
        <w:rPr>
          <w:rFonts w:ascii="仿宋_GB2312" w:eastAsia="仿宋_GB2312" w:hAnsi="仿宋_GB2312" w:cs="仿宋_GB2312"/>
          <w:sz w:val="28"/>
          <w:szCs w:val="28"/>
          <w:lang w:eastAsia="zh-CN"/>
        </w:rPr>
        <w:t>要求培训、管理服务人员，配合</w:t>
      </w:r>
      <w:r w:rsidR="00555A3E">
        <w:rPr>
          <w:rFonts w:ascii="仿宋_GB2312" w:eastAsia="仿宋_GB2312" w:hAnsi="仿宋_GB2312" w:cs="仿宋_GB2312"/>
          <w:sz w:val="28"/>
          <w:szCs w:val="28"/>
          <w:lang w:eastAsia="zh-CN"/>
        </w:rPr>
        <w:t>国家税务总局天津市</w:t>
      </w:r>
      <w:r w:rsidR="00555A3E">
        <w:rPr>
          <w:rFonts w:ascii="仿宋_GB2312" w:eastAsia="仿宋_GB2312" w:hAnsi="仿宋_GB2312" w:cs="仿宋_GB2312" w:hint="eastAsia"/>
          <w:sz w:val="28"/>
          <w:szCs w:val="28"/>
          <w:lang w:eastAsia="zh-CN"/>
        </w:rPr>
        <w:t>东丽</w:t>
      </w:r>
      <w:r w:rsidR="00555A3E">
        <w:rPr>
          <w:rFonts w:ascii="仿宋_GB2312" w:eastAsia="仿宋_GB2312" w:hAnsi="仿宋_GB2312" w:cs="仿宋_GB2312"/>
          <w:sz w:val="28"/>
          <w:szCs w:val="28"/>
          <w:lang w:eastAsia="zh-CN"/>
        </w:rPr>
        <w:t>区税务局</w:t>
      </w:r>
      <w:r>
        <w:rPr>
          <w:rFonts w:ascii="仿宋_GB2312" w:eastAsia="仿宋_GB2312" w:hAnsi="仿宋_GB2312" w:cs="仿宋_GB2312"/>
          <w:sz w:val="28"/>
          <w:szCs w:val="28"/>
          <w:lang w:eastAsia="zh-CN"/>
        </w:rPr>
        <w:t>对12366热线的日常管理工作，共同落实服务规范和绩效管理办法等制度体系。</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8" w:name="_Toc256000006"/>
      <w:r>
        <w:rPr>
          <w:rFonts w:ascii="仿宋_GB2312" w:eastAsia="仿宋_GB2312" w:hAnsi="仿宋_GB2312" w:cs="仿宋_GB2312"/>
          <w:sz w:val="28"/>
          <w:szCs w:val="28"/>
          <w:lang w:eastAsia="zh-CN"/>
        </w:rPr>
        <w:t>1.2.3项目实施要求</w:t>
      </w:r>
      <w:bookmarkEnd w:id="8"/>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1.2.3.1实施范围要求</w:t>
      </w:r>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按照国家税务总局天津市税务局对12366热线及征纳互动咨询服务的要求，须为12366热线提供工作日人工座席服务。</w:t>
      </w:r>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1.2.3.2实施时间要求</w:t>
      </w:r>
    </w:p>
    <w:p w:rsidR="00001D8E" w:rsidRPr="00555A3E" w:rsidRDefault="00834406">
      <w:pPr>
        <w:pStyle w:val="MsoNormal0"/>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合</w:t>
      </w:r>
      <w:r w:rsidR="00555A3E">
        <w:rPr>
          <w:rFonts w:ascii="仿宋_GB2312" w:eastAsia="仿宋_GB2312" w:hAnsi="仿宋_GB2312" w:cs="仿宋_GB2312"/>
          <w:sz w:val="28"/>
          <w:szCs w:val="28"/>
          <w:lang w:eastAsia="zh-CN"/>
        </w:rPr>
        <w:t>同规定的服务</w:t>
      </w:r>
      <w:r w:rsidR="00555A3E" w:rsidRPr="00555A3E">
        <w:rPr>
          <w:rFonts w:ascii="仿宋_GB2312" w:eastAsia="仿宋_GB2312" w:hAnsi="仿宋_GB2312" w:cs="仿宋_GB2312"/>
          <w:sz w:val="28"/>
          <w:szCs w:val="28"/>
          <w:lang w:eastAsia="zh-CN"/>
        </w:rPr>
        <w:t>起始之日起</w:t>
      </w:r>
      <w:r w:rsidR="00555A3E" w:rsidRPr="00555A3E">
        <w:rPr>
          <w:rFonts w:ascii="仿宋_GB2312" w:eastAsia="仿宋_GB2312" w:hAnsi="仿宋_GB2312" w:cs="仿宋_GB2312" w:hint="eastAsia"/>
          <w:sz w:val="28"/>
          <w:szCs w:val="28"/>
          <w:lang w:eastAsia="zh-CN"/>
        </w:rPr>
        <w:t>一</w:t>
      </w:r>
      <w:r w:rsidRPr="00555A3E">
        <w:rPr>
          <w:rFonts w:ascii="仿宋_GB2312" w:eastAsia="仿宋_GB2312" w:hAnsi="仿宋_GB2312" w:cs="仿宋_GB2312"/>
          <w:sz w:val="28"/>
          <w:szCs w:val="28"/>
          <w:lang w:eastAsia="zh-CN"/>
        </w:rPr>
        <w:t>年。</w:t>
      </w:r>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1.2.3.3实施地点要求</w:t>
      </w:r>
    </w:p>
    <w:p w:rsidR="00001D8E" w:rsidRDefault="00677582">
      <w:pPr>
        <w:pStyle w:val="MsoNormal0"/>
        <w:spacing w:line="360" w:lineRule="auto"/>
        <w:ind w:firstLine="480"/>
        <w:rPr>
          <w:lang w:eastAsia="zh-CN"/>
        </w:rPr>
      </w:pPr>
      <w:r>
        <w:rPr>
          <w:rFonts w:ascii="仿宋_GB2312" w:eastAsia="仿宋_GB2312" w:hAnsi="仿宋_GB2312" w:cs="仿宋_GB2312"/>
          <w:sz w:val="28"/>
          <w:szCs w:val="28"/>
          <w:lang w:eastAsia="zh-CN"/>
        </w:rPr>
        <w:t>国家税务总局天津市</w:t>
      </w:r>
      <w:r>
        <w:rPr>
          <w:rFonts w:ascii="仿宋_GB2312" w:eastAsia="仿宋_GB2312" w:hAnsi="仿宋_GB2312" w:cs="仿宋_GB2312" w:hint="eastAsia"/>
          <w:sz w:val="28"/>
          <w:szCs w:val="28"/>
          <w:lang w:eastAsia="zh-CN"/>
        </w:rPr>
        <w:t>东丽</w:t>
      </w:r>
      <w:r>
        <w:rPr>
          <w:rFonts w:ascii="仿宋_GB2312" w:eastAsia="仿宋_GB2312" w:hAnsi="仿宋_GB2312" w:cs="仿宋_GB2312"/>
          <w:sz w:val="28"/>
          <w:szCs w:val="28"/>
          <w:lang w:eastAsia="zh-CN"/>
        </w:rPr>
        <w:t>区税务局</w:t>
      </w:r>
      <w:r w:rsidRPr="00912B88">
        <w:rPr>
          <w:rFonts w:ascii="仿宋_GB2312" w:eastAsia="仿宋_GB2312" w:hAnsi="仿宋_GB2312" w:cs="仿宋_GB2312" w:hint="eastAsia"/>
          <w:sz w:val="28"/>
          <w:szCs w:val="28"/>
          <w:lang w:eastAsia="zh-CN"/>
        </w:rPr>
        <w:t>第一税务所税费服务中心</w:t>
      </w:r>
      <w:r>
        <w:rPr>
          <w:rFonts w:ascii="仿宋_GB2312" w:eastAsia="仿宋_GB2312" w:hAnsi="仿宋_GB2312" w:cs="仿宋_GB2312" w:hint="eastAsia"/>
          <w:sz w:val="28"/>
          <w:szCs w:val="28"/>
          <w:lang w:eastAsia="zh-CN"/>
        </w:rPr>
        <w:t>。</w:t>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9" w:name="_Toc256000007"/>
      <w:r>
        <w:rPr>
          <w:rFonts w:ascii="仿宋_GB2312" w:eastAsia="仿宋_GB2312" w:hAnsi="仿宋_GB2312" w:cs="仿宋_GB2312"/>
          <w:kern w:val="36"/>
          <w:lang w:eastAsia="zh-CN"/>
        </w:rPr>
        <w:t>2投标/响应要求</w:t>
      </w:r>
      <w:bookmarkEnd w:id="9"/>
    </w:p>
    <w:p w:rsidR="00001D8E" w:rsidRDefault="00834406">
      <w:pPr>
        <w:pStyle w:val="2"/>
        <w:keepNext w:val="0"/>
        <w:spacing w:before="0" w:after="0" w:line="360" w:lineRule="auto"/>
        <w:rPr>
          <w:rFonts w:ascii="仿宋_GB2312" w:eastAsia="仿宋_GB2312" w:hAnsi="仿宋_GB2312" w:cs="仿宋_GB2312"/>
          <w:lang w:eastAsia="zh-CN"/>
        </w:rPr>
      </w:pPr>
      <w:bookmarkStart w:id="10" w:name="_Toc256000008"/>
      <w:r>
        <w:rPr>
          <w:rFonts w:ascii="仿宋_GB2312" w:eastAsia="仿宋_GB2312" w:hAnsi="仿宋_GB2312" w:cs="仿宋_GB2312"/>
          <w:i w:val="0"/>
          <w:iCs w:val="0"/>
          <w:lang w:eastAsia="zh-CN"/>
        </w:rPr>
        <w:t>2.1对供应商的要求</w:t>
      </w:r>
      <w:bookmarkEnd w:id="10"/>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11" w:name="_Toc256000009"/>
      <w:r>
        <w:rPr>
          <w:rFonts w:ascii="仿宋_GB2312" w:eastAsia="仿宋_GB2312" w:hAnsi="仿宋_GB2312" w:cs="仿宋_GB2312"/>
          <w:sz w:val="28"/>
          <w:szCs w:val="28"/>
          <w:lang w:eastAsia="zh-CN"/>
        </w:rPr>
        <w:t>2.1.1必备资质</w:t>
      </w:r>
      <w:bookmarkEnd w:id="11"/>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2.1.1.1投标人应遵守有关国家法律、法规和条例,具备《中华人民共和国政府采购法》第二十二条的规定和本文件中规定的条件。</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12" w:name="_Toc256000010"/>
      <w:r>
        <w:rPr>
          <w:rFonts w:ascii="仿宋_GB2312" w:eastAsia="仿宋_GB2312" w:hAnsi="仿宋_GB2312" w:cs="仿宋_GB2312"/>
          <w:sz w:val="28"/>
          <w:szCs w:val="28"/>
          <w:lang w:eastAsia="zh-CN"/>
        </w:rPr>
        <w:t>2.1.2优选资质/优选指标</w:t>
      </w:r>
      <w:bookmarkEnd w:id="12"/>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2.1.2.1相关证书</w:t>
      </w:r>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294"/>
        <w:gridCol w:w="2592"/>
        <w:gridCol w:w="2592"/>
        <w:gridCol w:w="2592"/>
      </w:tblGrid>
      <w:tr w:rsidR="00001D8E">
        <w:tc>
          <w:tcPr>
            <w:tcW w:w="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序号</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证书名称</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颁发部门</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相关要求</w:t>
            </w:r>
          </w:p>
        </w:tc>
      </w:tr>
      <w:tr w:rsidR="00001D8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质量管理体系认证证书</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lang w:eastAsia="zh-CN"/>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lang w:eastAsia="zh-CN"/>
              </w:rPr>
            </w:pPr>
          </w:p>
        </w:tc>
      </w:tr>
      <w:tr w:rsidR="00001D8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环境管理体系认证</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rPr>
            </w:pPr>
          </w:p>
        </w:tc>
      </w:tr>
      <w:tr w:rsidR="00001D8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jc w:val="center"/>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职业健康安全管理体系认证</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lang w:eastAsia="zh-CN"/>
              </w:rPr>
            </w:pP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001D8E">
            <w:pPr>
              <w:rPr>
                <w:rFonts w:ascii="仿宋_GB2312" w:eastAsia="仿宋_GB2312" w:hAnsi="仿宋_GB2312" w:cs="仿宋_GB2312"/>
                <w:color w:val="000000"/>
                <w:sz w:val="21"/>
                <w:szCs w:val="21"/>
                <w:lang w:eastAsia="zh-CN"/>
              </w:rPr>
            </w:pPr>
          </w:p>
        </w:tc>
      </w:tr>
    </w:tbl>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2.1.2.2成功案例</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有效案例为</w:t>
      </w:r>
      <w:r w:rsidR="00F71485">
        <w:rPr>
          <w:rFonts w:ascii="仿宋_GB2312" w:eastAsia="仿宋_GB2312" w:hAnsi="仿宋_GB2312" w:cs="仿宋_GB2312"/>
          <w:sz w:val="28"/>
          <w:szCs w:val="28"/>
          <w:lang w:eastAsia="zh-CN"/>
        </w:rPr>
        <w:t>2022</w:t>
      </w:r>
      <w:r>
        <w:rPr>
          <w:rFonts w:ascii="仿宋_GB2312" w:eastAsia="仿宋_GB2312" w:hAnsi="仿宋_GB2312" w:cs="仿宋_GB2312"/>
          <w:sz w:val="28"/>
          <w:szCs w:val="28"/>
          <w:lang w:eastAsia="zh-CN"/>
        </w:rPr>
        <w:t>年</w:t>
      </w:r>
      <w:r w:rsidR="00F71485">
        <w:rPr>
          <w:rFonts w:ascii="仿宋_GB2312" w:eastAsia="仿宋_GB2312" w:hAnsi="仿宋_GB2312" w:cs="仿宋_GB2312"/>
          <w:sz w:val="28"/>
          <w:szCs w:val="28"/>
          <w:lang w:eastAsia="zh-CN"/>
        </w:rPr>
        <w:t>1</w:t>
      </w:r>
      <w:r>
        <w:rPr>
          <w:rFonts w:ascii="仿宋_GB2312" w:eastAsia="仿宋_GB2312" w:hAnsi="仿宋_GB2312" w:cs="仿宋_GB2312"/>
          <w:sz w:val="28"/>
          <w:szCs w:val="28"/>
          <w:lang w:eastAsia="zh-CN"/>
        </w:rPr>
        <w:t>月</w:t>
      </w:r>
      <w:r w:rsidR="00F71485">
        <w:rPr>
          <w:rFonts w:ascii="仿宋_GB2312" w:eastAsia="仿宋_GB2312" w:hAnsi="仿宋_GB2312" w:cs="仿宋_GB2312"/>
          <w:sz w:val="28"/>
          <w:szCs w:val="28"/>
          <w:lang w:eastAsia="zh-CN"/>
        </w:rPr>
        <w:t>1</w:t>
      </w:r>
      <w:r>
        <w:rPr>
          <w:rFonts w:ascii="仿宋_GB2312" w:eastAsia="仿宋_GB2312" w:hAnsi="仿宋_GB2312" w:cs="仿宋_GB2312"/>
          <w:sz w:val="28"/>
          <w:szCs w:val="28"/>
          <w:lang w:eastAsia="zh-CN"/>
        </w:rPr>
        <w:t>日以来（以合同签订日期为准）,供应商独立承担的与本项目相类似项目案例。</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13" w:name="_Toc256000011"/>
      <w:r>
        <w:rPr>
          <w:rFonts w:ascii="仿宋_GB2312" w:eastAsia="仿宋_GB2312" w:hAnsi="仿宋_GB2312" w:cs="仿宋_GB2312"/>
          <w:sz w:val="28"/>
          <w:szCs w:val="28"/>
          <w:lang w:eastAsia="zh-CN"/>
        </w:rPr>
        <w:t>2.1.3是否允许联合体</w:t>
      </w:r>
      <w:bookmarkEnd w:id="13"/>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否</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14" w:name="_Toc256000012"/>
      <w:r>
        <w:rPr>
          <w:rFonts w:ascii="仿宋_GB2312" w:eastAsia="仿宋_GB2312" w:hAnsi="仿宋_GB2312" w:cs="仿宋_GB2312"/>
          <w:sz w:val="28"/>
          <w:szCs w:val="28"/>
          <w:lang w:eastAsia="zh-CN"/>
        </w:rPr>
        <w:lastRenderedPageBreak/>
        <w:t>2.1.4是否专门面向中小企业</w:t>
      </w:r>
      <w:bookmarkEnd w:id="14"/>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本项</w:t>
      </w:r>
      <w:r w:rsidRPr="00F71485">
        <w:rPr>
          <w:rFonts w:ascii="仿宋_GB2312" w:eastAsia="仿宋_GB2312" w:hAnsi="仿宋_GB2312" w:cs="仿宋_GB2312"/>
          <w:sz w:val="28"/>
          <w:szCs w:val="28"/>
          <w:lang w:eastAsia="zh-CN"/>
        </w:rPr>
        <w:t>目</w:t>
      </w:r>
      <w:r w:rsidRPr="00F71485">
        <w:rPr>
          <w:rFonts w:ascii="仿宋_GB2312" w:eastAsia="仿宋_GB2312" w:hAnsi="仿宋_GB2312" w:cs="仿宋_GB2312" w:hint="eastAsia"/>
          <w:sz w:val="28"/>
          <w:szCs w:val="28"/>
          <w:lang w:eastAsia="zh-CN"/>
        </w:rPr>
        <w:t>专门</w:t>
      </w:r>
      <w:r w:rsidRPr="00F71485">
        <w:rPr>
          <w:rFonts w:ascii="仿宋_GB2312" w:eastAsia="仿宋_GB2312" w:hAnsi="仿宋_GB2312" w:cs="仿宋_GB2312"/>
          <w:sz w:val="28"/>
          <w:szCs w:val="28"/>
          <w:lang w:eastAsia="zh-CN"/>
        </w:rPr>
        <w:t>面向</w:t>
      </w:r>
      <w:r>
        <w:rPr>
          <w:rFonts w:ascii="仿宋_GB2312" w:eastAsia="仿宋_GB2312" w:hAnsi="仿宋_GB2312" w:cs="仿宋_GB2312"/>
          <w:sz w:val="28"/>
          <w:szCs w:val="28"/>
          <w:lang w:eastAsia="zh-CN"/>
        </w:rPr>
        <w:t>中小企业采购项目</w:t>
      </w:r>
    </w:p>
    <w:p w:rsidR="00001D8E" w:rsidRDefault="00834406">
      <w:pPr>
        <w:pStyle w:val="2"/>
        <w:keepNext w:val="0"/>
        <w:spacing w:before="0" w:after="0" w:line="360" w:lineRule="auto"/>
        <w:rPr>
          <w:rFonts w:ascii="仿宋_GB2312" w:eastAsia="仿宋_GB2312" w:hAnsi="仿宋_GB2312" w:cs="仿宋_GB2312"/>
          <w:lang w:eastAsia="zh-CN"/>
        </w:rPr>
      </w:pPr>
      <w:bookmarkStart w:id="15" w:name="_Toc256000013"/>
      <w:r>
        <w:rPr>
          <w:rFonts w:ascii="仿宋_GB2312" w:eastAsia="仿宋_GB2312" w:hAnsi="仿宋_GB2312" w:cs="仿宋_GB2312"/>
          <w:i w:val="0"/>
          <w:iCs w:val="0"/>
          <w:lang w:eastAsia="zh-CN"/>
        </w:rPr>
        <w:t>2.2技术部分投标/响应内容</w:t>
      </w:r>
      <w:bookmarkEnd w:id="15"/>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16" w:name="_Toc256000014"/>
      <w:r>
        <w:rPr>
          <w:rFonts w:ascii="仿宋_GB2312" w:eastAsia="仿宋_GB2312" w:hAnsi="仿宋_GB2312" w:cs="仿宋_GB2312"/>
          <w:sz w:val="28"/>
          <w:szCs w:val="28"/>
          <w:lang w:eastAsia="zh-CN"/>
        </w:rPr>
        <w:t>2.2.1投标/响应方案要求</w:t>
      </w:r>
      <w:bookmarkEnd w:id="16"/>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以下相关方案，若作为评审因素，则投标人应在满足★关键指标项要求的前提下，根据项目特点和采购需求，制定更为完整、详细、可操作性强的方案。</w:t>
      </w:r>
    </w:p>
    <w:p w:rsidR="00001D8E" w:rsidRDefault="00834406">
      <w:pPr>
        <w:spacing w:line="360" w:lineRule="auto"/>
        <w:ind w:firstLine="480"/>
        <w:rPr>
          <w:lang w:eastAsia="zh-CN"/>
        </w:rPr>
      </w:pPr>
      <w:r>
        <w:rPr>
          <w:rFonts w:ascii="仿宋_GB2312" w:eastAsia="仿宋_GB2312" w:hAnsi="仿宋_GB2312" w:cs="仿宋_GB2312"/>
          <w:sz w:val="28"/>
          <w:szCs w:val="28"/>
          <w:lang w:eastAsia="zh-CN"/>
        </w:rPr>
        <w:t>投标人应根据项目需求对服务方案及内容、项目需求理解、实施方案、保密管理、培训方案、应急保障方案等内容进行响应。</w:t>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17" w:name="_Toc256000015"/>
      <w:r>
        <w:rPr>
          <w:rFonts w:ascii="仿宋_GB2312" w:eastAsia="仿宋_GB2312" w:hAnsi="仿宋_GB2312" w:cs="仿宋_GB2312"/>
          <w:kern w:val="36"/>
          <w:lang w:eastAsia="zh-CN"/>
        </w:rPr>
        <w:t>3项目需求</w:t>
      </w:r>
      <w:bookmarkEnd w:id="17"/>
    </w:p>
    <w:p w:rsidR="00001D8E" w:rsidRDefault="00834406">
      <w:pPr>
        <w:pStyle w:val="2"/>
        <w:keepNext w:val="0"/>
        <w:spacing w:before="0" w:after="0" w:line="360" w:lineRule="auto"/>
        <w:rPr>
          <w:rFonts w:ascii="仿宋_GB2312" w:eastAsia="仿宋_GB2312" w:hAnsi="仿宋_GB2312" w:cs="仿宋_GB2312"/>
          <w:lang w:eastAsia="zh-CN"/>
        </w:rPr>
      </w:pPr>
      <w:bookmarkStart w:id="18" w:name="_Toc256000016"/>
      <w:r>
        <w:rPr>
          <w:rFonts w:ascii="仿宋_GB2312" w:eastAsia="仿宋_GB2312" w:hAnsi="仿宋_GB2312" w:cs="仿宋_GB2312"/>
          <w:i w:val="0"/>
          <w:iCs w:val="0"/>
          <w:lang w:eastAsia="zh-CN"/>
        </w:rPr>
        <w:t>3.1总体要求</w:t>
      </w:r>
      <w:bookmarkEnd w:id="18"/>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为构建天津税务系统“一键接入、市区联动、规范统一”的12366税费咨询服务体系，协同服务新模式，持续推进办税缴费服务提质增效，提升纳税人缴费人满意度和获得感。面向纳税人缴费人提供工作日人工座席服务，服务内容包括税费咨询、涉税费查询、纳税缴费程序咨询辅导、征纳互动服务、意见建议受理、税费政策宣传、满意度回访、需求收集、数据分析应用等。</w:t>
      </w:r>
    </w:p>
    <w:p w:rsidR="00001D8E" w:rsidRDefault="00834406">
      <w:pPr>
        <w:pStyle w:val="2"/>
        <w:keepNext w:val="0"/>
        <w:spacing w:before="0" w:after="0" w:line="360" w:lineRule="auto"/>
        <w:rPr>
          <w:rFonts w:ascii="仿宋_GB2312" w:eastAsia="仿宋_GB2312" w:hAnsi="仿宋_GB2312" w:cs="仿宋_GB2312"/>
          <w:lang w:eastAsia="zh-CN"/>
        </w:rPr>
      </w:pPr>
      <w:bookmarkStart w:id="19" w:name="_Toc256000017"/>
      <w:r>
        <w:rPr>
          <w:rFonts w:ascii="仿宋_GB2312" w:eastAsia="仿宋_GB2312" w:hAnsi="仿宋_GB2312" w:cs="仿宋_GB2312"/>
          <w:i w:val="0"/>
          <w:iCs w:val="0"/>
          <w:lang w:eastAsia="zh-CN"/>
        </w:rPr>
        <w:t>3.2服务内容和要求</w:t>
      </w:r>
      <w:bookmarkEnd w:id="19"/>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采购文件（技术部分）中有标注★号的，为必备服务要求，必须满足，如未作出响应，将导致响应无效；#为重要服务内容、△为一般服务内容。</w:t>
      </w:r>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20" w:name="_Toc256000018"/>
      <w:r>
        <w:rPr>
          <w:rFonts w:ascii="仿宋_GB2312" w:eastAsia="仿宋_GB2312" w:hAnsi="仿宋_GB2312" w:cs="仿宋_GB2312"/>
          <w:sz w:val="28"/>
          <w:szCs w:val="28"/>
          <w:lang w:eastAsia="zh-CN"/>
        </w:rPr>
        <w:t>3.2.1技术和服务客观指标</w:t>
      </w:r>
      <w:bookmarkEnd w:id="20"/>
    </w:p>
    <w:p w:rsidR="00001D8E" w:rsidRDefault="00834406">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3.2.1.1技术和服务要求</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1.热线电话服务。主要包括解答纳税人缴费人向12366纳税缴费服务热线提出的税收法律、办税流程、涉税费系统操作、税费信息查询等各类</w:t>
      </w:r>
      <w:r>
        <w:rPr>
          <w:rFonts w:ascii="仿宋_GB2312" w:eastAsia="仿宋_GB2312" w:hAnsi="仿宋_GB2312" w:cs="仿宋_GB2312"/>
          <w:sz w:val="28"/>
          <w:szCs w:val="28"/>
          <w:lang w:eastAsia="zh-CN"/>
        </w:rPr>
        <w:lastRenderedPageBreak/>
        <w:t>税费业务咨询。其中问题解答涉及税费政策、服务期内纳税人缴费人与税务局交互而使用的各类系统，系统包括但不限于全国统一规范电子税务局（天津）、自然人电子税务局、增值税发票综合服务平台、国家税务总局电子发票服务平台、单位社保费管理客户端等系统以及服务期内新增的各类系统。</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2.电话回呼。通过人工主动呼出的方式向纳税人缴费人提供涉税费咨询服务。电话回呼包括留言回呼、纠错回呼、承诺回呼、遇忙（呼损）回呼等。</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3.征纳互动服务。通过征纳互动受理纳税人缴费人咨询，对通过12366热线发起咨询的符合条件的纳税人，根据业务需要为其提供反向拉起服务，提升咨询效率。</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4.后台支撑服务。主要解决热线人员无法及时回复或解决的问题，包括但不限于疑难问题的解答、业务工单等。</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5.宣传培训服务。包括相关涉税涉费热点问题的整理、编辑以及配合宣传和发布服务。</w:t>
      </w:r>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6.需求采集服务。作为税务局和纳税人缴费人之间的沟通桥梁，了解纳税人缴费人的实际需求，利用服务纳税人缴费人时获得的需求信息和数据，定期提供需求报告，为税务局提高纳税服务水平提供决策依据。</w:t>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21" w:name="_Toc256000019"/>
      <w:r>
        <w:rPr>
          <w:rFonts w:ascii="仿宋_GB2312" w:eastAsia="仿宋_GB2312" w:hAnsi="仿宋_GB2312" w:cs="仿宋_GB2312"/>
          <w:kern w:val="36"/>
          <w:lang w:eastAsia="zh-CN"/>
        </w:rPr>
        <w:t>4人员要求</w:t>
      </w:r>
      <w:bookmarkEnd w:id="21"/>
    </w:p>
    <w:p w:rsidR="00001D8E" w:rsidRDefault="00834406">
      <w:pPr>
        <w:pStyle w:val="2"/>
        <w:keepNext w:val="0"/>
        <w:spacing w:before="0" w:after="0" w:line="360" w:lineRule="auto"/>
        <w:rPr>
          <w:rFonts w:ascii="仿宋_GB2312" w:eastAsia="仿宋_GB2312" w:hAnsi="仿宋_GB2312" w:cs="仿宋_GB2312"/>
          <w:lang w:eastAsia="zh-CN"/>
        </w:rPr>
      </w:pPr>
      <w:bookmarkStart w:id="22" w:name="_Toc256000020"/>
      <w:r>
        <w:rPr>
          <w:rFonts w:ascii="仿宋_GB2312" w:eastAsia="仿宋_GB2312" w:hAnsi="仿宋_GB2312" w:cs="仿宋_GB2312"/>
          <w:i w:val="0"/>
          <w:iCs w:val="0"/>
          <w:lang w:eastAsia="zh-CN"/>
        </w:rPr>
        <w:t>4.1总体要求</w:t>
      </w:r>
      <w:bookmarkEnd w:id="22"/>
    </w:p>
    <w:p w:rsidR="00001D8E" w:rsidRDefault="00834406">
      <w:pPr>
        <w:pStyle w:val="MsoNormal0"/>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一是提供丰富的行业经验和专业的服务团队，能够更好地理解和掌握税务相关知识，为纳税人提供准确、专业的解答和服务；二是需要具有完善的质量管理体系和服务标准，</w:t>
      </w:r>
      <w:r w:rsidR="00F7648F">
        <w:rPr>
          <w:rFonts w:ascii="仿宋_GB2312" w:eastAsia="仿宋_GB2312" w:hAnsi="仿宋_GB2312" w:cs="仿宋_GB2312"/>
          <w:sz w:val="28"/>
          <w:szCs w:val="28"/>
          <w:lang w:eastAsia="zh-CN"/>
        </w:rPr>
        <w:t>能够确保服务的稳定性和可靠性；三是需按照采购方要求培训、管理</w:t>
      </w:r>
      <w:r w:rsidR="00F7648F">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人员，配合区局完成各项服务内容，完善服务规范，落实关于12366热线绩效管理要求。</w:t>
      </w:r>
    </w:p>
    <w:p w:rsidR="00001D8E" w:rsidRDefault="00834406">
      <w:pPr>
        <w:pStyle w:val="MsoNormal0"/>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为本项目</w:t>
      </w:r>
      <w:r>
        <w:rPr>
          <w:rFonts w:ascii="仿宋_GB2312" w:eastAsia="仿宋_GB2312" w:hAnsi="仿宋_GB2312" w:cs="仿宋_GB2312"/>
          <w:sz w:val="28"/>
          <w:szCs w:val="28"/>
          <w:lang w:eastAsia="zh-CN"/>
        </w:rPr>
        <w:t>提供热</w:t>
      </w:r>
      <w:r w:rsidRPr="00F71485">
        <w:rPr>
          <w:rFonts w:ascii="仿宋_GB2312" w:eastAsia="仿宋_GB2312" w:hAnsi="仿宋_GB2312" w:cs="仿宋_GB2312"/>
          <w:sz w:val="28"/>
          <w:szCs w:val="28"/>
          <w:lang w:eastAsia="zh-CN"/>
        </w:rPr>
        <w:t>线咨询服务人员</w:t>
      </w:r>
      <w:r w:rsidR="00F71485" w:rsidRPr="00F71485">
        <w:rPr>
          <w:rFonts w:ascii="仿宋_GB2312" w:eastAsia="仿宋_GB2312" w:hAnsi="仿宋_GB2312" w:cs="仿宋_GB2312"/>
          <w:sz w:val="28"/>
          <w:szCs w:val="28"/>
          <w:lang w:eastAsia="zh-CN"/>
        </w:rPr>
        <w:t>16</w:t>
      </w:r>
      <w:r w:rsidRPr="00F71485">
        <w:rPr>
          <w:rFonts w:ascii="仿宋_GB2312" w:eastAsia="仿宋_GB2312" w:hAnsi="仿宋_GB2312" w:cs="仿宋_GB2312"/>
          <w:sz w:val="28"/>
          <w:szCs w:val="28"/>
          <w:lang w:eastAsia="zh-CN"/>
        </w:rPr>
        <w:t>人，指定其中</w:t>
      </w:r>
      <w:r w:rsidR="00F71485" w:rsidRPr="00F71485">
        <w:rPr>
          <w:rFonts w:ascii="仿宋_GB2312" w:eastAsia="仿宋_GB2312" w:hAnsi="仿宋_GB2312" w:cs="仿宋_GB2312"/>
          <w:sz w:val="28"/>
          <w:szCs w:val="28"/>
          <w:lang w:eastAsia="zh-CN"/>
        </w:rPr>
        <w:t>1</w:t>
      </w:r>
      <w:r w:rsidRPr="00F71485">
        <w:rPr>
          <w:rFonts w:ascii="仿宋_GB2312" w:eastAsia="仿宋_GB2312" w:hAnsi="仿宋_GB2312" w:cs="仿宋_GB2312"/>
          <w:sz w:val="28"/>
          <w:szCs w:val="28"/>
          <w:lang w:eastAsia="zh-CN"/>
        </w:rPr>
        <w:t>人为</w:t>
      </w:r>
      <w:r w:rsidR="00CB2B27" w:rsidRPr="002525BC">
        <w:rPr>
          <w:rFonts w:ascii="仿宋_GB2312" w:eastAsia="仿宋_GB2312" w:hAnsi="仿宋_GB2312" w:cs="仿宋_GB2312" w:hint="eastAsia"/>
          <w:sz w:val="28"/>
          <w:szCs w:val="28"/>
          <w:lang w:eastAsia="zh-CN"/>
        </w:rPr>
        <w:t>座席管理人员</w:t>
      </w:r>
      <w:r w:rsidRPr="00F71485">
        <w:rPr>
          <w:rFonts w:ascii="仿宋_GB2312" w:eastAsia="仿宋_GB2312" w:hAnsi="仿宋_GB2312" w:cs="仿宋_GB2312"/>
          <w:sz w:val="28"/>
          <w:szCs w:val="28"/>
          <w:lang w:eastAsia="zh-CN"/>
        </w:rPr>
        <w:t>。</w:t>
      </w:r>
    </w:p>
    <w:p w:rsidR="00001D8E" w:rsidRDefault="00834406">
      <w:pPr>
        <w:pStyle w:val="2"/>
        <w:keepNext w:val="0"/>
        <w:spacing w:before="0" w:after="0" w:line="360" w:lineRule="auto"/>
        <w:rPr>
          <w:rFonts w:ascii="仿宋_GB2312" w:eastAsia="仿宋_GB2312" w:hAnsi="仿宋_GB2312" w:cs="仿宋_GB2312"/>
          <w:i w:val="0"/>
          <w:iCs w:val="0"/>
          <w:lang w:eastAsia="zh-CN"/>
        </w:rPr>
      </w:pPr>
      <w:bookmarkStart w:id="23" w:name="_Toc256000021"/>
      <w:r>
        <w:rPr>
          <w:rFonts w:ascii="仿宋_GB2312" w:eastAsia="仿宋_GB2312" w:hAnsi="仿宋_GB2312" w:cs="仿宋_GB2312"/>
          <w:i w:val="0"/>
          <w:iCs w:val="0"/>
          <w:lang w:eastAsia="zh-CN"/>
        </w:rPr>
        <w:t>4.2管理团队</w:t>
      </w:r>
      <w:bookmarkEnd w:id="23"/>
    </w:p>
    <w:p w:rsidR="00001D8E" w:rsidRDefault="00CB2B27">
      <w:pPr>
        <w:pStyle w:val="MsoNormal0"/>
        <w:spacing w:line="360" w:lineRule="auto"/>
        <w:ind w:firstLine="480"/>
        <w:rPr>
          <w:rFonts w:ascii="仿宋_GB2312" w:eastAsia="仿宋_GB2312" w:hAnsi="仿宋_GB2312" w:cs="仿宋_GB2312"/>
          <w:sz w:val="28"/>
          <w:szCs w:val="28"/>
          <w:lang w:eastAsia="zh-CN"/>
        </w:rPr>
      </w:pPr>
      <w:r w:rsidRPr="002525BC">
        <w:rPr>
          <w:rFonts w:ascii="仿宋_GB2312" w:eastAsia="仿宋_GB2312" w:hAnsi="仿宋_GB2312" w:cs="仿宋_GB2312" w:hint="eastAsia"/>
          <w:sz w:val="28"/>
          <w:szCs w:val="28"/>
          <w:lang w:eastAsia="zh-CN"/>
        </w:rPr>
        <w:t>座席管理人员</w:t>
      </w:r>
      <w:r w:rsidR="00834406">
        <w:rPr>
          <w:rFonts w:ascii="仿宋_GB2312" w:eastAsia="仿宋_GB2312" w:hAnsi="仿宋_GB2312" w:cs="仿宋_GB2312"/>
          <w:sz w:val="28"/>
          <w:szCs w:val="28"/>
          <w:lang w:eastAsia="zh-CN"/>
        </w:rPr>
        <w:t>负责管理调配热线人员的现场工作、人员考勤及工作纪律管控；负责解决</w:t>
      </w:r>
      <w:r w:rsidR="00F7648F">
        <w:rPr>
          <w:rFonts w:ascii="仿宋_GB2312" w:eastAsia="仿宋_GB2312" w:hAnsi="仿宋_GB2312" w:cs="仿宋_GB2312" w:hint="eastAsia"/>
          <w:sz w:val="28"/>
          <w:szCs w:val="28"/>
          <w:lang w:eastAsia="zh-CN"/>
        </w:rPr>
        <w:t>服务</w:t>
      </w:r>
      <w:r w:rsidR="00834406">
        <w:rPr>
          <w:rFonts w:ascii="仿宋_GB2312" w:eastAsia="仿宋_GB2312" w:hAnsi="仿宋_GB2312" w:cs="仿宋_GB2312"/>
          <w:sz w:val="28"/>
          <w:szCs w:val="28"/>
          <w:lang w:eastAsia="zh-CN"/>
        </w:rPr>
        <w:t>人员求助问题、各类疑难问题和工单处理，汇总每日接听情况，分享每日接听问询或疑难问题的解决方案。处理热线满意度回访及工单等工作，确保团队整体工作的顺利完成</w:t>
      </w:r>
      <w:r w:rsidR="00834406">
        <w:rPr>
          <w:rFonts w:ascii="仿宋_GB2312" w:eastAsia="仿宋_GB2312" w:hAnsi="仿宋_GB2312" w:cs="仿宋_GB2312" w:hint="eastAsia"/>
          <w:sz w:val="28"/>
          <w:szCs w:val="28"/>
          <w:lang w:eastAsia="zh-CN"/>
        </w:rPr>
        <w:t>。</w:t>
      </w:r>
    </w:p>
    <w:p w:rsidR="00001D8E" w:rsidRDefault="00834406">
      <w:pPr>
        <w:pStyle w:val="2"/>
        <w:keepNext w:val="0"/>
        <w:spacing w:before="0" w:after="0" w:line="360" w:lineRule="auto"/>
        <w:rPr>
          <w:rFonts w:ascii="仿宋_GB2312" w:eastAsia="仿宋_GB2312" w:hAnsi="仿宋_GB2312" w:cs="仿宋_GB2312"/>
          <w:lang w:eastAsia="zh-CN"/>
        </w:rPr>
      </w:pPr>
      <w:bookmarkStart w:id="24" w:name="_Toc256000022"/>
      <w:r>
        <w:rPr>
          <w:rFonts w:ascii="仿宋_GB2312" w:eastAsia="仿宋_GB2312" w:hAnsi="仿宋_GB2312" w:cs="仿宋_GB2312"/>
          <w:i w:val="0"/>
          <w:iCs w:val="0"/>
          <w:lang w:eastAsia="zh-CN"/>
        </w:rPr>
        <w:t>4.3技术团队</w:t>
      </w:r>
      <w:bookmarkEnd w:id="24"/>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其他12366热线咨询服务人员负责通过12366热线电话向纳税人解答关于税收法律、行政法规、纳税程序以及社会保险费和税务机关管辖的非税收入征管有关问题等。</w:t>
      </w:r>
    </w:p>
    <w:p w:rsidR="00001D8E" w:rsidRDefault="00834406">
      <w:pPr>
        <w:rPr>
          <w:rFonts w:ascii="仿宋_GB2312" w:eastAsia="仿宋_GB2312" w:hAnsi="仿宋_GB2312" w:cs="仿宋_GB2312"/>
          <w:b/>
          <w:bCs/>
          <w:sz w:val="28"/>
          <w:szCs w:val="28"/>
          <w:lang w:eastAsia="zh-CN"/>
        </w:rPr>
      </w:pPr>
      <w:bookmarkStart w:id="25" w:name="_Toc256000023"/>
      <w:r>
        <w:rPr>
          <w:rFonts w:ascii="仿宋_GB2312" w:eastAsia="仿宋_GB2312" w:hAnsi="仿宋_GB2312" w:cs="仿宋_GB2312"/>
          <w:b/>
          <w:bCs/>
          <w:sz w:val="28"/>
          <w:szCs w:val="28"/>
          <w:lang w:eastAsia="zh-CN"/>
        </w:rPr>
        <w:t>4.4 人员具体要求</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中标供应商提供的服务人员需要符合以下条件：</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1.能熟练运用电脑办公软件，汉字录入速度不低于80字/分钟；</w:t>
      </w:r>
    </w:p>
    <w:p w:rsidR="00507BCA" w:rsidRDefault="00834406">
      <w:pPr>
        <w:pStyle w:val="16"/>
        <w:spacing w:line="360" w:lineRule="auto"/>
        <w:ind w:firstLine="480"/>
        <w:rPr>
          <w:rFonts w:ascii="仿宋_GB2312" w:eastAsia="仿宋_GB2312" w:hAnsi="仿宋_GB2312" w:cs="仿宋_GB2312"/>
          <w:sz w:val="28"/>
          <w:szCs w:val="28"/>
          <w:lang w:eastAsia="zh-CN"/>
        </w:rPr>
      </w:pPr>
      <w:r w:rsidRPr="002525BC">
        <w:rPr>
          <w:rFonts w:ascii="仿宋_GB2312" w:eastAsia="仿宋_GB2312" w:hAnsi="仿宋_GB2312" w:cs="仿宋_GB2312"/>
          <w:sz w:val="28"/>
          <w:szCs w:val="28"/>
          <w:lang w:eastAsia="zh-CN"/>
        </w:rPr>
        <w:t>2.</w:t>
      </w:r>
      <w:r w:rsidR="00507BCA" w:rsidRPr="002525BC">
        <w:rPr>
          <w:rFonts w:ascii="仿宋_GB2312" w:eastAsia="仿宋_GB2312" w:hAnsi="仿宋_GB2312" w:cs="仿宋_GB2312" w:hint="eastAsia"/>
          <w:sz w:val="28"/>
          <w:szCs w:val="28"/>
          <w:lang w:eastAsia="zh-CN"/>
        </w:rPr>
        <w:t>必须满足大学本科及以上学历，专业为财会、税收等财税经济类专业，具有一定的税收基本业务知识，取得会计、税务类相关证书或考试合格证明，并具有相关财税工作经验。其中座席</w:t>
      </w:r>
      <w:r w:rsidR="00D60366">
        <w:rPr>
          <w:rFonts w:ascii="仿宋_GB2312" w:eastAsia="仿宋_GB2312" w:hAnsi="仿宋_GB2312" w:cs="仿宋_GB2312" w:hint="eastAsia"/>
          <w:sz w:val="28"/>
          <w:szCs w:val="28"/>
          <w:lang w:eastAsia="zh-CN"/>
        </w:rPr>
        <w:t>管理人员</w:t>
      </w:r>
      <w:r w:rsidR="00507BCA" w:rsidRPr="002525BC">
        <w:rPr>
          <w:rFonts w:ascii="仿宋_GB2312" w:eastAsia="仿宋_GB2312" w:hAnsi="仿宋_GB2312" w:cs="仿宋_GB2312" w:hint="eastAsia"/>
          <w:sz w:val="28"/>
          <w:szCs w:val="28"/>
          <w:lang w:eastAsia="zh-CN"/>
        </w:rPr>
        <w:t>需具有5</w:t>
      </w:r>
      <w:r w:rsidR="002525BC">
        <w:rPr>
          <w:rFonts w:ascii="仿宋_GB2312" w:eastAsia="仿宋_GB2312" w:hAnsi="仿宋_GB2312" w:cs="仿宋_GB2312" w:hint="eastAsia"/>
          <w:sz w:val="28"/>
          <w:szCs w:val="28"/>
          <w:lang w:eastAsia="zh-CN"/>
        </w:rPr>
        <w:t>年及以上上述</w:t>
      </w:r>
      <w:r w:rsidR="00507BCA" w:rsidRPr="002525BC">
        <w:rPr>
          <w:rFonts w:ascii="仿宋_GB2312" w:eastAsia="仿宋_GB2312" w:hAnsi="仿宋_GB2312" w:cs="仿宋_GB2312" w:hint="eastAsia"/>
          <w:sz w:val="28"/>
          <w:szCs w:val="28"/>
          <w:lang w:eastAsia="zh-CN"/>
        </w:rPr>
        <w:t>工作经验，并具备1年及以上座席管理工作经验。</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3.普通话发音基本标准，语调自然，表达流畅，具备较强的服务意识和良好的语言表达能力、沟通能力、记忆能力、心理承受能力和学习能力；</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4.身体健康；</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5.12366热线人员上岗前由中标供应商组织培训，经考核通过后方能上岗。</w:t>
      </w:r>
    </w:p>
    <w:p w:rsidR="00001D8E" w:rsidRDefault="00834406">
      <w:pPr>
        <w:pStyle w:val="16"/>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6.符合采购人要求及日常管理工作规范</w:t>
      </w:r>
      <w:r>
        <w:rPr>
          <w:rFonts w:ascii="仿宋_GB2312" w:eastAsia="仿宋_GB2312" w:hAnsi="仿宋_GB2312" w:cs="仿宋_GB2312" w:hint="eastAsia"/>
          <w:sz w:val="28"/>
          <w:szCs w:val="28"/>
          <w:lang w:eastAsia="zh-CN"/>
        </w:rPr>
        <w:t>。</w:t>
      </w:r>
    </w:p>
    <w:p w:rsidR="00001D8E" w:rsidRDefault="00834406">
      <w:pPr>
        <w:pStyle w:val="2"/>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i w:val="0"/>
          <w:iCs w:val="0"/>
          <w:lang w:eastAsia="zh-CN"/>
        </w:rPr>
        <w:t>4.</w:t>
      </w:r>
      <w:r>
        <w:rPr>
          <w:rFonts w:ascii="仿宋_GB2312" w:eastAsia="仿宋_GB2312" w:hAnsi="仿宋_GB2312" w:cs="仿宋_GB2312" w:hint="eastAsia"/>
          <w:i w:val="0"/>
          <w:iCs w:val="0"/>
          <w:lang w:eastAsia="zh-CN"/>
        </w:rPr>
        <w:t>5</w:t>
      </w:r>
      <w:r>
        <w:rPr>
          <w:rFonts w:ascii="仿宋_GB2312" w:eastAsia="仿宋_GB2312" w:hAnsi="仿宋_GB2312" w:cs="仿宋_GB2312"/>
          <w:i w:val="0"/>
          <w:iCs w:val="0"/>
          <w:lang w:eastAsia="zh-CN"/>
        </w:rPr>
        <w:t>优选资质/优选指标</w:t>
      </w:r>
      <w:bookmarkEnd w:id="25"/>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26" w:name="_Toc256000024"/>
      <w:r>
        <w:rPr>
          <w:rFonts w:ascii="仿宋_GB2312" w:eastAsia="仿宋_GB2312" w:hAnsi="仿宋_GB2312" w:cs="仿宋_GB2312"/>
          <w:kern w:val="36"/>
          <w:lang w:eastAsia="zh-CN"/>
        </w:rPr>
        <w:lastRenderedPageBreak/>
        <w:t>5管理实施要求</w:t>
      </w:r>
      <w:bookmarkEnd w:id="26"/>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（一）实施要求</w:t>
      </w:r>
    </w:p>
    <w:p w:rsidR="00001D8E" w:rsidRDefault="00834406">
      <w:pPr>
        <w:pStyle w:val="15"/>
        <w:spacing w:line="360" w:lineRule="auto"/>
        <w:ind w:firstLine="480"/>
        <w:rPr>
          <w:lang w:eastAsia="zh-CN"/>
        </w:rPr>
      </w:pPr>
      <w:r>
        <w:rPr>
          <w:lang w:eastAsia="zh-CN"/>
        </w:rPr>
        <w:t>1.</w:t>
      </w:r>
      <w:r>
        <w:rPr>
          <w:sz w:val="14"/>
          <w:szCs w:val="14"/>
          <w:lang w:eastAsia="zh-CN"/>
        </w:rPr>
        <w:t xml:space="preserve">    </w:t>
      </w:r>
      <w:r>
        <w:rPr>
          <w:rFonts w:ascii="仿宋_GB2312" w:eastAsia="仿宋_GB2312" w:hAnsi="仿宋_GB2312" w:cs="仿宋_GB2312"/>
          <w:sz w:val="28"/>
          <w:szCs w:val="28"/>
          <w:lang w:eastAsia="zh-CN"/>
        </w:rPr>
        <w:t>中标供应商应提供所有</w:t>
      </w:r>
      <w:r w:rsidR="00C67AA3">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人员的身份信息资料。</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2.</w:t>
      </w:r>
      <w:r>
        <w:rPr>
          <w:sz w:val="14"/>
          <w:szCs w:val="14"/>
          <w:lang w:eastAsia="zh-CN"/>
        </w:rPr>
        <w:t> </w:t>
      </w:r>
      <w:r>
        <w:rPr>
          <w:rFonts w:ascii="仿宋_GB2312" w:eastAsia="仿宋_GB2312" w:hAnsi="仿宋_GB2312" w:cs="仿宋_GB2312"/>
          <w:sz w:val="28"/>
          <w:szCs w:val="28"/>
          <w:lang w:eastAsia="zh-CN"/>
        </w:rPr>
        <w:t>服务期内发生各种事故：包括安全、交通、防火和劳资纠纷等事故，由中标供应商承担相应责任。</w:t>
      </w:r>
    </w:p>
    <w:p w:rsidR="00001D8E" w:rsidRDefault="00834406">
      <w:pPr>
        <w:pStyle w:val="15"/>
        <w:spacing w:line="360" w:lineRule="auto"/>
        <w:ind w:firstLine="480"/>
        <w:rPr>
          <w:lang w:eastAsia="zh-CN"/>
        </w:rPr>
      </w:pPr>
      <w:r>
        <w:rPr>
          <w:lang w:eastAsia="zh-CN"/>
        </w:rPr>
        <w:t>3.</w:t>
      </w:r>
      <w:r>
        <w:rPr>
          <w:sz w:val="14"/>
          <w:szCs w:val="14"/>
          <w:lang w:eastAsia="zh-CN"/>
        </w:rPr>
        <w:t xml:space="preserve">    </w:t>
      </w:r>
      <w:r>
        <w:rPr>
          <w:rFonts w:ascii="仿宋_GB2312" w:eastAsia="仿宋_GB2312" w:hAnsi="仿宋_GB2312" w:cs="仿宋_GB2312"/>
          <w:sz w:val="28"/>
          <w:szCs w:val="28"/>
          <w:lang w:eastAsia="zh-CN"/>
        </w:rPr>
        <w:t>中标供应商需确保所提供服务的工作时长，工作期间不得擅离职守，注重仪容仪表、工作态度，保证为纳</w:t>
      </w:r>
      <w:bookmarkStart w:id="27" w:name="_GoBack"/>
      <w:bookmarkEnd w:id="27"/>
      <w:r>
        <w:rPr>
          <w:rFonts w:ascii="仿宋_GB2312" w:eastAsia="仿宋_GB2312" w:hAnsi="仿宋_GB2312" w:cs="仿宋_GB2312"/>
          <w:sz w:val="28"/>
          <w:szCs w:val="28"/>
          <w:lang w:eastAsia="zh-CN"/>
        </w:rPr>
        <w:t>税人提供准确、快捷的纳税服务。</w:t>
      </w:r>
    </w:p>
    <w:p w:rsidR="00001D8E" w:rsidRDefault="00834406">
      <w:pPr>
        <w:pStyle w:val="15"/>
        <w:spacing w:line="360" w:lineRule="auto"/>
        <w:ind w:firstLine="480"/>
        <w:rPr>
          <w:lang w:eastAsia="zh-CN"/>
        </w:rPr>
      </w:pPr>
      <w:r>
        <w:rPr>
          <w:lang w:eastAsia="zh-CN"/>
        </w:rPr>
        <w:t>4.</w:t>
      </w:r>
      <w:r>
        <w:rPr>
          <w:sz w:val="14"/>
          <w:szCs w:val="14"/>
          <w:lang w:eastAsia="zh-CN"/>
        </w:rPr>
        <w:t xml:space="preserve">    </w:t>
      </w:r>
      <w:r>
        <w:rPr>
          <w:rFonts w:ascii="仿宋_GB2312" w:eastAsia="仿宋_GB2312" w:hAnsi="仿宋_GB2312" w:cs="仿宋_GB2312"/>
          <w:sz w:val="28"/>
          <w:szCs w:val="28"/>
          <w:lang w:eastAsia="zh-CN"/>
        </w:rPr>
        <w:t>中标供应商需确保提供座席服务过程中遵守采购方各项廉洁纪律，做到认真履行工作职责，谨言慎行，坚决不做损害纳税人利益和损害税务机关形象的事情。</w:t>
      </w:r>
    </w:p>
    <w:p w:rsidR="00001D8E" w:rsidRDefault="00834406">
      <w:pPr>
        <w:pStyle w:val="15"/>
        <w:spacing w:line="360" w:lineRule="auto"/>
        <w:ind w:firstLine="480"/>
        <w:rPr>
          <w:lang w:eastAsia="zh-CN"/>
        </w:rPr>
      </w:pPr>
      <w:r>
        <w:rPr>
          <w:lang w:eastAsia="zh-CN"/>
        </w:rPr>
        <w:t>5.</w:t>
      </w:r>
      <w:r>
        <w:rPr>
          <w:sz w:val="14"/>
          <w:szCs w:val="14"/>
          <w:lang w:eastAsia="zh-CN"/>
        </w:rPr>
        <w:t xml:space="preserve">    </w:t>
      </w:r>
      <w:r>
        <w:rPr>
          <w:rFonts w:ascii="仿宋_GB2312" w:eastAsia="仿宋_GB2312" w:hAnsi="仿宋_GB2312" w:cs="仿宋_GB2312"/>
          <w:sz w:val="28"/>
          <w:szCs w:val="28"/>
          <w:lang w:eastAsia="zh-CN"/>
        </w:rPr>
        <w:t>如采购方对中标供应商提供的人员出现3次不服从管理、违反采购方制定的相关规章制度，采购方可以要求更换，中标供应商必须及时且无条件的为采购方更换合格的人员。</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6.</w:t>
      </w:r>
      <w:r>
        <w:rPr>
          <w:sz w:val="14"/>
          <w:szCs w:val="14"/>
          <w:lang w:eastAsia="zh-CN"/>
        </w:rPr>
        <w:t> </w:t>
      </w:r>
      <w:r>
        <w:rPr>
          <w:rFonts w:ascii="仿宋_GB2312" w:eastAsia="仿宋_GB2312" w:hAnsi="仿宋_GB2312" w:cs="仿宋_GB2312"/>
          <w:sz w:val="28"/>
          <w:szCs w:val="28"/>
          <w:lang w:eastAsia="zh-CN"/>
        </w:rPr>
        <w:t>服务期内，采</w:t>
      </w:r>
      <w:r w:rsidRPr="00F71485">
        <w:rPr>
          <w:rFonts w:ascii="仿宋_GB2312" w:eastAsia="仿宋_GB2312" w:hAnsi="仿宋_GB2312" w:cs="仿宋_GB2312"/>
          <w:sz w:val="28"/>
          <w:szCs w:val="28"/>
          <w:lang w:eastAsia="zh-CN"/>
        </w:rPr>
        <w:t>购方按月对中标供应</w:t>
      </w:r>
      <w:r>
        <w:rPr>
          <w:rFonts w:ascii="仿宋_GB2312" w:eastAsia="仿宋_GB2312" w:hAnsi="仿宋_GB2312" w:cs="仿宋_GB2312"/>
          <w:sz w:val="28"/>
          <w:szCs w:val="28"/>
          <w:lang w:eastAsia="zh-CN"/>
        </w:rPr>
        <w:t>商的工作质量、履约情况、工作配合度等进行综合评价，评价合格则继续履行服务合同。如项目服务未达到要求，则采购方上报监管部门终止服务合同。</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7.</w:t>
      </w:r>
      <w:r>
        <w:rPr>
          <w:sz w:val="14"/>
          <w:szCs w:val="14"/>
          <w:lang w:eastAsia="zh-CN"/>
        </w:rPr>
        <w:t> </w:t>
      </w:r>
      <w:r>
        <w:rPr>
          <w:rFonts w:ascii="仿宋_GB2312" w:eastAsia="仿宋_GB2312" w:hAnsi="仿宋_GB2312" w:cs="仿宋_GB2312"/>
          <w:sz w:val="28"/>
          <w:szCs w:val="28"/>
          <w:lang w:eastAsia="zh-CN"/>
        </w:rPr>
        <w:t>对服务人员的撤换或辞退等须经采购方同意认可。</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 xml:space="preserve">（二）应急服务要求 </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要求中标供应商必须建立和完善突发事件的应急预案和处理机制，防患于未然。当出现不可预知的紧急情况时，保证服务正常开展。</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（三）人员保密要求</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1.中标供应商签订合同前必须按照国家相关保密规定和采购方签订《保密协议》，对违反《保密协议》相关内容规定的，采购方有权追究其</w:t>
      </w:r>
      <w:r>
        <w:rPr>
          <w:rFonts w:ascii="仿宋_GB2312" w:eastAsia="仿宋_GB2312" w:hAnsi="仿宋_GB2312" w:cs="仿宋_GB2312"/>
          <w:sz w:val="28"/>
          <w:szCs w:val="28"/>
          <w:lang w:eastAsia="zh-CN"/>
        </w:rPr>
        <w:lastRenderedPageBreak/>
        <w:t>法律责任。所有服务人员必须严格遵守国家、地方、行业相关保密管理政策规定。</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2.中标供应商录用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有权向中标供应商追究法律责任。中标供应商应保证加强教育管理，禁止各岗位服务人员随意发表、交流、讨论、传播采购方内部人员信息或工作事项，如有违反，严肃处理。</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（四）人员稳定性要求</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在服务期间，未经采购方同意，中标供应商不得随意更换</w:t>
      </w:r>
      <w:r w:rsidR="00F7648F">
        <w:rPr>
          <w:rFonts w:ascii="仿宋_GB2312" w:eastAsia="仿宋_GB2312" w:hAnsi="仿宋_GB2312" w:cs="仿宋_GB2312" w:hint="eastAsia"/>
          <w:sz w:val="28"/>
          <w:szCs w:val="28"/>
          <w:lang w:eastAsia="zh-CN"/>
        </w:rPr>
        <w:t>服务</w:t>
      </w:r>
      <w:r w:rsidR="00F7648F">
        <w:rPr>
          <w:rFonts w:ascii="仿宋_GB2312" w:eastAsia="仿宋_GB2312" w:hAnsi="仿宋_GB2312" w:cs="仿宋_GB2312"/>
          <w:sz w:val="28"/>
          <w:szCs w:val="28"/>
          <w:lang w:eastAsia="zh-CN"/>
        </w:rPr>
        <w:t>人员。</w:t>
      </w:r>
      <w:r w:rsidR="00F7648F">
        <w:rPr>
          <w:rFonts w:ascii="仿宋_GB2312" w:eastAsia="仿宋_GB2312" w:hAnsi="仿宋_GB2312" w:cs="仿宋_GB2312" w:hint="eastAsia"/>
          <w:sz w:val="28"/>
          <w:szCs w:val="28"/>
          <w:lang w:eastAsia="zh-CN"/>
        </w:rPr>
        <w:t>服务</w:t>
      </w:r>
      <w:r w:rsidR="00F7648F">
        <w:rPr>
          <w:rFonts w:ascii="仿宋_GB2312" w:eastAsia="仿宋_GB2312" w:hAnsi="仿宋_GB2312" w:cs="仿宋_GB2312"/>
          <w:sz w:val="28"/>
          <w:szCs w:val="28"/>
          <w:lang w:eastAsia="zh-CN"/>
        </w:rPr>
        <w:t>人员因为请假、调走、辞职或被中标供应商辞退等原因导致</w:t>
      </w:r>
      <w:r w:rsidR="00F7648F">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不足时，需及时安排替接人员以满足区局接听需求。服务人员因为调走、辞职或被中标供应商辞退等原因导致服务人员不足时，需在3天内补充，缺席人数不能同时超过2人，中标供应商在3天内未能及时补齐符合完成项目需求的服务人员，每月不得超过2次，否则视为中标供应商违约，采购方有权终止合同。</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（五）保密要求</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中标供应商签订合同前必须按照国家相关保密规定和采购方签订《保密协议》，采购方及纳税人缴费人信息资料及有关文件信息，均不得泄露或不正当地使用，采购方已公开的除外。对违反《保密协议》相关内容规定的，采购方有权追究其法律责任。</w:t>
      </w:r>
    </w:p>
    <w:p w:rsidR="00001D8E" w:rsidRDefault="00834406">
      <w:pPr>
        <w:pStyle w:val="15"/>
        <w:spacing w:line="360" w:lineRule="auto"/>
        <w:ind w:left="77" w:firstLine="480"/>
        <w:rPr>
          <w:lang w:eastAsia="zh-CN"/>
        </w:rPr>
      </w:pPr>
      <w:r>
        <w:rPr>
          <w:rFonts w:ascii="仿宋_GB2312" w:eastAsia="仿宋_GB2312" w:hAnsi="仿宋_GB2312" w:cs="仿宋_GB2312"/>
          <w:sz w:val="28"/>
          <w:szCs w:val="28"/>
          <w:lang w:eastAsia="zh-CN"/>
        </w:rPr>
        <w:lastRenderedPageBreak/>
        <w:t>（六）进驻和接管要求</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按规定时间进场服务（特殊情况以合同为准）。为保证本项目日常工作稳定有序持续进行，要求中标供应商以科学严谨的态度制定完善的进驻、接管方案，确保按时顺利交接，平稳过渡。中标供应商需承诺：在规定时间内配齐所需人员，并保证按照项目需求中要求配备全体服务人员并按时进场服务。进驻、接管保留相关记录。</w:t>
      </w:r>
    </w:p>
    <w:p w:rsidR="00001D8E" w:rsidRDefault="00834406">
      <w:pPr>
        <w:pStyle w:val="15"/>
        <w:spacing w:line="360" w:lineRule="auto"/>
        <w:ind w:left="77" w:firstLine="480"/>
        <w:rPr>
          <w:lang w:eastAsia="zh-CN"/>
        </w:rPr>
      </w:pPr>
      <w:r>
        <w:rPr>
          <w:rFonts w:ascii="仿宋_GB2312" w:eastAsia="仿宋_GB2312" w:hAnsi="仿宋_GB2312" w:cs="仿宋_GB2312"/>
          <w:sz w:val="28"/>
          <w:szCs w:val="28"/>
          <w:lang w:eastAsia="zh-CN"/>
        </w:rPr>
        <w:t>（七）费用分割</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1.如因中标供应商引起的劳资纠纷问题，影响正常工作的，采购方有权另行聘请人员确保正常工作，所产生的费用由中标供应商承担，采购方不承担所产生的任何费用。</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2.中标供应商在合同生效前对全部</w:t>
      </w:r>
      <w:r w:rsidR="00F7648F">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人员完成岗前培训，保障本项目在合同生效后顺利开展。培训实施后，对参加培训的</w:t>
      </w:r>
      <w:r w:rsidR="00F7648F">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人员进行考核，要求事先编制详细的考核计划和考核标准，考核通过后方可正式上岗。</w:t>
      </w:r>
    </w:p>
    <w:p w:rsidR="00001D8E" w:rsidRDefault="00834406">
      <w:pPr>
        <w:pStyle w:val="17"/>
        <w:spacing w:line="360" w:lineRule="auto"/>
        <w:ind w:firstLine="480"/>
        <w:rPr>
          <w:lang w:eastAsia="zh-CN"/>
        </w:rPr>
      </w:pPr>
      <w:r>
        <w:rPr>
          <w:rFonts w:ascii="仿宋_GB2312" w:eastAsia="仿宋_GB2312" w:hAnsi="仿宋_GB2312" w:cs="仿宋_GB2312"/>
          <w:sz w:val="28"/>
          <w:szCs w:val="28"/>
          <w:lang w:eastAsia="zh-CN"/>
        </w:rPr>
        <w:t>3.本项目开展工作所需的场地、办公家具、软硬件设备、水电费用、网络费用等由采购人承担。</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4.项目</w:t>
      </w:r>
      <w:r w:rsidR="00F7648F">
        <w:rPr>
          <w:rFonts w:ascii="仿宋_GB2312" w:eastAsia="仿宋_GB2312" w:hAnsi="仿宋_GB2312" w:cs="仿宋_GB2312" w:hint="eastAsia"/>
          <w:sz w:val="28"/>
          <w:szCs w:val="28"/>
          <w:lang w:eastAsia="zh-CN"/>
        </w:rPr>
        <w:t>服务</w:t>
      </w:r>
      <w:r>
        <w:rPr>
          <w:rFonts w:ascii="仿宋_GB2312" w:eastAsia="仿宋_GB2312" w:hAnsi="仿宋_GB2312" w:cs="仿宋_GB2312"/>
          <w:sz w:val="28"/>
          <w:szCs w:val="28"/>
          <w:lang w:eastAsia="zh-CN"/>
        </w:rPr>
        <w:t>人员工装费用、</w:t>
      </w:r>
      <w:r w:rsidR="00F71485" w:rsidRPr="00F71485">
        <w:rPr>
          <w:rFonts w:ascii="仿宋_GB2312" w:eastAsia="仿宋_GB2312" w:hAnsi="仿宋_GB2312" w:cs="仿宋_GB2312"/>
          <w:sz w:val="28"/>
          <w:szCs w:val="28"/>
          <w:lang w:eastAsia="zh-CN"/>
        </w:rPr>
        <w:t>16</w:t>
      </w:r>
      <w:r w:rsidRPr="00F71485">
        <w:rPr>
          <w:rFonts w:ascii="仿宋_GB2312" w:eastAsia="仿宋_GB2312" w:hAnsi="仿宋_GB2312" w:cs="仿宋_GB2312"/>
          <w:sz w:val="28"/>
          <w:szCs w:val="28"/>
          <w:lang w:eastAsia="zh-CN"/>
        </w:rPr>
        <w:t>套接听设备(能进行网络连接和IP地址配置的I</w:t>
      </w:r>
      <w:r w:rsidRPr="00607BAC">
        <w:rPr>
          <w:rFonts w:ascii="仿宋_GB2312" w:eastAsia="仿宋_GB2312" w:hAnsi="仿宋_GB2312" w:cs="仿宋_GB2312"/>
          <w:sz w:val="28"/>
          <w:szCs w:val="28"/>
          <w:lang w:eastAsia="zh-CN"/>
        </w:rPr>
        <w:t>P话机)及对应耳机设备由中标供应商</w:t>
      </w:r>
      <w:r>
        <w:rPr>
          <w:rFonts w:ascii="仿宋_GB2312" w:eastAsia="仿宋_GB2312" w:hAnsi="仿宋_GB2312" w:cs="仿宋_GB2312"/>
          <w:sz w:val="28"/>
          <w:szCs w:val="28"/>
          <w:lang w:eastAsia="zh-CN"/>
        </w:rPr>
        <w:t>承担。</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（八）履约责任</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1.中标供应商在服务过程中应满足本需求书提出的运行质量标准，若出现重大失误或重大事故并给</w:t>
      </w:r>
      <w:r w:rsidR="00F71485">
        <w:rPr>
          <w:rFonts w:ascii="仿宋_GB2312" w:eastAsia="仿宋_GB2312" w:hAnsi="仿宋_GB2312" w:cs="仿宋_GB2312"/>
          <w:sz w:val="28"/>
          <w:szCs w:val="28"/>
          <w:lang w:eastAsia="zh-CN"/>
        </w:rPr>
        <w:t>国家税务总局天津市</w:t>
      </w:r>
      <w:r w:rsidR="00F71485">
        <w:rPr>
          <w:rFonts w:ascii="仿宋_GB2312" w:eastAsia="仿宋_GB2312" w:hAnsi="仿宋_GB2312" w:cs="仿宋_GB2312" w:hint="eastAsia"/>
          <w:sz w:val="28"/>
          <w:szCs w:val="28"/>
          <w:lang w:eastAsia="zh-CN"/>
        </w:rPr>
        <w:t>东丽</w:t>
      </w:r>
      <w:r w:rsidR="00F71485">
        <w:rPr>
          <w:rFonts w:ascii="仿宋_GB2312" w:eastAsia="仿宋_GB2312" w:hAnsi="仿宋_GB2312" w:cs="仿宋_GB2312"/>
          <w:sz w:val="28"/>
          <w:szCs w:val="28"/>
          <w:lang w:eastAsia="zh-CN"/>
        </w:rPr>
        <w:t>区税务局</w:t>
      </w:r>
      <w:r>
        <w:rPr>
          <w:rFonts w:ascii="仿宋_GB2312" w:eastAsia="仿宋_GB2312" w:hAnsi="仿宋_GB2312" w:cs="仿宋_GB2312"/>
          <w:sz w:val="28"/>
          <w:szCs w:val="28"/>
          <w:lang w:eastAsia="zh-CN"/>
        </w:rPr>
        <w:t>造成损失，</w:t>
      </w:r>
      <w:r w:rsidR="00F71485">
        <w:rPr>
          <w:rFonts w:ascii="仿宋_GB2312" w:eastAsia="仿宋_GB2312" w:hAnsi="仿宋_GB2312" w:cs="仿宋_GB2312"/>
          <w:sz w:val="28"/>
          <w:szCs w:val="28"/>
          <w:lang w:eastAsia="zh-CN"/>
        </w:rPr>
        <w:t>国家税务总局天津市</w:t>
      </w:r>
      <w:r w:rsidR="00F71485">
        <w:rPr>
          <w:rFonts w:ascii="仿宋_GB2312" w:eastAsia="仿宋_GB2312" w:hAnsi="仿宋_GB2312" w:cs="仿宋_GB2312" w:hint="eastAsia"/>
          <w:sz w:val="28"/>
          <w:szCs w:val="28"/>
          <w:lang w:eastAsia="zh-CN"/>
        </w:rPr>
        <w:t>东丽</w:t>
      </w:r>
      <w:r w:rsidR="00F71485">
        <w:rPr>
          <w:rFonts w:ascii="仿宋_GB2312" w:eastAsia="仿宋_GB2312" w:hAnsi="仿宋_GB2312" w:cs="仿宋_GB2312"/>
          <w:sz w:val="28"/>
          <w:szCs w:val="28"/>
          <w:lang w:eastAsia="zh-CN"/>
        </w:rPr>
        <w:t>区税务局</w:t>
      </w:r>
      <w:r>
        <w:rPr>
          <w:rFonts w:ascii="仿宋_GB2312" w:eastAsia="仿宋_GB2312" w:hAnsi="仿宋_GB2312" w:cs="仿宋_GB2312"/>
          <w:sz w:val="28"/>
          <w:szCs w:val="28"/>
          <w:lang w:eastAsia="zh-CN"/>
        </w:rPr>
        <w:t>有权终止合同，停止付款并要求中标供应商赔偿实际造成的损失。</w:t>
      </w:r>
    </w:p>
    <w:p w:rsidR="00001D8E" w:rsidRPr="00B23FF0" w:rsidRDefault="00834406">
      <w:pPr>
        <w:pStyle w:val="15"/>
        <w:spacing w:line="360" w:lineRule="auto"/>
        <w:ind w:firstLine="480"/>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2.中</w:t>
      </w:r>
      <w:r w:rsidRPr="00B23FF0">
        <w:rPr>
          <w:rFonts w:ascii="仿宋_GB2312" w:eastAsia="仿宋_GB2312" w:hAnsi="仿宋_GB2312" w:cs="仿宋_GB2312"/>
          <w:sz w:val="28"/>
          <w:szCs w:val="28"/>
          <w:lang w:eastAsia="zh-CN"/>
        </w:rPr>
        <w:t>标供应商每月服务质效考核验收未达到规定标准的，</w:t>
      </w:r>
      <w:r w:rsidR="00F71485" w:rsidRPr="00B23FF0">
        <w:rPr>
          <w:rFonts w:ascii="仿宋_GB2312" w:eastAsia="仿宋_GB2312" w:hAnsi="仿宋_GB2312" w:cs="仿宋_GB2312"/>
          <w:sz w:val="28"/>
          <w:szCs w:val="28"/>
          <w:lang w:eastAsia="zh-CN"/>
        </w:rPr>
        <w:t>国家税务总局天津市</w:t>
      </w:r>
      <w:r w:rsidR="00F71485" w:rsidRPr="00B23FF0">
        <w:rPr>
          <w:rFonts w:ascii="仿宋_GB2312" w:eastAsia="仿宋_GB2312" w:hAnsi="仿宋_GB2312" w:cs="仿宋_GB2312" w:hint="eastAsia"/>
          <w:sz w:val="28"/>
          <w:szCs w:val="28"/>
          <w:lang w:eastAsia="zh-CN"/>
        </w:rPr>
        <w:t>东丽</w:t>
      </w:r>
      <w:r w:rsidR="00F71485" w:rsidRPr="00B23FF0">
        <w:rPr>
          <w:rFonts w:ascii="仿宋_GB2312" w:eastAsia="仿宋_GB2312" w:hAnsi="仿宋_GB2312" w:cs="仿宋_GB2312"/>
          <w:sz w:val="28"/>
          <w:szCs w:val="28"/>
          <w:lang w:eastAsia="zh-CN"/>
        </w:rPr>
        <w:t>区税务局</w:t>
      </w:r>
      <w:r w:rsidRPr="00B23FF0">
        <w:rPr>
          <w:rFonts w:ascii="仿宋_GB2312" w:eastAsia="仿宋_GB2312" w:hAnsi="仿宋_GB2312" w:cs="仿宋_GB2312"/>
          <w:sz w:val="28"/>
          <w:szCs w:val="28"/>
          <w:lang w:eastAsia="zh-CN"/>
        </w:rPr>
        <w:t>按照供应商月服务费的1‰-5‰进行扣减。</w:t>
      </w:r>
    </w:p>
    <w:p w:rsidR="00001D8E" w:rsidRPr="00B23FF0" w:rsidRDefault="00834406">
      <w:pPr>
        <w:pStyle w:val="15"/>
        <w:spacing w:line="360" w:lineRule="auto"/>
        <w:ind w:firstLine="480"/>
        <w:rPr>
          <w:rFonts w:ascii="仿宋_GB2312" w:eastAsia="仿宋_GB2312" w:hAnsi="仿宋_GB2312" w:cs="仿宋_GB2312"/>
          <w:sz w:val="28"/>
          <w:szCs w:val="28"/>
          <w:lang w:eastAsia="zh-CN"/>
        </w:rPr>
      </w:pPr>
      <w:r w:rsidRPr="00B23FF0">
        <w:rPr>
          <w:rFonts w:ascii="仿宋_GB2312" w:eastAsia="仿宋_GB2312" w:hAnsi="仿宋_GB2312" w:cs="仿宋_GB2312"/>
          <w:sz w:val="28"/>
          <w:szCs w:val="28"/>
          <w:lang w:eastAsia="zh-CN"/>
        </w:rPr>
        <w:lastRenderedPageBreak/>
        <w:t>3.中标供应商每月评价满意率低于要求的，</w:t>
      </w:r>
      <w:r w:rsidR="00F71485" w:rsidRPr="00B23FF0">
        <w:rPr>
          <w:rFonts w:ascii="仿宋_GB2312" w:eastAsia="仿宋_GB2312" w:hAnsi="仿宋_GB2312" w:cs="仿宋_GB2312"/>
          <w:sz w:val="28"/>
          <w:szCs w:val="28"/>
          <w:lang w:eastAsia="zh-CN"/>
        </w:rPr>
        <w:t>国家税务总局天津市</w:t>
      </w:r>
      <w:r w:rsidR="00F71485" w:rsidRPr="00B23FF0">
        <w:rPr>
          <w:rFonts w:ascii="仿宋_GB2312" w:eastAsia="仿宋_GB2312" w:hAnsi="仿宋_GB2312" w:cs="仿宋_GB2312" w:hint="eastAsia"/>
          <w:sz w:val="28"/>
          <w:szCs w:val="28"/>
          <w:lang w:eastAsia="zh-CN"/>
        </w:rPr>
        <w:t>东丽</w:t>
      </w:r>
      <w:r w:rsidR="00F71485" w:rsidRPr="00B23FF0">
        <w:rPr>
          <w:rFonts w:ascii="仿宋_GB2312" w:eastAsia="仿宋_GB2312" w:hAnsi="仿宋_GB2312" w:cs="仿宋_GB2312"/>
          <w:sz w:val="28"/>
          <w:szCs w:val="28"/>
          <w:lang w:eastAsia="zh-CN"/>
        </w:rPr>
        <w:t>区税务局</w:t>
      </w:r>
      <w:r w:rsidRPr="00B23FF0">
        <w:rPr>
          <w:rFonts w:ascii="仿宋_GB2312" w:eastAsia="仿宋_GB2312" w:hAnsi="仿宋_GB2312" w:cs="仿宋_GB2312"/>
          <w:sz w:val="28"/>
          <w:szCs w:val="28"/>
          <w:lang w:eastAsia="zh-CN"/>
        </w:rPr>
        <w:t>按照供应商月服务费的1‰-5‰进行扣减。</w:t>
      </w:r>
    </w:p>
    <w:p w:rsidR="00001D8E" w:rsidRPr="00B23FF0" w:rsidRDefault="00834406">
      <w:pPr>
        <w:pStyle w:val="15"/>
        <w:spacing w:line="360" w:lineRule="auto"/>
        <w:ind w:firstLine="480"/>
        <w:rPr>
          <w:rFonts w:ascii="仿宋_GB2312" w:eastAsia="仿宋_GB2312" w:hAnsi="仿宋_GB2312" w:cs="仿宋_GB2312"/>
          <w:sz w:val="28"/>
          <w:szCs w:val="28"/>
          <w:lang w:eastAsia="zh-CN"/>
        </w:rPr>
      </w:pPr>
      <w:r w:rsidRPr="00B23FF0">
        <w:rPr>
          <w:rFonts w:ascii="仿宋_GB2312" w:eastAsia="仿宋_GB2312" w:hAnsi="仿宋_GB2312" w:cs="仿宋_GB2312"/>
          <w:sz w:val="28"/>
          <w:szCs w:val="28"/>
          <w:lang w:eastAsia="zh-CN"/>
        </w:rPr>
        <w:t>4.中标供应商每月被投诉数量超过来电总量的万分之一，经</w:t>
      </w:r>
      <w:r w:rsidR="00F71485" w:rsidRPr="00B23FF0">
        <w:rPr>
          <w:rFonts w:ascii="仿宋_GB2312" w:eastAsia="仿宋_GB2312" w:hAnsi="仿宋_GB2312" w:cs="仿宋_GB2312"/>
          <w:sz w:val="28"/>
          <w:szCs w:val="28"/>
          <w:lang w:eastAsia="zh-CN"/>
        </w:rPr>
        <w:t>国家税务总局天津市</w:t>
      </w:r>
      <w:r w:rsidR="00F71485" w:rsidRPr="00B23FF0">
        <w:rPr>
          <w:rFonts w:ascii="仿宋_GB2312" w:eastAsia="仿宋_GB2312" w:hAnsi="仿宋_GB2312" w:cs="仿宋_GB2312" w:hint="eastAsia"/>
          <w:sz w:val="28"/>
          <w:szCs w:val="28"/>
          <w:lang w:eastAsia="zh-CN"/>
        </w:rPr>
        <w:t>东丽</w:t>
      </w:r>
      <w:r w:rsidR="00F71485" w:rsidRPr="00B23FF0">
        <w:rPr>
          <w:rFonts w:ascii="仿宋_GB2312" w:eastAsia="仿宋_GB2312" w:hAnsi="仿宋_GB2312" w:cs="仿宋_GB2312"/>
          <w:sz w:val="28"/>
          <w:szCs w:val="28"/>
          <w:lang w:eastAsia="zh-CN"/>
        </w:rPr>
        <w:t>区税务局</w:t>
      </w:r>
      <w:r w:rsidRPr="00B23FF0">
        <w:rPr>
          <w:rFonts w:ascii="仿宋_GB2312" w:eastAsia="仿宋_GB2312" w:hAnsi="仿宋_GB2312" w:cs="仿宋_GB2312"/>
          <w:sz w:val="28"/>
          <w:szCs w:val="28"/>
          <w:lang w:eastAsia="zh-CN"/>
        </w:rPr>
        <w:t>调查属实且认为投诉合理则按照供应商月服务费的1‰-5‰进行扣减。</w:t>
      </w:r>
    </w:p>
    <w:p w:rsidR="00001D8E" w:rsidRPr="00B23FF0" w:rsidRDefault="00834406">
      <w:pPr>
        <w:pStyle w:val="15"/>
        <w:spacing w:line="360" w:lineRule="auto"/>
        <w:ind w:firstLine="480"/>
        <w:rPr>
          <w:rFonts w:ascii="仿宋_GB2312" w:eastAsia="仿宋_GB2312" w:hAnsi="仿宋_GB2312" w:cs="仿宋_GB2312"/>
          <w:sz w:val="28"/>
          <w:szCs w:val="28"/>
          <w:lang w:eastAsia="zh-CN"/>
        </w:rPr>
      </w:pPr>
      <w:r w:rsidRPr="00B23FF0">
        <w:rPr>
          <w:rFonts w:ascii="仿宋_GB2312" w:eastAsia="仿宋_GB2312" w:hAnsi="仿宋_GB2312" w:cs="仿宋_GB2312"/>
          <w:sz w:val="28"/>
          <w:szCs w:val="28"/>
          <w:lang w:eastAsia="zh-CN"/>
        </w:rPr>
        <w:t>5.中标供应商运行管理不到位、服务不规范、未按照要求履行工作职责产生负面影响的，或被通报批评产生负面影响的，</w:t>
      </w:r>
      <w:r w:rsidR="00F71485" w:rsidRPr="00B23FF0">
        <w:rPr>
          <w:rFonts w:ascii="仿宋_GB2312" w:eastAsia="仿宋_GB2312" w:hAnsi="仿宋_GB2312" w:cs="仿宋_GB2312"/>
          <w:sz w:val="28"/>
          <w:szCs w:val="28"/>
          <w:lang w:eastAsia="zh-CN"/>
        </w:rPr>
        <w:t>国家税务总局天津市</w:t>
      </w:r>
      <w:r w:rsidR="00F71485" w:rsidRPr="00B23FF0">
        <w:rPr>
          <w:rFonts w:ascii="仿宋_GB2312" w:eastAsia="仿宋_GB2312" w:hAnsi="仿宋_GB2312" w:cs="仿宋_GB2312" w:hint="eastAsia"/>
          <w:sz w:val="28"/>
          <w:szCs w:val="28"/>
          <w:lang w:eastAsia="zh-CN"/>
        </w:rPr>
        <w:t>东丽</w:t>
      </w:r>
      <w:r w:rsidR="00F71485" w:rsidRPr="00B23FF0">
        <w:rPr>
          <w:rFonts w:ascii="仿宋_GB2312" w:eastAsia="仿宋_GB2312" w:hAnsi="仿宋_GB2312" w:cs="仿宋_GB2312"/>
          <w:sz w:val="28"/>
          <w:szCs w:val="28"/>
          <w:lang w:eastAsia="zh-CN"/>
        </w:rPr>
        <w:t>区税务局</w:t>
      </w:r>
      <w:r w:rsidRPr="00B23FF0">
        <w:rPr>
          <w:rFonts w:ascii="仿宋_GB2312" w:eastAsia="仿宋_GB2312" w:hAnsi="仿宋_GB2312" w:cs="仿宋_GB2312"/>
          <w:sz w:val="28"/>
          <w:szCs w:val="28"/>
          <w:lang w:eastAsia="zh-CN"/>
        </w:rPr>
        <w:t>按照供应商月服务费的1‰-5‰进行扣减。</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6.未经采购方同意，中标供应商不得将承包项目发包或转包，否则，视为中标供应商违约，采购方有权解除服务合同。</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7.若中标供应商在1年内违反其服务承诺或以下情况三次或以上，则视为中标供应商违约，采购方有权拒绝支付本期项目服务费，并终止合同。</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（1）非税务机关责任，导致服务出现质量问题。</w:t>
      </w:r>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（2）没有按照采购方要求对服务人员进行管理、培训、调配。</w:t>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28" w:name="_Toc256000025"/>
      <w:r>
        <w:rPr>
          <w:rFonts w:ascii="仿宋_GB2312" w:eastAsia="仿宋_GB2312" w:hAnsi="仿宋_GB2312" w:cs="仿宋_GB2312"/>
          <w:kern w:val="36"/>
          <w:lang w:eastAsia="zh-CN"/>
        </w:rPr>
        <w:t>6风险管控要求</w:t>
      </w:r>
      <w:bookmarkEnd w:id="28"/>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在合同中明确双方的权利和义务、服务内容、服务标准、费用支付、违约责任等重要条款，避免合同纠纷。合同条款应具有可操作性和可执行性，确保双方能够按照合同约定履行各自的职责，双方定期对合同所约定的服务内容进行检查和评估，及时发现和解决相关问题。合同履行期间，若一方因国家政策调整或因不可抗力等因素不能履行的，应及时通知对方，并协商变更或解除合同，遭受不可抗力的一方无需承担违约责任。发生紧急情况和突发事件时,采取应急措施,最大限度减少各方损失。</w:t>
      </w:r>
    </w:p>
    <w:p w:rsidR="00001D8E" w:rsidRDefault="00834406">
      <w:pPr>
        <w:pStyle w:val="1"/>
        <w:keepNext w:val="0"/>
        <w:spacing w:before="0" w:after="0" w:line="360" w:lineRule="auto"/>
        <w:jc w:val="center"/>
        <w:rPr>
          <w:rFonts w:ascii="仿宋_GB2312" w:eastAsia="仿宋_GB2312" w:hAnsi="仿宋_GB2312" w:cs="仿宋_GB2312"/>
        </w:rPr>
      </w:pPr>
      <w:bookmarkStart w:id="29" w:name="_Toc256000026"/>
      <w:r>
        <w:rPr>
          <w:rFonts w:ascii="仿宋_GB2312" w:eastAsia="仿宋_GB2312" w:hAnsi="仿宋_GB2312" w:cs="仿宋_GB2312"/>
          <w:kern w:val="36"/>
        </w:rPr>
        <w:t>7履约验收要求</w:t>
      </w:r>
      <w:bookmarkEnd w:id="29"/>
    </w:p>
    <w:p w:rsidR="00001D8E" w:rsidRDefault="00834406">
      <w:pPr>
        <w:pStyle w:val="2"/>
        <w:keepNext w:val="0"/>
        <w:spacing w:before="0" w:after="0" w:line="360" w:lineRule="auto"/>
        <w:rPr>
          <w:rFonts w:ascii="仿宋_GB2312" w:eastAsia="仿宋_GB2312" w:hAnsi="仿宋_GB2312" w:cs="仿宋_GB2312"/>
        </w:rPr>
      </w:pPr>
      <w:bookmarkStart w:id="30" w:name="_Toc256000027"/>
      <w:r>
        <w:rPr>
          <w:rFonts w:ascii="仿宋_GB2312" w:eastAsia="仿宋_GB2312" w:hAnsi="仿宋_GB2312" w:cs="仿宋_GB2312"/>
          <w:i w:val="0"/>
          <w:iCs w:val="0"/>
        </w:rPr>
        <w:t>7.1总体要求</w:t>
      </w:r>
      <w:bookmarkEnd w:id="30"/>
    </w:p>
    <w:tbl>
      <w:tblPr>
        <w:tblW w:w="5000" w:type="pct"/>
        <w:tblInd w:w="30" w:type="dxa"/>
        <w:tblCellMar>
          <w:top w:w="15" w:type="dxa"/>
          <w:left w:w="15" w:type="dxa"/>
          <w:bottom w:w="15" w:type="dxa"/>
          <w:right w:w="15" w:type="dxa"/>
        </w:tblCellMar>
        <w:tblLook w:val="04A0" w:firstRow="1" w:lastRow="0" w:firstColumn="1" w:lastColumn="0" w:noHBand="0" w:noVBand="1"/>
      </w:tblPr>
      <w:tblGrid>
        <w:gridCol w:w="4535"/>
        <w:gridCol w:w="4535"/>
      </w:tblGrid>
      <w:tr w:rsidR="00001D8E">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lastRenderedPageBreak/>
              <w:t>验收名称</w:t>
            </w:r>
          </w:p>
        </w:tc>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验收要求</w:t>
            </w:r>
          </w:p>
        </w:tc>
      </w:tr>
      <w:tr w:rsidR="00001D8E">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Pr="00B23FF0" w:rsidRDefault="00834406">
            <w:pPr>
              <w:rPr>
                <w:rFonts w:ascii="仿宋_GB2312" w:eastAsia="仿宋_GB2312" w:hAnsi="仿宋_GB2312" w:cs="仿宋_GB2312"/>
                <w:color w:val="000000"/>
                <w:sz w:val="21"/>
                <w:szCs w:val="21"/>
              </w:rPr>
            </w:pPr>
            <w:r w:rsidRPr="00B23FF0">
              <w:rPr>
                <w:rFonts w:ascii="仿宋_GB2312" w:eastAsia="仿宋_GB2312" w:hAnsi="仿宋_GB2312" w:cs="仿宋_GB2312"/>
                <w:color w:val="000000"/>
                <w:sz w:val="21"/>
                <w:szCs w:val="21"/>
              </w:rPr>
              <w:t>按月验收</w:t>
            </w:r>
          </w:p>
        </w:tc>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Pr="00B23FF0" w:rsidRDefault="00834406">
            <w:pPr>
              <w:rPr>
                <w:rFonts w:ascii="仿宋_GB2312" w:eastAsia="仿宋_GB2312" w:hAnsi="仿宋_GB2312" w:cs="仿宋_GB2312"/>
                <w:color w:val="000000"/>
                <w:sz w:val="21"/>
                <w:szCs w:val="21"/>
                <w:lang w:eastAsia="zh-CN"/>
              </w:rPr>
            </w:pPr>
            <w:r w:rsidRPr="00B23FF0">
              <w:rPr>
                <w:rFonts w:ascii="仿宋_GB2312" w:eastAsia="仿宋_GB2312" w:hAnsi="仿宋_GB2312" w:cs="仿宋_GB2312"/>
                <w:color w:val="000000"/>
                <w:sz w:val="21"/>
                <w:szCs w:val="21"/>
                <w:lang w:eastAsia="zh-CN"/>
              </w:rPr>
              <w:t>中标供应商应依据合同约定按时按质提供服务，每月服务期满后，采购人进行服务质量验收。</w:t>
            </w:r>
          </w:p>
        </w:tc>
      </w:tr>
    </w:tbl>
    <w:p w:rsidR="00001D8E" w:rsidRDefault="00834406">
      <w:pPr>
        <w:pStyle w:val="2"/>
        <w:keepNext w:val="0"/>
        <w:spacing w:before="0" w:after="0" w:line="360" w:lineRule="auto"/>
        <w:rPr>
          <w:rFonts w:ascii="仿宋_GB2312" w:eastAsia="仿宋_GB2312" w:hAnsi="仿宋_GB2312" w:cs="仿宋_GB2312"/>
          <w:lang w:eastAsia="zh-CN"/>
        </w:rPr>
      </w:pPr>
      <w:bookmarkStart w:id="31" w:name="_Toc256000028"/>
      <w:r>
        <w:rPr>
          <w:rFonts w:ascii="仿宋_GB2312" w:eastAsia="仿宋_GB2312" w:hAnsi="仿宋_GB2312" w:cs="仿宋_GB2312"/>
          <w:i w:val="0"/>
          <w:iCs w:val="0"/>
          <w:lang w:eastAsia="zh-CN"/>
        </w:rPr>
        <w:t>7.2具体要求</w:t>
      </w:r>
      <w:bookmarkEnd w:id="31"/>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严格按照</w:t>
      </w:r>
      <w:r w:rsidRPr="00B23FF0">
        <w:rPr>
          <w:rFonts w:ascii="仿宋_GB2312" w:eastAsia="仿宋_GB2312" w:hAnsi="仿宋_GB2312" w:cs="仿宋_GB2312"/>
          <w:sz w:val="28"/>
          <w:szCs w:val="28"/>
          <w:lang w:eastAsia="zh-CN"/>
        </w:rPr>
        <w:t>法律法规和采购合同按月进行验收。确</w:t>
      </w:r>
      <w:r>
        <w:rPr>
          <w:rFonts w:ascii="仿宋_GB2312" w:eastAsia="仿宋_GB2312" w:hAnsi="仿宋_GB2312" w:cs="仿宋_GB2312"/>
          <w:sz w:val="28"/>
          <w:szCs w:val="28"/>
          <w:lang w:eastAsia="zh-CN"/>
        </w:rPr>
        <w:t>保验收工作在法律框架内进行，遵守国家和地方有关政府采购、合同管理等方面的法规政策。遵循公平、公正、公开的原则。验收过程应保持客观、中立，不受任何外部因素干扰，确保验收结果真实反映供应商的履约情况。</w:t>
      </w:r>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001D8E" w:rsidRDefault="00834406">
      <w:pPr>
        <w:pStyle w:val="1"/>
        <w:keepNext w:val="0"/>
        <w:spacing w:before="0" w:after="0" w:line="360" w:lineRule="auto"/>
        <w:jc w:val="center"/>
        <w:rPr>
          <w:rFonts w:ascii="仿宋_GB2312" w:eastAsia="仿宋_GB2312" w:hAnsi="仿宋_GB2312" w:cs="仿宋_GB2312"/>
          <w:lang w:eastAsia="zh-CN"/>
        </w:rPr>
      </w:pPr>
      <w:bookmarkStart w:id="32" w:name="_Toc256000029"/>
      <w:r>
        <w:rPr>
          <w:rFonts w:ascii="仿宋_GB2312" w:eastAsia="仿宋_GB2312" w:hAnsi="仿宋_GB2312" w:cs="仿宋_GB2312"/>
          <w:kern w:val="36"/>
          <w:lang w:eastAsia="zh-CN"/>
        </w:rPr>
        <w:t>8其他要求</w:t>
      </w:r>
      <w:bookmarkEnd w:id="32"/>
    </w:p>
    <w:p w:rsidR="00001D8E" w:rsidRDefault="00834406">
      <w:pPr>
        <w:pStyle w:val="2"/>
        <w:keepNext w:val="0"/>
        <w:spacing w:before="0" w:after="0" w:line="360" w:lineRule="auto"/>
        <w:rPr>
          <w:rFonts w:ascii="仿宋_GB2312" w:eastAsia="仿宋_GB2312" w:hAnsi="仿宋_GB2312" w:cs="仿宋_GB2312"/>
          <w:lang w:eastAsia="zh-CN"/>
        </w:rPr>
      </w:pPr>
      <w:bookmarkStart w:id="33" w:name="_Toc256000030"/>
      <w:r>
        <w:rPr>
          <w:rFonts w:ascii="仿宋_GB2312" w:eastAsia="仿宋_GB2312" w:hAnsi="仿宋_GB2312" w:cs="仿宋_GB2312"/>
          <w:i w:val="0"/>
          <w:iCs w:val="0"/>
          <w:lang w:eastAsia="zh-CN"/>
        </w:rPr>
        <w:t>8.1必备要求</w:t>
      </w:r>
      <w:bookmarkEnd w:id="33"/>
    </w:p>
    <w:p w:rsidR="00001D8E" w:rsidRDefault="00834406">
      <w:pPr>
        <w:pStyle w:val="3"/>
        <w:keepNext w:val="0"/>
        <w:spacing w:before="0" w:after="0" w:line="360" w:lineRule="auto"/>
        <w:rPr>
          <w:rFonts w:ascii="仿宋_GB2312" w:eastAsia="仿宋_GB2312" w:hAnsi="仿宋_GB2312" w:cs="仿宋_GB2312"/>
          <w:sz w:val="28"/>
          <w:szCs w:val="28"/>
          <w:lang w:eastAsia="zh-CN"/>
        </w:rPr>
      </w:pPr>
      <w:bookmarkStart w:id="34" w:name="_Toc256000031"/>
      <w:r>
        <w:rPr>
          <w:rFonts w:ascii="仿宋_GB2312" w:eastAsia="仿宋_GB2312" w:hAnsi="仿宋_GB2312" w:cs="仿宋_GB2312"/>
          <w:sz w:val="28"/>
          <w:szCs w:val="28"/>
          <w:lang w:eastAsia="zh-CN"/>
        </w:rPr>
        <w:t>8.1.1通用必备要求</w:t>
      </w:r>
      <w:bookmarkEnd w:id="34"/>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w:t>
      </w:r>
      <w:r>
        <w:rPr>
          <w:rFonts w:ascii="仿宋_GB2312" w:eastAsia="仿宋_GB2312" w:hAnsi="仿宋_GB2312" w:cs="仿宋_GB2312"/>
          <w:sz w:val="28"/>
          <w:szCs w:val="28"/>
          <w:lang w:eastAsia="zh-CN"/>
        </w:rPr>
        <w:lastRenderedPageBreak/>
        <w:t xml:space="preserve">或产品至少符合以下条件之一：一是已由具备资格的机构安全认证合格或安全检测符合要求；二是已获得《计算机信息系统安全专用产品销售许可证》，且在有效期内。 </w:t>
      </w:r>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3.本项目中如涉及国家强制性产品认证证书（CCC 认证证书）、电信设备进网许可证、无线电发射设备核准证等市场准入类资质的，应严格执行国家相关法律法规的要求。 </w:t>
      </w:r>
    </w:p>
    <w:p w:rsidR="00001D8E" w:rsidRDefault="00834406">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以上相关要求，由供应商在响应时应答，在履约验收中，采购人将按照采购文件、中标/成交供应商响应文件、采购合同等对中标/成交供应商提供的货物和服务进行验收，必要时依法依规开展相应检测、认证。</w:t>
      </w:r>
    </w:p>
    <w:p w:rsidR="00001D8E" w:rsidRDefault="00834406">
      <w:pPr>
        <w:pStyle w:val="2"/>
        <w:keepNext w:val="0"/>
        <w:spacing w:before="0" w:after="0" w:line="360" w:lineRule="auto"/>
        <w:rPr>
          <w:rFonts w:ascii="仿宋_GB2312" w:eastAsia="仿宋_GB2312" w:hAnsi="仿宋_GB2312" w:cs="仿宋_GB2312"/>
        </w:rPr>
      </w:pPr>
      <w:bookmarkStart w:id="35" w:name="_Toc256000032"/>
      <w:r>
        <w:rPr>
          <w:rFonts w:ascii="仿宋_GB2312" w:eastAsia="仿宋_GB2312" w:hAnsi="仿宋_GB2312" w:cs="仿宋_GB2312"/>
          <w:i w:val="0"/>
          <w:iCs w:val="0"/>
        </w:rPr>
        <w:t>8.2付款安排建议</w:t>
      </w:r>
      <w:bookmarkEnd w:id="35"/>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001D8E">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付款名称</w:t>
            </w:r>
          </w:p>
        </w:tc>
        <w:tc>
          <w:tcPr>
            <w:tcW w:w="3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rsidR="00001D8E" w:rsidRDefault="00834406">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付款比例(%)</w:t>
            </w:r>
          </w:p>
        </w:tc>
      </w:tr>
      <w:tr w:rsidR="00001D8E">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Pr="00B23FF0" w:rsidRDefault="00834406">
            <w:pPr>
              <w:rPr>
                <w:rFonts w:ascii="仿宋_GB2312" w:eastAsia="仿宋_GB2312" w:hAnsi="仿宋_GB2312" w:cs="仿宋_GB2312"/>
                <w:color w:val="000000"/>
                <w:sz w:val="21"/>
                <w:szCs w:val="21"/>
              </w:rPr>
            </w:pPr>
            <w:r w:rsidRPr="00B23FF0">
              <w:rPr>
                <w:rFonts w:ascii="仿宋_GB2312" w:eastAsia="仿宋_GB2312" w:hAnsi="仿宋_GB2312" w:cs="仿宋_GB2312"/>
                <w:color w:val="000000"/>
                <w:sz w:val="21"/>
                <w:szCs w:val="21"/>
              </w:rPr>
              <w:t>按月付款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Pr="00B23FF0" w:rsidRDefault="00834406">
            <w:pPr>
              <w:rPr>
                <w:rFonts w:ascii="仿宋_GB2312" w:eastAsia="仿宋_GB2312" w:hAnsi="仿宋_GB2312" w:cs="仿宋_GB2312"/>
                <w:color w:val="000000"/>
                <w:sz w:val="21"/>
                <w:szCs w:val="21"/>
                <w:lang w:eastAsia="zh-CN"/>
              </w:rPr>
            </w:pPr>
            <w:r w:rsidRPr="00B23FF0">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001D8E" w:rsidRDefault="00834406">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100.0</w:t>
            </w:r>
          </w:p>
        </w:tc>
      </w:tr>
    </w:tbl>
    <w:p w:rsidR="00001D8E" w:rsidRDefault="00834406">
      <w:pPr>
        <w:pStyle w:val="2"/>
        <w:keepNext w:val="0"/>
        <w:spacing w:before="0" w:after="0" w:line="360" w:lineRule="auto"/>
        <w:rPr>
          <w:rFonts w:ascii="仿宋_GB2312" w:eastAsia="仿宋_GB2312" w:hAnsi="仿宋_GB2312" w:cs="仿宋_GB2312"/>
        </w:rPr>
      </w:pPr>
      <w:bookmarkStart w:id="36" w:name="_Toc256000033"/>
      <w:r>
        <w:rPr>
          <w:rFonts w:ascii="仿宋_GB2312" w:eastAsia="仿宋_GB2312" w:hAnsi="仿宋_GB2312" w:cs="仿宋_GB2312"/>
          <w:i w:val="0"/>
          <w:iCs w:val="0"/>
        </w:rPr>
        <w:t>8.3其他要求</w:t>
      </w:r>
      <w:bookmarkEnd w:id="36"/>
    </w:p>
    <w:p w:rsidR="00001D8E" w:rsidRDefault="00834406">
      <w:pPr>
        <w:pStyle w:val="3"/>
        <w:keepNext w:val="0"/>
        <w:spacing w:before="0" w:after="0" w:line="360" w:lineRule="auto"/>
        <w:rPr>
          <w:rFonts w:ascii="仿宋_GB2312" w:eastAsia="仿宋_GB2312" w:hAnsi="仿宋_GB2312" w:cs="仿宋_GB2312"/>
          <w:sz w:val="28"/>
          <w:szCs w:val="28"/>
        </w:rPr>
      </w:pPr>
      <w:bookmarkStart w:id="37" w:name="_Toc256000034"/>
      <w:r>
        <w:rPr>
          <w:rFonts w:ascii="仿宋_GB2312" w:eastAsia="仿宋_GB2312" w:hAnsi="仿宋_GB2312" w:cs="仿宋_GB2312"/>
          <w:sz w:val="28"/>
          <w:szCs w:val="28"/>
        </w:rPr>
        <w:t>8.3.1保密要求</w:t>
      </w:r>
      <w:bookmarkEnd w:id="37"/>
    </w:p>
    <w:p w:rsidR="00001D8E" w:rsidRDefault="00834406">
      <w:pPr>
        <w:pStyle w:val="15"/>
        <w:spacing w:line="360" w:lineRule="auto"/>
        <w:ind w:firstLine="480"/>
        <w:rPr>
          <w:lang w:eastAsia="zh-CN"/>
        </w:rPr>
      </w:pPr>
      <w:r>
        <w:rPr>
          <w:rFonts w:ascii="仿宋_GB2312" w:eastAsia="仿宋_GB2312" w:hAnsi="仿宋_GB2312" w:cs="仿宋_GB2312"/>
          <w:sz w:val="28"/>
          <w:szCs w:val="28"/>
          <w:lang w:eastAsia="zh-CN"/>
        </w:rPr>
        <w:t>1.中标供应商签订合同前必须按照国家相关保密规定和采购方签订《保密协议》，对违反《保密协议》相关内容规定的，采购方有权追究其法律责任。所有服务人员必须严格遵守国家、地方、行业相关保密管理政策规定。</w:t>
      </w:r>
    </w:p>
    <w:p w:rsidR="00001D8E" w:rsidRDefault="00834406">
      <w:pPr>
        <w:pStyle w:val="MsoNormal0"/>
        <w:spacing w:line="360" w:lineRule="auto"/>
        <w:ind w:firstLine="480"/>
        <w:rPr>
          <w:lang w:eastAsia="zh-CN"/>
        </w:rPr>
      </w:pPr>
      <w:r>
        <w:rPr>
          <w:rFonts w:ascii="仿宋_GB2312" w:eastAsia="仿宋_GB2312" w:hAnsi="仿宋_GB2312" w:cs="仿宋_GB2312"/>
          <w:sz w:val="28"/>
          <w:szCs w:val="28"/>
          <w:lang w:eastAsia="zh-CN"/>
        </w:rPr>
        <w:t>2.中标供应商录用服务人员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w:t>
      </w:r>
      <w:r>
        <w:rPr>
          <w:rFonts w:ascii="仿宋_GB2312" w:eastAsia="仿宋_GB2312" w:hAnsi="仿宋_GB2312" w:cs="仿宋_GB2312"/>
          <w:sz w:val="28"/>
          <w:szCs w:val="28"/>
          <w:lang w:eastAsia="zh-CN"/>
        </w:rPr>
        <w:lastRenderedPageBreak/>
        <w:t>有权向中标供应商追究法律责任。中标供应商应保证加强教育管理，禁止各岗位服务人员随意发表、交流、讨论、传播采购方内部人员信息或工作事项，如有违反，严肃处理。</w:t>
      </w:r>
    </w:p>
    <w:p w:rsidR="00001D8E" w:rsidRDefault="00001D8E">
      <w:pPr>
        <w:spacing w:line="360" w:lineRule="auto"/>
        <w:ind w:firstLine="561"/>
        <w:rPr>
          <w:rFonts w:ascii="仿宋_GB2312" w:eastAsia="仿宋_GB2312" w:hAnsi="仿宋_GB2312" w:cs="仿宋_GB2312"/>
          <w:sz w:val="28"/>
          <w:szCs w:val="28"/>
          <w:lang w:eastAsia="zh-CN"/>
        </w:rPr>
      </w:pPr>
    </w:p>
    <w:sectPr w:rsidR="00001D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49" w:rsidRDefault="00003949">
      <w:r>
        <w:separator/>
      </w:r>
    </w:p>
  </w:endnote>
  <w:endnote w:type="continuationSeparator" w:id="0">
    <w:p w:rsidR="00003949" w:rsidRDefault="0000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8E" w:rsidRDefault="00834406">
    <w:pPr>
      <w:spacing w:line="360" w:lineRule="auto"/>
      <w:jc w:val="center"/>
    </w:pPr>
    <w:r>
      <w:fldChar w:fldCharType="begin"/>
    </w:r>
    <w:r>
      <w:instrText xml:space="preserve"> PAGE </w:instrText>
    </w:r>
    <w:r>
      <w:fldChar w:fldCharType="separate"/>
    </w:r>
    <w:r w:rsidR="00C67AA3">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49" w:rsidRDefault="00003949">
      <w:r>
        <w:separator/>
      </w:r>
    </w:p>
  </w:footnote>
  <w:footnote w:type="continuationSeparator" w:id="0">
    <w:p w:rsidR="00003949" w:rsidRDefault="00003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FDE7B0C1"/>
    <w:rsid w:val="00001D8E"/>
    <w:rsid w:val="00003949"/>
    <w:rsid w:val="002525BC"/>
    <w:rsid w:val="00367231"/>
    <w:rsid w:val="003F7DCF"/>
    <w:rsid w:val="004A4170"/>
    <w:rsid w:val="00507BCA"/>
    <w:rsid w:val="005315A7"/>
    <w:rsid w:val="00555A3E"/>
    <w:rsid w:val="00607BAC"/>
    <w:rsid w:val="00677582"/>
    <w:rsid w:val="00834406"/>
    <w:rsid w:val="00A77B3E"/>
    <w:rsid w:val="00B23FF0"/>
    <w:rsid w:val="00C67AA3"/>
    <w:rsid w:val="00CA2A55"/>
    <w:rsid w:val="00CB2B27"/>
    <w:rsid w:val="00D60366"/>
    <w:rsid w:val="00D93187"/>
    <w:rsid w:val="00E03462"/>
    <w:rsid w:val="00F71485"/>
    <w:rsid w:val="00F7648F"/>
    <w:rsid w:val="00FE45F1"/>
    <w:rsid w:val="28F94F6A"/>
    <w:rsid w:val="5BF0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24671"/>
  <w15:docId w15:val="{6B19676E-9F8C-413B-A3AD-9B1350DE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480"/>
    </w:pPr>
  </w:style>
  <w:style w:type="paragraph" w:styleId="10">
    <w:name w:val="toc 1"/>
    <w:basedOn w:val="a"/>
    <w:next w:val="a"/>
    <w:qFormat/>
  </w:style>
  <w:style w:type="paragraph" w:styleId="20">
    <w:name w:val="toc 2"/>
    <w:basedOn w:val="a"/>
    <w:next w:val="a"/>
    <w:qFormat/>
    <w:pPr>
      <w:ind w:left="240"/>
    </w:pPr>
  </w:style>
  <w:style w:type="character" w:styleId="a3">
    <w:name w:val="Hyperlink"/>
    <w:basedOn w:val="a0"/>
    <w:qFormat/>
    <w:rPr>
      <w:color w:val="0000FF"/>
      <w:u w:val="single"/>
    </w:rPr>
  </w:style>
  <w:style w:type="paragraph" w:customStyle="1" w:styleId="MsoNormal0">
    <w:name w:val="MsoNormal"/>
    <w:basedOn w:val="a"/>
    <w:qFormat/>
  </w:style>
  <w:style w:type="paragraph" w:customStyle="1" w:styleId="15">
    <w:name w:val="15"/>
    <w:basedOn w:val="a"/>
    <w:qFormat/>
  </w:style>
  <w:style w:type="paragraph" w:customStyle="1" w:styleId="16">
    <w:name w:val="16"/>
    <w:basedOn w:val="a"/>
    <w:qFormat/>
  </w:style>
  <w:style w:type="paragraph" w:customStyle="1" w:styleId="17">
    <w:name w:val="17"/>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张轲</dc:creator>
  <cp:lastModifiedBy>dlgs</cp:lastModifiedBy>
  <cp:revision>17</cp:revision>
  <dcterms:created xsi:type="dcterms:W3CDTF">2025-04-16T09:02:00Z</dcterms:created>
  <dcterms:modified xsi:type="dcterms:W3CDTF">2025-04-16T09:01:00Z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