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color w:val="auto"/>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96"/>
          <w:szCs w:val="96"/>
          <w:lang w:eastAsia="zh-CN"/>
        </w:rPr>
      </w:pPr>
      <w:r>
        <w:rPr>
          <w:rFonts w:hint="eastAsia" w:ascii="宋体" w:hAnsi="宋体" w:eastAsia="宋体" w:cs="宋体"/>
          <w:b/>
          <w:color w:val="auto"/>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color w:val="auto"/>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项目名称：</w:t>
      </w:r>
      <w:bookmarkStart w:id="0" w:name="项目名称_projectName"/>
      <w:r>
        <w:rPr>
          <w:rFonts w:hint="eastAsia" w:ascii="宋体" w:hAnsi="宋体" w:eastAsia="宋体" w:cs="宋体"/>
          <w:b/>
          <w:color w:val="auto"/>
          <w:sz w:val="30"/>
          <w:szCs w:val="30"/>
          <w:lang w:eastAsia="zh-CN"/>
        </w:rPr>
        <w:t>国家税务总局天津市津南区税务局2025年食堂食材采购项目</w:t>
      </w:r>
      <w:bookmarkEnd w:id="0"/>
    </w:p>
    <w:p>
      <w:pPr>
        <w:widowControl w:val="0"/>
        <w:spacing w:before="0" w:after="0" w:line="360" w:lineRule="auto"/>
        <w:jc w:val="both"/>
        <w:rPr>
          <w:rFonts w:hint="eastAsia" w:ascii="宋体" w:hAnsi="宋体" w:eastAsia="宋体" w:cs="宋体"/>
          <w:color w:val="auto"/>
          <w:kern w:val="2"/>
          <w:sz w:val="32"/>
          <w:szCs w:val="32"/>
          <w:lang w:eastAsia="zh-CN"/>
        </w:rPr>
      </w:pPr>
    </w:p>
    <w:p>
      <w:pPr>
        <w:widowControl w:val="0"/>
        <w:spacing w:before="0" w:after="0" w:line="360" w:lineRule="auto"/>
        <w:jc w:val="both"/>
        <w:rPr>
          <w:rFonts w:ascii="宋体" w:hAnsi="宋体" w:eastAsia="宋体" w:cs="宋体"/>
          <w:color w:val="auto"/>
          <w:kern w:val="2"/>
          <w:sz w:val="32"/>
          <w:szCs w:val="32"/>
          <w:lang w:eastAsia="zh-CN"/>
        </w:rPr>
      </w:pPr>
    </w:p>
    <w:p>
      <w:pPr>
        <w:widowControl w:val="0"/>
        <w:spacing w:before="0" w:after="0" w:line="360" w:lineRule="auto"/>
        <w:jc w:val="both"/>
        <w:rPr>
          <w:rFonts w:hint="eastAsia" w:ascii="宋体" w:hAnsi="宋体" w:eastAsia="宋体" w:cs="宋体"/>
          <w:color w:val="auto"/>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color w:val="auto"/>
          <w:sz w:val="32"/>
          <w:szCs w:val="32"/>
          <w:lang w:eastAsia="zh-CN"/>
        </w:rPr>
      </w:pPr>
    </w:p>
    <w:p>
      <w:pPr>
        <w:spacing w:before="0" w:after="0" w:line="360" w:lineRule="auto"/>
        <w:jc w:val="center"/>
        <w:rPr>
          <w:rFonts w:eastAsia="宋体"/>
          <w:color w:val="auto"/>
        </w:rPr>
      </w:pPr>
      <w:bookmarkStart w:id="1" w:name="生成日期_currentDateTime_ym"/>
      <w:r>
        <w:rPr>
          <w:rFonts w:hint="eastAsia" w:ascii="宋体" w:hAnsi="宋体" w:eastAsia="宋体" w:cs="宋体"/>
          <w:color w:val="auto"/>
          <w:sz w:val="36"/>
          <w:szCs w:val="36"/>
          <w:lang w:eastAsia="zh-CN"/>
        </w:rPr>
        <w:t>2025年0</w:t>
      </w:r>
      <w:r>
        <w:rPr>
          <w:rFonts w:hint="eastAsia" w:ascii="宋体" w:hAnsi="宋体" w:eastAsia="宋体" w:cs="宋体"/>
          <w:color w:val="auto"/>
          <w:sz w:val="36"/>
          <w:szCs w:val="36"/>
          <w:lang w:val="en-US" w:eastAsia="zh-CN"/>
        </w:rPr>
        <w:t>4</w:t>
      </w:r>
      <w:r>
        <w:rPr>
          <w:rFonts w:hint="eastAsia" w:ascii="宋体" w:hAnsi="宋体" w:eastAsia="宋体" w:cs="宋体"/>
          <w:color w:val="auto"/>
          <w:sz w:val="36"/>
          <w:szCs w:val="36"/>
          <w:lang w:eastAsia="zh-CN"/>
        </w:rPr>
        <w:t>月</w:t>
      </w:r>
      <w:bookmarkEnd w:id="1"/>
    </w:p>
    <w:p>
      <w:pPr>
        <w:spacing w:before="0" w:after="0" w:line="360" w:lineRule="auto"/>
        <w:jc w:val="center"/>
        <w:rPr>
          <w:rFonts w:ascii="宋体" w:hAnsi="宋体" w:eastAsia="宋体" w:cs="宋体"/>
          <w:color w:val="auto"/>
          <w:sz w:val="32"/>
        </w:rPr>
      </w:pPr>
      <w:r>
        <w:rPr>
          <w:color w:val="auto"/>
        </w:rPr>
        <w:br w:type="page"/>
      </w:r>
      <w:r>
        <w:rPr>
          <w:rFonts w:ascii="宋体" w:hAnsi="宋体" w:eastAsia="宋体" w:cs="宋体"/>
          <w:color w:val="auto"/>
          <w:sz w:val="32"/>
        </w:rPr>
        <w:t>目 录</w:t>
      </w:r>
    </w:p>
    <w:p>
      <w:pPr>
        <w:pStyle w:val="8"/>
        <w:tabs>
          <w:tab w:val="right" w:leader="dot" w:pos="9016"/>
        </w:tabs>
        <w:spacing w:before="0" w:after="0" w:line="360" w:lineRule="auto"/>
        <w:rPr>
          <w:rFonts w:asciiTheme="minorHAnsi" w:hAnsiTheme="minorHAnsi"/>
          <w:color w:val="auto"/>
          <w:sz w:val="22"/>
        </w:rPr>
      </w:pPr>
      <w:r>
        <w:rPr>
          <w:rFonts w:ascii="宋体" w:hAnsi="宋体" w:eastAsia="宋体" w:cs="宋体"/>
          <w:color w:val="auto"/>
          <w:sz w:val="32"/>
        </w:rPr>
        <w:fldChar w:fldCharType="begin"/>
      </w:r>
      <w:r>
        <w:rPr>
          <w:rFonts w:ascii="宋体" w:hAnsi="宋体" w:eastAsia="宋体" w:cs="宋体"/>
          <w:color w:val="auto"/>
          <w:sz w:val="32"/>
        </w:rPr>
        <w:instrText xml:space="preserve">TOC \o "1-3" \h \z \u</w:instrText>
      </w:r>
      <w:r>
        <w:rPr>
          <w:rFonts w:ascii="宋体" w:hAnsi="宋体" w:eastAsia="宋体" w:cs="宋体"/>
          <w:color w:val="auto"/>
          <w:sz w:val="32"/>
        </w:rPr>
        <w:fldChar w:fldCharType="separate"/>
      </w:r>
      <w:r>
        <w:rPr>
          <w:color w:val="auto"/>
        </w:rPr>
        <w:fldChar w:fldCharType="begin"/>
      </w:r>
      <w:r>
        <w:rPr>
          <w:color w:val="auto"/>
        </w:rPr>
        <w:instrText xml:space="preserve"> HYPERLINK \l "_Toc256000000" </w:instrText>
      </w:r>
      <w:r>
        <w:rPr>
          <w:color w:val="auto"/>
        </w:rPr>
        <w:fldChar w:fldCharType="separate"/>
      </w:r>
      <w:r>
        <w:rPr>
          <w:rStyle w:val="12"/>
          <w:rFonts w:ascii="仿宋_GB2312" w:hAnsi="仿宋_GB2312" w:eastAsia="仿宋_GB2312" w:cs="仿宋_GB2312"/>
          <w:color w:val="auto"/>
          <w:kern w:val="36"/>
        </w:rPr>
        <w:t>1项目概述</w:t>
      </w:r>
      <w:r>
        <w:rPr>
          <w:color w:val="auto"/>
        </w:rPr>
        <w:tab/>
      </w:r>
      <w:r>
        <w:rPr>
          <w:rFonts w:hint="eastAsia" w:eastAsia="宋体"/>
          <w:color w:val="auto"/>
          <w:lang w:val="en-US" w:eastAsia="zh-CN"/>
        </w:rPr>
        <w:t>4</w:t>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"_Toc256000001" </w:instrText>
      </w:r>
      <w:r>
        <w:rPr>
          <w:color w:val="auto"/>
        </w:rPr>
        <w:fldChar w:fldCharType="separate"/>
      </w:r>
      <w:r>
        <w:rPr>
          <w:rStyle w:val="12"/>
          <w:rFonts w:ascii="仿宋_GB2312" w:hAnsi="仿宋_GB2312" w:eastAsia="仿宋_GB2312" w:cs="仿宋_GB2312"/>
          <w:color w:val="auto"/>
        </w:rPr>
        <w:t>1.1项目背景</w:t>
      </w:r>
      <w:r>
        <w:rPr>
          <w:color w:val="auto"/>
        </w:rPr>
        <w:tab/>
      </w:r>
      <w:r>
        <w:rPr>
          <w:rFonts w:hint="eastAsia" w:eastAsia="宋体"/>
          <w:color w:val="auto"/>
          <w:lang w:val="en-US" w:eastAsia="zh-CN"/>
        </w:rPr>
        <w:t>4</w:t>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"_Toc256000002" </w:instrText>
      </w:r>
      <w:r>
        <w:rPr>
          <w:color w:val="auto"/>
        </w:rPr>
        <w:fldChar w:fldCharType="separate"/>
      </w:r>
      <w:r>
        <w:rPr>
          <w:rStyle w:val="12"/>
          <w:rFonts w:ascii="仿宋_GB2312" w:hAnsi="仿宋_GB2312" w:eastAsia="仿宋_GB2312" w:cs="仿宋_GB2312"/>
          <w:color w:val="auto"/>
        </w:rPr>
        <w:t>1.1.1项目目的、意义及背景</w:t>
      </w:r>
      <w:r>
        <w:rPr>
          <w:color w:val="auto"/>
        </w:rPr>
        <w:tab/>
      </w:r>
      <w:r>
        <w:rPr>
          <w:rFonts w:hint="eastAsia" w:eastAsia="宋体"/>
          <w:color w:val="auto"/>
          <w:lang w:val="en-US" w:eastAsia="zh-CN"/>
        </w:rPr>
        <w:t>4</w:t>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"_Toc256000003" </w:instrText>
      </w:r>
      <w:r>
        <w:rPr>
          <w:color w:val="auto"/>
        </w:rPr>
        <w:fldChar w:fldCharType="separate"/>
      </w:r>
      <w:r>
        <w:rPr>
          <w:rStyle w:val="12"/>
          <w:rFonts w:ascii="仿宋_GB2312" w:hAnsi="仿宋_GB2312" w:eastAsia="仿宋_GB2312" w:cs="仿宋_GB2312"/>
          <w:color w:val="auto"/>
        </w:rPr>
        <w:t>1.2项目内容</w:t>
      </w:r>
      <w:r>
        <w:rPr>
          <w:color w:val="auto"/>
        </w:rPr>
        <w:tab/>
      </w:r>
      <w:r>
        <w:rPr>
          <w:rFonts w:hint="eastAsia" w:eastAsia="宋体"/>
          <w:color w:val="auto"/>
          <w:lang w:val="en-US" w:eastAsia="zh-CN"/>
        </w:rPr>
        <w:t>4</w:t>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"_Toc256000004" </w:instrText>
      </w:r>
      <w:r>
        <w:rPr>
          <w:color w:val="auto"/>
        </w:rPr>
        <w:fldChar w:fldCharType="separate"/>
      </w:r>
      <w:r>
        <w:rPr>
          <w:rStyle w:val="12"/>
          <w:rFonts w:ascii="仿宋_GB2312" w:hAnsi="仿宋_GB2312" w:eastAsia="仿宋_GB2312" w:cs="仿宋_GB2312"/>
          <w:color w:val="auto"/>
        </w:rPr>
        <w:t>1.2.1项目建设思路</w:t>
      </w:r>
      <w:r>
        <w:rPr>
          <w:color w:val="auto"/>
        </w:rPr>
        <w:tab/>
      </w:r>
      <w:r>
        <w:rPr>
          <w:rFonts w:hint="eastAsia" w:eastAsia="宋体"/>
          <w:color w:val="auto"/>
          <w:lang w:val="en-US" w:eastAsia="zh-CN"/>
        </w:rPr>
        <w:t>4</w:t>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"_Toc256000005" </w:instrText>
      </w:r>
      <w:r>
        <w:rPr>
          <w:color w:val="auto"/>
        </w:rPr>
        <w:fldChar w:fldCharType="separate"/>
      </w:r>
      <w:r>
        <w:rPr>
          <w:rStyle w:val="12"/>
          <w:rFonts w:ascii="仿宋_GB2312" w:hAnsi="仿宋_GB2312" w:eastAsia="仿宋_GB2312" w:cs="仿宋_GB2312"/>
          <w:color w:val="auto"/>
        </w:rPr>
        <w:t>1.2.2采购内容</w:t>
      </w:r>
      <w:r>
        <w:rPr>
          <w:color w:val="auto"/>
        </w:rPr>
        <w:tab/>
      </w:r>
      <w:r>
        <w:rPr>
          <w:rFonts w:hint="eastAsia" w:eastAsia="宋体"/>
          <w:color w:val="auto"/>
          <w:lang w:val="en-US" w:eastAsia="zh-CN"/>
        </w:rPr>
        <w:t>4</w:t>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"_Toc256000006" </w:instrText>
      </w:r>
      <w:r>
        <w:rPr>
          <w:color w:val="auto"/>
        </w:rPr>
        <w:fldChar w:fldCharType="separate"/>
      </w:r>
      <w:r>
        <w:rPr>
          <w:rStyle w:val="12"/>
          <w:rFonts w:ascii="仿宋_GB2312" w:hAnsi="仿宋_GB2312" w:eastAsia="仿宋_GB2312" w:cs="仿宋_GB2312"/>
          <w:color w:val="auto"/>
        </w:rPr>
        <w:t>1.2.3项目实施要求</w:t>
      </w:r>
      <w:r>
        <w:rPr>
          <w:color w:val="auto"/>
        </w:rPr>
        <w:tab/>
      </w:r>
      <w:r>
        <w:rPr>
          <w:rFonts w:hint="eastAsia" w:eastAsia="宋体"/>
          <w:color w:val="auto"/>
          <w:lang w:val="en-US" w:eastAsia="zh-CN"/>
        </w:rPr>
        <w:t>5</w:t>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"_Toc256000007" </w:instrText>
      </w:r>
      <w:r>
        <w:rPr>
          <w:color w:val="auto"/>
        </w:rPr>
        <w:fldChar w:fldCharType="separate"/>
      </w:r>
      <w:r>
        <w:rPr>
          <w:rStyle w:val="12"/>
          <w:rFonts w:ascii="仿宋_GB2312" w:hAnsi="仿宋_GB2312" w:eastAsia="仿宋_GB2312" w:cs="仿宋_GB2312"/>
          <w:color w:val="auto"/>
        </w:rPr>
        <w:t>1.3其他要求</w:t>
      </w:r>
      <w:r>
        <w:rPr>
          <w:color w:val="auto"/>
        </w:rPr>
        <w:tab/>
      </w:r>
      <w:r>
        <w:rPr>
          <w:color w:val="auto"/>
        </w:rPr>
        <w:fldChar w:fldCharType="begin"/>
      </w:r>
      <w:r>
        <w:rPr>
          <w:color w:val="auto"/>
        </w:rPr>
        <w:instrText xml:space="preserve"> PAGEREF _Toc256000007 \h </w:instrText>
      </w:r>
      <w:r>
        <w:rPr>
          <w:color w:val="auto"/>
        </w:rPr>
        <w:fldChar w:fldCharType="separate"/>
      </w:r>
      <w:r>
        <w:rPr>
          <w:color w:val="auto"/>
        </w:rPr>
        <w:t>5</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"_Toc256000008" </w:instrText>
      </w:r>
      <w:r>
        <w:rPr>
          <w:color w:val="auto"/>
        </w:rPr>
        <w:fldChar w:fldCharType="separate"/>
      </w:r>
      <w:r>
        <w:rPr>
          <w:rStyle w:val="12"/>
          <w:rFonts w:ascii="仿宋_GB2312" w:hAnsi="仿宋_GB2312" w:eastAsia="仿宋_GB2312" w:cs="仿宋_GB2312"/>
          <w:color w:val="auto"/>
        </w:rPr>
        <w:t>1.3.1采购标的需执行的相关标准规范</w:t>
      </w:r>
      <w:r>
        <w:rPr>
          <w:color w:val="auto"/>
        </w:rPr>
        <w:tab/>
      </w:r>
      <w:r>
        <w:rPr>
          <w:color w:val="auto"/>
        </w:rPr>
        <w:fldChar w:fldCharType="begin"/>
      </w:r>
      <w:r>
        <w:rPr>
          <w:color w:val="auto"/>
        </w:rPr>
        <w:instrText xml:space="preserve"> PAGEREF _Toc256000008 \h </w:instrText>
      </w:r>
      <w:r>
        <w:rPr>
          <w:color w:val="auto"/>
        </w:rPr>
        <w:fldChar w:fldCharType="separate"/>
      </w:r>
      <w:r>
        <w:rPr>
          <w:color w:val="auto"/>
        </w:rPr>
        <w:t>5</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"_Toc256000009" </w:instrText>
      </w:r>
      <w:r>
        <w:rPr>
          <w:color w:val="auto"/>
        </w:rPr>
        <w:fldChar w:fldCharType="separate"/>
      </w:r>
      <w:r>
        <w:rPr>
          <w:rStyle w:val="12"/>
          <w:rFonts w:ascii="仿宋_GB2312" w:hAnsi="仿宋_GB2312" w:eastAsia="仿宋_GB2312" w:cs="仿宋_GB2312"/>
          <w:color w:val="auto"/>
          <w:kern w:val="36"/>
        </w:rPr>
        <w:t>2投标/响应要求</w:t>
      </w:r>
      <w:r>
        <w:rPr>
          <w:color w:val="auto"/>
        </w:rPr>
        <w:tab/>
      </w:r>
      <w:r>
        <w:rPr>
          <w:color w:val="auto"/>
        </w:rPr>
        <w:fldChar w:fldCharType="begin"/>
      </w:r>
      <w:r>
        <w:rPr>
          <w:color w:val="auto"/>
        </w:rPr>
        <w:instrText xml:space="preserve"> PAGEREF _Toc256000009 \h </w:instrText>
      </w:r>
      <w:r>
        <w:rPr>
          <w:color w:val="auto"/>
        </w:rPr>
        <w:fldChar w:fldCharType="separate"/>
      </w:r>
      <w:r>
        <w:rPr>
          <w:color w:val="auto"/>
        </w:rPr>
        <w:t>5</w:t>
      </w:r>
      <w:r>
        <w:rPr>
          <w:color w:val="auto"/>
        </w:rPr>
        <w:fldChar w:fldCharType="end"/>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"_Toc256000010" </w:instrText>
      </w:r>
      <w:r>
        <w:rPr>
          <w:color w:val="auto"/>
        </w:rPr>
        <w:fldChar w:fldCharType="separate"/>
      </w:r>
      <w:r>
        <w:rPr>
          <w:rStyle w:val="12"/>
          <w:rFonts w:ascii="仿宋_GB2312" w:hAnsi="仿宋_GB2312" w:eastAsia="仿宋_GB2312" w:cs="仿宋_GB2312"/>
          <w:color w:val="auto"/>
        </w:rPr>
        <w:t>2.1对供应商的要求</w:t>
      </w:r>
      <w:r>
        <w:rPr>
          <w:color w:val="auto"/>
        </w:rPr>
        <w:tab/>
      </w:r>
      <w:r>
        <w:rPr>
          <w:color w:val="auto"/>
        </w:rPr>
        <w:fldChar w:fldCharType="begin"/>
      </w:r>
      <w:r>
        <w:rPr>
          <w:color w:val="auto"/>
        </w:rPr>
        <w:instrText xml:space="preserve"> PAGEREF _Toc256000010 \h </w:instrText>
      </w:r>
      <w:r>
        <w:rPr>
          <w:color w:val="auto"/>
        </w:rPr>
        <w:fldChar w:fldCharType="separate"/>
      </w:r>
      <w:r>
        <w:rPr>
          <w:color w:val="auto"/>
        </w:rPr>
        <w:t>5</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"_Toc256000011" </w:instrText>
      </w:r>
      <w:r>
        <w:rPr>
          <w:color w:val="auto"/>
        </w:rPr>
        <w:fldChar w:fldCharType="separate"/>
      </w:r>
      <w:r>
        <w:rPr>
          <w:rStyle w:val="12"/>
          <w:rFonts w:ascii="仿宋_GB2312" w:hAnsi="仿宋_GB2312" w:eastAsia="仿宋_GB2312" w:cs="仿宋_GB2312"/>
          <w:color w:val="auto"/>
        </w:rPr>
        <w:t>2.1.1必备资质</w:t>
      </w:r>
      <w:r>
        <w:rPr>
          <w:color w:val="auto"/>
        </w:rPr>
        <w:tab/>
      </w:r>
      <w:r>
        <w:rPr>
          <w:color w:val="auto"/>
        </w:rPr>
        <w:fldChar w:fldCharType="begin"/>
      </w:r>
      <w:r>
        <w:rPr>
          <w:color w:val="auto"/>
        </w:rPr>
        <w:instrText xml:space="preserve"> PAGEREF _Toc256000011 \h </w:instrText>
      </w:r>
      <w:r>
        <w:rPr>
          <w:color w:val="auto"/>
        </w:rPr>
        <w:fldChar w:fldCharType="separate"/>
      </w:r>
      <w:r>
        <w:rPr>
          <w:color w:val="auto"/>
        </w:rPr>
        <w:t>5</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"_Toc256000012" </w:instrText>
      </w:r>
      <w:r>
        <w:rPr>
          <w:color w:val="auto"/>
        </w:rPr>
        <w:fldChar w:fldCharType="separate"/>
      </w:r>
      <w:r>
        <w:rPr>
          <w:rStyle w:val="12"/>
          <w:rFonts w:ascii="仿宋_GB2312" w:hAnsi="仿宋_GB2312" w:eastAsia="仿宋_GB2312" w:cs="仿宋_GB2312"/>
          <w:color w:val="auto"/>
        </w:rPr>
        <w:t>2.1.2优选资质/优选指标</w:t>
      </w:r>
      <w:r>
        <w:rPr>
          <w:color w:val="auto"/>
        </w:rPr>
        <w:tab/>
      </w:r>
      <w:r>
        <w:rPr>
          <w:rFonts w:hint="eastAsia" w:eastAsia="宋体"/>
          <w:color w:val="auto"/>
          <w:lang w:val="en-US" w:eastAsia="zh-CN"/>
        </w:rPr>
        <w:t>6</w:t>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"_Toc256000013" </w:instrText>
      </w:r>
      <w:r>
        <w:rPr>
          <w:color w:val="auto"/>
        </w:rPr>
        <w:fldChar w:fldCharType="separate"/>
      </w:r>
      <w:r>
        <w:rPr>
          <w:rStyle w:val="12"/>
          <w:rFonts w:ascii="仿宋_GB2312" w:hAnsi="仿宋_GB2312" w:eastAsia="仿宋_GB2312" w:cs="仿宋_GB2312"/>
          <w:color w:val="auto"/>
        </w:rPr>
        <w:t>2.1.3是否允许联合体</w:t>
      </w:r>
      <w:r>
        <w:rPr>
          <w:color w:val="auto"/>
        </w:rPr>
        <w:tab/>
      </w:r>
      <w:r>
        <w:rPr>
          <w:color w:val="auto"/>
        </w:rPr>
        <w:fldChar w:fldCharType="begin"/>
      </w:r>
      <w:r>
        <w:rPr>
          <w:color w:val="auto"/>
        </w:rPr>
        <w:instrText xml:space="preserve"> PAGEREF _Toc256000013 \h </w:instrText>
      </w:r>
      <w:r>
        <w:rPr>
          <w:color w:val="auto"/>
        </w:rPr>
        <w:fldChar w:fldCharType="separate"/>
      </w:r>
      <w:r>
        <w:rPr>
          <w:color w:val="auto"/>
        </w:rPr>
        <w:t>6</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"_Toc256000014" </w:instrText>
      </w:r>
      <w:r>
        <w:rPr>
          <w:color w:val="auto"/>
        </w:rPr>
        <w:fldChar w:fldCharType="separate"/>
      </w:r>
      <w:r>
        <w:rPr>
          <w:rStyle w:val="12"/>
          <w:rFonts w:ascii="仿宋_GB2312" w:hAnsi="仿宋_GB2312" w:eastAsia="仿宋_GB2312" w:cs="仿宋_GB2312"/>
          <w:color w:val="auto"/>
        </w:rPr>
        <w:t>2.1.4是否专门面向中小企业</w:t>
      </w:r>
      <w:r>
        <w:rPr>
          <w:color w:val="auto"/>
        </w:rPr>
        <w:tab/>
      </w:r>
      <w:r>
        <w:rPr>
          <w:color w:val="auto"/>
        </w:rPr>
        <w:fldChar w:fldCharType="begin"/>
      </w:r>
      <w:r>
        <w:rPr>
          <w:color w:val="auto"/>
        </w:rPr>
        <w:instrText xml:space="preserve"> PAGEREF _Toc256000014 \h </w:instrText>
      </w:r>
      <w:r>
        <w:rPr>
          <w:color w:val="auto"/>
        </w:rPr>
        <w:fldChar w:fldCharType="separate"/>
      </w:r>
      <w:r>
        <w:rPr>
          <w:color w:val="auto"/>
        </w:rPr>
        <w:t>6</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"_Toc256000015" </w:instrText>
      </w:r>
      <w:r>
        <w:rPr>
          <w:color w:val="auto"/>
        </w:rPr>
        <w:fldChar w:fldCharType="separate"/>
      </w:r>
      <w:r>
        <w:rPr>
          <w:rStyle w:val="12"/>
          <w:rFonts w:ascii="仿宋_GB2312" w:hAnsi="仿宋_GB2312" w:eastAsia="仿宋_GB2312" w:cs="仿宋_GB2312"/>
          <w:color w:val="auto"/>
        </w:rPr>
        <w:t>2.1.5其他要求</w:t>
      </w:r>
      <w:r>
        <w:rPr>
          <w:color w:val="auto"/>
        </w:rPr>
        <w:tab/>
      </w:r>
      <w:r>
        <w:rPr>
          <w:color w:val="auto"/>
        </w:rPr>
        <w:fldChar w:fldCharType="begin"/>
      </w:r>
      <w:r>
        <w:rPr>
          <w:color w:val="auto"/>
        </w:rPr>
        <w:instrText xml:space="preserve"> PAGEREF _Toc256000015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"_Toc256000016" </w:instrText>
      </w:r>
      <w:r>
        <w:rPr>
          <w:color w:val="auto"/>
        </w:rPr>
        <w:fldChar w:fldCharType="separate"/>
      </w:r>
      <w:r>
        <w:rPr>
          <w:rStyle w:val="12"/>
          <w:rFonts w:ascii="仿宋_GB2312" w:hAnsi="仿宋_GB2312" w:eastAsia="仿宋_GB2312" w:cs="仿宋_GB2312"/>
          <w:color w:val="auto"/>
        </w:rPr>
        <w:t>2.2技术部分投标/响应内容</w:t>
      </w:r>
      <w:r>
        <w:rPr>
          <w:color w:val="auto"/>
        </w:rPr>
        <w:tab/>
      </w:r>
      <w:r>
        <w:rPr>
          <w:color w:val="auto"/>
        </w:rPr>
        <w:fldChar w:fldCharType="begin"/>
      </w:r>
      <w:r>
        <w:rPr>
          <w:color w:val="auto"/>
        </w:rPr>
        <w:instrText xml:space="preserve"> PAGEREF _Toc256000016 \h </w:instrText>
      </w:r>
      <w:r>
        <w:rPr>
          <w:color w:val="auto"/>
        </w:rPr>
        <w:fldChar w:fldCharType="separate"/>
      </w:r>
      <w:r>
        <w:rPr>
          <w:color w:val="auto"/>
        </w:rPr>
        <w:t>6</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"_Toc256000017" </w:instrText>
      </w:r>
      <w:r>
        <w:rPr>
          <w:color w:val="auto"/>
        </w:rPr>
        <w:fldChar w:fldCharType="separate"/>
      </w:r>
      <w:r>
        <w:rPr>
          <w:rStyle w:val="12"/>
          <w:rFonts w:ascii="仿宋_GB2312" w:hAnsi="仿宋_GB2312" w:eastAsia="仿宋_GB2312" w:cs="仿宋_GB2312"/>
          <w:color w:val="auto"/>
        </w:rPr>
        <w:t>2.2.1技术投标/响应总要求</w:t>
      </w:r>
      <w:r>
        <w:rPr>
          <w:color w:val="auto"/>
        </w:rPr>
        <w:tab/>
      </w:r>
      <w:r>
        <w:rPr>
          <w:color w:val="auto"/>
        </w:rPr>
        <w:fldChar w:fldCharType="begin"/>
      </w:r>
      <w:r>
        <w:rPr>
          <w:color w:val="auto"/>
        </w:rPr>
        <w:instrText xml:space="preserve"> PAGEREF _Toc256000017 \h </w:instrText>
      </w:r>
      <w:r>
        <w:rPr>
          <w:color w:val="auto"/>
        </w:rPr>
        <w:fldChar w:fldCharType="separate"/>
      </w:r>
      <w:r>
        <w:rPr>
          <w:color w:val="auto"/>
        </w:rPr>
        <w:t>6</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"_Toc256000018" </w:instrText>
      </w:r>
      <w:r>
        <w:rPr>
          <w:color w:val="auto"/>
        </w:rPr>
        <w:fldChar w:fldCharType="separate"/>
      </w:r>
      <w:r>
        <w:rPr>
          <w:rStyle w:val="12"/>
          <w:rFonts w:ascii="仿宋_GB2312" w:hAnsi="仿宋_GB2312" w:eastAsia="仿宋_GB2312" w:cs="仿宋_GB2312"/>
          <w:color w:val="auto"/>
        </w:rPr>
        <w:t>2.2.2投标/响应方案要求</w:t>
      </w:r>
      <w:r>
        <w:rPr>
          <w:color w:val="auto"/>
        </w:rPr>
        <w:tab/>
      </w:r>
      <w:r>
        <w:rPr>
          <w:color w:val="auto"/>
        </w:rPr>
        <w:fldChar w:fldCharType="begin"/>
      </w:r>
      <w:r>
        <w:rPr>
          <w:color w:val="auto"/>
        </w:rPr>
        <w:instrText xml:space="preserve"> PAGEREF _Toc256000018 \h </w:instrText>
      </w:r>
      <w:r>
        <w:rPr>
          <w:color w:val="auto"/>
        </w:rPr>
        <w:fldChar w:fldCharType="separate"/>
      </w:r>
      <w:r>
        <w:rPr>
          <w:color w:val="auto"/>
        </w:rPr>
        <w:t>7</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"_Toc256000019" </w:instrText>
      </w:r>
      <w:r>
        <w:rPr>
          <w:color w:val="auto"/>
        </w:rPr>
        <w:fldChar w:fldCharType="separate"/>
      </w:r>
      <w:r>
        <w:rPr>
          <w:rStyle w:val="12"/>
          <w:rFonts w:ascii="仿宋_GB2312" w:hAnsi="仿宋_GB2312" w:eastAsia="仿宋_GB2312" w:cs="仿宋_GB2312"/>
          <w:color w:val="auto"/>
          <w:kern w:val="36"/>
        </w:rPr>
        <w:t>3项目需求</w:t>
      </w:r>
      <w:r>
        <w:rPr>
          <w:color w:val="auto"/>
        </w:rPr>
        <w:tab/>
      </w:r>
      <w:r>
        <w:rPr>
          <w:color w:val="auto"/>
        </w:rPr>
        <w:fldChar w:fldCharType="begin"/>
      </w:r>
      <w:r>
        <w:rPr>
          <w:color w:val="auto"/>
        </w:rPr>
        <w:instrText xml:space="preserve"> PAGEREF _Toc256000019 \h </w:instrText>
      </w:r>
      <w:r>
        <w:rPr>
          <w:color w:val="auto"/>
        </w:rPr>
        <w:fldChar w:fldCharType="separate"/>
      </w:r>
      <w:r>
        <w:rPr>
          <w:color w:val="auto"/>
        </w:rPr>
        <w:t>7</w:t>
      </w:r>
      <w:r>
        <w:rPr>
          <w:color w:val="auto"/>
        </w:rPr>
        <w:fldChar w:fldCharType="end"/>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"_Toc256000020" </w:instrText>
      </w:r>
      <w:r>
        <w:rPr>
          <w:color w:val="auto"/>
        </w:rPr>
        <w:fldChar w:fldCharType="separate"/>
      </w:r>
      <w:r>
        <w:rPr>
          <w:rStyle w:val="12"/>
          <w:rFonts w:ascii="仿宋_GB2312" w:hAnsi="仿宋_GB2312" w:eastAsia="仿宋_GB2312" w:cs="仿宋_GB2312"/>
          <w:color w:val="auto"/>
        </w:rPr>
        <w:t>3.1总体要求</w:t>
      </w:r>
      <w:r>
        <w:rPr>
          <w:color w:val="auto"/>
        </w:rPr>
        <w:tab/>
      </w:r>
      <w:r>
        <w:rPr>
          <w:color w:val="auto"/>
        </w:rPr>
        <w:fldChar w:fldCharType="begin"/>
      </w:r>
      <w:r>
        <w:rPr>
          <w:color w:val="auto"/>
        </w:rPr>
        <w:instrText xml:space="preserve"> PAGEREF _Toc256000020 \h </w:instrText>
      </w:r>
      <w:r>
        <w:rPr>
          <w:color w:val="auto"/>
        </w:rPr>
        <w:fldChar w:fldCharType="separate"/>
      </w:r>
      <w:r>
        <w:rPr>
          <w:color w:val="auto"/>
        </w:rPr>
        <w:t>7</w:t>
      </w:r>
      <w:r>
        <w:rPr>
          <w:color w:val="auto"/>
        </w:rPr>
        <w:fldChar w:fldCharType="end"/>
      </w:r>
      <w:r>
        <w:rPr>
          <w:color w:val="auto"/>
        </w:rPr>
        <w:fldChar w:fldCharType="end"/>
      </w:r>
    </w:p>
    <w:p>
      <w:pPr>
        <w:pStyle w:val="9"/>
        <w:tabs>
          <w:tab w:val="right" w:leader="dot" w:pos="9016"/>
        </w:tabs>
        <w:spacing w:before="0" w:after="0" w:line="360" w:lineRule="auto"/>
        <w:rPr>
          <w:rFonts w:hint="default" w:eastAsia="宋体" w:asciiTheme="minorHAnsi" w:hAnsiTheme="minorHAnsi"/>
          <w:color w:val="auto"/>
          <w:sz w:val="22"/>
          <w:lang w:val="en-US" w:eastAsia="zh-CN"/>
        </w:rPr>
      </w:pPr>
      <w:r>
        <w:rPr>
          <w:color w:val="auto"/>
        </w:rPr>
        <w:fldChar w:fldCharType="begin"/>
      </w:r>
      <w:r>
        <w:rPr>
          <w:color w:val="auto"/>
        </w:rPr>
        <w:instrText xml:space="preserve"> HYPERLINK \l "_Toc256000021" </w:instrText>
      </w:r>
      <w:r>
        <w:rPr>
          <w:color w:val="auto"/>
        </w:rPr>
        <w:fldChar w:fldCharType="separate"/>
      </w:r>
      <w:r>
        <w:rPr>
          <w:rStyle w:val="12"/>
          <w:rFonts w:ascii="仿宋_GB2312" w:hAnsi="仿宋_GB2312" w:eastAsia="仿宋_GB2312" w:cs="仿宋_GB2312"/>
          <w:color w:val="auto"/>
        </w:rPr>
        <w:t>3.2采购产品一览表</w:t>
      </w:r>
      <w:r>
        <w:rPr>
          <w:color w:val="auto"/>
        </w:rPr>
        <w:tab/>
      </w:r>
      <w:r>
        <w:rPr>
          <w:rFonts w:hint="eastAsia" w:eastAsia="宋体"/>
          <w:color w:val="auto"/>
          <w:lang w:val="en-US" w:eastAsia="zh-CN"/>
        </w:rPr>
        <w:t>7</w:t>
      </w:r>
      <w:r>
        <w:rPr>
          <w:color w:val="auto"/>
        </w:rPr>
        <w:fldChar w:fldCharType="end"/>
      </w:r>
    </w:p>
    <w:p>
      <w:pPr>
        <w:pStyle w:val="9"/>
        <w:tabs>
          <w:tab w:val="right" w:leader="dot" w:pos="9016"/>
        </w:tabs>
        <w:spacing w:before="0" w:after="0" w:line="360" w:lineRule="auto"/>
        <w:rPr>
          <w:rFonts w:hint="eastAsia" w:eastAsia="宋体" w:asciiTheme="minorHAnsi" w:hAnsiTheme="minorHAnsi"/>
          <w:color w:val="auto"/>
          <w:sz w:val="22"/>
          <w:lang w:val="en-US" w:eastAsia="zh-CN"/>
        </w:rPr>
      </w:pPr>
      <w:r>
        <w:rPr>
          <w:color w:val="auto"/>
        </w:rPr>
        <w:fldChar w:fldCharType="begin"/>
      </w:r>
      <w:r>
        <w:rPr>
          <w:color w:val="auto"/>
        </w:rPr>
        <w:instrText xml:space="preserve"> HYPERLINK \l "_Toc256000023" </w:instrText>
      </w:r>
      <w:r>
        <w:rPr>
          <w:color w:val="auto"/>
        </w:rPr>
        <w:fldChar w:fldCharType="separate"/>
      </w:r>
      <w:r>
        <w:rPr>
          <w:rStyle w:val="12"/>
          <w:rFonts w:ascii="仿宋_GB2312" w:hAnsi="仿宋_GB2312" w:eastAsia="仿宋_GB2312" w:cs="仿宋_GB2312"/>
          <w:color w:val="auto"/>
        </w:rPr>
        <w:t>3.4服务要求</w:t>
      </w:r>
      <w:r>
        <w:rPr>
          <w:color w:val="auto"/>
        </w:rPr>
        <w:tab/>
      </w:r>
      <w:r>
        <w:rPr>
          <w:rFonts w:hint="eastAsia" w:eastAsia="宋体"/>
          <w:color w:val="auto"/>
          <w:lang w:val="en-US" w:eastAsia="zh-CN"/>
        </w:rPr>
        <w:t>2</w:t>
      </w:r>
      <w:r>
        <w:rPr>
          <w:color w:val="auto"/>
        </w:rPr>
        <w:fldChar w:fldCharType="end"/>
      </w:r>
      <w:r>
        <w:rPr>
          <w:rFonts w:hint="eastAsia" w:eastAsia="宋体"/>
          <w:color w:val="auto"/>
          <w:lang w:val="en-US" w:eastAsia="zh-CN"/>
        </w:rPr>
        <w:t>9</w:t>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"_Toc256000024" </w:instrText>
      </w:r>
      <w:r>
        <w:rPr>
          <w:color w:val="auto"/>
        </w:rPr>
        <w:fldChar w:fldCharType="separate"/>
      </w:r>
      <w:r>
        <w:rPr>
          <w:rStyle w:val="12"/>
          <w:rFonts w:ascii="仿宋_GB2312" w:hAnsi="仿宋_GB2312" w:eastAsia="仿宋_GB2312" w:cs="仿宋_GB2312"/>
          <w:color w:val="auto"/>
        </w:rPr>
        <w:t>3.5其他要求</w:t>
      </w:r>
      <w:r>
        <w:rPr>
          <w:color w:val="auto"/>
        </w:rPr>
        <w:tab/>
      </w:r>
      <w:r>
        <w:rPr>
          <w:color w:val="auto"/>
        </w:rPr>
        <w:fldChar w:fldCharType="begin"/>
      </w:r>
      <w:r>
        <w:rPr>
          <w:color w:val="auto"/>
        </w:rPr>
        <w:instrText xml:space="preserve"> PAGEREF _Toc256000024 \h </w:instrText>
      </w:r>
      <w:r>
        <w:rPr>
          <w:color w:val="auto"/>
        </w:rPr>
        <w:fldChar w:fldCharType="separate"/>
      </w:r>
      <w:r>
        <w:rPr>
          <w:color w:val="auto"/>
        </w:rPr>
        <w:t>29</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"_Toc256000025" </w:instrText>
      </w:r>
      <w:r>
        <w:rPr>
          <w:color w:val="auto"/>
        </w:rPr>
        <w:fldChar w:fldCharType="separate"/>
      </w:r>
      <w:r>
        <w:rPr>
          <w:rStyle w:val="12"/>
          <w:rFonts w:ascii="仿宋_GB2312" w:hAnsi="仿宋_GB2312" w:eastAsia="仿宋_GB2312" w:cs="仿宋_GB2312"/>
          <w:color w:val="auto"/>
        </w:rPr>
        <w:t>3.5.1质量安全把控服务要求</w:t>
      </w:r>
      <w:r>
        <w:rPr>
          <w:color w:val="auto"/>
        </w:rPr>
        <w:tab/>
      </w:r>
      <w:r>
        <w:rPr>
          <w:color w:val="auto"/>
        </w:rPr>
        <w:fldChar w:fldCharType="begin"/>
      </w:r>
      <w:r>
        <w:rPr>
          <w:color w:val="auto"/>
        </w:rPr>
        <w:instrText xml:space="preserve"> PAGEREF _Toc256000025 \h </w:instrText>
      </w:r>
      <w:r>
        <w:rPr>
          <w:color w:val="auto"/>
        </w:rPr>
        <w:fldChar w:fldCharType="separate"/>
      </w:r>
      <w:r>
        <w:rPr>
          <w:color w:val="auto"/>
        </w:rPr>
        <w:t>29</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"_Toc256000026" </w:instrText>
      </w:r>
      <w:r>
        <w:rPr>
          <w:color w:val="auto"/>
        </w:rPr>
        <w:fldChar w:fldCharType="separate"/>
      </w:r>
      <w:r>
        <w:rPr>
          <w:rStyle w:val="12"/>
          <w:rFonts w:ascii="仿宋_GB2312" w:hAnsi="仿宋_GB2312" w:eastAsia="仿宋_GB2312" w:cs="仿宋_GB2312"/>
          <w:color w:val="auto"/>
        </w:rPr>
        <w:t>3.5.2供应方案要求</w:t>
      </w:r>
      <w:r>
        <w:rPr>
          <w:color w:val="auto"/>
        </w:rPr>
        <w:tab/>
      </w:r>
      <w:r>
        <w:rPr>
          <w:color w:val="auto"/>
        </w:rPr>
        <w:fldChar w:fldCharType="begin"/>
      </w:r>
      <w:r>
        <w:rPr>
          <w:color w:val="auto"/>
        </w:rPr>
        <w:instrText xml:space="preserve"> PAGEREF _Toc256000026 \h </w:instrText>
      </w:r>
      <w:r>
        <w:rPr>
          <w:color w:val="auto"/>
        </w:rPr>
        <w:fldChar w:fldCharType="separate"/>
      </w:r>
      <w:r>
        <w:rPr>
          <w:color w:val="auto"/>
        </w:rPr>
        <w:t>30</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"_Toc256000027" </w:instrText>
      </w:r>
      <w:r>
        <w:rPr>
          <w:color w:val="auto"/>
        </w:rPr>
        <w:fldChar w:fldCharType="separate"/>
      </w:r>
      <w:r>
        <w:rPr>
          <w:rStyle w:val="12"/>
          <w:rFonts w:ascii="仿宋_GB2312" w:hAnsi="仿宋_GB2312" w:eastAsia="仿宋_GB2312" w:cs="仿宋_GB2312"/>
          <w:color w:val="auto"/>
          <w:kern w:val="36"/>
        </w:rPr>
        <w:t>4人员要求</w:t>
      </w:r>
      <w:r>
        <w:rPr>
          <w:color w:val="auto"/>
        </w:rPr>
        <w:tab/>
      </w:r>
      <w:r>
        <w:rPr>
          <w:color w:val="auto"/>
        </w:rPr>
        <w:fldChar w:fldCharType="begin"/>
      </w:r>
      <w:r>
        <w:rPr>
          <w:color w:val="auto"/>
        </w:rPr>
        <w:instrText xml:space="preserve"> PAGEREF _Toc256000027 \h </w:instrText>
      </w:r>
      <w:r>
        <w:rPr>
          <w:color w:val="auto"/>
        </w:rPr>
        <w:fldChar w:fldCharType="separate"/>
      </w:r>
      <w:r>
        <w:rPr>
          <w:color w:val="auto"/>
        </w:rPr>
        <w:t>30</w:t>
      </w:r>
      <w:r>
        <w:rPr>
          <w:color w:val="auto"/>
        </w:rPr>
        <w:fldChar w:fldCharType="end"/>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"_Toc256000028" </w:instrText>
      </w:r>
      <w:r>
        <w:rPr>
          <w:color w:val="auto"/>
        </w:rPr>
        <w:fldChar w:fldCharType="separate"/>
      </w:r>
      <w:r>
        <w:rPr>
          <w:rStyle w:val="12"/>
          <w:rFonts w:ascii="仿宋_GB2312" w:hAnsi="仿宋_GB2312" w:eastAsia="仿宋_GB2312" w:cs="仿宋_GB2312"/>
          <w:color w:val="auto"/>
        </w:rPr>
        <w:t>4.1团队要求</w:t>
      </w:r>
      <w:r>
        <w:rPr>
          <w:color w:val="auto"/>
        </w:rPr>
        <w:tab/>
      </w:r>
      <w:r>
        <w:rPr>
          <w:color w:val="auto"/>
        </w:rPr>
        <w:fldChar w:fldCharType="begin"/>
      </w:r>
      <w:r>
        <w:rPr>
          <w:color w:val="auto"/>
        </w:rPr>
        <w:instrText xml:space="preserve"> PAGEREF _Toc256000028 \h </w:instrText>
      </w:r>
      <w:r>
        <w:rPr>
          <w:color w:val="auto"/>
        </w:rPr>
        <w:fldChar w:fldCharType="separate"/>
      </w:r>
      <w:r>
        <w:rPr>
          <w:color w:val="auto"/>
        </w:rPr>
        <w:t>30</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"_Toc256000029" </w:instrText>
      </w:r>
      <w:r>
        <w:rPr>
          <w:color w:val="auto"/>
        </w:rPr>
        <w:fldChar w:fldCharType="separate"/>
      </w:r>
      <w:r>
        <w:rPr>
          <w:rStyle w:val="12"/>
          <w:rFonts w:ascii="仿宋_GB2312" w:hAnsi="仿宋_GB2312" w:eastAsia="仿宋_GB2312" w:cs="仿宋_GB2312"/>
          <w:color w:val="auto"/>
        </w:rPr>
        <w:t>4.1.1基本要求</w:t>
      </w:r>
      <w:r>
        <w:rPr>
          <w:color w:val="auto"/>
        </w:rPr>
        <w:tab/>
      </w:r>
      <w:r>
        <w:rPr>
          <w:color w:val="auto"/>
        </w:rPr>
        <w:fldChar w:fldCharType="begin"/>
      </w:r>
      <w:r>
        <w:rPr>
          <w:color w:val="auto"/>
        </w:rPr>
        <w:instrText xml:space="preserve"> PAGEREF _Toc256000029 \h </w:instrText>
      </w:r>
      <w:r>
        <w:rPr>
          <w:color w:val="auto"/>
        </w:rPr>
        <w:fldChar w:fldCharType="separate"/>
      </w:r>
      <w:r>
        <w:rPr>
          <w:color w:val="auto"/>
        </w:rPr>
        <w:t>30</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"_Toc256000030" </w:instrText>
      </w:r>
      <w:r>
        <w:rPr>
          <w:color w:val="auto"/>
        </w:rPr>
        <w:fldChar w:fldCharType="separate"/>
      </w:r>
      <w:r>
        <w:rPr>
          <w:rStyle w:val="12"/>
          <w:rFonts w:ascii="仿宋_GB2312" w:hAnsi="仿宋_GB2312" w:eastAsia="仿宋_GB2312" w:cs="仿宋_GB2312"/>
          <w:color w:val="auto"/>
        </w:rPr>
        <w:t>4.1.2优选资质/优选指标</w:t>
      </w:r>
      <w:r>
        <w:rPr>
          <w:color w:val="auto"/>
        </w:rPr>
        <w:tab/>
      </w:r>
      <w:r>
        <w:rPr>
          <w:color w:val="auto"/>
        </w:rPr>
        <w:fldChar w:fldCharType="begin"/>
      </w:r>
      <w:r>
        <w:rPr>
          <w:color w:val="auto"/>
        </w:rPr>
        <w:instrText xml:space="preserve"> PAGEREF _Toc256000030 \h </w:instrText>
      </w:r>
      <w:r>
        <w:rPr>
          <w:color w:val="auto"/>
        </w:rPr>
        <w:fldChar w:fldCharType="separate"/>
      </w:r>
      <w:r>
        <w:rPr>
          <w:color w:val="auto"/>
        </w:rPr>
        <w:t>31</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"_Toc256000031" </w:instrText>
      </w:r>
      <w:r>
        <w:rPr>
          <w:color w:val="auto"/>
        </w:rPr>
        <w:fldChar w:fldCharType="separate"/>
      </w:r>
      <w:r>
        <w:rPr>
          <w:rStyle w:val="12"/>
          <w:rFonts w:ascii="仿宋_GB2312" w:hAnsi="仿宋_GB2312" w:eastAsia="仿宋_GB2312" w:cs="仿宋_GB2312"/>
          <w:color w:val="auto"/>
          <w:kern w:val="36"/>
        </w:rPr>
        <w:t>5管理实施要求</w:t>
      </w:r>
      <w:r>
        <w:rPr>
          <w:color w:val="auto"/>
        </w:rPr>
        <w:tab/>
      </w:r>
      <w:r>
        <w:rPr>
          <w:color w:val="auto"/>
        </w:rPr>
        <w:fldChar w:fldCharType="begin"/>
      </w:r>
      <w:r>
        <w:rPr>
          <w:color w:val="auto"/>
        </w:rPr>
        <w:instrText xml:space="preserve"> PAGEREF _Toc256000031 \h </w:instrText>
      </w:r>
      <w:r>
        <w:rPr>
          <w:color w:val="auto"/>
        </w:rPr>
        <w:fldChar w:fldCharType="separate"/>
      </w:r>
      <w:r>
        <w:rPr>
          <w:color w:val="auto"/>
        </w:rPr>
        <w:t>31</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"_Toc256000032" </w:instrText>
      </w:r>
      <w:r>
        <w:rPr>
          <w:color w:val="auto"/>
        </w:rPr>
        <w:fldChar w:fldCharType="separate"/>
      </w:r>
      <w:r>
        <w:rPr>
          <w:rStyle w:val="12"/>
          <w:rFonts w:ascii="仿宋_GB2312" w:hAnsi="仿宋_GB2312" w:eastAsia="仿宋_GB2312" w:cs="仿宋_GB2312"/>
          <w:color w:val="auto"/>
          <w:kern w:val="36"/>
        </w:rPr>
        <w:t>6风险管控要求</w:t>
      </w:r>
      <w:r>
        <w:rPr>
          <w:color w:val="auto"/>
        </w:rPr>
        <w:tab/>
      </w:r>
      <w:r>
        <w:rPr>
          <w:color w:val="auto"/>
        </w:rPr>
        <w:fldChar w:fldCharType="begin"/>
      </w:r>
      <w:r>
        <w:rPr>
          <w:color w:val="auto"/>
        </w:rPr>
        <w:instrText xml:space="preserve"> PAGEREF _Toc256000032 \h </w:instrText>
      </w:r>
      <w:r>
        <w:rPr>
          <w:color w:val="auto"/>
        </w:rPr>
        <w:fldChar w:fldCharType="separate"/>
      </w:r>
      <w:r>
        <w:rPr>
          <w:color w:val="auto"/>
        </w:rPr>
        <w:t>31</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"_Toc256000033" </w:instrText>
      </w:r>
      <w:r>
        <w:rPr>
          <w:color w:val="auto"/>
        </w:rPr>
        <w:fldChar w:fldCharType="separate"/>
      </w:r>
      <w:r>
        <w:rPr>
          <w:rStyle w:val="12"/>
          <w:rFonts w:ascii="仿宋_GB2312" w:hAnsi="仿宋_GB2312" w:eastAsia="仿宋_GB2312" w:cs="仿宋_GB2312"/>
          <w:color w:val="auto"/>
          <w:kern w:val="36"/>
        </w:rPr>
        <w:t>7履约验收要求</w:t>
      </w:r>
      <w:r>
        <w:rPr>
          <w:color w:val="auto"/>
        </w:rPr>
        <w:tab/>
      </w:r>
      <w:r>
        <w:rPr>
          <w:color w:val="auto"/>
        </w:rPr>
        <w:fldChar w:fldCharType="begin"/>
      </w:r>
      <w:r>
        <w:rPr>
          <w:color w:val="auto"/>
        </w:rPr>
        <w:instrText xml:space="preserve"> PAGEREF _Toc256000033 \h </w:instrText>
      </w:r>
      <w:r>
        <w:rPr>
          <w:color w:val="auto"/>
        </w:rPr>
        <w:fldChar w:fldCharType="separate"/>
      </w:r>
      <w:r>
        <w:rPr>
          <w:color w:val="auto"/>
        </w:rPr>
        <w:t>32</w:t>
      </w:r>
      <w:r>
        <w:rPr>
          <w:color w:val="auto"/>
        </w:rPr>
        <w:fldChar w:fldCharType="end"/>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"_Toc256000034" </w:instrText>
      </w:r>
      <w:r>
        <w:rPr>
          <w:color w:val="auto"/>
        </w:rPr>
        <w:fldChar w:fldCharType="separate"/>
      </w:r>
      <w:r>
        <w:rPr>
          <w:rStyle w:val="12"/>
          <w:rFonts w:ascii="仿宋_GB2312" w:hAnsi="仿宋_GB2312" w:eastAsia="仿宋_GB2312" w:cs="仿宋_GB2312"/>
          <w:color w:val="auto"/>
        </w:rPr>
        <w:t>7.1总体要求</w:t>
      </w:r>
      <w:r>
        <w:rPr>
          <w:color w:val="auto"/>
        </w:rPr>
        <w:tab/>
      </w:r>
      <w:r>
        <w:rPr>
          <w:color w:val="auto"/>
        </w:rPr>
        <w:fldChar w:fldCharType="begin"/>
      </w:r>
      <w:r>
        <w:rPr>
          <w:color w:val="auto"/>
        </w:rPr>
        <w:instrText xml:space="preserve"> PAGEREF _Toc256000034 \h </w:instrText>
      </w:r>
      <w:r>
        <w:rPr>
          <w:color w:val="auto"/>
        </w:rPr>
        <w:fldChar w:fldCharType="separate"/>
      </w:r>
      <w:r>
        <w:rPr>
          <w:color w:val="auto"/>
        </w:rPr>
        <w:t>32</w:t>
      </w:r>
      <w:r>
        <w:rPr>
          <w:color w:val="auto"/>
        </w:rPr>
        <w:fldChar w:fldCharType="end"/>
      </w:r>
      <w:r>
        <w:rPr>
          <w:color w:val="auto"/>
        </w:rPr>
        <w:fldChar w:fldCharType="end"/>
      </w:r>
    </w:p>
    <w:p>
      <w:pPr>
        <w:pStyle w:val="9"/>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"_Toc256000035" </w:instrText>
      </w:r>
      <w:r>
        <w:rPr>
          <w:color w:val="auto"/>
        </w:rPr>
        <w:fldChar w:fldCharType="separate"/>
      </w:r>
      <w:r>
        <w:rPr>
          <w:rStyle w:val="12"/>
          <w:rFonts w:ascii="仿宋_GB2312" w:hAnsi="仿宋_GB2312" w:eastAsia="仿宋_GB2312" w:cs="仿宋_GB2312"/>
          <w:color w:val="auto"/>
        </w:rPr>
        <w:t>7.2具体要求</w:t>
      </w:r>
      <w:r>
        <w:rPr>
          <w:color w:val="auto"/>
        </w:rPr>
        <w:tab/>
      </w:r>
      <w:r>
        <w:rPr>
          <w:color w:val="auto"/>
        </w:rPr>
        <w:fldChar w:fldCharType="begin"/>
      </w:r>
      <w:r>
        <w:rPr>
          <w:color w:val="auto"/>
        </w:rPr>
        <w:instrText xml:space="preserve"> PAGEREF _Toc256000035 \h </w:instrText>
      </w:r>
      <w:r>
        <w:rPr>
          <w:color w:val="auto"/>
        </w:rPr>
        <w:fldChar w:fldCharType="separate"/>
      </w:r>
      <w:r>
        <w:rPr>
          <w:color w:val="auto"/>
        </w:rPr>
        <w:t>34</w:t>
      </w:r>
      <w:r>
        <w:rPr>
          <w:color w:val="auto"/>
        </w:rPr>
        <w:fldChar w:fldCharType="end"/>
      </w:r>
      <w:r>
        <w:rPr>
          <w:color w:val="auto"/>
        </w:rPr>
        <w:fldChar w:fldCharType="end"/>
      </w:r>
    </w:p>
    <w:p>
      <w:pPr>
        <w:pStyle w:val="8"/>
        <w:tabs>
          <w:tab w:val="right" w:leader="dot" w:pos="9016"/>
        </w:tabs>
        <w:spacing w:before="0" w:after="0" w:line="360" w:lineRule="auto"/>
        <w:rPr>
          <w:rFonts w:hint="eastAsia" w:eastAsia="宋体" w:asciiTheme="minorHAnsi" w:hAnsiTheme="minorHAnsi"/>
          <w:color w:val="auto"/>
          <w:sz w:val="22"/>
          <w:lang w:val="en-US" w:eastAsia="zh-CN"/>
        </w:rPr>
      </w:pPr>
      <w:r>
        <w:rPr>
          <w:color w:val="auto"/>
        </w:rPr>
        <w:fldChar w:fldCharType="begin"/>
      </w:r>
      <w:r>
        <w:rPr>
          <w:color w:val="auto"/>
        </w:rPr>
        <w:instrText xml:space="preserve"> HYPERLINK \l "_Toc256000036" </w:instrText>
      </w:r>
      <w:r>
        <w:rPr>
          <w:color w:val="auto"/>
        </w:rPr>
        <w:fldChar w:fldCharType="separate"/>
      </w:r>
      <w:r>
        <w:rPr>
          <w:rStyle w:val="12"/>
          <w:rFonts w:ascii="仿宋_GB2312" w:hAnsi="仿宋_GB2312" w:eastAsia="仿宋_GB2312" w:cs="仿宋_GB2312"/>
          <w:color w:val="auto"/>
          <w:kern w:val="36"/>
        </w:rPr>
        <w:t>8其他要求</w:t>
      </w:r>
      <w:r>
        <w:rPr>
          <w:color w:val="auto"/>
        </w:rPr>
        <w:tab/>
      </w:r>
      <w:r>
        <w:rPr>
          <w:rFonts w:hint="eastAsia" w:eastAsia="宋体"/>
          <w:color w:val="auto"/>
          <w:lang w:val="en-US" w:eastAsia="zh-CN"/>
        </w:rPr>
        <w:t>3</w:t>
      </w:r>
      <w:r>
        <w:rPr>
          <w:color w:val="auto"/>
        </w:rPr>
        <w:fldChar w:fldCharType="end"/>
      </w:r>
      <w:r>
        <w:rPr>
          <w:rFonts w:hint="eastAsia" w:eastAsia="宋体"/>
          <w:color w:val="auto"/>
          <w:lang w:val="en-US" w:eastAsia="zh-CN"/>
        </w:rPr>
        <w:t>6</w:t>
      </w:r>
    </w:p>
    <w:p>
      <w:pPr>
        <w:pStyle w:val="9"/>
        <w:tabs>
          <w:tab w:val="right" w:leader="dot" w:pos="9016"/>
        </w:tabs>
        <w:spacing w:before="0" w:after="0" w:line="360" w:lineRule="auto"/>
        <w:rPr>
          <w:rFonts w:hint="eastAsia" w:eastAsia="宋体" w:asciiTheme="minorHAnsi" w:hAnsiTheme="minorHAnsi"/>
          <w:color w:val="auto"/>
          <w:sz w:val="22"/>
          <w:lang w:val="en-US" w:eastAsia="zh-CN"/>
        </w:rPr>
      </w:pPr>
      <w:r>
        <w:rPr>
          <w:color w:val="auto"/>
        </w:rPr>
        <w:fldChar w:fldCharType="begin"/>
      </w:r>
      <w:r>
        <w:rPr>
          <w:color w:val="auto"/>
        </w:rPr>
        <w:instrText xml:space="preserve"> HYPERLINK \l "_Toc256000037" </w:instrText>
      </w:r>
      <w:r>
        <w:rPr>
          <w:color w:val="auto"/>
        </w:rPr>
        <w:fldChar w:fldCharType="separate"/>
      </w:r>
      <w:r>
        <w:rPr>
          <w:rStyle w:val="12"/>
          <w:rFonts w:ascii="仿宋_GB2312" w:hAnsi="仿宋_GB2312" w:eastAsia="仿宋_GB2312" w:cs="仿宋_GB2312"/>
          <w:color w:val="auto"/>
        </w:rPr>
        <w:t>8.1</w:t>
      </w:r>
      <w:r>
        <w:rPr>
          <w:rStyle w:val="12"/>
          <w:rFonts w:ascii="仿宋_GB2312" w:hAnsi="仿宋_GB2312" w:eastAsia="仿宋_GB2312" w:cs="仿宋_GB2312"/>
        </w:rPr>
        <w:t>定价和结算要求</w:t>
      </w:r>
      <w:r>
        <w:rPr>
          <w:color w:val="auto"/>
        </w:rPr>
        <w:tab/>
      </w:r>
      <w:r>
        <w:rPr>
          <w:rFonts w:hint="eastAsia" w:eastAsia="宋体"/>
          <w:color w:val="auto"/>
          <w:lang w:val="en-US" w:eastAsia="zh-CN"/>
        </w:rPr>
        <w:t>3</w:t>
      </w:r>
      <w:r>
        <w:rPr>
          <w:color w:val="auto"/>
        </w:rPr>
        <w:fldChar w:fldCharType="end"/>
      </w:r>
      <w:r>
        <w:rPr>
          <w:rFonts w:hint="eastAsia" w:eastAsia="宋体"/>
          <w:color w:val="auto"/>
          <w:lang w:val="en-US" w:eastAsia="zh-CN"/>
        </w:rPr>
        <w:t>6</w:t>
      </w:r>
    </w:p>
    <w:p>
      <w:pPr>
        <w:pStyle w:val="7"/>
        <w:tabs>
          <w:tab w:val="right" w:leader="dot" w:pos="9016"/>
        </w:tabs>
        <w:spacing w:before="0" w:after="0" w:line="360" w:lineRule="auto"/>
        <w:ind w:left="0" w:leftChars="0" w:firstLine="240" w:firstLineChars="100"/>
        <w:rPr>
          <w:rFonts w:hint="default" w:eastAsia="宋体" w:asciiTheme="minorHAnsi" w:hAnsiTheme="minorHAnsi"/>
          <w:color w:val="auto"/>
          <w:sz w:val="22"/>
          <w:lang w:val="en" w:eastAsia="zh-CN"/>
        </w:rPr>
      </w:pPr>
      <w:r>
        <w:rPr>
          <w:color w:val="auto"/>
        </w:rPr>
        <w:fldChar w:fldCharType="begin"/>
      </w:r>
      <w:r>
        <w:rPr>
          <w:color w:val="auto"/>
        </w:rPr>
        <w:instrText xml:space="preserve"> HYPERLINK \l "_Toc256000038" </w:instrText>
      </w:r>
      <w:r>
        <w:rPr>
          <w:color w:val="auto"/>
        </w:rPr>
        <w:fldChar w:fldCharType="separate"/>
      </w:r>
      <w:r>
        <w:rPr>
          <w:rStyle w:val="12"/>
          <w:rFonts w:ascii="仿宋_GB2312" w:hAnsi="仿宋_GB2312" w:eastAsia="仿宋_GB2312" w:cs="仿宋_GB2312"/>
          <w:color w:val="auto"/>
        </w:rPr>
        <w:t>8.</w:t>
      </w:r>
      <w:r>
        <w:rPr>
          <w:rStyle w:val="12"/>
          <w:rFonts w:hint="default" w:ascii="仿宋_GB2312" w:hAnsi="仿宋_GB2312" w:eastAsia="仿宋_GB2312" w:cs="仿宋_GB2312"/>
          <w:color w:val="auto"/>
          <w:lang w:val="en"/>
        </w:rPr>
        <w:t>2</w:t>
      </w:r>
      <w:r>
        <w:rPr>
          <w:rStyle w:val="12"/>
          <w:rFonts w:ascii="仿宋_GB2312" w:hAnsi="仿宋_GB2312" w:eastAsia="仿宋_GB2312" w:cs="仿宋_GB2312"/>
        </w:rPr>
        <w:t>必备要求</w:t>
      </w:r>
      <w:r>
        <w:rPr>
          <w:color w:val="auto"/>
        </w:rPr>
        <w:tab/>
      </w:r>
      <w:r>
        <w:rPr>
          <w:rFonts w:hint="eastAsia" w:eastAsia="宋体"/>
          <w:color w:val="auto"/>
          <w:lang w:val="en-US" w:eastAsia="zh-CN"/>
        </w:rPr>
        <w:t>3</w:t>
      </w:r>
      <w:r>
        <w:rPr>
          <w:color w:val="auto"/>
        </w:rPr>
        <w:fldChar w:fldCharType="end"/>
      </w:r>
      <w:r>
        <w:rPr>
          <w:rFonts w:hint="default"/>
          <w:color w:val="auto"/>
          <w:lang w:val="en"/>
        </w:rPr>
        <w:t>7</w:t>
      </w:r>
    </w:p>
    <w:p>
      <w:pPr>
        <w:pStyle w:val="9"/>
        <w:tabs>
          <w:tab w:val="right" w:leader="dot" w:pos="9016"/>
        </w:tabs>
        <w:spacing w:before="0" w:after="0" w:line="360" w:lineRule="auto"/>
        <w:ind w:firstLine="240" w:firstLineChars="100"/>
        <w:rPr>
          <w:rFonts w:hint="default"/>
          <w:color w:val="auto"/>
          <w:lang w:val="en"/>
        </w:rPr>
      </w:pPr>
      <w:r>
        <w:fldChar w:fldCharType="begin"/>
      </w:r>
      <w:r>
        <w:instrText xml:space="preserve"> HYPERLINK \l "_Toc256000039" </w:instrText>
      </w:r>
      <w:r>
        <w:fldChar w:fldCharType="separate"/>
      </w:r>
      <w:r>
        <w:rPr>
          <w:rStyle w:val="12"/>
          <w:rFonts w:ascii="仿宋_GB2312" w:hAnsi="仿宋_GB2312" w:eastAsia="仿宋_GB2312" w:cs="仿宋_GB2312"/>
        </w:rPr>
        <w:t>8.2.1通用必备要求</w:t>
      </w:r>
      <w:r>
        <w:tab/>
      </w:r>
      <w:r>
        <w:rPr>
          <w:rFonts w:hint="default"/>
          <w:lang w:val="en"/>
        </w:rPr>
        <w:t>3</w:t>
      </w:r>
      <w:r>
        <w:fldChar w:fldCharType="end"/>
      </w:r>
      <w:r>
        <w:rPr>
          <w:rFonts w:hint="default"/>
          <w:lang w:val="en"/>
        </w:rPr>
        <w:t>7</w:t>
      </w:r>
    </w:p>
    <w:p>
      <w:pPr>
        <w:pStyle w:val="9"/>
        <w:tabs>
          <w:tab w:val="right" w:leader="dot" w:pos="9016"/>
        </w:tabs>
        <w:spacing w:before="0" w:after="0" w:line="360" w:lineRule="auto"/>
        <w:rPr>
          <w:rFonts w:hint="default" w:asciiTheme="minorHAnsi" w:hAnsiTheme="minorHAnsi"/>
          <w:color w:val="auto"/>
          <w:sz w:val="22"/>
          <w:lang w:val="en"/>
        </w:rPr>
      </w:pPr>
      <w:r>
        <w:rPr>
          <w:color w:val="auto"/>
        </w:rPr>
        <w:fldChar w:fldCharType="begin"/>
      </w:r>
      <w:r>
        <w:rPr>
          <w:color w:val="auto"/>
        </w:rPr>
        <w:instrText xml:space="preserve"> HYPERLINK \l "_Toc256000039" </w:instrText>
      </w:r>
      <w:r>
        <w:rPr>
          <w:color w:val="auto"/>
        </w:rPr>
        <w:fldChar w:fldCharType="separate"/>
      </w:r>
      <w:r>
        <w:rPr>
          <w:rStyle w:val="12"/>
          <w:rFonts w:ascii="仿宋_GB2312" w:hAnsi="仿宋_GB2312" w:eastAsia="仿宋_GB2312" w:cs="仿宋_GB2312"/>
          <w:color w:val="auto"/>
        </w:rPr>
        <w:t>8.</w:t>
      </w:r>
      <w:r>
        <w:rPr>
          <w:rStyle w:val="12"/>
          <w:rFonts w:hint="default" w:ascii="仿宋_GB2312" w:hAnsi="仿宋_GB2312" w:eastAsia="仿宋_GB2312" w:cs="仿宋_GB2312"/>
          <w:color w:val="auto"/>
          <w:lang w:val="en"/>
        </w:rPr>
        <w:t>3</w:t>
      </w:r>
      <w:r>
        <w:rPr>
          <w:rStyle w:val="12"/>
          <w:rFonts w:ascii="仿宋_GB2312" w:hAnsi="仿宋_GB2312" w:eastAsia="仿宋_GB2312" w:cs="仿宋_GB2312"/>
          <w:color w:val="auto"/>
        </w:rPr>
        <w:t>付款安排建议</w:t>
      </w:r>
      <w:r>
        <w:rPr>
          <w:color w:val="auto"/>
        </w:rPr>
        <w:tab/>
      </w:r>
      <w:r>
        <w:rPr>
          <w:rFonts w:hint="default"/>
          <w:color w:val="auto"/>
          <w:lang w:val="en"/>
        </w:rPr>
        <w:t>3</w:t>
      </w:r>
      <w:r>
        <w:rPr>
          <w:color w:val="auto"/>
        </w:rPr>
        <w:fldChar w:fldCharType="end"/>
      </w:r>
      <w:r>
        <w:rPr>
          <w:rFonts w:hint="default"/>
          <w:color w:val="auto"/>
          <w:lang w:val="en"/>
        </w:rPr>
        <w:t>8</w:t>
      </w:r>
    </w:p>
    <w:p>
      <w:pPr>
        <w:pStyle w:val="9"/>
        <w:tabs>
          <w:tab w:val="right" w:leader="dot" w:pos="9016"/>
        </w:tabs>
        <w:spacing w:before="0" w:after="0" w:line="360" w:lineRule="auto"/>
        <w:rPr>
          <w:rFonts w:hint="default" w:asciiTheme="minorHAnsi" w:hAnsiTheme="minorHAnsi"/>
          <w:color w:val="auto"/>
          <w:sz w:val="22"/>
          <w:lang w:val="en"/>
        </w:rPr>
      </w:pPr>
      <w:r>
        <w:rPr>
          <w:color w:val="auto"/>
        </w:rPr>
        <w:fldChar w:fldCharType="begin"/>
      </w:r>
      <w:r>
        <w:rPr>
          <w:color w:val="auto"/>
        </w:rPr>
        <w:instrText xml:space="preserve"> HYPERLINK \l "_Toc256000040" </w:instrText>
      </w:r>
      <w:r>
        <w:rPr>
          <w:color w:val="auto"/>
        </w:rPr>
        <w:fldChar w:fldCharType="separate"/>
      </w:r>
      <w:r>
        <w:rPr>
          <w:rStyle w:val="12"/>
          <w:rFonts w:ascii="仿宋_GB2312" w:hAnsi="仿宋_GB2312" w:eastAsia="仿宋_GB2312" w:cs="仿宋_GB2312"/>
          <w:color w:val="auto"/>
        </w:rPr>
        <w:t>8.</w:t>
      </w:r>
      <w:r>
        <w:rPr>
          <w:rStyle w:val="12"/>
          <w:rFonts w:hint="default" w:ascii="仿宋_GB2312" w:hAnsi="仿宋_GB2312" w:eastAsia="仿宋_GB2312" w:cs="仿宋_GB2312"/>
          <w:color w:val="auto"/>
          <w:lang w:val="en"/>
        </w:rPr>
        <w:t>4</w:t>
      </w:r>
      <w:r>
        <w:rPr>
          <w:rStyle w:val="12"/>
          <w:rFonts w:ascii="仿宋_GB2312" w:hAnsi="仿宋_GB2312" w:eastAsia="仿宋_GB2312" w:cs="仿宋_GB2312"/>
          <w:color w:val="auto"/>
        </w:rPr>
        <w:t>其他要求</w:t>
      </w:r>
      <w:r>
        <w:rPr>
          <w:color w:val="auto"/>
        </w:rPr>
        <w:tab/>
      </w:r>
      <w:r>
        <w:rPr>
          <w:rFonts w:hint="default"/>
          <w:color w:val="auto"/>
          <w:lang w:val="en"/>
        </w:rPr>
        <w:t>4</w:t>
      </w:r>
      <w:r>
        <w:rPr>
          <w:color w:val="auto"/>
        </w:rPr>
        <w:fldChar w:fldCharType="end"/>
      </w:r>
      <w:r>
        <w:rPr>
          <w:rFonts w:hint="default"/>
          <w:color w:val="auto"/>
          <w:lang w:val="en"/>
        </w:rPr>
        <w:t>1</w:t>
      </w:r>
    </w:p>
    <w:p>
      <w:pPr>
        <w:pStyle w:val="7"/>
        <w:tabs>
          <w:tab w:val="right" w:leader="dot" w:pos="9016"/>
        </w:tabs>
        <w:spacing w:before="0" w:after="0" w:line="360" w:lineRule="auto"/>
        <w:rPr>
          <w:rFonts w:hint="default" w:asciiTheme="minorHAnsi" w:hAnsiTheme="minorHAnsi"/>
          <w:color w:val="auto"/>
          <w:sz w:val="22"/>
          <w:lang w:val="en"/>
        </w:rPr>
      </w:pPr>
      <w:r>
        <w:rPr>
          <w:color w:val="auto"/>
        </w:rPr>
        <w:fldChar w:fldCharType="begin"/>
      </w:r>
      <w:r>
        <w:rPr>
          <w:color w:val="auto"/>
        </w:rPr>
        <w:instrText xml:space="preserve"> HYPERLINK \l "_Toc256000041" </w:instrText>
      </w:r>
      <w:r>
        <w:rPr>
          <w:color w:val="auto"/>
        </w:rPr>
        <w:fldChar w:fldCharType="separate"/>
      </w:r>
      <w:r>
        <w:rPr>
          <w:rStyle w:val="12"/>
          <w:rFonts w:ascii="仿宋_GB2312" w:hAnsi="仿宋_GB2312" w:eastAsia="仿宋_GB2312" w:cs="仿宋_GB2312"/>
          <w:color w:val="auto"/>
        </w:rPr>
        <w:t>8.</w:t>
      </w:r>
      <w:r>
        <w:rPr>
          <w:rStyle w:val="12"/>
          <w:rFonts w:hint="default" w:ascii="仿宋_GB2312" w:hAnsi="仿宋_GB2312" w:eastAsia="仿宋_GB2312" w:cs="仿宋_GB2312"/>
          <w:color w:val="auto"/>
          <w:lang w:val="en"/>
        </w:rPr>
        <w:t>4</w:t>
      </w:r>
      <w:r>
        <w:rPr>
          <w:rStyle w:val="12"/>
          <w:rFonts w:ascii="仿宋_GB2312" w:hAnsi="仿宋_GB2312" w:eastAsia="仿宋_GB2312" w:cs="仿宋_GB2312"/>
          <w:color w:val="auto"/>
        </w:rPr>
        <w:t>.1保密要求</w:t>
      </w:r>
      <w:r>
        <w:rPr>
          <w:color w:val="auto"/>
        </w:rPr>
        <w:tab/>
      </w:r>
      <w:r>
        <w:rPr>
          <w:rFonts w:hint="default"/>
          <w:color w:val="auto"/>
          <w:lang w:val="en"/>
        </w:rPr>
        <w:t>4</w:t>
      </w:r>
      <w:r>
        <w:rPr>
          <w:color w:val="auto"/>
        </w:rPr>
        <w:fldChar w:fldCharType="end"/>
      </w:r>
      <w:r>
        <w:rPr>
          <w:rFonts w:hint="default"/>
          <w:color w:val="auto"/>
          <w:lang w:val="en"/>
        </w:rPr>
        <w:t>1</w:t>
      </w:r>
    </w:p>
    <w:p>
      <w:pPr>
        <w:pStyle w:val="7"/>
        <w:tabs>
          <w:tab w:val="right" w:leader="dot" w:pos="9016"/>
        </w:tabs>
        <w:spacing w:before="0" w:after="0" w:line="360" w:lineRule="auto"/>
        <w:rPr>
          <w:rFonts w:hint="default" w:eastAsia="宋体" w:asciiTheme="minorHAnsi" w:hAnsiTheme="minorHAnsi"/>
          <w:color w:val="auto"/>
          <w:sz w:val="22"/>
          <w:lang w:val="en" w:eastAsia="zh-CN"/>
        </w:rPr>
      </w:pPr>
      <w:r>
        <w:rPr>
          <w:color w:val="auto"/>
        </w:rPr>
        <w:fldChar w:fldCharType="begin"/>
      </w:r>
      <w:r>
        <w:rPr>
          <w:color w:val="auto"/>
        </w:rPr>
        <w:instrText xml:space="preserve"> HYPERLINK \l "_Toc256000042" </w:instrText>
      </w:r>
      <w:r>
        <w:rPr>
          <w:color w:val="auto"/>
        </w:rPr>
        <w:fldChar w:fldCharType="separate"/>
      </w:r>
      <w:r>
        <w:rPr>
          <w:rStyle w:val="12"/>
          <w:rFonts w:ascii="仿宋_GB2312" w:hAnsi="仿宋_GB2312" w:eastAsia="仿宋_GB2312" w:cs="仿宋_GB2312"/>
          <w:color w:val="auto"/>
        </w:rPr>
        <w:t>8.</w:t>
      </w:r>
      <w:r>
        <w:rPr>
          <w:rStyle w:val="12"/>
          <w:rFonts w:hint="default" w:ascii="仿宋_GB2312" w:hAnsi="仿宋_GB2312" w:eastAsia="仿宋_GB2312" w:cs="仿宋_GB2312"/>
          <w:color w:val="auto"/>
          <w:lang w:val="en"/>
        </w:rPr>
        <w:t>4</w:t>
      </w:r>
      <w:r>
        <w:rPr>
          <w:rStyle w:val="12"/>
          <w:rFonts w:ascii="仿宋_GB2312" w:hAnsi="仿宋_GB2312" w:eastAsia="仿宋_GB2312" w:cs="仿宋_GB2312"/>
          <w:color w:val="auto"/>
        </w:rPr>
        <w:t>.2知识产权要求</w:t>
      </w:r>
      <w:r>
        <w:rPr>
          <w:color w:val="auto"/>
        </w:rPr>
        <w:tab/>
      </w:r>
      <w:r>
        <w:rPr>
          <w:rFonts w:hint="eastAsia" w:eastAsia="宋体"/>
          <w:color w:val="auto"/>
          <w:lang w:val="en-US" w:eastAsia="zh-CN"/>
        </w:rPr>
        <w:t>4</w:t>
      </w:r>
      <w:r>
        <w:rPr>
          <w:color w:val="auto"/>
        </w:rPr>
        <w:fldChar w:fldCharType="end"/>
      </w:r>
      <w:r>
        <w:rPr>
          <w:rFonts w:hint="default" w:eastAsia="宋体"/>
          <w:color w:val="auto"/>
          <w:lang w:val="en" w:eastAsia="zh-CN"/>
        </w:rPr>
        <w:t>1</w:t>
      </w:r>
    </w:p>
    <w:p>
      <w:pPr>
        <w:spacing w:before="0" w:after="0" w:line="360" w:lineRule="auto"/>
        <w:jc w:val="left"/>
        <w:rPr>
          <w:color w:val="auto"/>
        </w:rPr>
      </w:pPr>
      <w:r>
        <w:rPr>
          <w:rFonts w:ascii="宋体" w:hAnsi="宋体" w:eastAsia="宋体" w:cs="宋体"/>
          <w:color w:val="auto"/>
          <w:sz w:val="32"/>
        </w:rPr>
        <w:fldChar w:fldCharType="end"/>
      </w:r>
      <w:r>
        <w:rPr>
          <w:color w:val="auto"/>
        </w:rPr>
        <w:br w:type="page"/>
      </w:r>
    </w:p>
    <w:p>
      <w:pPr>
        <w:pStyle w:val="3"/>
        <w:keepNext w:val="0"/>
        <w:spacing w:before="0" w:after="0" w:line="360" w:lineRule="auto"/>
        <w:jc w:val="center"/>
        <w:rPr>
          <w:rFonts w:ascii="仿宋_GB2312" w:hAnsi="仿宋_GB2312" w:eastAsia="仿宋_GB2312" w:cs="仿宋_GB2312"/>
          <w:b/>
          <w:bCs/>
          <w:color w:val="auto"/>
          <w:sz w:val="32"/>
          <w:szCs w:val="32"/>
        </w:rPr>
      </w:pPr>
      <w:bookmarkStart w:id="2" w:name="_Toc256000000"/>
      <w:r>
        <w:rPr>
          <w:rFonts w:ascii="仿宋_GB2312" w:hAnsi="仿宋_GB2312" w:eastAsia="仿宋_GB2312" w:cs="仿宋_GB2312"/>
          <w:color w:val="auto"/>
          <w:kern w:val="36"/>
        </w:rPr>
        <w:t>1项目概述</w:t>
      </w:r>
      <w:bookmarkEnd w:id="2"/>
    </w:p>
    <w:p>
      <w:pPr>
        <w:pStyle w:val="4"/>
        <w:keepNext w:val="0"/>
        <w:spacing w:before="0" w:after="0" w:line="360" w:lineRule="auto"/>
        <w:rPr>
          <w:rFonts w:ascii="仿宋_GB2312" w:hAnsi="仿宋_GB2312" w:eastAsia="仿宋_GB2312" w:cs="仿宋_GB2312"/>
          <w:b/>
          <w:bCs/>
          <w:color w:val="auto"/>
          <w:sz w:val="28"/>
          <w:szCs w:val="28"/>
        </w:rPr>
      </w:pPr>
      <w:bookmarkStart w:id="3" w:name="_Toc256000001"/>
      <w:r>
        <w:rPr>
          <w:rFonts w:ascii="仿宋_GB2312" w:hAnsi="仿宋_GB2312" w:eastAsia="仿宋_GB2312" w:cs="仿宋_GB2312"/>
          <w:i w:val="0"/>
          <w:iCs w:val="0"/>
          <w:color w:val="auto"/>
        </w:rPr>
        <w:t>1.1项目背景</w:t>
      </w:r>
      <w:bookmarkEnd w:id="3"/>
    </w:p>
    <w:p>
      <w:pPr>
        <w:pStyle w:val="5"/>
        <w:keepNext w:val="0"/>
        <w:spacing w:before="0" w:after="0" w:line="360" w:lineRule="auto"/>
        <w:rPr>
          <w:rFonts w:ascii="仿宋_GB2312" w:hAnsi="仿宋_GB2312" w:eastAsia="仿宋_GB2312" w:cs="仿宋_GB2312"/>
          <w:b/>
          <w:bCs/>
          <w:color w:val="auto"/>
          <w:sz w:val="28"/>
          <w:szCs w:val="28"/>
        </w:rPr>
      </w:pPr>
      <w:bookmarkStart w:id="4" w:name="_Toc256000002"/>
      <w:r>
        <w:rPr>
          <w:rFonts w:ascii="仿宋_GB2312" w:hAnsi="仿宋_GB2312" w:eastAsia="仿宋_GB2312" w:cs="仿宋_GB2312"/>
          <w:color w:val="auto"/>
          <w:sz w:val="28"/>
          <w:szCs w:val="28"/>
        </w:rPr>
        <w:t>1.1.1项目目的、意义及背景</w:t>
      </w:r>
      <w:bookmarkEnd w:id="4"/>
    </w:p>
    <w:p>
      <w:pPr>
        <w:pStyle w:val="13"/>
        <w:spacing w:before="0" w:after="0" w:line="360" w:lineRule="auto"/>
        <w:ind w:left="0" w:right="0"/>
        <w:jc w:val="both"/>
        <w:rPr>
          <w:rFonts w:ascii="仿宋_GB2312" w:hAnsi="仿宋_GB2312" w:eastAsia="仿宋_GB2312" w:cs="仿宋_GB2312"/>
          <w:color w:val="auto"/>
          <w:sz w:val="28"/>
          <w:szCs w:val="28"/>
        </w:rPr>
      </w:pPr>
      <w:r>
        <w:rPr>
          <w:rFonts w:ascii="仿宋_GB2312" w:hAnsi="仿宋_GB2312" w:eastAsia="仿宋_GB2312" w:cs="仿宋_GB2312"/>
          <w:color w:val="auto"/>
          <w:spacing w:val="0"/>
          <w:sz w:val="32"/>
          <w:szCs w:val="32"/>
        </w:rPr>
        <w:t xml:space="preserve">  </w:t>
      </w:r>
      <w:r>
        <w:rPr>
          <w:rFonts w:ascii="仿宋_GB2312" w:hAnsi="仿宋_GB2312" w:eastAsia="仿宋_GB2312" w:cs="仿宋_GB2312"/>
          <w:color w:val="auto"/>
          <w:spacing w:val="0"/>
          <w:sz w:val="28"/>
          <w:szCs w:val="28"/>
        </w:rPr>
        <w:t> </w:t>
      </w:r>
      <w:r>
        <w:rPr>
          <w:rFonts w:ascii="仿宋_GB2312" w:hAnsi="仿宋_GB2312" w:eastAsia="仿宋_GB2312" w:cs="仿宋_GB2312"/>
          <w:color w:val="auto"/>
          <w:sz w:val="28"/>
          <w:szCs w:val="28"/>
        </w:rPr>
        <w:t>2025年</w:t>
      </w:r>
      <w:r>
        <w:rPr>
          <w:rFonts w:hint="eastAsia" w:ascii="仿宋_GB2312" w:hAnsi="仿宋_GB2312" w:eastAsia="仿宋_GB2312" w:cs="仿宋_GB2312"/>
          <w:color w:val="auto"/>
          <w:sz w:val="28"/>
          <w:szCs w:val="28"/>
          <w:lang w:eastAsia="zh-CN"/>
        </w:rPr>
        <w:t>津南区税务局</w:t>
      </w:r>
      <w:r>
        <w:rPr>
          <w:rFonts w:ascii="仿宋_GB2312" w:hAnsi="仿宋_GB2312" w:eastAsia="仿宋_GB2312" w:cs="仿宋_GB2312"/>
          <w:color w:val="auto"/>
          <w:sz w:val="28"/>
          <w:szCs w:val="28"/>
        </w:rPr>
        <w:t>食堂食材采购项目，为</w:t>
      </w:r>
      <w:r>
        <w:rPr>
          <w:rFonts w:hint="eastAsia" w:ascii="仿宋_GB2312" w:hAnsi="仿宋_GB2312" w:eastAsia="仿宋_GB2312" w:cs="仿宋_GB2312"/>
          <w:color w:val="auto"/>
          <w:sz w:val="28"/>
          <w:szCs w:val="28"/>
          <w:lang w:eastAsia="zh-CN"/>
        </w:rPr>
        <w:t>津南区税务局</w:t>
      </w:r>
      <w:r>
        <w:rPr>
          <w:rFonts w:ascii="仿宋_GB2312" w:hAnsi="仿宋_GB2312" w:eastAsia="仿宋_GB2312" w:cs="仿宋_GB2312"/>
          <w:color w:val="auto"/>
          <w:sz w:val="28"/>
          <w:szCs w:val="28"/>
        </w:rPr>
        <w:t>食堂提供果蔬水产奶制品</w:t>
      </w:r>
      <w:r>
        <w:rPr>
          <w:rFonts w:hint="eastAsia" w:ascii="仿宋_GB2312" w:hAnsi="仿宋_GB2312" w:eastAsia="仿宋_GB2312" w:cs="仿宋_GB2312"/>
          <w:color w:val="auto"/>
          <w:sz w:val="28"/>
          <w:szCs w:val="28"/>
          <w:lang w:eastAsia="zh-CN"/>
        </w:rPr>
        <w:t>类（</w:t>
      </w:r>
      <w:r>
        <w:rPr>
          <w:rFonts w:ascii="仿宋_GB2312" w:hAnsi="仿宋_GB2312" w:eastAsia="仿宋_GB2312" w:cs="仿宋_GB2312"/>
          <w:color w:val="auto"/>
          <w:sz w:val="28"/>
          <w:szCs w:val="28"/>
        </w:rPr>
        <w:t>包含蔬菜、水果、海鲜及海产品、鲜奶及奶制品、豆制品等</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鲜冻禽畜肉类</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包含猪肉及副产品、牛羊肉及各部件、禽肉及各部件、肉制品及半成品等</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主副食调料等其他类</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包含猪肉及副产品、牛羊肉及各部件、禽肉及各部件、肉制品及半成品等</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采购预算为人民币</w:t>
      </w:r>
      <w:r>
        <w:rPr>
          <w:rFonts w:hint="eastAsia" w:ascii="仿宋_GB2312" w:hAnsi="仿宋_GB2312" w:eastAsia="仿宋_GB2312" w:cs="仿宋_GB2312"/>
          <w:color w:val="auto"/>
          <w:sz w:val="28"/>
          <w:szCs w:val="28"/>
          <w:lang w:val="en-US" w:eastAsia="zh-CN"/>
        </w:rPr>
        <w:t>366.81</w:t>
      </w:r>
      <w:r>
        <w:rPr>
          <w:rFonts w:ascii="仿宋_GB2312" w:hAnsi="仿宋_GB2312" w:eastAsia="仿宋_GB2312" w:cs="仿宋_GB2312"/>
          <w:color w:val="auto"/>
          <w:sz w:val="28"/>
          <w:szCs w:val="28"/>
        </w:rPr>
        <w:t>万元，供应商按照本包金额进行投标报价，投标价格不得超过预算。投标价格不作为最终合同金额，采购食材按实际采购量进行结算，总结算金额不超过采购预算。</w:t>
      </w:r>
    </w:p>
    <w:p>
      <w:pPr>
        <w:pStyle w:val="4"/>
        <w:keepNext w:val="0"/>
        <w:spacing w:before="0" w:after="0" w:line="360" w:lineRule="auto"/>
        <w:rPr>
          <w:rFonts w:ascii="仿宋_GB2312" w:hAnsi="仿宋_GB2312" w:eastAsia="仿宋_GB2312" w:cs="仿宋_GB2312"/>
          <w:b/>
          <w:bCs/>
          <w:color w:val="auto"/>
          <w:sz w:val="28"/>
          <w:szCs w:val="28"/>
        </w:rPr>
      </w:pPr>
      <w:bookmarkStart w:id="5" w:name="_Toc256000003"/>
      <w:r>
        <w:rPr>
          <w:rFonts w:ascii="仿宋_GB2312" w:hAnsi="仿宋_GB2312" w:eastAsia="仿宋_GB2312" w:cs="仿宋_GB2312"/>
          <w:i w:val="0"/>
          <w:iCs w:val="0"/>
          <w:color w:val="auto"/>
        </w:rPr>
        <w:t>1.2项目内容</w:t>
      </w:r>
      <w:bookmarkEnd w:id="5"/>
    </w:p>
    <w:p>
      <w:pPr>
        <w:pStyle w:val="5"/>
        <w:keepNext w:val="0"/>
        <w:spacing w:before="0" w:after="0" w:line="360" w:lineRule="auto"/>
        <w:rPr>
          <w:rFonts w:ascii="仿宋_GB2312" w:hAnsi="仿宋_GB2312" w:eastAsia="仿宋_GB2312" w:cs="仿宋_GB2312"/>
          <w:b/>
          <w:bCs/>
          <w:color w:val="auto"/>
          <w:sz w:val="28"/>
          <w:szCs w:val="28"/>
        </w:rPr>
      </w:pPr>
      <w:bookmarkStart w:id="6" w:name="_Toc256000004"/>
      <w:r>
        <w:rPr>
          <w:rFonts w:ascii="仿宋_GB2312" w:hAnsi="仿宋_GB2312" w:eastAsia="仿宋_GB2312" w:cs="仿宋_GB2312"/>
          <w:color w:val="auto"/>
          <w:sz w:val="28"/>
          <w:szCs w:val="28"/>
        </w:rPr>
        <w:t>1.2.1项目建设思路</w:t>
      </w:r>
      <w:bookmarkEnd w:id="6"/>
    </w:p>
    <w:p>
      <w:pPr>
        <w:pStyle w:val="13"/>
        <w:spacing w:before="0" w:after="0" w:line="360" w:lineRule="auto"/>
        <w:ind w:left="0" w:right="0" w:firstLine="513"/>
        <w:jc w:val="both"/>
        <w:rPr>
          <w:rFonts w:ascii="仿宋_GB2312" w:hAnsi="仿宋_GB2312" w:eastAsia="仿宋_GB2312" w:cs="仿宋_GB2312"/>
          <w:color w:val="auto"/>
          <w:spacing w:val="0"/>
          <w:sz w:val="28"/>
          <w:szCs w:val="28"/>
        </w:rPr>
      </w:pPr>
      <w:r>
        <w:rPr>
          <w:rFonts w:ascii="仿宋_GB2312" w:hAnsi="仿宋_GB2312" w:eastAsia="仿宋_GB2312" w:cs="仿宋_GB2312"/>
          <w:color w:val="auto"/>
          <w:spacing w:val="0"/>
          <w:sz w:val="28"/>
          <w:szCs w:val="28"/>
        </w:rPr>
        <w:t>本项目旨在为</w:t>
      </w:r>
      <w:r>
        <w:rPr>
          <w:rFonts w:hint="eastAsia" w:ascii="仿宋_GB2312" w:hAnsi="仿宋_GB2312" w:eastAsia="仿宋_GB2312" w:cs="仿宋_GB2312"/>
          <w:color w:val="auto"/>
          <w:sz w:val="28"/>
          <w:szCs w:val="28"/>
          <w:lang w:eastAsia="zh-CN"/>
        </w:rPr>
        <w:t>津南区税务局</w:t>
      </w:r>
      <w:r>
        <w:rPr>
          <w:rFonts w:ascii="仿宋_GB2312" w:hAnsi="仿宋_GB2312" w:eastAsia="仿宋_GB2312" w:cs="仿宋_GB2312"/>
          <w:color w:val="auto"/>
          <w:spacing w:val="0"/>
          <w:sz w:val="28"/>
          <w:szCs w:val="28"/>
        </w:rPr>
        <w:t>食堂提供质优价廉的水果、蔬菜、水产品、鲜奶及奶制品、豆制品</w:t>
      </w:r>
      <w:r>
        <w:rPr>
          <w:rFonts w:hint="eastAsia" w:ascii="仿宋_GB2312" w:hAnsi="仿宋_GB2312" w:eastAsia="仿宋_GB2312" w:cs="仿宋_GB2312"/>
          <w:color w:val="auto"/>
          <w:spacing w:val="0"/>
          <w:sz w:val="28"/>
          <w:szCs w:val="28"/>
          <w:lang w:eastAsia="zh-CN"/>
        </w:rPr>
        <w:t>、</w:t>
      </w:r>
      <w:r>
        <w:rPr>
          <w:rFonts w:ascii="仿宋_GB2312" w:hAnsi="仿宋_GB2312" w:eastAsia="仿宋_GB2312" w:cs="仿宋_GB2312"/>
          <w:color w:val="auto"/>
          <w:sz w:val="28"/>
          <w:szCs w:val="28"/>
        </w:rPr>
        <w:t>猪肉及副产品、牛羊肉及各部件、禽肉及各部件、肉制品及半成品</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米、面、杂粮、油、鸡蛋及调料</w:t>
      </w:r>
      <w:r>
        <w:rPr>
          <w:rFonts w:ascii="仿宋_GB2312" w:hAnsi="仿宋_GB2312" w:eastAsia="仿宋_GB2312" w:cs="仿宋_GB2312"/>
          <w:color w:val="auto"/>
          <w:spacing w:val="0"/>
          <w:sz w:val="28"/>
          <w:szCs w:val="28"/>
        </w:rPr>
        <w:t>等食材</w:t>
      </w:r>
      <w:r>
        <w:rPr>
          <w:rFonts w:hint="eastAsia" w:ascii="仿宋_GB2312" w:hAnsi="仿宋_GB2312" w:eastAsia="仿宋_GB2312" w:cs="仿宋_GB2312"/>
          <w:color w:val="auto"/>
          <w:spacing w:val="0"/>
          <w:sz w:val="28"/>
          <w:szCs w:val="28"/>
          <w:lang w:eastAsia="zh-CN"/>
        </w:rPr>
        <w:t>，</w:t>
      </w:r>
      <w:r>
        <w:rPr>
          <w:rFonts w:ascii="仿宋_GB2312" w:hAnsi="仿宋_GB2312" w:eastAsia="仿宋_GB2312" w:cs="仿宋_GB2312"/>
          <w:color w:val="auto"/>
          <w:spacing w:val="0"/>
          <w:sz w:val="28"/>
          <w:szCs w:val="28"/>
        </w:rPr>
        <w:t>在确保</w:t>
      </w:r>
      <w:r>
        <w:rPr>
          <w:rFonts w:hint="eastAsia" w:ascii="仿宋_GB2312" w:hAnsi="仿宋_GB2312" w:eastAsia="仿宋_GB2312" w:cs="仿宋_GB2312"/>
          <w:color w:val="auto"/>
          <w:spacing w:val="0"/>
          <w:sz w:val="28"/>
          <w:szCs w:val="28"/>
          <w:lang w:eastAsia="zh-CN"/>
        </w:rPr>
        <w:t>区局</w:t>
      </w:r>
      <w:bookmarkStart w:id="45" w:name="_GoBack"/>
      <w:bookmarkEnd w:id="45"/>
      <w:r>
        <w:rPr>
          <w:rFonts w:ascii="仿宋_GB2312" w:hAnsi="仿宋_GB2312" w:eastAsia="仿宋_GB2312" w:cs="仿宋_GB2312"/>
          <w:color w:val="auto"/>
          <w:spacing w:val="0"/>
          <w:sz w:val="28"/>
          <w:szCs w:val="28"/>
        </w:rPr>
        <w:t>食品安全的基础上，提供高效便捷的服务。</w:t>
      </w:r>
    </w:p>
    <w:p>
      <w:pPr>
        <w:pStyle w:val="13"/>
        <w:spacing w:before="0" w:after="0" w:line="360" w:lineRule="auto"/>
        <w:ind w:left="0" w:right="0" w:firstLine="513"/>
        <w:jc w:val="both"/>
        <w:rPr>
          <w:rFonts w:ascii="仿宋_GB2312" w:hAnsi="仿宋_GB2312" w:eastAsia="仿宋_GB2312" w:cs="仿宋_GB2312"/>
          <w:color w:val="auto"/>
          <w:spacing w:val="0"/>
          <w:sz w:val="28"/>
          <w:szCs w:val="28"/>
        </w:rPr>
      </w:pPr>
    </w:p>
    <w:p>
      <w:pPr>
        <w:pStyle w:val="5"/>
        <w:keepNext w:val="0"/>
        <w:spacing w:before="0" w:after="0" w:line="360" w:lineRule="auto"/>
        <w:rPr>
          <w:rFonts w:ascii="仿宋_GB2312" w:hAnsi="仿宋_GB2312" w:eastAsia="仿宋_GB2312" w:cs="仿宋_GB2312"/>
          <w:b/>
          <w:bCs/>
          <w:color w:val="auto"/>
          <w:sz w:val="28"/>
          <w:szCs w:val="28"/>
        </w:rPr>
      </w:pPr>
      <w:bookmarkStart w:id="7" w:name="_Toc256000005"/>
      <w:r>
        <w:rPr>
          <w:rFonts w:ascii="仿宋_GB2312" w:hAnsi="仿宋_GB2312" w:eastAsia="仿宋_GB2312" w:cs="仿宋_GB2312"/>
          <w:color w:val="auto"/>
          <w:sz w:val="28"/>
          <w:szCs w:val="28"/>
        </w:rPr>
        <w:t>1.2.2采购内容</w:t>
      </w:r>
      <w:bookmarkEnd w:id="7"/>
    </w:p>
    <w:p>
      <w:pPr>
        <w:pStyle w:val="13"/>
        <w:spacing w:before="0" w:after="0" w:line="360" w:lineRule="auto"/>
        <w:ind w:firstLine="513"/>
        <w:jc w:val="both"/>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本包采购内容为国家税务总局天津市</w:t>
      </w:r>
      <w:r>
        <w:rPr>
          <w:rFonts w:hint="eastAsia" w:ascii="仿宋_GB2312" w:hAnsi="仿宋_GB2312" w:eastAsia="仿宋_GB2312" w:cs="仿宋_GB2312"/>
          <w:color w:val="auto"/>
          <w:sz w:val="28"/>
          <w:szCs w:val="28"/>
          <w:lang w:eastAsia="zh-CN"/>
        </w:rPr>
        <w:t>津南区</w:t>
      </w:r>
      <w:r>
        <w:rPr>
          <w:rFonts w:ascii="仿宋_GB2312" w:hAnsi="仿宋_GB2312" w:eastAsia="仿宋_GB2312" w:cs="仿宋_GB2312"/>
          <w:color w:val="auto"/>
          <w:sz w:val="28"/>
          <w:szCs w:val="28"/>
        </w:rPr>
        <w:t>税务局食堂所需的蔬菜、水果、海鲜及海产品、鲜奶及奶制品、豆制品</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鲜冻禽畜肉类</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主副食调料等食材，含相应配送。</w:t>
      </w:r>
    </w:p>
    <w:p>
      <w:pPr>
        <w:pStyle w:val="5"/>
        <w:keepNext w:val="0"/>
        <w:spacing w:before="0" w:after="0" w:line="360" w:lineRule="auto"/>
        <w:rPr>
          <w:rFonts w:ascii="仿宋_GB2312" w:hAnsi="仿宋_GB2312" w:eastAsia="仿宋_GB2312" w:cs="仿宋_GB2312"/>
          <w:b/>
          <w:bCs/>
          <w:color w:val="auto"/>
          <w:sz w:val="28"/>
          <w:szCs w:val="28"/>
        </w:rPr>
      </w:pPr>
      <w:bookmarkStart w:id="8" w:name="_Toc256000006"/>
      <w:r>
        <w:rPr>
          <w:rFonts w:ascii="仿宋_GB2312" w:hAnsi="仿宋_GB2312" w:eastAsia="仿宋_GB2312" w:cs="仿宋_GB2312"/>
          <w:color w:val="auto"/>
          <w:sz w:val="28"/>
          <w:szCs w:val="28"/>
        </w:rPr>
        <w:t>1.2.3项目实施要求</w:t>
      </w:r>
      <w:bookmarkEnd w:id="8"/>
    </w:p>
    <w:p>
      <w:pPr>
        <w:pStyle w:val="6"/>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1.2.3.1实施范围要求</w:t>
      </w:r>
    </w:p>
    <w:p>
      <w:pPr>
        <w:pStyle w:val="15"/>
        <w:spacing w:before="0" w:after="0" w:line="360" w:lineRule="auto"/>
        <w:ind w:firstLine="480"/>
        <w:jc w:val="both"/>
        <w:textAlignment w:val="baseline"/>
        <w:rPr>
          <w:rFonts w:ascii="仿宋_GB2312" w:hAnsi="仿宋_GB2312" w:eastAsia="仿宋_GB2312" w:cs="仿宋_GB2312"/>
          <w:color w:val="auto"/>
          <w:spacing w:val="0"/>
          <w:sz w:val="28"/>
          <w:szCs w:val="28"/>
        </w:rPr>
      </w:pPr>
      <w:r>
        <w:rPr>
          <w:rFonts w:ascii="仿宋_GB2312" w:hAnsi="仿宋_GB2312" w:eastAsia="仿宋_GB2312" w:cs="仿宋_GB2312"/>
          <w:color w:val="auto"/>
          <w:spacing w:val="0"/>
          <w:sz w:val="28"/>
          <w:szCs w:val="28"/>
        </w:rPr>
        <w:t>按照采购人需求，为</w:t>
      </w:r>
      <w:r>
        <w:rPr>
          <w:rFonts w:hint="eastAsia" w:ascii="仿宋_GB2312" w:hAnsi="仿宋_GB2312" w:eastAsia="仿宋_GB2312" w:cs="仿宋_GB2312"/>
          <w:color w:val="auto"/>
          <w:spacing w:val="0"/>
          <w:sz w:val="28"/>
          <w:szCs w:val="28"/>
          <w:lang w:eastAsia="zh-CN"/>
        </w:rPr>
        <w:t>津南区税务局</w:t>
      </w:r>
      <w:r>
        <w:rPr>
          <w:rFonts w:ascii="仿宋_GB2312" w:hAnsi="仿宋_GB2312" w:eastAsia="仿宋_GB2312" w:cs="仿宋_GB2312"/>
          <w:color w:val="auto"/>
          <w:spacing w:val="0"/>
          <w:sz w:val="28"/>
          <w:szCs w:val="28"/>
        </w:rPr>
        <w:t>提供2025年度果蔬水产奶制品类</w:t>
      </w:r>
      <w:r>
        <w:rPr>
          <w:rFonts w:hint="eastAsia" w:ascii="仿宋_GB2312" w:hAnsi="仿宋_GB2312" w:eastAsia="仿宋_GB2312" w:cs="仿宋_GB2312"/>
          <w:color w:val="auto"/>
          <w:spacing w:val="0"/>
          <w:sz w:val="28"/>
          <w:szCs w:val="28"/>
          <w:lang w:eastAsia="zh-CN"/>
        </w:rPr>
        <w:t>、</w:t>
      </w:r>
      <w:r>
        <w:rPr>
          <w:rFonts w:ascii="仿宋_GB2312" w:hAnsi="仿宋_GB2312" w:eastAsia="仿宋_GB2312" w:cs="仿宋_GB2312"/>
          <w:color w:val="auto"/>
          <w:sz w:val="28"/>
          <w:szCs w:val="28"/>
        </w:rPr>
        <w:t>鲜冻禽畜肉</w:t>
      </w:r>
      <w:r>
        <w:rPr>
          <w:rFonts w:ascii="仿宋_GB2312" w:hAnsi="仿宋_GB2312" w:eastAsia="仿宋_GB2312" w:cs="仿宋_GB2312"/>
          <w:color w:val="auto"/>
          <w:spacing w:val="0"/>
          <w:sz w:val="28"/>
          <w:szCs w:val="28"/>
        </w:rPr>
        <w:t>类</w:t>
      </w:r>
      <w:r>
        <w:rPr>
          <w:rFonts w:hint="eastAsia" w:ascii="仿宋_GB2312" w:hAnsi="仿宋_GB2312" w:eastAsia="仿宋_GB2312" w:cs="仿宋_GB2312"/>
          <w:color w:val="auto"/>
          <w:spacing w:val="0"/>
          <w:sz w:val="28"/>
          <w:szCs w:val="28"/>
          <w:lang w:eastAsia="zh-CN"/>
        </w:rPr>
        <w:t>、</w:t>
      </w:r>
      <w:r>
        <w:rPr>
          <w:rFonts w:ascii="仿宋_GB2312" w:hAnsi="仿宋_GB2312" w:eastAsia="仿宋_GB2312" w:cs="仿宋_GB2312"/>
          <w:color w:val="auto"/>
          <w:sz w:val="28"/>
          <w:szCs w:val="28"/>
        </w:rPr>
        <w:t>主副食调料等</w:t>
      </w:r>
      <w:r>
        <w:rPr>
          <w:rFonts w:ascii="仿宋_GB2312" w:hAnsi="仿宋_GB2312" w:eastAsia="仿宋_GB2312" w:cs="仿宋_GB2312"/>
          <w:color w:val="auto"/>
          <w:spacing w:val="0"/>
          <w:sz w:val="28"/>
          <w:szCs w:val="28"/>
        </w:rPr>
        <w:t>食材，并提供相应简单加工及配送服务。</w:t>
      </w:r>
    </w:p>
    <w:p>
      <w:pPr>
        <w:pStyle w:val="15"/>
        <w:spacing w:before="0" w:after="0" w:line="360" w:lineRule="auto"/>
        <w:ind w:firstLine="480"/>
        <w:jc w:val="both"/>
        <w:textAlignment w:val="baseline"/>
        <w:rPr>
          <w:rFonts w:ascii="仿宋_GB2312" w:hAnsi="仿宋_GB2312" w:eastAsia="仿宋_GB2312" w:cs="仿宋_GB2312"/>
          <w:color w:val="auto"/>
          <w:spacing w:val="0"/>
          <w:sz w:val="28"/>
          <w:szCs w:val="28"/>
        </w:rPr>
      </w:pPr>
    </w:p>
    <w:p>
      <w:pPr>
        <w:pStyle w:val="6"/>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1.2.3.2实施时间要求</w:t>
      </w:r>
    </w:p>
    <w:p>
      <w:pPr>
        <w:pStyle w:val="15"/>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自签订合同之日起1年。</w:t>
      </w:r>
    </w:p>
    <w:p>
      <w:pPr>
        <w:pStyle w:val="6"/>
        <w:keepNext w:val="0"/>
        <w:spacing w:before="0" w:after="0" w:line="360" w:lineRule="auto"/>
        <w:rPr>
          <w:rFonts w:ascii="仿宋_GB2312" w:hAnsi="仿宋_GB2312" w:eastAsia="仿宋_GB2312" w:cs="仿宋_GB2312"/>
          <w:b w:val="0"/>
          <w:bCs w:val="0"/>
          <w:color w:val="auto"/>
          <w:sz w:val="28"/>
          <w:szCs w:val="28"/>
          <w:lang w:val="en-US" w:eastAsia="en-US" w:bidi="ar-SA"/>
        </w:rPr>
      </w:pPr>
      <w:r>
        <w:rPr>
          <w:rFonts w:ascii="仿宋_GB2312" w:hAnsi="仿宋_GB2312" w:eastAsia="仿宋_GB2312" w:cs="仿宋_GB2312"/>
          <w:color w:val="auto"/>
        </w:rPr>
        <w:t>1.2.3.3实施地点要求</w:t>
      </w:r>
    </w:p>
    <w:p>
      <w:pPr>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仿宋_GB2312" w:hAnsi="仿宋_GB2312" w:eastAsia="仿宋_GB2312" w:cs="仿宋_GB2312"/>
          <w:b w:val="0"/>
          <w:bCs w:val="0"/>
          <w:color w:val="auto"/>
          <w:sz w:val="28"/>
          <w:szCs w:val="28"/>
          <w:lang w:val="en-US" w:eastAsia="zh-CN" w:bidi="ar-SA"/>
        </w:rPr>
      </w:pPr>
      <w:r>
        <w:rPr>
          <w:rFonts w:ascii="仿宋_GB2312" w:hAnsi="仿宋_GB2312" w:eastAsia="仿宋_GB2312" w:cs="仿宋_GB2312"/>
          <w:b w:val="0"/>
          <w:bCs w:val="0"/>
          <w:color w:val="auto"/>
          <w:sz w:val="28"/>
          <w:szCs w:val="28"/>
          <w:lang w:val="en-US" w:eastAsia="en-US" w:bidi="ar-SA"/>
        </w:rPr>
        <w:t>国家税务总局天津市</w:t>
      </w:r>
      <w:r>
        <w:rPr>
          <w:rFonts w:hint="eastAsia" w:ascii="仿宋_GB2312" w:hAnsi="仿宋_GB2312" w:eastAsia="仿宋_GB2312" w:cs="仿宋_GB2312"/>
          <w:b w:val="0"/>
          <w:bCs w:val="0"/>
          <w:color w:val="auto"/>
          <w:sz w:val="28"/>
          <w:szCs w:val="28"/>
          <w:lang w:val="en-US" w:eastAsia="zh-CN" w:bidi="ar-SA"/>
        </w:rPr>
        <w:t>津南区</w:t>
      </w:r>
      <w:r>
        <w:rPr>
          <w:rFonts w:ascii="仿宋_GB2312" w:hAnsi="仿宋_GB2312" w:eastAsia="仿宋_GB2312" w:cs="仿宋_GB2312"/>
          <w:b w:val="0"/>
          <w:bCs w:val="0"/>
          <w:color w:val="auto"/>
          <w:sz w:val="28"/>
          <w:szCs w:val="28"/>
          <w:lang w:val="en-US" w:eastAsia="en-US" w:bidi="ar-SA"/>
        </w:rPr>
        <w:t>税务局机关食堂（</w:t>
      </w:r>
      <w:r>
        <w:rPr>
          <w:rFonts w:hint="eastAsia" w:ascii="仿宋_GB2312" w:hAnsi="仿宋_GB2312" w:eastAsia="仿宋_GB2312" w:cs="仿宋_GB2312"/>
          <w:b w:val="0"/>
          <w:bCs w:val="0"/>
          <w:color w:val="auto"/>
          <w:sz w:val="28"/>
          <w:szCs w:val="28"/>
          <w:lang w:val="en-US" w:eastAsia="en-US" w:bidi="ar-SA"/>
        </w:rPr>
        <w:t>津南区咸水沽镇南环路31号</w:t>
      </w:r>
      <w:r>
        <w:rPr>
          <w:rFonts w:ascii="仿宋_GB2312" w:hAnsi="仿宋_GB2312" w:eastAsia="仿宋_GB2312" w:cs="仿宋_GB2312"/>
          <w:b w:val="0"/>
          <w:bCs w:val="0"/>
          <w:color w:val="auto"/>
          <w:sz w:val="28"/>
          <w:szCs w:val="28"/>
          <w:lang w:val="en-US" w:eastAsia="en-US" w:bidi="ar-SA"/>
        </w:rPr>
        <w:t>）、</w:t>
      </w:r>
      <w:r>
        <w:rPr>
          <w:rFonts w:hint="eastAsia" w:ascii="仿宋_GB2312" w:hAnsi="仿宋_GB2312" w:eastAsia="仿宋_GB2312" w:cs="仿宋_GB2312"/>
          <w:b w:val="0"/>
          <w:bCs w:val="0"/>
          <w:color w:val="auto"/>
          <w:sz w:val="28"/>
          <w:szCs w:val="28"/>
          <w:lang w:val="en-US" w:eastAsia="en-US" w:bidi="ar-SA"/>
        </w:rPr>
        <w:t>南华路办</w:t>
      </w:r>
      <w:r>
        <w:rPr>
          <w:rFonts w:hint="eastAsia" w:ascii="仿宋_GB2312" w:hAnsi="仿宋_GB2312" w:eastAsia="仿宋_GB2312" w:cs="仿宋_GB2312"/>
          <w:b w:val="0"/>
          <w:bCs w:val="0"/>
          <w:color w:val="auto"/>
          <w:sz w:val="28"/>
          <w:szCs w:val="28"/>
          <w:lang w:val="en-US" w:eastAsia="zh-CN" w:bidi="ar-SA"/>
        </w:rPr>
        <w:t>区</w:t>
      </w:r>
      <w:r>
        <w:rPr>
          <w:rFonts w:ascii="仿宋_GB2312" w:hAnsi="仿宋_GB2312" w:eastAsia="仿宋_GB2312" w:cs="仿宋_GB2312"/>
          <w:b w:val="0"/>
          <w:bCs w:val="0"/>
          <w:color w:val="auto"/>
          <w:sz w:val="28"/>
          <w:szCs w:val="28"/>
          <w:lang w:val="en-US" w:eastAsia="en-US" w:bidi="ar-SA"/>
        </w:rPr>
        <w:t>食堂（</w:t>
      </w:r>
      <w:r>
        <w:rPr>
          <w:rFonts w:hint="eastAsia" w:ascii="仿宋_GB2312" w:hAnsi="仿宋_GB2312" w:eastAsia="仿宋_GB2312" w:cs="仿宋_GB2312"/>
          <w:b w:val="0"/>
          <w:bCs w:val="0"/>
          <w:color w:val="auto"/>
          <w:sz w:val="28"/>
          <w:szCs w:val="28"/>
          <w:lang w:val="en-US" w:eastAsia="en-US" w:bidi="ar-SA"/>
        </w:rPr>
        <w:t>津南区咸水沽镇南华路29号</w:t>
      </w:r>
      <w:r>
        <w:rPr>
          <w:rFonts w:ascii="仿宋_GB2312" w:hAnsi="仿宋_GB2312" w:eastAsia="仿宋_GB2312" w:cs="仿宋_GB2312"/>
          <w:b w:val="0"/>
          <w:bCs w:val="0"/>
          <w:color w:val="auto"/>
          <w:sz w:val="28"/>
          <w:szCs w:val="28"/>
          <w:lang w:val="en-US" w:eastAsia="en-US" w:bidi="ar-SA"/>
        </w:rPr>
        <w:t>）</w:t>
      </w:r>
      <w:r>
        <w:rPr>
          <w:rFonts w:hint="eastAsia" w:ascii="仿宋_GB2312" w:hAnsi="仿宋_GB2312" w:eastAsia="仿宋_GB2312" w:cs="仿宋_GB2312"/>
          <w:b w:val="0"/>
          <w:bCs w:val="0"/>
          <w:color w:val="auto"/>
          <w:sz w:val="28"/>
          <w:szCs w:val="28"/>
          <w:lang w:val="en-US" w:eastAsia="zh-CN" w:bidi="ar-SA"/>
        </w:rPr>
        <w:t>、</w:t>
      </w:r>
      <w:r>
        <w:rPr>
          <w:rFonts w:ascii="仿宋_GB2312" w:hAnsi="仿宋_GB2312" w:eastAsia="仿宋_GB2312" w:cs="仿宋_GB2312"/>
          <w:b w:val="0"/>
          <w:bCs w:val="0"/>
          <w:color w:val="auto"/>
          <w:sz w:val="28"/>
          <w:szCs w:val="28"/>
          <w:lang w:val="en-US" w:eastAsia="en-US" w:bidi="ar-SA"/>
        </w:rPr>
        <w:t>国家税务总局天津市</w:t>
      </w:r>
      <w:r>
        <w:rPr>
          <w:rFonts w:hint="eastAsia" w:ascii="仿宋_GB2312" w:hAnsi="仿宋_GB2312" w:eastAsia="仿宋_GB2312" w:cs="仿宋_GB2312"/>
          <w:b w:val="0"/>
          <w:bCs w:val="0"/>
          <w:color w:val="auto"/>
          <w:sz w:val="28"/>
          <w:szCs w:val="28"/>
          <w:lang w:val="en-US" w:eastAsia="zh-CN" w:bidi="ar-SA"/>
        </w:rPr>
        <w:t>津南区</w:t>
      </w:r>
      <w:r>
        <w:rPr>
          <w:rFonts w:ascii="仿宋_GB2312" w:hAnsi="仿宋_GB2312" w:eastAsia="仿宋_GB2312" w:cs="仿宋_GB2312"/>
          <w:b w:val="0"/>
          <w:bCs w:val="0"/>
          <w:color w:val="auto"/>
          <w:sz w:val="28"/>
          <w:szCs w:val="28"/>
          <w:lang w:val="en-US" w:eastAsia="en-US" w:bidi="ar-SA"/>
        </w:rPr>
        <w:t>税务局</w:t>
      </w:r>
      <w:r>
        <w:rPr>
          <w:rFonts w:hint="eastAsia" w:ascii="仿宋_GB2312" w:hAnsi="仿宋_GB2312" w:eastAsia="仿宋_GB2312" w:cs="仿宋_GB2312"/>
          <w:b w:val="0"/>
          <w:bCs w:val="0"/>
          <w:color w:val="auto"/>
          <w:sz w:val="28"/>
          <w:szCs w:val="28"/>
          <w:lang w:val="en-US" w:eastAsia="zh-CN" w:bidi="ar-SA"/>
        </w:rPr>
        <w:t>葛沽税务所</w:t>
      </w:r>
      <w:r>
        <w:rPr>
          <w:rFonts w:ascii="仿宋_GB2312" w:hAnsi="仿宋_GB2312" w:eastAsia="仿宋_GB2312" w:cs="仿宋_GB2312"/>
          <w:b w:val="0"/>
          <w:bCs w:val="0"/>
          <w:color w:val="auto"/>
          <w:sz w:val="28"/>
          <w:szCs w:val="28"/>
          <w:lang w:val="en-US" w:eastAsia="en-US" w:bidi="ar-SA"/>
        </w:rPr>
        <w:t>食堂（</w:t>
      </w:r>
      <w:r>
        <w:rPr>
          <w:rFonts w:hint="eastAsia" w:ascii="仿宋_GB2312" w:hAnsi="仿宋_GB2312" w:eastAsia="仿宋_GB2312" w:cs="仿宋_GB2312"/>
          <w:b w:val="0"/>
          <w:bCs w:val="0"/>
          <w:color w:val="auto"/>
          <w:sz w:val="28"/>
          <w:szCs w:val="28"/>
          <w:lang w:val="en-US" w:eastAsia="zh-CN" w:bidi="ar-SA"/>
        </w:rPr>
        <w:t>津南区葛沽镇荣水园F区</w:t>
      </w:r>
      <w:r>
        <w:rPr>
          <w:rFonts w:hint="eastAsia" w:ascii="仿宋_GB2312" w:hAnsi="仿宋_GB2312" w:eastAsia="仿宋_GB2312" w:cs="仿宋_GB2312"/>
          <w:b w:val="0"/>
          <w:bCs w:val="0"/>
          <w:color w:val="auto"/>
          <w:sz w:val="28"/>
          <w:szCs w:val="28"/>
          <w:lang w:val="en-US" w:eastAsia="en-US" w:bidi="ar-SA"/>
        </w:rPr>
        <w:t>）</w:t>
      </w:r>
      <w:r>
        <w:rPr>
          <w:rFonts w:hint="eastAsia" w:ascii="仿宋_GB2312" w:hAnsi="仿宋_GB2312" w:eastAsia="仿宋_GB2312" w:cs="仿宋_GB2312"/>
          <w:b w:val="0"/>
          <w:bCs w:val="0"/>
          <w:color w:val="auto"/>
          <w:sz w:val="28"/>
          <w:szCs w:val="28"/>
          <w:lang w:val="en-US" w:eastAsia="zh-CN" w:bidi="ar-SA"/>
        </w:rPr>
        <w:t>、</w:t>
      </w:r>
      <w:r>
        <w:rPr>
          <w:rFonts w:ascii="仿宋_GB2312" w:hAnsi="仿宋_GB2312" w:eastAsia="仿宋_GB2312" w:cs="仿宋_GB2312"/>
          <w:b w:val="0"/>
          <w:bCs w:val="0"/>
          <w:color w:val="auto"/>
          <w:sz w:val="28"/>
          <w:szCs w:val="28"/>
          <w:lang w:val="en-US" w:eastAsia="en-US" w:bidi="ar-SA"/>
        </w:rPr>
        <w:t>国家税务总局天津市</w:t>
      </w:r>
      <w:r>
        <w:rPr>
          <w:rFonts w:hint="eastAsia" w:ascii="仿宋_GB2312" w:hAnsi="仿宋_GB2312" w:eastAsia="仿宋_GB2312" w:cs="仿宋_GB2312"/>
          <w:b w:val="0"/>
          <w:bCs w:val="0"/>
          <w:color w:val="auto"/>
          <w:sz w:val="28"/>
          <w:szCs w:val="28"/>
          <w:lang w:val="en-US" w:eastAsia="zh-CN" w:bidi="ar-SA"/>
        </w:rPr>
        <w:t>津南区</w:t>
      </w:r>
      <w:r>
        <w:rPr>
          <w:rFonts w:ascii="仿宋_GB2312" w:hAnsi="仿宋_GB2312" w:eastAsia="仿宋_GB2312" w:cs="仿宋_GB2312"/>
          <w:b w:val="0"/>
          <w:bCs w:val="0"/>
          <w:color w:val="auto"/>
          <w:sz w:val="28"/>
          <w:szCs w:val="28"/>
          <w:lang w:val="en-US" w:eastAsia="en-US" w:bidi="ar-SA"/>
        </w:rPr>
        <w:t>税务局</w:t>
      </w:r>
      <w:r>
        <w:rPr>
          <w:rFonts w:hint="eastAsia" w:ascii="仿宋_GB2312" w:hAnsi="仿宋_GB2312" w:eastAsia="仿宋_GB2312" w:cs="仿宋_GB2312"/>
          <w:b w:val="0"/>
          <w:bCs w:val="0"/>
          <w:color w:val="auto"/>
          <w:sz w:val="28"/>
          <w:szCs w:val="28"/>
          <w:lang w:val="en-US" w:eastAsia="zh-CN" w:bidi="ar-SA"/>
        </w:rPr>
        <w:t>旺港路税务所</w:t>
      </w:r>
      <w:r>
        <w:rPr>
          <w:rFonts w:ascii="仿宋_GB2312" w:hAnsi="仿宋_GB2312" w:eastAsia="仿宋_GB2312" w:cs="仿宋_GB2312"/>
          <w:b w:val="0"/>
          <w:bCs w:val="0"/>
          <w:color w:val="auto"/>
          <w:sz w:val="28"/>
          <w:szCs w:val="28"/>
          <w:lang w:val="en-US" w:eastAsia="en-US" w:bidi="ar-SA"/>
        </w:rPr>
        <w:t>食堂</w:t>
      </w:r>
      <w:r>
        <w:rPr>
          <w:rFonts w:hint="eastAsia" w:ascii="仿宋_GB2312" w:hAnsi="仿宋_GB2312" w:eastAsia="仿宋_GB2312" w:cs="仿宋_GB2312"/>
          <w:b w:val="0"/>
          <w:bCs w:val="0"/>
          <w:color w:val="auto"/>
          <w:sz w:val="28"/>
          <w:szCs w:val="28"/>
          <w:lang w:val="en-US" w:eastAsia="zh-CN" w:bidi="ar-SA"/>
        </w:rPr>
        <w:t>（津南区香港街3号津南经济开发区管理委员会内6号楼）、</w:t>
      </w:r>
      <w:r>
        <w:rPr>
          <w:rFonts w:ascii="仿宋_GB2312" w:hAnsi="仿宋_GB2312" w:eastAsia="仿宋_GB2312" w:cs="仿宋_GB2312"/>
          <w:b w:val="0"/>
          <w:bCs w:val="0"/>
          <w:color w:val="auto"/>
          <w:sz w:val="28"/>
          <w:szCs w:val="28"/>
          <w:lang w:val="en-US" w:eastAsia="en-US" w:bidi="ar-SA"/>
        </w:rPr>
        <w:t>国家税务总局天津市</w:t>
      </w:r>
      <w:r>
        <w:rPr>
          <w:rFonts w:hint="eastAsia" w:ascii="仿宋_GB2312" w:hAnsi="仿宋_GB2312" w:eastAsia="仿宋_GB2312" w:cs="仿宋_GB2312"/>
          <w:b w:val="0"/>
          <w:bCs w:val="0"/>
          <w:color w:val="auto"/>
          <w:sz w:val="28"/>
          <w:szCs w:val="28"/>
          <w:lang w:val="en-US" w:eastAsia="zh-CN" w:bidi="ar-SA"/>
        </w:rPr>
        <w:t>津南区</w:t>
      </w:r>
      <w:r>
        <w:rPr>
          <w:rFonts w:ascii="仿宋_GB2312" w:hAnsi="仿宋_GB2312" w:eastAsia="仿宋_GB2312" w:cs="仿宋_GB2312"/>
          <w:b w:val="0"/>
          <w:bCs w:val="0"/>
          <w:color w:val="auto"/>
          <w:sz w:val="28"/>
          <w:szCs w:val="28"/>
          <w:lang w:val="en-US" w:eastAsia="en-US" w:bidi="ar-SA"/>
        </w:rPr>
        <w:t>税务局</w:t>
      </w:r>
      <w:r>
        <w:rPr>
          <w:rFonts w:hint="eastAsia" w:ascii="仿宋_GB2312" w:hAnsi="仿宋_GB2312" w:eastAsia="仿宋_GB2312" w:cs="仿宋_GB2312"/>
          <w:b w:val="0"/>
          <w:bCs w:val="0"/>
          <w:color w:val="auto"/>
          <w:sz w:val="28"/>
          <w:szCs w:val="28"/>
          <w:lang w:val="en-US" w:eastAsia="zh-CN" w:bidi="ar-SA"/>
        </w:rPr>
        <w:t>双港税务所</w:t>
      </w:r>
      <w:r>
        <w:rPr>
          <w:rFonts w:ascii="仿宋_GB2312" w:hAnsi="仿宋_GB2312" w:eastAsia="仿宋_GB2312" w:cs="仿宋_GB2312"/>
          <w:b w:val="0"/>
          <w:bCs w:val="0"/>
          <w:color w:val="auto"/>
          <w:sz w:val="28"/>
          <w:szCs w:val="28"/>
          <w:lang w:val="en-US" w:eastAsia="en-US" w:bidi="ar-SA"/>
        </w:rPr>
        <w:t>食堂</w:t>
      </w:r>
      <w:r>
        <w:rPr>
          <w:rFonts w:hint="eastAsia" w:ascii="仿宋_GB2312" w:hAnsi="仿宋_GB2312" w:eastAsia="仿宋_GB2312" w:cs="仿宋_GB2312"/>
          <w:b w:val="0"/>
          <w:bCs w:val="0"/>
          <w:color w:val="auto"/>
          <w:sz w:val="28"/>
          <w:szCs w:val="28"/>
          <w:lang w:val="en-US" w:eastAsia="zh-CN" w:bidi="ar-SA"/>
        </w:rPr>
        <w:t>（津南区双港镇微山南路27号）、</w:t>
      </w:r>
      <w:r>
        <w:rPr>
          <w:rFonts w:ascii="仿宋_GB2312" w:hAnsi="仿宋_GB2312" w:eastAsia="仿宋_GB2312" w:cs="仿宋_GB2312"/>
          <w:b w:val="0"/>
          <w:bCs w:val="0"/>
          <w:color w:val="auto"/>
          <w:sz w:val="28"/>
          <w:szCs w:val="28"/>
          <w:lang w:val="en-US" w:eastAsia="en-US" w:bidi="ar-SA"/>
        </w:rPr>
        <w:t>国家税务总局天津市</w:t>
      </w:r>
      <w:r>
        <w:rPr>
          <w:rFonts w:hint="eastAsia" w:ascii="仿宋_GB2312" w:hAnsi="仿宋_GB2312" w:eastAsia="仿宋_GB2312" w:cs="仿宋_GB2312"/>
          <w:b w:val="0"/>
          <w:bCs w:val="0"/>
          <w:color w:val="auto"/>
          <w:sz w:val="28"/>
          <w:szCs w:val="28"/>
          <w:lang w:val="en-US" w:eastAsia="zh-CN" w:bidi="ar-SA"/>
        </w:rPr>
        <w:t>津南区</w:t>
      </w:r>
      <w:r>
        <w:rPr>
          <w:rFonts w:ascii="仿宋_GB2312" w:hAnsi="仿宋_GB2312" w:eastAsia="仿宋_GB2312" w:cs="仿宋_GB2312"/>
          <w:b w:val="0"/>
          <w:bCs w:val="0"/>
          <w:color w:val="auto"/>
          <w:sz w:val="28"/>
          <w:szCs w:val="28"/>
          <w:lang w:val="en-US" w:eastAsia="en-US" w:bidi="ar-SA"/>
        </w:rPr>
        <w:t>税务局</w:t>
      </w:r>
      <w:r>
        <w:rPr>
          <w:rFonts w:hint="eastAsia" w:ascii="仿宋_GB2312" w:hAnsi="仿宋_GB2312" w:eastAsia="仿宋_GB2312" w:cs="仿宋_GB2312"/>
          <w:b w:val="0"/>
          <w:bCs w:val="0"/>
          <w:color w:val="auto"/>
          <w:sz w:val="28"/>
          <w:szCs w:val="28"/>
          <w:lang w:val="en-US" w:eastAsia="zh-CN" w:bidi="ar-SA"/>
        </w:rPr>
        <w:t>小站税务所</w:t>
      </w:r>
      <w:r>
        <w:rPr>
          <w:rFonts w:ascii="仿宋_GB2312" w:hAnsi="仿宋_GB2312" w:eastAsia="仿宋_GB2312" w:cs="仿宋_GB2312"/>
          <w:b w:val="0"/>
          <w:bCs w:val="0"/>
          <w:color w:val="auto"/>
          <w:sz w:val="28"/>
          <w:szCs w:val="28"/>
          <w:lang w:val="en-US" w:eastAsia="en-US" w:bidi="ar-SA"/>
        </w:rPr>
        <w:t>食堂</w:t>
      </w:r>
      <w:r>
        <w:rPr>
          <w:rFonts w:hint="eastAsia" w:ascii="仿宋_GB2312" w:hAnsi="仿宋_GB2312" w:eastAsia="仿宋_GB2312" w:cs="仿宋_GB2312"/>
          <w:b w:val="0"/>
          <w:bCs w:val="0"/>
          <w:color w:val="auto"/>
          <w:sz w:val="28"/>
          <w:szCs w:val="28"/>
          <w:lang w:val="en-US" w:eastAsia="zh-CN" w:bidi="ar-SA"/>
        </w:rPr>
        <w:t>（津南区小站镇红旗路79号）</w:t>
      </w:r>
    </w:p>
    <w:p>
      <w:pPr>
        <w:pStyle w:val="4"/>
        <w:keepNext w:val="0"/>
        <w:spacing w:before="0" w:after="0" w:line="360" w:lineRule="auto"/>
        <w:rPr>
          <w:rFonts w:ascii="仿宋_GB2312" w:hAnsi="仿宋_GB2312" w:eastAsia="仿宋_GB2312" w:cs="仿宋_GB2312"/>
          <w:b/>
          <w:bCs/>
          <w:color w:val="auto"/>
          <w:sz w:val="28"/>
          <w:szCs w:val="28"/>
        </w:rPr>
      </w:pPr>
      <w:bookmarkStart w:id="9" w:name="_Toc256000007"/>
      <w:r>
        <w:rPr>
          <w:rFonts w:ascii="仿宋_GB2312" w:hAnsi="仿宋_GB2312" w:eastAsia="仿宋_GB2312" w:cs="仿宋_GB2312"/>
          <w:i w:val="0"/>
          <w:iCs w:val="0"/>
          <w:color w:val="auto"/>
        </w:rPr>
        <w:t>1.3其他要求</w:t>
      </w:r>
      <w:bookmarkEnd w:id="9"/>
    </w:p>
    <w:p>
      <w:pPr>
        <w:pStyle w:val="5"/>
        <w:keepNext w:val="0"/>
        <w:spacing w:before="0" w:after="0" w:line="360" w:lineRule="auto"/>
        <w:rPr>
          <w:rFonts w:ascii="仿宋_GB2312" w:hAnsi="仿宋_GB2312" w:eastAsia="仿宋_GB2312" w:cs="仿宋_GB2312"/>
          <w:b/>
          <w:bCs/>
          <w:color w:val="auto"/>
          <w:sz w:val="28"/>
          <w:szCs w:val="28"/>
        </w:rPr>
      </w:pPr>
      <w:bookmarkStart w:id="10" w:name="_Toc256000008"/>
      <w:r>
        <w:rPr>
          <w:rFonts w:ascii="仿宋_GB2312" w:hAnsi="仿宋_GB2312" w:eastAsia="仿宋_GB2312" w:cs="仿宋_GB2312"/>
          <w:color w:val="auto"/>
          <w:sz w:val="28"/>
          <w:szCs w:val="28"/>
        </w:rPr>
        <w:t>1.3.1采购标的需执行的相关标准规范</w:t>
      </w:r>
      <w:bookmarkEnd w:id="10"/>
    </w:p>
    <w:p>
      <w:pPr>
        <w:pStyle w:val="13"/>
        <w:spacing w:before="0" w:after="0" w:line="360" w:lineRule="auto"/>
        <w:ind w:left="0" w:right="0"/>
        <w:rPr>
          <w:color w:val="auto"/>
        </w:rPr>
      </w:pPr>
      <w:r>
        <w:rPr>
          <w:rFonts w:ascii="仿宋_GB2312" w:hAnsi="仿宋_GB2312" w:eastAsia="仿宋_GB2312" w:cs="仿宋_GB2312"/>
          <w:color w:val="auto"/>
        </w:rPr>
        <w:t>   </w:t>
      </w:r>
      <w:r>
        <w:rPr>
          <w:rFonts w:ascii="仿宋_GB2312" w:hAnsi="仿宋_GB2312" w:eastAsia="仿宋_GB2312" w:cs="仿宋_GB2312"/>
          <w:color w:val="auto"/>
          <w:sz w:val="28"/>
          <w:szCs w:val="28"/>
        </w:rPr>
        <w:t>投标人应遵守有关国家法律、法规和条例,具备《中华人民共和国政府采购法》第二十二条的规定和本文件中规定的条件。</w:t>
      </w:r>
    </w:p>
    <w:p>
      <w:pPr>
        <w:pStyle w:val="3"/>
        <w:keepNext w:val="0"/>
        <w:spacing w:before="0" w:after="0" w:line="360" w:lineRule="auto"/>
        <w:jc w:val="center"/>
        <w:rPr>
          <w:rFonts w:ascii="仿宋_GB2312" w:hAnsi="仿宋_GB2312" w:eastAsia="仿宋_GB2312" w:cs="仿宋_GB2312"/>
          <w:b/>
          <w:bCs/>
          <w:color w:val="auto"/>
          <w:sz w:val="32"/>
          <w:szCs w:val="32"/>
        </w:rPr>
      </w:pPr>
      <w:bookmarkStart w:id="11" w:name="_Toc256000009"/>
      <w:r>
        <w:rPr>
          <w:rFonts w:ascii="仿宋_GB2312" w:hAnsi="仿宋_GB2312" w:eastAsia="仿宋_GB2312" w:cs="仿宋_GB2312"/>
          <w:color w:val="auto"/>
          <w:kern w:val="36"/>
        </w:rPr>
        <w:t>2投标/响应要求</w:t>
      </w:r>
      <w:bookmarkEnd w:id="11"/>
    </w:p>
    <w:p>
      <w:pPr>
        <w:pStyle w:val="4"/>
        <w:keepNext w:val="0"/>
        <w:spacing w:before="0" w:after="0" w:line="360" w:lineRule="auto"/>
        <w:rPr>
          <w:rFonts w:ascii="仿宋_GB2312" w:hAnsi="仿宋_GB2312" w:eastAsia="仿宋_GB2312" w:cs="仿宋_GB2312"/>
          <w:b/>
          <w:bCs/>
          <w:color w:val="auto"/>
          <w:sz w:val="28"/>
          <w:szCs w:val="28"/>
        </w:rPr>
      </w:pPr>
      <w:bookmarkStart w:id="12" w:name="_Toc256000010"/>
      <w:r>
        <w:rPr>
          <w:rFonts w:ascii="仿宋_GB2312" w:hAnsi="仿宋_GB2312" w:eastAsia="仿宋_GB2312" w:cs="仿宋_GB2312"/>
          <w:i w:val="0"/>
          <w:iCs w:val="0"/>
          <w:color w:val="auto"/>
        </w:rPr>
        <w:t>2.1对供应商的要求</w:t>
      </w:r>
      <w:bookmarkEnd w:id="12"/>
    </w:p>
    <w:p>
      <w:pPr>
        <w:pStyle w:val="5"/>
        <w:keepNext w:val="0"/>
        <w:spacing w:before="0" w:after="0" w:line="360" w:lineRule="auto"/>
        <w:rPr>
          <w:rFonts w:ascii="仿宋_GB2312" w:hAnsi="仿宋_GB2312" w:eastAsia="仿宋_GB2312" w:cs="仿宋_GB2312"/>
          <w:b/>
          <w:bCs/>
          <w:color w:val="auto"/>
          <w:sz w:val="28"/>
          <w:szCs w:val="28"/>
        </w:rPr>
      </w:pPr>
      <w:bookmarkStart w:id="13" w:name="_Toc256000011"/>
      <w:r>
        <w:rPr>
          <w:rFonts w:ascii="仿宋_GB2312" w:hAnsi="仿宋_GB2312" w:eastAsia="仿宋_GB2312" w:cs="仿宋_GB2312"/>
          <w:color w:val="auto"/>
          <w:sz w:val="28"/>
          <w:szCs w:val="28"/>
        </w:rPr>
        <w:t>2.1.1必备资质</w:t>
      </w:r>
      <w:bookmarkEnd w:id="13"/>
    </w:p>
    <w:p>
      <w:pPr>
        <w:pStyle w:val="6"/>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2.1.1.1投标人应遵守有关国家法律、法规和条例,具备《中华人民共和国政府采购法》第二十二条的规定和本文件中规定的条件。</w:t>
      </w:r>
    </w:p>
    <w:p>
      <w:pPr>
        <w:pStyle w:val="6"/>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2.1.1.2本项目的特定资格要求</w:t>
      </w:r>
    </w:p>
    <w:p>
      <w:pPr>
        <w:spacing w:before="0" w:after="0" w:line="360" w:lineRule="auto"/>
        <w:ind w:firstLine="480"/>
        <w:rPr>
          <w:rFonts w:ascii="Times New Roman" w:hAnsi="Times New Roman" w:eastAsia="Times New Roman" w:cs="Times New Roman"/>
        </w:rPr>
      </w:pPr>
      <w:bookmarkStart w:id="14" w:name="_Toc256000012"/>
      <w:r>
        <w:rPr>
          <w:rFonts w:ascii="仿宋_GB2312" w:hAnsi="仿宋_GB2312" w:eastAsia="仿宋_GB2312" w:cs="仿宋_GB2312"/>
          <w:sz w:val="28"/>
          <w:szCs w:val="28"/>
        </w:rPr>
        <w:t>投标人具有《食品经营许可证》，主体业态至少包含食品销售经营者，提供证书扫描件。</w:t>
      </w:r>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sz w:val="28"/>
          <w:szCs w:val="28"/>
        </w:rPr>
        <w:t>2.1.2优选资质/优选指标</w:t>
      </w:r>
      <w:bookmarkEnd w:id="14"/>
    </w:p>
    <w:p>
      <w:pPr>
        <w:pStyle w:val="6"/>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2.1.2.1相关证书</w:t>
      </w:r>
    </w:p>
    <w:tbl>
      <w:tblPr>
        <w:tblStyle w:val="10"/>
        <w:tblW w:w="5000" w:type="pct"/>
        <w:tblInd w:w="30" w:type="dxa"/>
        <w:tblLayout w:type="autofit"/>
        <w:tblCellMar>
          <w:top w:w="15" w:type="dxa"/>
          <w:left w:w="15" w:type="dxa"/>
          <w:bottom w:w="15" w:type="dxa"/>
          <w:right w:w="15" w:type="dxa"/>
        </w:tblCellMar>
      </w:tblPr>
      <w:tblGrid>
        <w:gridCol w:w="1296"/>
        <w:gridCol w:w="2591"/>
        <w:gridCol w:w="2591"/>
        <w:gridCol w:w="259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序号</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证书名称</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颁发部门</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相关要求</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食品安全管理体系认证证书（ISO 22000）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职业健康安全管理体系认证证书（ISO45001 ）</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质量管理体系认证证书（ISO 9001）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r>
    </w:tbl>
    <w:p>
      <w:pPr>
        <w:pStyle w:val="6"/>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2.1.2.2成功案例</w:t>
      </w:r>
    </w:p>
    <w:p>
      <w:pPr>
        <w:spacing w:before="0" w:after="0" w:line="360" w:lineRule="auto"/>
        <w:ind w:firstLine="48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有效案例为2022年1月1日以来（以合同签订日期为准），供应商独立承担的食材供应项目案例（必须包含本包采购的</w:t>
      </w:r>
      <w:r>
        <w:rPr>
          <w:rFonts w:ascii="仿宋_GB2312" w:hAnsi="仿宋_GB2312" w:eastAsia="仿宋_GB2312" w:cs="仿宋_GB2312"/>
          <w:color w:val="auto"/>
          <w:spacing w:val="0"/>
          <w:sz w:val="28"/>
          <w:szCs w:val="28"/>
        </w:rPr>
        <w:t>水果、蔬菜、水产品、鲜奶及奶制品、豆制品</w:t>
      </w:r>
      <w:r>
        <w:rPr>
          <w:rFonts w:hint="eastAsia" w:ascii="仿宋_GB2312" w:hAnsi="仿宋_GB2312" w:eastAsia="仿宋_GB2312" w:cs="仿宋_GB2312"/>
          <w:color w:val="auto"/>
          <w:spacing w:val="0"/>
          <w:sz w:val="28"/>
          <w:szCs w:val="28"/>
          <w:lang w:eastAsia="zh-CN"/>
        </w:rPr>
        <w:t>、</w:t>
      </w:r>
      <w:r>
        <w:rPr>
          <w:rFonts w:ascii="仿宋_GB2312" w:hAnsi="仿宋_GB2312" w:eastAsia="仿宋_GB2312" w:cs="仿宋_GB2312"/>
          <w:color w:val="auto"/>
          <w:sz w:val="28"/>
          <w:szCs w:val="28"/>
        </w:rPr>
        <w:t>猪肉及副产品、牛羊肉及各部件、禽肉及各部件、肉制品及半成品</w:t>
      </w:r>
      <w:r>
        <w:rPr>
          <w:rFonts w:hint="eastAsia" w:ascii="仿宋_GB2312" w:hAnsi="仿宋_GB2312" w:eastAsia="仿宋_GB2312" w:cs="仿宋_GB2312"/>
          <w:color w:val="auto"/>
          <w:sz w:val="28"/>
          <w:szCs w:val="28"/>
          <w:lang w:eastAsia="zh-CN"/>
        </w:rPr>
        <w:t>，</w:t>
      </w:r>
      <w:r>
        <w:rPr>
          <w:rFonts w:ascii="仿宋_GB2312" w:hAnsi="仿宋_GB2312" w:eastAsia="仿宋_GB2312" w:cs="仿宋_GB2312"/>
          <w:color w:val="auto"/>
          <w:sz w:val="28"/>
          <w:szCs w:val="28"/>
        </w:rPr>
        <w:t>米、面、杂粮、油、鸡蛋及调料</w:t>
      </w:r>
      <w:r>
        <w:rPr>
          <w:rFonts w:ascii="仿宋_GB2312" w:hAnsi="仿宋_GB2312" w:eastAsia="仿宋_GB2312" w:cs="仿宋_GB2312"/>
          <w:color w:val="auto"/>
          <w:spacing w:val="0"/>
          <w:sz w:val="28"/>
          <w:szCs w:val="28"/>
        </w:rPr>
        <w:t>等食材</w:t>
      </w:r>
      <w:r>
        <w:rPr>
          <w:rFonts w:ascii="仿宋_GB2312" w:hAnsi="仿宋_GB2312" w:eastAsia="仿宋_GB2312" w:cs="仿宋_GB2312"/>
          <w:color w:val="auto"/>
          <w:sz w:val="28"/>
          <w:szCs w:val="28"/>
        </w:rPr>
        <w:t>等食材），予以加分考虑。</w:t>
      </w:r>
    </w:p>
    <w:p>
      <w:pPr>
        <w:pStyle w:val="5"/>
        <w:keepNext w:val="0"/>
        <w:spacing w:before="0" w:after="0" w:line="360" w:lineRule="auto"/>
        <w:rPr>
          <w:rFonts w:ascii="仿宋_GB2312" w:hAnsi="仿宋_GB2312" w:eastAsia="仿宋_GB2312" w:cs="仿宋_GB2312"/>
          <w:b/>
          <w:bCs/>
          <w:color w:val="auto"/>
          <w:sz w:val="28"/>
          <w:szCs w:val="28"/>
        </w:rPr>
      </w:pPr>
      <w:bookmarkStart w:id="15" w:name="_Toc256000013"/>
      <w:r>
        <w:rPr>
          <w:rFonts w:ascii="仿宋_GB2312" w:hAnsi="仿宋_GB2312" w:eastAsia="仿宋_GB2312" w:cs="仿宋_GB2312"/>
          <w:color w:val="auto"/>
          <w:sz w:val="28"/>
          <w:szCs w:val="28"/>
        </w:rPr>
        <w:t>2.1.3是否允许联合体</w:t>
      </w:r>
      <w:bookmarkEnd w:id="15"/>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否</w:t>
      </w:r>
    </w:p>
    <w:p>
      <w:pPr>
        <w:pStyle w:val="5"/>
        <w:keepNext w:val="0"/>
        <w:spacing w:before="0" w:after="0" w:line="360" w:lineRule="auto"/>
        <w:rPr>
          <w:rFonts w:ascii="仿宋_GB2312" w:hAnsi="仿宋_GB2312" w:eastAsia="仿宋_GB2312" w:cs="仿宋_GB2312"/>
          <w:b/>
          <w:bCs/>
          <w:color w:val="auto"/>
          <w:sz w:val="28"/>
          <w:szCs w:val="28"/>
        </w:rPr>
      </w:pPr>
      <w:bookmarkStart w:id="16" w:name="_Toc256000014"/>
      <w:r>
        <w:rPr>
          <w:rFonts w:ascii="仿宋_GB2312" w:hAnsi="仿宋_GB2312" w:eastAsia="仿宋_GB2312" w:cs="仿宋_GB2312"/>
          <w:color w:val="auto"/>
          <w:sz w:val="28"/>
          <w:szCs w:val="28"/>
        </w:rPr>
        <w:t>2.1.4是否专门面向中小企业</w:t>
      </w:r>
      <w:bookmarkEnd w:id="16"/>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本项目不专门面向中小企业采购项目</w:t>
      </w:r>
    </w:p>
    <w:p>
      <w:pPr>
        <w:pStyle w:val="5"/>
        <w:keepNext w:val="0"/>
        <w:spacing w:before="0" w:after="0" w:line="360" w:lineRule="auto"/>
        <w:rPr>
          <w:rFonts w:ascii="仿宋_GB2312" w:hAnsi="仿宋_GB2312" w:eastAsia="仿宋_GB2312" w:cs="仿宋_GB2312"/>
          <w:b/>
          <w:bCs/>
          <w:color w:val="auto"/>
          <w:sz w:val="28"/>
          <w:szCs w:val="28"/>
        </w:rPr>
      </w:pPr>
      <w:bookmarkStart w:id="17" w:name="_Toc256000015"/>
      <w:r>
        <w:rPr>
          <w:rFonts w:ascii="仿宋_GB2312" w:hAnsi="仿宋_GB2312" w:eastAsia="仿宋_GB2312" w:cs="仿宋_GB2312"/>
          <w:color w:val="auto"/>
          <w:sz w:val="28"/>
          <w:szCs w:val="28"/>
        </w:rPr>
        <w:t>2.1.5其他要求</w:t>
      </w:r>
      <w:bookmarkEnd w:id="17"/>
    </w:p>
    <w:p>
      <w:pPr>
        <w:pStyle w:val="13"/>
        <w:spacing w:before="0" w:after="0" w:line="360" w:lineRule="auto"/>
        <w:ind w:left="0" w:right="0" w:firstLine="480"/>
        <w:rPr>
          <w:color w:val="auto"/>
        </w:rPr>
      </w:pPr>
      <w:r>
        <w:rPr>
          <w:rFonts w:ascii="仿宋_GB2312" w:hAnsi="仿宋_GB2312" w:eastAsia="仿宋_GB2312" w:cs="仿宋_GB2312"/>
          <w:color w:val="auto"/>
          <w:sz w:val="28"/>
          <w:szCs w:val="28"/>
        </w:rPr>
        <w:t>符合和满足本项目技术要求和其他有关要求。</w:t>
      </w:r>
    </w:p>
    <w:p>
      <w:pPr>
        <w:pStyle w:val="4"/>
        <w:keepNext w:val="0"/>
        <w:spacing w:before="0" w:after="0" w:line="360" w:lineRule="auto"/>
        <w:rPr>
          <w:rFonts w:ascii="仿宋_GB2312" w:hAnsi="仿宋_GB2312" w:eastAsia="仿宋_GB2312" w:cs="仿宋_GB2312"/>
          <w:b/>
          <w:bCs/>
          <w:color w:val="auto"/>
          <w:sz w:val="28"/>
          <w:szCs w:val="28"/>
        </w:rPr>
      </w:pPr>
      <w:bookmarkStart w:id="18" w:name="_Toc256000016"/>
      <w:r>
        <w:rPr>
          <w:rFonts w:ascii="仿宋_GB2312" w:hAnsi="仿宋_GB2312" w:eastAsia="仿宋_GB2312" w:cs="仿宋_GB2312"/>
          <w:i w:val="0"/>
          <w:iCs w:val="0"/>
          <w:color w:val="auto"/>
        </w:rPr>
        <w:t>2.2技术部分投标/响应内容</w:t>
      </w:r>
      <w:bookmarkEnd w:id="18"/>
    </w:p>
    <w:p>
      <w:pPr>
        <w:pStyle w:val="5"/>
        <w:keepNext w:val="0"/>
        <w:spacing w:before="0" w:after="0" w:line="360" w:lineRule="auto"/>
        <w:rPr>
          <w:rFonts w:ascii="仿宋_GB2312" w:hAnsi="仿宋_GB2312" w:eastAsia="仿宋_GB2312" w:cs="仿宋_GB2312"/>
          <w:b/>
          <w:bCs/>
          <w:color w:val="auto"/>
          <w:sz w:val="28"/>
          <w:szCs w:val="28"/>
        </w:rPr>
      </w:pPr>
      <w:bookmarkStart w:id="19" w:name="_Toc256000017"/>
      <w:r>
        <w:rPr>
          <w:rFonts w:ascii="仿宋_GB2312" w:hAnsi="仿宋_GB2312" w:eastAsia="仿宋_GB2312" w:cs="仿宋_GB2312"/>
          <w:color w:val="auto"/>
          <w:sz w:val="28"/>
          <w:szCs w:val="28"/>
        </w:rPr>
        <w:t>2.2.1技术投标/响应总要求</w:t>
      </w:r>
      <w:bookmarkEnd w:id="19"/>
    </w:p>
    <w:p>
      <w:pPr>
        <w:pStyle w:val="16"/>
        <w:spacing w:before="0" w:after="0" w:line="360" w:lineRule="auto"/>
        <w:ind w:firstLine="48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供应商须承诺所提供的</w:t>
      </w:r>
      <w:r>
        <w:rPr>
          <w:rFonts w:ascii="Times New Roman" w:hAnsi="Times New Roman" w:eastAsia="Times New Roman" w:cs="Times New Roman"/>
          <w:color w:val="auto"/>
          <w:sz w:val="28"/>
          <w:szCs w:val="28"/>
        </w:rPr>
        <w:t>货物</w:t>
      </w:r>
      <w:r>
        <w:rPr>
          <w:rFonts w:ascii="仿宋_GB2312" w:hAnsi="仿宋_GB2312" w:eastAsia="仿宋_GB2312" w:cs="仿宋_GB2312"/>
          <w:color w:val="auto"/>
          <w:sz w:val="28"/>
          <w:szCs w:val="28"/>
        </w:rPr>
        <w:t>、人员符合相关国家强制性规定。具体需求详见项目需求、人员要求、管理实施要求、风险管控要求、履约验收要求及其他要求。</w:t>
      </w:r>
    </w:p>
    <w:p>
      <w:pPr>
        <w:pStyle w:val="5"/>
        <w:keepNext w:val="0"/>
        <w:spacing w:before="0" w:after="0" w:line="360" w:lineRule="auto"/>
        <w:rPr>
          <w:rFonts w:ascii="仿宋_GB2312" w:hAnsi="仿宋_GB2312" w:eastAsia="仿宋_GB2312" w:cs="仿宋_GB2312"/>
          <w:b/>
          <w:bCs/>
          <w:color w:val="auto"/>
          <w:sz w:val="28"/>
          <w:szCs w:val="28"/>
        </w:rPr>
      </w:pPr>
      <w:bookmarkStart w:id="20" w:name="_Toc256000018"/>
      <w:r>
        <w:rPr>
          <w:rFonts w:ascii="仿宋_GB2312" w:hAnsi="仿宋_GB2312" w:eastAsia="仿宋_GB2312" w:cs="仿宋_GB2312"/>
          <w:color w:val="auto"/>
          <w:sz w:val="28"/>
          <w:szCs w:val="28"/>
        </w:rPr>
        <w:t>2.2.2投标/响应方案要求</w:t>
      </w:r>
      <w:bookmarkEnd w:id="20"/>
    </w:p>
    <w:p>
      <w:pPr>
        <w:spacing w:before="0" w:after="0" w:line="360" w:lineRule="auto"/>
        <w:ind w:firstLine="56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无</w:t>
      </w:r>
    </w:p>
    <w:p>
      <w:pPr>
        <w:pStyle w:val="3"/>
        <w:keepNext w:val="0"/>
        <w:spacing w:before="0" w:after="0" w:line="360" w:lineRule="auto"/>
        <w:jc w:val="center"/>
        <w:rPr>
          <w:rFonts w:ascii="仿宋_GB2312" w:hAnsi="仿宋_GB2312" w:eastAsia="仿宋_GB2312" w:cs="仿宋_GB2312"/>
          <w:b/>
          <w:bCs/>
          <w:color w:val="auto"/>
          <w:sz w:val="32"/>
          <w:szCs w:val="32"/>
        </w:rPr>
      </w:pPr>
      <w:bookmarkStart w:id="21" w:name="_Toc256000019"/>
      <w:r>
        <w:rPr>
          <w:rFonts w:ascii="仿宋_GB2312" w:hAnsi="仿宋_GB2312" w:eastAsia="仿宋_GB2312" w:cs="仿宋_GB2312"/>
          <w:color w:val="auto"/>
          <w:kern w:val="36"/>
        </w:rPr>
        <w:t>3项目需求</w:t>
      </w:r>
      <w:bookmarkEnd w:id="21"/>
    </w:p>
    <w:p>
      <w:pPr>
        <w:pStyle w:val="4"/>
        <w:keepNext w:val="0"/>
        <w:spacing w:before="0" w:after="0" w:line="360" w:lineRule="auto"/>
        <w:rPr>
          <w:rFonts w:ascii="仿宋_GB2312" w:hAnsi="仿宋_GB2312" w:eastAsia="仿宋_GB2312" w:cs="仿宋_GB2312"/>
          <w:b/>
          <w:bCs/>
          <w:color w:val="auto"/>
          <w:sz w:val="28"/>
          <w:szCs w:val="28"/>
        </w:rPr>
      </w:pPr>
      <w:bookmarkStart w:id="22" w:name="_Toc256000020"/>
      <w:r>
        <w:rPr>
          <w:rFonts w:ascii="仿宋_GB2312" w:hAnsi="仿宋_GB2312" w:eastAsia="仿宋_GB2312" w:cs="仿宋_GB2312"/>
          <w:i w:val="0"/>
          <w:iCs w:val="0"/>
          <w:color w:val="auto"/>
        </w:rPr>
        <w:t>3.1总体要求</w:t>
      </w:r>
      <w:bookmarkEnd w:id="22"/>
    </w:p>
    <w:p>
      <w:pPr>
        <w:pStyle w:val="14"/>
        <w:spacing w:before="0" w:after="0" w:line="360" w:lineRule="auto"/>
        <w:ind w:firstLine="64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pPr>
        <w:pStyle w:val="14"/>
        <w:spacing w:before="0" w:after="0" w:line="360" w:lineRule="auto"/>
        <w:ind w:firstLine="640"/>
        <w:rPr>
          <w:rFonts w:ascii="仿宋_GB2312" w:hAnsi="仿宋_GB2312" w:eastAsia="仿宋_GB2312" w:cs="仿宋_GB2312"/>
          <w:color w:val="auto"/>
          <w:sz w:val="28"/>
          <w:szCs w:val="28"/>
        </w:rPr>
      </w:pPr>
    </w:p>
    <w:p>
      <w:pPr>
        <w:pStyle w:val="4"/>
        <w:keepNext w:val="0"/>
        <w:spacing w:before="0" w:after="0" w:line="360" w:lineRule="auto"/>
        <w:rPr>
          <w:rFonts w:ascii="仿宋_GB2312" w:hAnsi="仿宋_GB2312" w:eastAsia="仿宋_GB2312" w:cs="仿宋_GB2312"/>
          <w:i w:val="0"/>
          <w:iCs w:val="0"/>
          <w:color w:val="auto"/>
        </w:rPr>
      </w:pPr>
      <w:bookmarkStart w:id="23" w:name="_Toc256000021"/>
      <w:r>
        <w:rPr>
          <w:rFonts w:ascii="仿宋_GB2312" w:hAnsi="仿宋_GB2312" w:eastAsia="仿宋_GB2312" w:cs="仿宋_GB2312"/>
          <w:i w:val="0"/>
          <w:iCs w:val="0"/>
          <w:color w:val="auto"/>
        </w:rPr>
        <w:t>3.2采购产品一览表</w:t>
      </w:r>
      <w:bookmarkEnd w:id="23"/>
    </w:p>
    <w:tbl>
      <w:tblPr>
        <w:tblStyle w:val="10"/>
        <w:tblW w:w="4910" w:type="pct"/>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4"/>
        <w:gridCol w:w="1816"/>
        <w:gridCol w:w="1816"/>
        <w:gridCol w:w="1816"/>
        <w:gridCol w:w="1816"/>
        <w:gridCol w:w="9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000000" w:sz="8" w:space="0"/>
              <w:left w:val="single" w:color="000000" w:sz="8" w:space="0"/>
              <w:bottom w:val="single" w:color="000000" w:sz="8" w:space="0"/>
              <w:right w:val="single" w:color="000000" w:sz="8" w:space="0"/>
            </w:tcBorders>
            <w:shd w:val="clear" w:color="auto" w:fill="D3D3D3"/>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1"/>
                <w:szCs w:val="21"/>
                <w:u w:val="none"/>
              </w:rPr>
            </w:pPr>
            <w:bookmarkStart w:id="24" w:name="_Toc256000022"/>
            <w:r>
              <w:rPr>
                <w:rFonts w:hint="eastAsia" w:ascii="仿宋_GB2312" w:hAnsi="仿宋_GB2312" w:eastAsia="仿宋_GB2312" w:cs="仿宋_GB2312"/>
                <w:b/>
                <w:i w:val="0"/>
                <w:color w:val="auto"/>
                <w:kern w:val="0"/>
                <w:sz w:val="21"/>
                <w:szCs w:val="21"/>
                <w:u w:val="none"/>
                <w:lang w:val="en-US" w:eastAsia="zh-CN" w:bidi="ar"/>
              </w:rPr>
              <w:t>序号</w:t>
            </w:r>
          </w:p>
        </w:tc>
        <w:tc>
          <w:tcPr>
            <w:tcW w:w="1000" w:type="pct"/>
            <w:tcBorders>
              <w:top w:val="single" w:color="000000" w:sz="8" w:space="0"/>
              <w:left w:val="nil"/>
              <w:bottom w:val="single" w:color="000000" w:sz="8" w:space="0"/>
              <w:right w:val="single" w:color="000000" w:sz="8" w:space="0"/>
            </w:tcBorders>
            <w:shd w:val="clear" w:color="auto" w:fill="D3D3D3"/>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1"/>
                <w:szCs w:val="21"/>
                <w:u w:val="none"/>
              </w:rPr>
            </w:pPr>
            <w:r>
              <w:rPr>
                <w:rFonts w:hint="eastAsia" w:ascii="仿宋_GB2312" w:hAnsi="仿宋_GB2312" w:eastAsia="仿宋_GB2312" w:cs="仿宋_GB2312"/>
                <w:b/>
                <w:i w:val="0"/>
                <w:color w:val="auto"/>
                <w:kern w:val="0"/>
                <w:sz w:val="21"/>
                <w:szCs w:val="21"/>
                <w:u w:val="none"/>
                <w:lang w:val="en-US" w:eastAsia="zh-CN" w:bidi="ar"/>
              </w:rPr>
              <w:t>产品类别</w:t>
            </w:r>
          </w:p>
        </w:tc>
        <w:tc>
          <w:tcPr>
            <w:tcW w:w="1000" w:type="pct"/>
            <w:tcBorders>
              <w:top w:val="single" w:color="000000" w:sz="8" w:space="0"/>
              <w:left w:val="nil"/>
              <w:bottom w:val="single" w:color="000000" w:sz="8" w:space="0"/>
              <w:right w:val="single" w:color="000000" w:sz="8" w:space="0"/>
            </w:tcBorders>
            <w:shd w:val="clear" w:color="auto" w:fill="D3D3D3"/>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1"/>
                <w:szCs w:val="21"/>
                <w:u w:val="none"/>
              </w:rPr>
            </w:pPr>
            <w:r>
              <w:rPr>
                <w:rFonts w:hint="eastAsia" w:ascii="仿宋_GB2312" w:hAnsi="仿宋_GB2312" w:eastAsia="仿宋_GB2312" w:cs="仿宋_GB2312"/>
                <w:b/>
                <w:i w:val="0"/>
                <w:color w:val="auto"/>
                <w:kern w:val="0"/>
                <w:sz w:val="21"/>
                <w:szCs w:val="21"/>
                <w:u w:val="none"/>
                <w:lang w:val="en-US" w:eastAsia="zh-CN" w:bidi="ar"/>
              </w:rPr>
              <w:t>产品名称</w:t>
            </w:r>
          </w:p>
        </w:tc>
        <w:tc>
          <w:tcPr>
            <w:tcW w:w="1000" w:type="pct"/>
            <w:tcBorders>
              <w:top w:val="single" w:color="000000" w:sz="8" w:space="0"/>
              <w:left w:val="nil"/>
              <w:bottom w:val="single" w:color="000000" w:sz="8" w:space="0"/>
              <w:right w:val="single" w:color="000000" w:sz="8" w:space="0"/>
            </w:tcBorders>
            <w:shd w:val="clear" w:color="auto" w:fill="D3D3D3"/>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1"/>
                <w:szCs w:val="21"/>
                <w:u w:val="none"/>
              </w:rPr>
            </w:pPr>
            <w:r>
              <w:rPr>
                <w:rFonts w:hint="eastAsia" w:ascii="仿宋_GB2312" w:hAnsi="仿宋_GB2312" w:eastAsia="仿宋_GB2312" w:cs="仿宋_GB2312"/>
                <w:b/>
                <w:i w:val="0"/>
                <w:color w:val="auto"/>
                <w:kern w:val="0"/>
                <w:sz w:val="21"/>
                <w:szCs w:val="21"/>
                <w:u w:val="none"/>
                <w:lang w:val="en-US" w:eastAsia="zh-CN" w:bidi="ar"/>
              </w:rPr>
              <w:t>数量</w:t>
            </w:r>
          </w:p>
        </w:tc>
        <w:tc>
          <w:tcPr>
            <w:tcW w:w="1000" w:type="pct"/>
            <w:tcBorders>
              <w:top w:val="single" w:color="000000" w:sz="8" w:space="0"/>
              <w:left w:val="nil"/>
              <w:bottom w:val="single" w:color="000000" w:sz="8" w:space="0"/>
              <w:right w:val="single" w:color="000000" w:sz="8" w:space="0"/>
            </w:tcBorders>
            <w:shd w:val="clear" w:color="auto" w:fill="D3D3D3"/>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1"/>
                <w:szCs w:val="21"/>
                <w:u w:val="none"/>
              </w:rPr>
            </w:pPr>
            <w:r>
              <w:rPr>
                <w:rFonts w:hint="eastAsia" w:ascii="仿宋_GB2312" w:hAnsi="仿宋_GB2312" w:eastAsia="仿宋_GB2312" w:cs="仿宋_GB2312"/>
                <w:b/>
                <w:i w:val="0"/>
                <w:color w:val="auto"/>
                <w:kern w:val="0"/>
                <w:sz w:val="21"/>
                <w:szCs w:val="21"/>
                <w:u w:val="none"/>
                <w:lang w:val="en-US" w:eastAsia="zh-CN" w:bidi="ar"/>
              </w:rPr>
              <w:t>单位</w:t>
            </w:r>
          </w:p>
        </w:tc>
        <w:tc>
          <w:tcPr>
            <w:tcW w:w="500" w:type="pct"/>
            <w:tcBorders>
              <w:top w:val="single" w:color="000000" w:sz="8" w:space="0"/>
              <w:left w:val="nil"/>
              <w:bottom w:val="single" w:color="000000" w:sz="8" w:space="0"/>
              <w:right w:val="single" w:color="000000" w:sz="8" w:space="0"/>
            </w:tcBorders>
            <w:shd w:val="clear" w:color="auto" w:fill="D3D3D3"/>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1"/>
                <w:szCs w:val="21"/>
                <w:u w:val="none"/>
              </w:rPr>
            </w:pPr>
            <w:r>
              <w:rPr>
                <w:rFonts w:hint="eastAsia" w:ascii="仿宋_GB2312" w:hAnsi="仿宋_GB2312" w:eastAsia="仿宋_GB2312" w:cs="仿宋_GB2312"/>
                <w:b/>
                <w:i w:val="0"/>
                <w:color w:val="auto"/>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大白菜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10366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洋白菜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8771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小白菜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3588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生菜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3300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菠菜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3030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韭菜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1834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韭黄</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油菜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6060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lang w:val="en-US" w:eastAsia="zh-CN" w:bidi="ar-SA"/>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lang w:val="en-US" w:eastAsia="zh-CN" w:bidi="ar-SA"/>
              </w:rPr>
            </w:pPr>
            <w:r>
              <w:rPr>
                <w:rFonts w:hint="eastAsia" w:ascii="仿宋_GB2312" w:hAnsi="宋体" w:eastAsia="仿宋_GB2312" w:cs="仿宋_GB2312"/>
                <w:i w:val="0"/>
                <w:color w:val="auto"/>
                <w:kern w:val="0"/>
                <w:sz w:val="21"/>
                <w:szCs w:val="21"/>
                <w:u w:val="none"/>
                <w:lang w:val="en-US" w:eastAsia="zh-CN" w:bidi="ar"/>
              </w:rPr>
              <w:t>油麦菜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10</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空心菜</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1200</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娃娃菜</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1200</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12</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胡萝卜</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2300</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青萝卜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2300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白萝卜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2600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葱头</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4146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大葱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3349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1980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生姜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622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大蒜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1276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新鲜蔬菜类调味品</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蒜苗</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680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蒜苔</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2751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芹菜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3211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莴笋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3871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芦笋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莲藕</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1994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蒜薹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2791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菜花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3828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西红柿</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4226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西兰花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2073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31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青椒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3110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32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红椒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1220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彩椒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34</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茄子</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3850</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35</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黄瓜</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7017</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36</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西葫芦</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2950</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冬瓜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3588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38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南瓜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5981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39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豆角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4465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40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荷兰豆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41</w:t>
            </w:r>
          </w:p>
        </w:tc>
        <w:tc>
          <w:tcPr>
            <w:tcW w:w="10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四季豆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平菇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2552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1276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44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金针菇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1356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45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杏鲍菇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520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46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虫草花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口蘑</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红薯</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9982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49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茼蒿</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1917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51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豆芽</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3588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香椿</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53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苦瓜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丝瓜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玉米棒子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5263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芋头</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2791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山药</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3349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58</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蔬菜类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土豆</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8293</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59</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梨</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11164</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60</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猕猴桃</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2791</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61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桃子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4500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脐橙</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3558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橘子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4386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柑橘</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2589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李子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66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葡萄</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67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枇杷</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68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6140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69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芒果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2073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火龙果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3588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71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西瓜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18340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荔枝</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73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哈密瓜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9596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74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菜瓜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3569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羊角蜜瓜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5869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柚子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6778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水果类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苹果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10366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小平鱼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1415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79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目鱼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1834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小黄鱼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1754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鲈鱼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1595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82</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鲅鱼</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637</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83</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梭鱼</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558</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84</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黄姑鱼</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1515</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蛤蜊</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3110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蛏子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2552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虾</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12360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海带</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1276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89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带鱼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3668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90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水产</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鲽鱼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2871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91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水产</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清江鱼</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3360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水产</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海米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奶及奶制品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牛奶（鲜牛奶及包装牛奶等）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29735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袋</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奶及奶制品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酸奶等乳制品</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75753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杯</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95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豆制品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豆腐干</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1994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豆制品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豆腐皮</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1856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noWrap/>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97</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豆制品</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豆腐</w:t>
            </w:r>
          </w:p>
        </w:tc>
        <w:tc>
          <w:tcPr>
            <w:tcW w:w="181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4944</w:t>
            </w:r>
          </w:p>
        </w:tc>
        <w:tc>
          <w:tcPr>
            <w:tcW w:w="181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000000" w:sz="8" w:space="0"/>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猪肉、脏器及副产品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猪精瘦肉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3000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99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猪肉、脏器及副产品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猪排骨</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6969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猪肉、脏器及副产品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猪鲜肉馅（3:7）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2233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猪肉、脏器及副产品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猪五花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10366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猪下水</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2193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猪头</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2647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猪脏器及副产品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猪蹄</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1978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牛肋条</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4553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106</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牛肉及各部件</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牛腱子</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1579</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107</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牛肉及各部件</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牛骨等各部位</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622</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108</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牛肉及各部件</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牛腩</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2265</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109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羊肉卷</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2488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羊肋排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1300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羊杂等各部位</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1531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羊蝎子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622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禽肉及各部件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鸡肉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1196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禽肉及各部件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鸡胗</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禽肉及各部件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鸡翅</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1037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禽肉及各部件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鸡腿</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2552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117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禽肉及各部件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鸭肉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1531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禽肉及各部件</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鹅肉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988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119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香肠</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1675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火腿</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2950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骨肉相连</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1255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鸭血</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255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noWrap/>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123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毛肚</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1037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noWrap/>
            <w:vAlign w:val="center"/>
          </w:tcPr>
          <w:p>
            <w:pPr>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124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熏酱卤烧烤肉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7017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noWrap/>
            <w:vAlign w:val="center"/>
          </w:tcPr>
          <w:p>
            <w:pPr>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125</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肉制品/半成品</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午餐肉</w:t>
            </w:r>
          </w:p>
        </w:tc>
        <w:tc>
          <w:tcPr>
            <w:tcW w:w="181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2589</w:t>
            </w:r>
          </w:p>
        </w:tc>
        <w:tc>
          <w:tcPr>
            <w:tcW w:w="181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000000" w:sz="8" w:space="0"/>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大米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12439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小米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3828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玉米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129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黑米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861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130</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紫米</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497</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131</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大豆</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3843</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132</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蚕豆</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506</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绿豆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1419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红小豆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339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黑豆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717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青豆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717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芝麻</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143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138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花生</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6220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139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面粉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37318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140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玉米粉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12564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谷物杂粮类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混合杂粮</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5969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食用油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16634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升</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食用盐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2137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酱油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3867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香油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765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146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豆瓣酱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1037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豆豉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569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料酒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749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149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芝麻酱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606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花生酱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143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火锅底料</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598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耗油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577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蒸鱼豉油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328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154</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食用醋</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2456</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155</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胡椒粉</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82.93</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156</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椒盐</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68</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孜然</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花椒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143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159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八角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干辣椒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茴香</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162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桂皮</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163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辣椒面</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37.48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辣椒酱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341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虾酱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榨菜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韭菜花酱</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袋</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泡椒</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703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169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泡菜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960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170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酸菜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各种腌制咸菜</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1136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其他干调料</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956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味精</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鸡精</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223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糖</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2352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淀粉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223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腐乳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178</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复合调料粉</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51</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179</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酵母</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95</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180</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黄油</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95</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猪油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奶油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小苏打</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泡打粉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吉利丁</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点心调味粉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7.9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酥油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调料类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牛油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189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副食类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速冻水饺</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副食类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粉丝</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副食类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粉条</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303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副食类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春卷皮</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19.17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蛋类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鸡蛋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11483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蛋类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鸭蛋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195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蛋类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鹌鹑蛋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382</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196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蛋类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皮蛋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蛋类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咸蛋</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150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198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干木耳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199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干香菇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干茶树菇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96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201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银耳</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167</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202</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竹荪</w:t>
            </w:r>
          </w:p>
        </w:tc>
        <w:tc>
          <w:tcPr>
            <w:tcW w:w="1816" w:type="dxa"/>
            <w:tcBorders>
              <w:top w:val="nil"/>
              <w:left w:val="nil"/>
              <w:bottom w:val="single" w:color="auto" w:sz="4" w:space="0"/>
              <w:right w:val="single" w:color="000000" w:sz="8" w:space="0"/>
            </w:tcBorders>
            <w:shd w:val="clear" w:color="auto" w:fill="auto"/>
            <w:vAlign w:val="center"/>
          </w:tcPr>
          <w:p>
            <w:pPr>
              <w:jc w:val="center"/>
              <w:rPr>
                <w:rFonts w:hint="default" w:ascii="仿宋_GB2312" w:hAnsi="仿宋_GB2312" w:eastAsia="仿宋_GB2312" w:cs="仿宋_GB2312"/>
                <w:i w:val="0"/>
                <w:color w:val="auto"/>
                <w:sz w:val="21"/>
                <w:szCs w:val="21"/>
                <w:u w:val="none"/>
                <w:lang w:val="en"/>
              </w:rPr>
            </w:pPr>
            <w:r>
              <w:rPr>
                <w:rFonts w:hint="default" w:ascii="仿宋_GB2312" w:hAnsi="仿宋_GB2312" w:eastAsia="仿宋_GB2312" w:cs="仿宋_GB2312"/>
                <w:i w:val="0"/>
                <w:color w:val="auto"/>
                <w:sz w:val="21"/>
                <w:szCs w:val="21"/>
                <w:u w:val="none"/>
                <w:lang w:val="en"/>
              </w:rPr>
              <w:t>60</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203</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干腐竹</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135</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204</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紫菜</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119</w:t>
            </w:r>
          </w:p>
        </w:tc>
        <w:tc>
          <w:tcPr>
            <w:tcW w:w="181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205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大枣</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446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206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芡实</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207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枸杞</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208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莲子</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209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桂圆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210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蛋挞皮</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4734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211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披萨皮</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303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奥利奥碎</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11</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燕麦片</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239</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米线</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面条、挂面</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120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216</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方便面</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3650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桶</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217</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汤圆</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165</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218</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银丝卷</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219</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糕点</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8826</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220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面包</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414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饼干</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1050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222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糯米粉</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50</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果子面</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4104</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224</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瓜子仁</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55.8</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225</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果干</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63</w:t>
            </w:r>
          </w:p>
        </w:tc>
        <w:tc>
          <w:tcPr>
            <w:tcW w:w="18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226</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干果碎</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478</w:t>
            </w:r>
          </w:p>
        </w:tc>
        <w:tc>
          <w:tcPr>
            <w:tcW w:w="181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nil"/>
              <w:left w:val="nil"/>
              <w:bottom w:val="single" w:color="auto" w:sz="4" w:space="0"/>
              <w:right w:val="single" w:color="000000" w:sz="8" w:space="0"/>
            </w:tcBorders>
            <w:shd w:val="clear" w:color="auto" w:fill="auto"/>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227</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bidi="ar"/>
              </w:rPr>
              <w:t>蜂蜜</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143</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228</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果酱</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260</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500"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仿宋_GB2312" w:hAnsi="仿宋_GB2312" w:eastAsia="仿宋_GB2312" w:cs="仿宋_GB2312"/>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229</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其他类</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color w:val="auto"/>
                <w:kern w:val="0"/>
                <w:sz w:val="21"/>
                <w:szCs w:val="21"/>
                <w:u w:val="none"/>
                <w:lang w:val="en-US" w:eastAsia="zh-CN" w:bidi="ar"/>
              </w:rPr>
            </w:pPr>
            <w:r>
              <w:rPr>
                <w:rFonts w:hint="eastAsia" w:ascii="仿宋_GB2312" w:hAnsi="宋体" w:eastAsia="仿宋_GB2312" w:cs="仿宋_GB2312"/>
                <w:i w:val="0"/>
                <w:color w:val="auto"/>
                <w:kern w:val="0"/>
                <w:sz w:val="21"/>
                <w:szCs w:val="21"/>
                <w:u w:val="none"/>
                <w:lang w:val="en-US" w:eastAsia="zh-CN" w:bidi="ar"/>
              </w:rPr>
              <w:t>番茄酱</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486</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1"/>
                <w:szCs w:val="21"/>
                <w:u w:val="none"/>
              </w:rPr>
            </w:pPr>
            <w:r>
              <w:rPr>
                <w:rFonts w:hint="eastAsia" w:ascii="仿宋_GB2312" w:hAnsi="宋体" w:eastAsia="仿宋_GB2312" w:cs="仿宋_GB2312"/>
                <w:i w:val="0"/>
                <w:color w:val="000000"/>
                <w:kern w:val="0"/>
                <w:sz w:val="24"/>
                <w:szCs w:val="24"/>
                <w:u w:val="none"/>
                <w:lang w:val="en-US" w:eastAsia="zh-CN" w:bidi="ar"/>
              </w:rPr>
              <w:t>斤</w:t>
            </w:r>
          </w:p>
        </w:tc>
        <w:tc>
          <w:tcPr>
            <w:tcW w:w="908"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仿宋_GB2312" w:hAnsi="仿宋_GB2312" w:eastAsia="仿宋_GB2312" w:cs="仿宋_GB2312"/>
                <w:i w:val="0"/>
                <w:color w:val="auto"/>
                <w:sz w:val="21"/>
                <w:szCs w:val="21"/>
                <w:u w:val="none"/>
              </w:rPr>
            </w:pPr>
          </w:p>
        </w:tc>
      </w:tr>
    </w:tbl>
    <w:p>
      <w:pPr>
        <w:pStyle w:val="4"/>
        <w:keepNext w:val="0"/>
        <w:spacing w:before="0" w:after="0" w:line="360" w:lineRule="auto"/>
        <w:rPr>
          <w:rFonts w:ascii="仿宋_GB2312" w:hAnsi="仿宋_GB2312" w:eastAsia="仿宋_GB2312" w:cs="仿宋_GB2312"/>
          <w:i w:val="0"/>
          <w:iCs w:val="0"/>
          <w:color w:val="auto"/>
        </w:rPr>
      </w:pPr>
    </w:p>
    <w:p>
      <w:pPr>
        <w:pStyle w:val="4"/>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i w:val="0"/>
          <w:iCs w:val="0"/>
          <w:color w:val="auto"/>
        </w:rPr>
        <w:t>3.3采购产品详细清单及技术指标</w:t>
      </w:r>
      <w:bookmarkEnd w:id="24"/>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采购文件（技术部分）中有标注★号的，为必备服务要求，必须满足，如未作出响应，将导致响应无效；#为重要服务内容、△为一般服务内容。</w:t>
      </w:r>
    </w:p>
    <w:p>
      <w:pPr>
        <w:rPr>
          <w:rFonts w:hint="eastAsia" w:ascii="仿宋_GB2312" w:hAnsi="仿宋_GB2312" w:eastAsia="仿宋_GB2312" w:cs="仿宋_GB2312"/>
          <w:color w:val="auto"/>
          <w:sz w:val="28"/>
          <w:szCs w:val="28"/>
          <w:lang w:eastAsia="zh-CN"/>
        </w:rPr>
      </w:pPr>
    </w:p>
    <w:tbl>
      <w:tblPr>
        <w:tblStyle w:val="10"/>
        <w:tblW w:w="5000" w:type="pct"/>
        <w:tblInd w:w="30" w:type="dxa"/>
        <w:tblLayout w:type="autofit"/>
        <w:tblCellMar>
          <w:top w:w="15" w:type="dxa"/>
          <w:left w:w="15" w:type="dxa"/>
          <w:bottom w:w="15" w:type="dxa"/>
          <w:right w:w="15" w:type="dxa"/>
        </w:tblCellMar>
      </w:tblPr>
      <w:tblGrid>
        <w:gridCol w:w="907"/>
        <w:gridCol w:w="1814"/>
        <w:gridCol w:w="1814"/>
        <w:gridCol w:w="1814"/>
        <w:gridCol w:w="1814"/>
        <w:gridCol w:w="907"/>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序号</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指标种类</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指标名称</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指标内容</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重要性</w:t>
            </w:r>
          </w:p>
        </w:tc>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是否需要证明材料</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（1）食品必须符合国家饮食卫生标准，同时保证食品新鲜，不得出现腐烂、变质，以次充好等情况；</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（2）食品的质量与包装应符合国家相关法律法规的规定，符合行业主管部门发布的规定、标准、规范；</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3</w:t>
            </w:r>
            <w:r>
              <w:rPr>
                <w:rFonts w:ascii="仿宋_GB2312" w:hAnsi="仿宋_GB2312" w:eastAsia="仿宋_GB2312" w:cs="仿宋_GB2312"/>
                <w:b w:val="0"/>
                <w:bCs w:val="0"/>
                <w:i w:val="0"/>
                <w:iCs w:val="0"/>
                <w:smallCaps w:val="0"/>
                <w:color w:val="auto"/>
                <w:sz w:val="21"/>
                <w:szCs w:val="21"/>
              </w:rPr>
              <w:t>）对于没有国家标准的应符合行业标准或企业标准，其中国家有强制性技术标准要求的产品，还应符合国家强制性技术标准，确保配送的货物安全、卫生。</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4</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4</w:t>
            </w:r>
            <w:r>
              <w:rPr>
                <w:rFonts w:ascii="仿宋_GB2312" w:hAnsi="仿宋_GB2312" w:eastAsia="仿宋_GB2312" w:cs="仿宋_GB2312"/>
                <w:b w:val="0"/>
                <w:bCs w:val="0"/>
                <w:i w:val="0"/>
                <w:iCs w:val="0"/>
                <w:smallCaps w:val="0"/>
                <w:color w:val="auto"/>
                <w:sz w:val="21"/>
                <w:szCs w:val="21"/>
              </w:rPr>
              <w:t>） 按规定必须经由法定食品检验机构检测的食品，投标人应在交货时向采购人提供同批次食品检验报告或合格证（复印件加盖公章）。</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hint="eastAsia" w:ascii="仿宋_GB2312" w:hAnsi="仿宋_GB2312" w:eastAsia="仿宋_GB2312" w:cs="仿宋_GB2312"/>
                <w:b w:val="0"/>
                <w:bCs w:val="0"/>
                <w:i w:val="0"/>
                <w:iCs w:val="0"/>
                <w:smallCaps w:val="0"/>
                <w:color w:val="auto"/>
                <w:sz w:val="21"/>
                <w:szCs w:val="21"/>
                <w:lang w:eastAsia="zh-CN"/>
              </w:rPr>
            </w:pPr>
            <w:r>
              <w:rPr>
                <w:rFonts w:hint="eastAsia" w:ascii="仿宋_GB2312" w:hAnsi="仿宋_GB2312" w:eastAsia="仿宋_GB2312" w:cs="仿宋_GB2312"/>
                <w:b w:val="0"/>
                <w:bCs w:val="0"/>
                <w:i w:val="0"/>
                <w:iCs w:val="0"/>
                <w:smallCaps w:val="0"/>
                <w:color w:val="auto"/>
                <w:sz w:val="21"/>
                <w:szCs w:val="21"/>
                <w:lang w:eastAsia="zh-CN"/>
              </w:rPr>
              <w:t>是</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5</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5</w:t>
            </w:r>
            <w:r>
              <w:rPr>
                <w:rFonts w:ascii="仿宋_GB2312" w:hAnsi="仿宋_GB2312" w:eastAsia="仿宋_GB2312" w:cs="仿宋_GB2312"/>
                <w:b w:val="0"/>
                <w:bCs w:val="0"/>
                <w:i w:val="0"/>
                <w:iCs w:val="0"/>
                <w:smallCaps w:val="0"/>
                <w:color w:val="auto"/>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6</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6</w:t>
            </w:r>
            <w:r>
              <w:rPr>
                <w:rFonts w:ascii="仿宋_GB2312" w:hAnsi="仿宋_GB2312" w:eastAsia="仿宋_GB2312" w:cs="仿宋_GB2312"/>
                <w:b w:val="0"/>
                <w:bCs w:val="0"/>
                <w:i w:val="0"/>
                <w:iCs w:val="0"/>
                <w:smallCaps w:val="0"/>
                <w:color w:val="auto"/>
                <w:sz w:val="21"/>
                <w:szCs w:val="21"/>
              </w:rPr>
              <w:t>）肉类的理化指标及卫生标准符合国家或采购人所在地区最新标准执行。</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7</w:t>
            </w:r>
            <w:r>
              <w:rPr>
                <w:rFonts w:ascii="仿宋_GB2312" w:hAnsi="仿宋_GB2312" w:eastAsia="仿宋_GB2312" w:cs="仿宋_GB2312"/>
                <w:b w:val="0"/>
                <w:bCs w:val="0"/>
                <w:i w:val="0"/>
                <w:iCs w:val="0"/>
                <w:smallCaps w:val="0"/>
                <w:color w:val="auto"/>
                <w:sz w:val="21"/>
                <w:szCs w:val="21"/>
              </w:rPr>
              <w:t>）肉类供应商供应的动物类食品必须经过检验检疫，供货时一并提交出厂合格证复印件，必要时应按采购人要求提供生产厂家的卫生许可证。</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hint="eastAsia" w:ascii="仿宋_GB2312" w:hAnsi="仿宋_GB2312" w:eastAsia="仿宋_GB2312" w:cs="仿宋_GB2312"/>
                <w:b w:val="0"/>
                <w:bCs w:val="0"/>
                <w:i w:val="0"/>
                <w:iCs w:val="0"/>
                <w:smallCaps w:val="0"/>
                <w:color w:val="auto"/>
                <w:sz w:val="21"/>
                <w:szCs w:val="21"/>
                <w:lang w:val="en-US" w:eastAsia="zh-CN" w:bidi="ar-SA"/>
              </w:rPr>
            </w:pPr>
            <w:r>
              <w:rPr>
                <w:rFonts w:hint="eastAsia" w:ascii="仿宋_GB2312" w:hAnsi="仿宋_GB2312" w:eastAsia="仿宋_GB2312" w:cs="仿宋_GB2312"/>
                <w:b w:val="0"/>
                <w:bCs w:val="0"/>
                <w:i w:val="0"/>
                <w:iCs w:val="0"/>
                <w:smallCaps w:val="0"/>
                <w:color w:val="auto"/>
                <w:sz w:val="21"/>
                <w:szCs w:val="21"/>
                <w:lang w:eastAsia="zh-CN"/>
              </w:rPr>
              <w:t>是</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8</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8</w:t>
            </w:r>
            <w:r>
              <w:rPr>
                <w:rFonts w:ascii="仿宋_GB2312" w:hAnsi="仿宋_GB2312" w:eastAsia="仿宋_GB2312" w:cs="仿宋_GB2312"/>
                <w:b w:val="0"/>
                <w:bCs w:val="0"/>
                <w:i w:val="0"/>
                <w:iCs w:val="0"/>
                <w:smallCaps w:val="0"/>
                <w:color w:val="auto"/>
                <w:sz w:val="21"/>
                <w:szCs w:val="21"/>
              </w:rPr>
              <w:t>）所供生鲜肉确保为出厂后48小时内；冻肉确保为出厂后3个月内。</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9</w:t>
            </w:r>
            <w:r>
              <w:rPr>
                <w:rFonts w:ascii="仿宋_GB2312" w:hAnsi="仿宋_GB2312" w:eastAsia="仿宋_GB2312" w:cs="仿宋_GB2312"/>
                <w:b w:val="0"/>
                <w:bCs w:val="0"/>
                <w:i w:val="0"/>
                <w:iCs w:val="0"/>
                <w:smallCaps w:val="0"/>
                <w:color w:val="auto"/>
                <w:sz w:val="21"/>
                <w:szCs w:val="21"/>
              </w:rPr>
              <w:t>）保证所供肉类渠道来源正规可溯，参考正规市场品质及来源。</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10</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10</w:t>
            </w:r>
            <w:r>
              <w:rPr>
                <w:rFonts w:ascii="仿宋_GB2312" w:hAnsi="仿宋_GB2312" w:eastAsia="仿宋_GB2312" w:cs="仿宋_GB2312"/>
                <w:b w:val="0"/>
                <w:bCs w:val="0"/>
                <w:i w:val="0"/>
                <w:iCs w:val="0"/>
                <w:smallCaps w:val="0"/>
                <w:color w:val="auto"/>
                <w:sz w:val="21"/>
                <w:szCs w:val="21"/>
              </w:rPr>
              <w:t>）蔬菜和水果化学药物不超标，保持较好的色泽及新鲜度，无黄叶、泥沙；包装食品标注生产厂家，生产日期，并在保质期范围内，保持较好的外观；水产品品质新鲜质量安全。</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11</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11</w:t>
            </w:r>
            <w:r>
              <w:rPr>
                <w:rFonts w:ascii="仿宋_GB2312" w:hAnsi="仿宋_GB2312" w:eastAsia="仿宋_GB2312" w:cs="仿宋_GB2312"/>
                <w:b w:val="0"/>
                <w:bCs w:val="0"/>
                <w:i w:val="0"/>
                <w:iCs w:val="0"/>
                <w:smallCaps w:val="0"/>
                <w:color w:val="auto"/>
                <w:sz w:val="21"/>
                <w:szCs w:val="21"/>
              </w:rPr>
              <w:t>）所有食材的来源清晰，蔬菜来源于受到地方政府部门监管的自有基地、商品菜基地或蔬菜专业流通市场，不供应散户溯源不清的蔬菜。</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12</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12</w:t>
            </w:r>
            <w:r>
              <w:rPr>
                <w:rFonts w:ascii="仿宋_GB2312" w:hAnsi="仿宋_GB2312" w:eastAsia="仿宋_GB2312" w:cs="仿宋_GB2312"/>
                <w:b w:val="0"/>
                <w:bCs w:val="0"/>
                <w:i w:val="0"/>
                <w:iCs w:val="0"/>
                <w:smallCaps w:val="0"/>
                <w:color w:val="auto"/>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13</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通用质量要求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13</w:t>
            </w:r>
            <w:r>
              <w:rPr>
                <w:rFonts w:ascii="仿宋_GB2312" w:hAnsi="仿宋_GB2312" w:eastAsia="仿宋_GB2312" w:cs="仿宋_GB2312"/>
                <w:b w:val="0"/>
                <w:bCs w:val="0"/>
                <w:i w:val="0"/>
                <w:iCs w:val="0"/>
                <w:smallCaps w:val="0"/>
                <w:color w:val="auto"/>
                <w:sz w:val="21"/>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14</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通用质量要求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14</w:t>
            </w:r>
            <w:r>
              <w:rPr>
                <w:rFonts w:ascii="仿宋_GB2312" w:hAnsi="仿宋_GB2312" w:eastAsia="仿宋_GB2312" w:cs="仿宋_GB2312"/>
                <w:b w:val="0"/>
                <w:bCs w:val="0"/>
                <w:i w:val="0"/>
                <w:iCs w:val="0"/>
                <w:smallCaps w:val="0"/>
                <w:color w:val="auto"/>
                <w:sz w:val="21"/>
                <w:szCs w:val="21"/>
              </w:rPr>
              <w:t>）冻品外包装需密封、完整，无破损，商品合格证齐全。冻品在解冻后，发现质量问题承诺退货。</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15</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鲜冻鱼质量要求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hint="eastAsia" w:ascii="仿宋_GB2312" w:hAnsi="仿宋_GB2312" w:eastAsia="仿宋_GB2312" w:cs="仿宋_GB2312"/>
                <w:b w:val="0"/>
                <w:bCs w:val="0"/>
                <w:i w:val="0"/>
                <w:iCs w:val="0"/>
                <w:smallCaps w:val="0"/>
                <w:color w:val="auto"/>
                <w:sz w:val="21"/>
                <w:szCs w:val="21"/>
                <w:lang w:val="en-US" w:eastAsia="zh-CN"/>
              </w:rPr>
              <w:t>(15）</w:t>
            </w:r>
            <w:r>
              <w:rPr>
                <w:rFonts w:ascii="仿宋_GB2312" w:hAnsi="仿宋_GB2312" w:eastAsia="仿宋_GB2312" w:cs="仿宋_GB2312"/>
                <w:b w:val="0"/>
                <w:bCs w:val="0"/>
                <w:i w:val="0"/>
                <w:iCs w:val="0"/>
                <w:smallCaps w:val="0"/>
                <w:color w:val="auto"/>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16</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鲜猪肉通用质量要求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16</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17</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五花肉质量要求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17</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一级五花肉，肥膘厚度≤2.0cm，肥瘦相间，肉质细腻，三层见花。</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18</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肋排质量要求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18</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肋排去剔前排后11-13根肋骨，整块重量1.2KG-1.8KG，纹理清晰，边缘整齐。</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lang w:val="en-US" w:eastAsia="en-US" w:bidi="ar-SA"/>
              </w:rPr>
            </w:pPr>
            <w:r>
              <w:rPr>
                <w:rFonts w:ascii="仿宋_GB2312" w:hAnsi="仿宋_GB2312" w:eastAsia="仿宋_GB2312" w:cs="仿宋_GB2312"/>
                <w:b w:val="0"/>
                <w:bCs w:val="0"/>
                <w:i w:val="0"/>
                <w:iCs w:val="0"/>
                <w:smallCaps w:val="0"/>
                <w:color w:val="000000"/>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lang w:val="en-US" w:eastAsia="en-US" w:bidi="ar-SA"/>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19</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猪脏器及副产品质量要求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17</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心肝、腰子类：品质新鲜、外形完整、无异味、无病变、无凝血块、无血污、泥污、颜色正常。</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肚：品质新鲜、外形完整、无溃疡面及其他病变现象、无内容物、无粘膜、无边油。</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大肠、肥肠类：品质新鲜、无破损、无病变组织、无肠头细毛、无内容物、去净粘膜。</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舌：品质新鲜、外形完整、无病变、无异物、无舌苔、附肉少、无血污、泥污。</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耳：品质新鲜、外形完整、无溃烂、病斑、无破损。</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蹄爪类：品质新鲜、去蹄壳、不带蹄筋、刮除粗毛、细毛及趾间黑垢、无松香残留。</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蹄筋类：品质新鲜、无色透明、表面光亮、无油脂、无精肉、无充血现象、顺直、干燥。</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猪心：淡红色，脂肪乳白色稍红色，结实，有弹性，外形完整，心房内无瘀血，无凝血块，无病变，气味正常。</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猪肝：红褐色或棕黄色，有光泽，湿润，略有弹性，组织结实微密，肝叶完整，无脂肪，胆囊、粗输、胆管、无寄生虫、炎症水泡、薄膜，无胆汁污染，微有鱼腥味。</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猪口条：品质新鲜，外形完整，无根附着的肌肉、舌骨、舌苔、脂肪、无病伤，无异物。</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猪尾：品质新鲜，去毛洁净，不带毛根或绒毛。</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lang w:val="en-US" w:eastAsia="en-US" w:bidi="ar-SA"/>
              </w:rPr>
            </w:pPr>
            <w:r>
              <w:rPr>
                <w:rFonts w:ascii="仿宋_GB2312" w:hAnsi="仿宋_GB2312" w:eastAsia="仿宋_GB2312" w:cs="仿宋_GB2312"/>
                <w:b w:val="0"/>
                <w:bCs w:val="0"/>
                <w:i w:val="0"/>
                <w:iCs w:val="0"/>
                <w:smallCaps w:val="0"/>
                <w:color w:val="000000"/>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lang w:val="en-US" w:eastAsia="en-US" w:bidi="ar-SA"/>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20</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鲜牛肉通用质量要求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18</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精修牛肉，颜色呈正常鲜红状，脂肪微黄，表面有光泽有正常油脂分泌，触摸略感粘稠，按压有弹性，无发酸发臭气味，无腐坏变色现象，挤压无水溢出。</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21</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牛腩质量要求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19</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精修牛腩肉，牛腹部及靠近牛肋处的松软肌肉，带有筋、肉、油花的肉块。</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22</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鲜羊肉质量要求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20</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23</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冻畜肉质量要求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21</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色泽：颜色比冷却肉鲜明，在表面切开处为浅玫瑰色至灰色，用手或热刀触之，立显示鲜红色。脂肪猪、羊为白色，牛为淡黄色。肌腱为白色，石灰色。</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外表：无杂质，无肌肉风干现象，无白、黄、绿斑、紫斑、污血、过多冰衣无白霜、</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气味：化冻时，有肉的正常味，略潮，没有熟肉味。</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包装：按标准部位分割外包装无破损有生产日期。</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24</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鲜鸡（鸭、鹅）类质量要求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22</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眼球：无干缩凹陷或晶体状浑浊现象。</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外表：具有其固有表皮颜色、肌肉切面有光泽、无绿、紫等异常颜色、无残羽（在脖、翅等处无较长细毛）、无破损、无残缺、新切面不发粘。</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气味：具有其固有气味、无异味。</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弹性：指压后凹陷、能恢复。</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25</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鲜鸡类各部件质量要求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23</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鸡爪：品质新鲜、呈白色或灰白色、无黄皮趾壳、无血污、血水、无残缺、脚趾根上无黑斑、允许有少量红斑。</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鸡翅：品质新鲜、无残羽、无黄衣、无伤斑及溃烂、无血水血污、允许有少数斑、允许剪修但最大范围不超转弯关节处。</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鸡腿：无残羽、无血水、血污、品质新鲜、无残骨无伤斑及溃烂、炎症、允许有少数红斑、外形美观。</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鸡胸肉：品质新鲜、无残羽、无血水、血污、无残骨、无伤斑、溃烂、炎症，允许有少数红斑。</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鸡肝：品质新鲜、外形完整、去胆、无寄生虫、炎症、水泡，无胆汁污染无血渍。</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鸡胗：品质新鲜、外形完整无内容物、鸡内金、腺胃、肠管及脂肪，无出血、瘀血、病变。</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鸡心：品质新鲜、褐红色，脂肪稍红，组织结实，有弹性，心房内无瘀血、病变，气味正常。</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鸡脖：品质新鲜、去劲部皮、无羽毛、无血污。</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鸡头：品质新鲜、外形完整、无伤斑、无溃烂、无血污。</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蹄筋：品质新鲜，无色透明，表面光亮，无油脂，无精肉，无充血现顺直、干燥。</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26</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禽肉(冻)</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24</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色泽：外观滋润，呈乳白或微黄色。</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外表：基本无血脉、风干现象，无白、黄绿、紫斑、无冰衣，解冻后与鲜禽特征相同。</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气味：无腐臭气味</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包装：分割部件应符合标准，外包装完好、商标规格、产品说明清晰完整。</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27</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大米质量标准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25</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符合GB/T 1354-2018中关于一级米的标准，加工精度为精碾，小碎米含量≤1.0%，不完善粒≤3.0%，带壳稗粒≤3粒/公斤，带谷粒≤4粒/公斤。</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28</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面条米线质量要求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26</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不含非食品用化学物质、无杂质。以小麦、大米为原料的面条、米线颜色呈白色、乳白色、奶黄色，色亮不发灰发暗。表面结构细密、光滑。软硬适中，爽口不粘牙，口感光滑，具有清香，无异味。</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29</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面粉（含面粉配料）质量标准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27</w:t>
            </w:r>
            <w:r>
              <w:rPr>
                <w:rFonts w:ascii="仿宋_GB2312" w:hAnsi="仿宋_GB2312" w:eastAsia="仿宋_GB2312" w:cs="仿宋_GB2312"/>
                <w:b w:val="0"/>
                <w:bCs w:val="0"/>
                <w:i w:val="0"/>
                <w:iCs w:val="0"/>
                <w:smallCaps w:val="0"/>
                <w:color w:val="auto"/>
                <w:sz w:val="21"/>
                <w:szCs w:val="21"/>
              </w:rPr>
              <w:t>)通用面粉达GB/T 1355-2021国家标准。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30</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面粉（含面粉配料）质量标准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(2</w:t>
            </w:r>
            <w:r>
              <w:rPr>
                <w:rFonts w:hint="eastAsia" w:ascii="仿宋_GB2312" w:hAnsi="仿宋_GB2312" w:eastAsia="仿宋_GB2312" w:cs="仿宋_GB2312"/>
                <w:b w:val="0"/>
                <w:bCs w:val="0"/>
                <w:i w:val="0"/>
                <w:iCs w:val="0"/>
                <w:smallCaps w:val="0"/>
                <w:color w:val="auto"/>
                <w:sz w:val="21"/>
                <w:szCs w:val="21"/>
                <w:lang w:val="en-US" w:eastAsia="zh-CN"/>
              </w:rPr>
              <w:t>8</w:t>
            </w:r>
            <w:r>
              <w:rPr>
                <w:rFonts w:ascii="仿宋_GB2312" w:hAnsi="仿宋_GB2312" w:eastAsia="仿宋_GB2312" w:cs="仿宋_GB2312"/>
                <w:b w:val="0"/>
                <w:bCs w:val="0"/>
                <w:i w:val="0"/>
                <w:iCs w:val="0"/>
                <w:smallCaps w:val="0"/>
                <w:color w:val="auto"/>
                <w:sz w:val="21"/>
                <w:szCs w:val="21"/>
              </w:rPr>
              <w:t>)高筋面粉达GB/T 8607-1988国家标准，质量等级一级；低筋面粉达GB8608-1988标准，质量等级一级。色泽正常，干爽无异味。</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31</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食用油通用标准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29</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供应非转基因食用油。外观的色泽、透明度、气味滋味等无异常，定型包装。</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32</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大豆油质量标准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30</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符合质量标准GB/T1535-2017，质量等级一级，色泽为淡黄至浅黄色，冷冻实验澄清、透明，无异味、口感好，水分及挥发物质含量≤0.10%，不溶性杂质含量≤0.05%，酸价≤0.50ng/g，过氧化值≤5.0mmol/kg,烟点≥190℃。</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33</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鸡蛋质量要求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31</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一级清洁鸡蛋，蛋壳清洁完整，呈规则卵圆形，具有蛋壳固有的色泽，表面无肉眼可见污物，鸡蛋新鲜，蛋白浓稠、蛋黄圆润，单个鸡蛋重量58～68g。</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34</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蔬菜质量要求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32</w:t>
            </w:r>
            <w:r>
              <w:rPr>
                <w:rFonts w:ascii="仿宋_GB2312" w:hAnsi="仿宋_GB2312" w:eastAsia="仿宋_GB2312" w:cs="仿宋_GB2312"/>
                <w:b w:val="0"/>
                <w:bCs w:val="0"/>
                <w:i w:val="0"/>
                <w:iCs w:val="0"/>
                <w:smallCaps w:val="0"/>
                <w:color w:val="auto"/>
                <w:sz w:val="21"/>
                <w:szCs w:val="21"/>
              </w:rPr>
              <w:t>)供应当季各类新鲜蔬菜以及大棚种植蔬菜，蔬菜类无黄叶、枯死叶，无虫，无杂质，原菜菜面干净、无明显泥土、码放整齐、无破损、大小基本统一、不得过熟或欠熟.</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35</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蔬菜质量要求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r>
              <w:rPr>
                <w:rFonts w:hint="eastAsia" w:ascii="仿宋_GB2312" w:hAnsi="仿宋_GB2312" w:eastAsia="仿宋_GB2312" w:cs="仿宋_GB2312"/>
                <w:b w:val="0"/>
                <w:bCs w:val="0"/>
                <w:i w:val="0"/>
                <w:iCs w:val="0"/>
                <w:smallCaps w:val="0"/>
                <w:color w:val="auto"/>
                <w:sz w:val="21"/>
                <w:szCs w:val="21"/>
                <w:lang w:val="en-US" w:eastAsia="zh-CN"/>
              </w:rPr>
              <w:t>33</w:t>
            </w:r>
            <w:r>
              <w:rPr>
                <w:rFonts w:ascii="仿宋_GB2312" w:hAnsi="仿宋_GB2312" w:eastAsia="仿宋_GB2312" w:cs="仿宋_GB2312"/>
                <w:b w:val="0"/>
                <w:bCs w:val="0"/>
                <w:i w:val="0"/>
                <w:iCs w:val="0"/>
                <w:smallCaps w:val="0"/>
                <w:color w:val="auto"/>
                <w:sz w:val="21"/>
                <w:szCs w:val="21"/>
              </w:rPr>
              <w:t>)净菜须保证菜面完全干净、无泥土、按统一标准加工、码放整齐、无须二次处理可以直接进行熟加工。</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36</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水果质量要求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34</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供应当季各类水果，无虫、无杂质。果面干净，无明显泥土，码放整齐，无破损，大小基本统一，不过熟或欠熟。</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37</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豆腐及豆制品质量要求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35</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须保证食品干净，不含非食品用化学物质，按统一标准加工，码放整齐，无须二次处理可以直接进行熟加工。</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38</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其他食材质量标准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eastAsia="zh-CN"/>
              </w:rPr>
              <w:t>（</w:t>
            </w:r>
            <w:r>
              <w:rPr>
                <w:rFonts w:hint="eastAsia" w:ascii="仿宋_GB2312" w:hAnsi="仿宋_GB2312" w:eastAsia="仿宋_GB2312" w:cs="仿宋_GB2312"/>
                <w:b w:val="0"/>
                <w:bCs w:val="0"/>
                <w:i w:val="0"/>
                <w:iCs w:val="0"/>
                <w:smallCaps w:val="0"/>
                <w:color w:val="auto"/>
                <w:sz w:val="21"/>
                <w:szCs w:val="21"/>
                <w:lang w:val="en-US" w:eastAsia="zh-CN"/>
              </w:rPr>
              <w:t>36</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以上未详细列明的商品须符合国家食品安全卫生相关质量标准。</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lang w:val="en-US" w:eastAsia="en-US" w:bidi="ar-SA"/>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39</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特殊准入认证要求</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对实行食品质量（SC）安全市场准入制的食品，须在验收时提供 SC 认证的相关证明资料。</w:t>
            </w:r>
          </w:p>
        </w:tc>
        <w:tc>
          <w:tcPr>
            <w:tcW w:w="10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W w:w="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bl>
    <w:p>
      <w:pPr>
        <w:rPr>
          <w:color w:val="auto"/>
        </w:rPr>
      </w:pPr>
      <w:bookmarkStart w:id="25" w:name="_Toc256000023"/>
    </w:p>
    <w:p>
      <w:pPr>
        <w:pStyle w:val="4"/>
        <w:keepNext w:val="0"/>
        <w:spacing w:before="0" w:after="0" w:line="360" w:lineRule="auto"/>
        <w:rPr>
          <w:rFonts w:ascii="仿宋_GB2312" w:hAnsi="仿宋_GB2312" w:eastAsia="仿宋_GB2312" w:cs="仿宋_GB2312"/>
          <w:i w:val="0"/>
          <w:iCs w:val="0"/>
          <w:color w:val="auto"/>
        </w:rPr>
      </w:pPr>
      <w:r>
        <w:rPr>
          <w:rFonts w:ascii="仿宋_GB2312" w:hAnsi="仿宋_GB2312" w:eastAsia="仿宋_GB2312" w:cs="仿宋_GB2312"/>
          <w:i w:val="0"/>
          <w:iCs w:val="0"/>
          <w:color w:val="auto"/>
        </w:rPr>
        <w:t>3.4服务要求</w:t>
      </w:r>
      <w:bookmarkEnd w:id="25"/>
    </w:p>
    <w:tbl>
      <w:tblPr>
        <w:tblStyle w:val="10"/>
        <w:tblW w:w="5000" w:type="pct"/>
        <w:tblInd w:w="30" w:type="dxa"/>
        <w:tblLayout w:type="autofit"/>
        <w:tblCellMar>
          <w:top w:w="15" w:type="dxa"/>
          <w:left w:w="15" w:type="dxa"/>
          <w:bottom w:w="15" w:type="dxa"/>
          <w:right w:w="15" w:type="dxa"/>
        </w:tblCellMar>
      </w:tblPr>
      <w:tblGrid>
        <w:gridCol w:w="907"/>
        <w:gridCol w:w="1814"/>
        <w:gridCol w:w="1814"/>
        <w:gridCol w:w="1814"/>
        <w:gridCol w:w="1814"/>
        <w:gridCol w:w="907"/>
      </w:tblGrid>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 w:eastAsia="zh-CN"/>
              </w:rPr>
            </w:pPr>
            <w:r>
              <w:rPr>
                <w:rFonts w:hint="eastAsia" w:ascii="仿宋_GB2312" w:hAnsi="宋体" w:eastAsia="仿宋_GB2312" w:cs="仿宋_GB2312"/>
                <w:i w:val="0"/>
                <w:color w:val="000000"/>
                <w:kern w:val="0"/>
                <w:sz w:val="21"/>
                <w:szCs w:val="21"/>
                <w:u w:val="none"/>
                <w:lang w:val="en-US" w:eastAsia="zh-CN" w:bidi="ar"/>
              </w:rPr>
              <w:t>1</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硬件设施要求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仓储设施要求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投标人自有或租赁库房面积不小于200平米，冷库吨位不小于200吨。能够满足按采购人需求完成配送任务，确保</w:t>
            </w:r>
            <w:r>
              <w:rPr>
                <w:rStyle w:val="25"/>
                <w:rFonts w:hAnsi="宋体"/>
                <w:lang w:val="en-US" w:eastAsia="zh-CN" w:bidi="ar"/>
              </w:rPr>
              <w:t>六个办公区同时送货。</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 w:eastAsia="zh-CN"/>
              </w:rPr>
            </w:pPr>
            <w:r>
              <w:rPr>
                <w:rFonts w:hint="eastAsia" w:ascii="仿宋_GB2312" w:hAnsi="宋体" w:eastAsia="仿宋_GB2312" w:cs="仿宋_GB2312"/>
                <w:i w:val="0"/>
                <w:color w:val="000000"/>
                <w:kern w:val="0"/>
                <w:sz w:val="21"/>
                <w:szCs w:val="21"/>
                <w:u w:val="none"/>
                <w:lang w:val="en-US" w:eastAsia="zh-CN" w:bidi="ar"/>
              </w:rPr>
              <w:t>2</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硬件设施要求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物流设施要求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投标人自有或租赁配送中心，面积不小于500平米。能够满足按采购人需求完成配送任务，确保</w:t>
            </w:r>
            <w:r>
              <w:rPr>
                <w:rStyle w:val="25"/>
                <w:rFonts w:hAnsi="宋体"/>
                <w:lang w:val="en-US" w:eastAsia="zh-CN" w:bidi="ar"/>
              </w:rPr>
              <w:t>六个办公区按时送货。</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 w:eastAsia="zh-CN"/>
              </w:rPr>
            </w:pPr>
            <w:r>
              <w:rPr>
                <w:rFonts w:hint="eastAsia" w:ascii="仿宋_GB2312" w:hAnsi="宋体" w:eastAsia="仿宋_GB2312" w:cs="仿宋_GB2312"/>
                <w:i w:val="0"/>
                <w:color w:val="000000"/>
                <w:kern w:val="0"/>
                <w:sz w:val="21"/>
                <w:szCs w:val="21"/>
                <w:u w:val="none"/>
                <w:lang w:val="en-US" w:eastAsia="zh-CN" w:bidi="ar"/>
              </w:rPr>
              <w:t>3</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硬件设施要求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配送车辆要求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投标人应自有或固定租赁2台以上冷藏车辆，确保24小时响应，按采购人需求完成配送任务，确保</w:t>
            </w:r>
            <w:r>
              <w:rPr>
                <w:rStyle w:val="25"/>
                <w:rFonts w:hAnsi="宋体"/>
                <w:lang w:val="en-US" w:eastAsia="zh-CN" w:bidi="ar"/>
              </w:rPr>
              <w:t>六个办公区同时送货。</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4</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猪肉供应链能力要求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具有自有、签约的猪肉屠宰、加工厂或者直销、代理、经销商资格之一。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5</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牛肉供应链能力要求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具有自有、签约的牛肉屠宰、加工厂或者直销、代理、经销商资格之一。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6</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羊肉供应链能力要求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具有自有、签约的羊肉屠宰、加工厂或者直销、代理、经销商资格之一。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7</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禽肉供应链能力要求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具有自有、签约的禽肉屠宰、加工厂或者直销、代理、经销商资格之一。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8</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采购能力要求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2022年 1月1日以来具有鲜冻禽畜肉类食材（含本包拟配送食材）的进货内容。</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9</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简易加工能力要求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能够完成本合同采购鲜冻禽畜肉的简易加工，如切丝、丁、块、片等。</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10</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主食供应链能力要求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具有自有、签约的大米、面粉生产基地、加工厂或者直销、代理、经销商资格之一。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11</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食用油供应链能力要求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具有自有或签约的食用油加工厂或者直销、代理、经销商资格之一。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12</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蛋类供应链能力要求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具有自有或签约的蛋类生产工厂或者直销、代理、经销商资格之一。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13</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采购能力要求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2022年 1月1日以来具有主副食调料等其他类其他食材类食材（含本包拟配送食材）的进货内容。</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smallCaps w:val="0"/>
                <w:color w:val="auto"/>
                <w:sz w:val="21"/>
                <w:szCs w:val="21"/>
                <w:lang w:val="en-US" w:eastAsia="zh-CN" w:bidi="ar-SA"/>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14</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果蔬供应链能力要求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投标人具有自有或签约供货的蔬菜、水果基地之一。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15</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水产供应链能力要求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投标人具有自有或签约供货的水产生产工厂或者直销、代理、经销商资格之一。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16</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综合供应能力要求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牛奶供应链能力要求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具有自有或签约的牛奶生产工厂或者直销、代理、经销商资格之一。</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17</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采购能力要求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2022年 1月1日以来具有果蔬水产奶制品类食材（含本包拟配送食材）的进货内容。</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18</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简易加工能力要求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能够完成本合同采购食材的简易加工，如鱼类宰杀去鳃去鳞去内脏、蔬菜洗净削皮等。</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19</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运输卫生要求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否</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20</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运输工具管理要求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投标人运输工具进入采购人管理范围，必须接受采购人统一管理，发生任何人员与设施损伤，均由投标人承担责任。</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否</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21</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规范包装要求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包装产品交付时，必须保证原包装完好无损。不得使用有色、有毒塑料制品包装食材，否则采购人有权拒收。</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否</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22</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一般配送要求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采购人按期（日）向投标人发布采购内容，投标人应在送货前一个工作日与采购人核对确认采购内容无误后，在次日6点前配送至采购人指定验收地点。</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r>
        <w:tblPrEx>
          <w:tblCellMar>
            <w:top w:w="15" w:type="dxa"/>
            <w:left w:w="15" w:type="dxa"/>
            <w:bottom w:w="15" w:type="dxa"/>
            <w:right w:w="15" w:type="dxa"/>
          </w:tblCellMar>
        </w:tblPrEx>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rPr>
            </w:pPr>
            <w:r>
              <w:rPr>
                <w:rFonts w:hint="eastAsia" w:ascii="仿宋_GB2312" w:hAnsi="宋体" w:eastAsia="仿宋_GB2312" w:cs="仿宋_GB2312"/>
                <w:i w:val="0"/>
                <w:color w:val="000000"/>
                <w:kern w:val="0"/>
                <w:sz w:val="21"/>
                <w:szCs w:val="21"/>
                <w:u w:val="none"/>
                <w:lang w:val="en-US" w:eastAsia="zh-CN" w:bidi="ar"/>
              </w:rPr>
              <w:t>23</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其他要求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应急配送要求</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投标人应能按采购人要求及时补货，具备应急采购、储备、运输等能力，通讯工具24小时保持畅通，全天候备勤。在收到采购人布置的临时需求后 1 个小时内响应，2 个小时内完成配送。</w:t>
            </w:r>
          </w:p>
        </w:tc>
        <w:tc>
          <w:tcPr>
            <w:tcW w:w="1814"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w:t>
            </w:r>
          </w:p>
        </w:tc>
        <w:tc>
          <w:tcPr>
            <w:tcW w:w="907"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keepNext w:val="0"/>
              <w:keepLines w:val="0"/>
              <w:widowControl/>
              <w:suppressLineNumbers w:val="0"/>
              <w:jc w:val="left"/>
              <w:textAlignment w:val="center"/>
              <w:rPr>
                <w:rFonts w:ascii="仿宋_GB2312" w:hAnsi="仿宋_GB2312" w:eastAsia="仿宋_GB2312" w:cs="仿宋_GB2312"/>
                <w:b w:val="0"/>
                <w:bCs w:val="0"/>
                <w:i w:val="0"/>
                <w:iCs w:val="0"/>
                <w:smallCaps w:val="0"/>
                <w:color w:val="auto"/>
                <w:sz w:val="21"/>
                <w:szCs w:val="21"/>
              </w:rPr>
            </w:pPr>
            <w:r>
              <w:rPr>
                <w:rFonts w:hint="eastAsia" w:ascii="仿宋_GB2312" w:hAnsi="宋体" w:eastAsia="仿宋_GB2312" w:cs="仿宋_GB2312"/>
                <w:i w:val="0"/>
                <w:color w:val="000000"/>
                <w:kern w:val="0"/>
                <w:sz w:val="21"/>
                <w:szCs w:val="21"/>
                <w:u w:val="none"/>
                <w:lang w:val="en-US" w:eastAsia="zh-CN" w:bidi="ar"/>
              </w:rPr>
              <w:t>是</w:t>
            </w:r>
          </w:p>
        </w:tc>
      </w:tr>
    </w:tbl>
    <w:p>
      <w:pPr>
        <w:pStyle w:val="2"/>
      </w:pPr>
    </w:p>
    <w:p>
      <w:pPr>
        <w:pStyle w:val="4"/>
        <w:keepNext w:val="0"/>
        <w:spacing w:before="0" w:after="0" w:line="360" w:lineRule="auto"/>
        <w:rPr>
          <w:rFonts w:ascii="仿宋_GB2312" w:hAnsi="仿宋_GB2312" w:eastAsia="仿宋_GB2312" w:cs="仿宋_GB2312"/>
          <w:b/>
          <w:bCs/>
          <w:color w:val="auto"/>
          <w:sz w:val="28"/>
          <w:szCs w:val="28"/>
        </w:rPr>
      </w:pPr>
      <w:bookmarkStart w:id="26" w:name="_Toc256000024"/>
      <w:r>
        <w:rPr>
          <w:rFonts w:ascii="仿宋_GB2312" w:hAnsi="仿宋_GB2312" w:eastAsia="仿宋_GB2312" w:cs="仿宋_GB2312"/>
          <w:i w:val="0"/>
          <w:iCs w:val="0"/>
          <w:color w:val="auto"/>
        </w:rPr>
        <w:t>3.5其他要求</w:t>
      </w:r>
      <w:bookmarkEnd w:id="26"/>
    </w:p>
    <w:p>
      <w:pPr>
        <w:pStyle w:val="20"/>
        <w:spacing w:before="0" w:after="0" w:line="360" w:lineRule="auto"/>
        <w:ind w:firstLine="640"/>
        <w:textAlignment w:val="baseline"/>
        <w:rPr>
          <w:rFonts w:ascii="Times New Roman" w:hAnsi="Times New Roman" w:eastAsia="Times New Roman" w:cs="Times New Roman"/>
        </w:rPr>
      </w:pPr>
      <w:bookmarkStart w:id="27" w:name="_Toc256000025"/>
      <w:r>
        <w:rPr>
          <w:rFonts w:ascii="仿宋_GB2312" w:hAnsi="仿宋_GB2312" w:eastAsia="仿宋_GB2312" w:cs="仿宋_GB2312"/>
          <w:sz w:val="28"/>
          <w:szCs w:val="28"/>
        </w:rPr>
        <w:t>根据《政府采购货物和服务招标投标管理办法》（财政部令第87号）第六十条的规定，评标委员会认为投标人的报价明显低于其他通过符合性审查投标人的报价，有可能影响产品质量或者不能诚信履约的，应当启动异常低价投标（响应）审查程序，要求该投标人在评标现场合理的时间内提供书面说明，必要时提交相关证明材料；投标人不能证明其报价合理性的，评标委员会应当将其作为无效投标处理。</w:t>
      </w:r>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sz w:val="28"/>
          <w:szCs w:val="28"/>
        </w:rPr>
        <w:t>3.5.1质量安全把控服务要求</w:t>
      </w:r>
      <w:bookmarkEnd w:id="27"/>
    </w:p>
    <w:p>
      <w:pPr>
        <w:pStyle w:val="17"/>
        <w:spacing w:before="0" w:after="0" w:line="360" w:lineRule="auto"/>
        <w:ind w:firstLine="642"/>
        <w:rPr>
          <w:rFonts w:ascii="Times New Roman" w:hAnsi="Times New Roman" w:eastAsia="Times New Roman" w:cs="Times New Roman"/>
          <w:color w:val="auto"/>
        </w:rPr>
      </w:pPr>
      <w:r>
        <w:rPr>
          <w:rFonts w:ascii="仿宋_GB2312" w:hAnsi="仿宋_GB2312" w:eastAsia="仿宋_GB2312" w:cs="仿宋_GB2312"/>
          <w:b/>
          <w:bCs/>
          <w:color w:val="auto"/>
          <w:sz w:val="28"/>
          <w:szCs w:val="28"/>
        </w:rPr>
        <w:t>1.投标人应提供质量安全把控方案。</w:t>
      </w:r>
      <w:r>
        <w:rPr>
          <w:rFonts w:ascii="仿宋_GB2312" w:hAnsi="仿宋_GB2312" w:eastAsia="仿宋_GB2312" w:cs="仿宋_GB2312"/>
          <w:color w:val="auto"/>
          <w:sz w:val="28"/>
          <w:szCs w:val="28"/>
        </w:rPr>
        <w:t>方案内容详细描述供应货物质量把控措施、检验检疫关键环节把控、不符合质量标准货品处置等内容，确保提供食材安全可靠。</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2.投标人供应以下食品的，采购人全部退货，投标人承担由此造成的一切经济责任和法律责任：</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（1）腐败变质、油脂酸败、霉变、生虫、污秽不洁、混有异物或者其他感官性状异常，对人体健康有害的；</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（2）含有毒、有害物质或者被有毒、有害物质污染，对人体健康有害的；</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（3）含有致病性寄生虫、微生物或者微生物含量超过国家限定标准的；</w:t>
      </w:r>
    </w:p>
    <w:p>
      <w:pPr>
        <w:pStyle w:val="18"/>
        <w:spacing w:before="0" w:after="0" w:line="360" w:lineRule="auto"/>
        <w:ind w:left="0" w:firstLine="640"/>
        <w:jc w:val="both"/>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（4）掺假、掺杂、伪造，影响营养、卫生的；</w:t>
      </w:r>
    </w:p>
    <w:p>
      <w:pPr>
        <w:pStyle w:val="20"/>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5</w:t>
      </w:r>
      <w:r>
        <w:rPr>
          <w:rFonts w:ascii="仿宋_GB2312" w:hAnsi="仿宋_GB2312" w:eastAsia="仿宋_GB2312" w:cs="仿宋_GB2312"/>
          <w:color w:val="auto"/>
          <w:sz w:val="28"/>
          <w:szCs w:val="28"/>
        </w:rPr>
        <w:t>）未经动物检疫部门检疫、检验或者检疫、检验不合格的肉类及其制品；</w:t>
      </w:r>
    </w:p>
    <w:p>
      <w:pPr>
        <w:pStyle w:val="20"/>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6</w:t>
      </w:r>
      <w:r>
        <w:rPr>
          <w:rFonts w:ascii="仿宋_GB2312" w:hAnsi="仿宋_GB2312" w:eastAsia="仿宋_GB2312" w:cs="仿宋_GB2312"/>
          <w:color w:val="auto"/>
          <w:sz w:val="28"/>
          <w:szCs w:val="28"/>
        </w:rPr>
        <w:t>）病死、毒死或者死因不明的禽、畜、兽等及其制品；</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7</w:t>
      </w:r>
      <w:r>
        <w:rPr>
          <w:rFonts w:ascii="仿宋_GB2312" w:hAnsi="仿宋_GB2312" w:eastAsia="仿宋_GB2312" w:cs="仿宋_GB2312"/>
          <w:color w:val="auto"/>
          <w:sz w:val="28"/>
          <w:szCs w:val="28"/>
        </w:rPr>
        <w:t>）用非食品原料加工的，加入非食品用化学物质或者将非食品当作食品的；</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8</w:t>
      </w:r>
      <w:r>
        <w:rPr>
          <w:rFonts w:ascii="仿宋_GB2312" w:hAnsi="仿宋_GB2312" w:eastAsia="仿宋_GB2312" w:cs="仿宋_GB2312"/>
          <w:color w:val="auto"/>
          <w:sz w:val="28"/>
          <w:szCs w:val="28"/>
        </w:rPr>
        <w:t>）超过保质期限的；</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9</w:t>
      </w:r>
      <w:r>
        <w:rPr>
          <w:rFonts w:ascii="仿宋_GB2312" w:hAnsi="仿宋_GB2312" w:eastAsia="仿宋_GB2312" w:cs="仿宋_GB2312"/>
          <w:color w:val="auto"/>
          <w:sz w:val="28"/>
          <w:szCs w:val="28"/>
        </w:rPr>
        <w:t>）使用有色、有毒塑料制品、包装食材的；</w:t>
      </w:r>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10</w:t>
      </w:r>
      <w:r>
        <w:rPr>
          <w:rFonts w:ascii="仿宋_GB2312" w:hAnsi="仿宋_GB2312" w:eastAsia="仿宋_GB2312" w:cs="仿宋_GB2312"/>
          <w:color w:val="auto"/>
          <w:sz w:val="28"/>
          <w:szCs w:val="28"/>
        </w:rPr>
        <w:t>）其他不符合《食品安全法》、《和产品质量法》和《动物检疫管理办法》等相关规定的。</w:t>
      </w:r>
    </w:p>
    <w:p>
      <w:pPr>
        <w:pStyle w:val="19"/>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3.凡投标人所供应货物应为原箱包装，拆包或重组包装的应提前向采购人说明，定量包装批量误差不应超过实际标示的5%。</w:t>
      </w:r>
    </w:p>
    <w:p>
      <w:pPr>
        <w:pStyle w:val="5"/>
        <w:keepNext w:val="0"/>
        <w:spacing w:before="0" w:after="0" w:line="360" w:lineRule="auto"/>
        <w:rPr>
          <w:rFonts w:ascii="仿宋_GB2312" w:hAnsi="仿宋_GB2312" w:eastAsia="仿宋_GB2312" w:cs="仿宋_GB2312"/>
          <w:b/>
          <w:bCs/>
          <w:color w:val="auto"/>
          <w:sz w:val="28"/>
          <w:szCs w:val="28"/>
        </w:rPr>
      </w:pPr>
      <w:bookmarkStart w:id="28" w:name="_Toc256000026"/>
      <w:r>
        <w:rPr>
          <w:rFonts w:ascii="仿宋_GB2312" w:hAnsi="仿宋_GB2312" w:eastAsia="仿宋_GB2312" w:cs="仿宋_GB2312"/>
          <w:color w:val="auto"/>
          <w:sz w:val="28"/>
          <w:szCs w:val="28"/>
        </w:rPr>
        <w:t>3.5.2供应方案要求</w:t>
      </w:r>
      <w:bookmarkEnd w:id="28"/>
    </w:p>
    <w:p>
      <w:pPr>
        <w:pStyle w:val="14"/>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投标人应提交科学合理的供应方案。方案应包含服务团队管理措施、内部采购管理措施、储存分拣管理措施、科学合理运输措施等。</w:t>
      </w:r>
    </w:p>
    <w:p>
      <w:pPr>
        <w:pStyle w:val="3"/>
        <w:keepNext w:val="0"/>
        <w:spacing w:before="0" w:after="0" w:line="360" w:lineRule="auto"/>
        <w:jc w:val="center"/>
        <w:rPr>
          <w:rFonts w:ascii="仿宋_GB2312" w:hAnsi="仿宋_GB2312" w:eastAsia="仿宋_GB2312" w:cs="仿宋_GB2312"/>
          <w:b/>
          <w:bCs/>
          <w:color w:val="auto"/>
          <w:sz w:val="32"/>
          <w:szCs w:val="32"/>
        </w:rPr>
      </w:pPr>
      <w:bookmarkStart w:id="29" w:name="_Toc256000027"/>
      <w:r>
        <w:rPr>
          <w:rFonts w:ascii="仿宋_GB2312" w:hAnsi="仿宋_GB2312" w:eastAsia="仿宋_GB2312" w:cs="仿宋_GB2312"/>
          <w:color w:val="auto"/>
          <w:kern w:val="36"/>
        </w:rPr>
        <w:t>4人员要求</w:t>
      </w:r>
      <w:bookmarkEnd w:id="29"/>
    </w:p>
    <w:p>
      <w:pPr>
        <w:pStyle w:val="4"/>
        <w:keepNext w:val="0"/>
        <w:spacing w:before="0" w:after="0" w:line="360" w:lineRule="auto"/>
        <w:rPr>
          <w:rFonts w:ascii="仿宋_GB2312" w:hAnsi="仿宋_GB2312" w:eastAsia="仿宋_GB2312" w:cs="仿宋_GB2312"/>
          <w:b/>
          <w:bCs/>
          <w:color w:val="auto"/>
          <w:sz w:val="28"/>
          <w:szCs w:val="28"/>
        </w:rPr>
      </w:pPr>
      <w:bookmarkStart w:id="30" w:name="_Toc256000028"/>
      <w:r>
        <w:rPr>
          <w:rFonts w:ascii="仿宋_GB2312" w:hAnsi="仿宋_GB2312" w:eastAsia="仿宋_GB2312" w:cs="仿宋_GB2312"/>
          <w:i w:val="0"/>
          <w:iCs w:val="0"/>
          <w:color w:val="auto"/>
        </w:rPr>
        <w:t>4.1团队要求</w:t>
      </w:r>
      <w:bookmarkEnd w:id="30"/>
    </w:p>
    <w:p>
      <w:pPr>
        <w:pStyle w:val="5"/>
        <w:keepNext w:val="0"/>
        <w:spacing w:before="0" w:after="0" w:line="360" w:lineRule="auto"/>
        <w:rPr>
          <w:rFonts w:ascii="仿宋_GB2312" w:hAnsi="仿宋_GB2312" w:eastAsia="仿宋_GB2312" w:cs="仿宋_GB2312"/>
          <w:b/>
          <w:bCs/>
          <w:color w:val="auto"/>
          <w:sz w:val="28"/>
          <w:szCs w:val="28"/>
        </w:rPr>
      </w:pPr>
      <w:bookmarkStart w:id="31" w:name="_Toc256000029"/>
      <w:r>
        <w:rPr>
          <w:rFonts w:ascii="仿宋_GB2312" w:hAnsi="仿宋_GB2312" w:eastAsia="仿宋_GB2312" w:cs="仿宋_GB2312"/>
          <w:color w:val="auto"/>
          <w:sz w:val="28"/>
          <w:szCs w:val="28"/>
        </w:rPr>
        <w:t>4.1.1基本要求</w:t>
      </w:r>
      <w:bookmarkEnd w:id="31"/>
    </w:p>
    <w:p>
      <w:pPr>
        <w:pStyle w:val="18"/>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1.投标人应提供专业的管理和采购团队，团队编制和人员资质务必保证运营服务质量。提供的服务团队应保持稳定，承诺项目执行期间人员变动不超过20%。</w:t>
      </w:r>
    </w:p>
    <w:p>
      <w:pPr>
        <w:pStyle w:val="16"/>
        <w:spacing w:before="0" w:after="0" w:line="360" w:lineRule="auto"/>
        <w:ind w:firstLine="642"/>
        <w:jc w:val="both"/>
        <w:rPr>
          <w:rFonts w:ascii="Times New Roman" w:hAnsi="Times New Roman" w:eastAsia="Times New Roman" w:cs="Times New Roman"/>
          <w:color w:val="auto"/>
        </w:rPr>
      </w:pPr>
      <w:r>
        <w:rPr>
          <w:rFonts w:ascii="仿宋_GB2312" w:hAnsi="仿宋_GB2312" w:eastAsia="仿宋_GB2312" w:cs="仿宋_GB2312"/>
          <w:b/>
          <w:bCs/>
          <w:color w:val="auto"/>
          <w:sz w:val="28"/>
          <w:szCs w:val="28"/>
        </w:rPr>
        <w:t>2. 投标人服务团队须配有以下人员，出具盖有投标人公章的服务团队人员名单。</w:t>
      </w:r>
    </w:p>
    <w:p>
      <w:pPr>
        <w:pStyle w:val="16"/>
        <w:spacing w:before="0" w:after="0" w:line="360" w:lineRule="auto"/>
        <w:ind w:firstLine="642"/>
        <w:jc w:val="both"/>
        <w:rPr>
          <w:rFonts w:ascii="Times New Roman" w:hAnsi="Times New Roman" w:eastAsia="Times New Roman" w:cs="Times New Roman"/>
          <w:color w:val="auto"/>
        </w:rPr>
      </w:pPr>
      <w:r>
        <w:rPr>
          <w:rFonts w:ascii="仿宋_GB2312" w:hAnsi="仿宋_GB2312" w:eastAsia="仿宋_GB2312" w:cs="仿宋_GB2312"/>
          <w:b/>
          <w:bCs/>
          <w:color w:val="auto"/>
          <w:sz w:val="28"/>
          <w:szCs w:val="28"/>
        </w:rPr>
        <w:t>为本项目提供的服务团队中所有人员必须提供缴纳社保证明材料，除会计外必须具有从业人员健康证明，否则不予认可。</w:t>
      </w:r>
    </w:p>
    <w:p>
      <w:pPr>
        <w:pStyle w:val="16"/>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（1）经理1人，具有5年以上食材供应项目管理工作经验。</w:t>
      </w:r>
    </w:p>
    <w:p>
      <w:pPr>
        <w:pStyle w:val="16"/>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（2）供应业务员2人，具有3年及以上食材供应项目工作经验。</w:t>
      </w:r>
    </w:p>
    <w:p>
      <w:pPr>
        <w:pStyle w:val="16"/>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（3）食品安全管理员1人，具有3年及以上食品安全管理工作经验。</w:t>
      </w:r>
    </w:p>
    <w:p>
      <w:pPr>
        <w:pStyle w:val="16"/>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（4）采购员2人，具有3年及以上食材采购工作经验。</w:t>
      </w:r>
    </w:p>
    <w:p>
      <w:pPr>
        <w:pStyle w:val="16"/>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5</w:t>
      </w:r>
      <w:r>
        <w:rPr>
          <w:rFonts w:ascii="仿宋_GB2312" w:hAnsi="仿宋_GB2312" w:eastAsia="仿宋_GB2312" w:cs="仿宋_GB2312"/>
          <w:color w:val="auto"/>
          <w:sz w:val="28"/>
          <w:szCs w:val="28"/>
        </w:rPr>
        <w:t>）配送司机2名，具有3年以上相关工作经验。</w:t>
      </w:r>
    </w:p>
    <w:p>
      <w:pPr>
        <w:pStyle w:val="16"/>
        <w:spacing w:before="0" w:after="0" w:line="360" w:lineRule="auto"/>
        <w:ind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以上人员在服务过程中应热情服务、遵规守法，具备较强的沟通能力和临时紧急配送调换的处置能力。</w:t>
      </w:r>
    </w:p>
    <w:p>
      <w:pPr>
        <w:pStyle w:val="5"/>
        <w:keepNext w:val="0"/>
        <w:spacing w:before="0" w:after="0" w:line="360" w:lineRule="auto"/>
        <w:rPr>
          <w:rFonts w:ascii="仿宋_GB2312" w:hAnsi="仿宋_GB2312" w:eastAsia="仿宋_GB2312" w:cs="仿宋_GB2312"/>
          <w:b/>
          <w:bCs/>
          <w:color w:val="auto"/>
          <w:sz w:val="28"/>
          <w:szCs w:val="28"/>
        </w:rPr>
      </w:pPr>
      <w:bookmarkStart w:id="32" w:name="_Toc256000030"/>
      <w:r>
        <w:rPr>
          <w:rFonts w:ascii="仿宋_GB2312" w:hAnsi="仿宋_GB2312" w:eastAsia="仿宋_GB2312" w:cs="仿宋_GB2312"/>
          <w:color w:val="auto"/>
          <w:sz w:val="28"/>
          <w:szCs w:val="28"/>
        </w:rPr>
        <w:t>4.1.2优选资质/优选指标</w:t>
      </w:r>
      <w:bookmarkEnd w:id="32"/>
    </w:p>
    <w:p>
      <w:pPr>
        <w:pStyle w:val="3"/>
        <w:keepNext w:val="0"/>
        <w:spacing w:before="0" w:after="0" w:line="360" w:lineRule="auto"/>
        <w:jc w:val="center"/>
        <w:rPr>
          <w:rFonts w:ascii="仿宋_GB2312" w:hAnsi="仿宋_GB2312" w:eastAsia="仿宋_GB2312" w:cs="仿宋_GB2312"/>
          <w:b/>
          <w:bCs/>
          <w:color w:val="auto"/>
          <w:sz w:val="32"/>
          <w:szCs w:val="32"/>
        </w:rPr>
      </w:pPr>
      <w:bookmarkStart w:id="33" w:name="_Toc256000031"/>
      <w:r>
        <w:rPr>
          <w:rFonts w:ascii="仿宋_GB2312" w:hAnsi="仿宋_GB2312" w:eastAsia="仿宋_GB2312" w:cs="仿宋_GB2312"/>
          <w:color w:val="auto"/>
          <w:kern w:val="36"/>
        </w:rPr>
        <w:t>5管理实施要求</w:t>
      </w:r>
      <w:bookmarkEnd w:id="33"/>
    </w:p>
    <w:p>
      <w:pPr>
        <w:pStyle w:val="13"/>
        <w:spacing w:before="0" w:after="0" w:line="360" w:lineRule="auto"/>
        <w:ind w:left="0" w:right="0" w:firstLine="560"/>
        <w:jc w:val="both"/>
        <w:rPr>
          <w:rFonts w:ascii="Calibri" w:hAnsi="Calibri" w:eastAsia="Calibri" w:cs="Calibri"/>
          <w:color w:val="auto"/>
          <w:sz w:val="21"/>
          <w:szCs w:val="21"/>
        </w:rPr>
      </w:pPr>
      <w:r>
        <w:rPr>
          <w:rFonts w:ascii="仿宋_GB2312" w:hAnsi="仿宋_GB2312" w:eastAsia="仿宋_GB2312" w:cs="仿宋_GB2312"/>
          <w:color w:val="auto"/>
          <w:sz w:val="28"/>
          <w:szCs w:val="28"/>
        </w:rPr>
        <w:t>建立成熟完善的透明化责任体系,明确经理、供应业务员、食品安全管理员、采购员、司机等各岗位工作职责，制定岗位工作说明，确保制度能有效运转。</w:t>
      </w:r>
    </w:p>
    <w:p>
      <w:pPr>
        <w:pStyle w:val="3"/>
        <w:keepNext w:val="0"/>
        <w:spacing w:before="0" w:after="0" w:line="360" w:lineRule="auto"/>
        <w:jc w:val="center"/>
        <w:rPr>
          <w:rFonts w:ascii="仿宋_GB2312" w:hAnsi="仿宋_GB2312" w:eastAsia="仿宋_GB2312" w:cs="仿宋_GB2312"/>
          <w:b/>
          <w:bCs/>
          <w:color w:val="auto"/>
          <w:sz w:val="32"/>
          <w:szCs w:val="32"/>
        </w:rPr>
      </w:pPr>
      <w:bookmarkStart w:id="34" w:name="_Toc256000032"/>
      <w:r>
        <w:rPr>
          <w:rFonts w:ascii="仿宋_GB2312" w:hAnsi="仿宋_GB2312" w:eastAsia="仿宋_GB2312" w:cs="仿宋_GB2312"/>
          <w:color w:val="auto"/>
          <w:kern w:val="36"/>
        </w:rPr>
        <w:t>6风险管控要求</w:t>
      </w:r>
      <w:bookmarkEnd w:id="34"/>
    </w:p>
    <w:p>
      <w:pPr>
        <w:pStyle w:val="20"/>
        <w:spacing w:before="0" w:after="0" w:line="360" w:lineRule="auto"/>
        <w:ind w:firstLine="642"/>
        <w:rPr>
          <w:rFonts w:ascii="Times New Roman" w:hAnsi="Times New Roman" w:eastAsia="Times New Roman" w:cs="Times New Roman"/>
          <w:color w:val="auto"/>
        </w:rPr>
      </w:pPr>
      <w:r>
        <w:rPr>
          <w:rFonts w:ascii="仿宋_GB2312" w:hAnsi="仿宋_GB2312" w:eastAsia="仿宋_GB2312" w:cs="仿宋_GB2312"/>
          <w:b/>
          <w:bCs/>
          <w:color w:val="auto"/>
          <w:sz w:val="28"/>
          <w:szCs w:val="28"/>
        </w:rPr>
        <w:t>（一）应急保障方案要求</w:t>
      </w:r>
    </w:p>
    <w:p>
      <w:pPr>
        <w:pStyle w:val="20"/>
        <w:spacing w:before="0" w:after="0" w:line="360" w:lineRule="auto"/>
        <w:ind w:firstLine="640"/>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投标人应提供在自然灾害、极端事件、市场关闭、物资紧缺等突发紧急情况下拟采取的应急保障方案，包括充分供应、按时保障、质量管控等措施，确保采购人食材及时供应不间断。</w:t>
      </w:r>
    </w:p>
    <w:p>
      <w:pPr>
        <w:pStyle w:val="21"/>
        <w:spacing w:before="0" w:after="0" w:line="360" w:lineRule="auto"/>
        <w:ind w:firstLine="480"/>
        <w:rPr>
          <w:rFonts w:ascii="Times New Roman" w:hAnsi="Times New Roman" w:eastAsia="Times New Roman" w:cs="Times New Roman"/>
          <w:color w:val="auto"/>
        </w:rPr>
      </w:pPr>
      <w:r>
        <w:rPr>
          <w:rFonts w:ascii="仿宋_GB2312" w:hAnsi="仿宋_GB2312" w:eastAsia="仿宋_GB2312" w:cs="仿宋_GB2312"/>
          <w:b/>
          <w:bCs/>
          <w:color w:val="auto"/>
          <w:sz w:val="28"/>
          <w:szCs w:val="28"/>
        </w:rPr>
        <w:t>（二）违约风险管控要求</w:t>
      </w:r>
    </w:p>
    <w:p>
      <w:pPr>
        <w:pStyle w:val="22"/>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1.投标人中标后采用先送货后结账的模式，不收取履约保证金。有下列情形之一的，采购人有权按照以下约定及合同违约相关条款处理：</w:t>
      </w:r>
    </w:p>
    <w:p>
      <w:pPr>
        <w:pStyle w:val="23"/>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（1）因投标人配送不及时导致采购人供餐延误并造成重大影响的；</w:t>
      </w:r>
    </w:p>
    <w:p>
      <w:pPr>
        <w:pStyle w:val="23"/>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（2）凡经相关部门认定，因投标人所提供的原料原因造成采购人食堂出现食物中毒等卫生安全事故的，投标人除必须承担全部的法律责任外，还要全额承担因食物中毒发生所造成后果的一切费用；</w:t>
      </w:r>
    </w:p>
    <w:p>
      <w:pPr>
        <w:pStyle w:val="23"/>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（3）除不可抗力及采购人原因外，因投标人配送不及时导致采购人伙食供应延时，但经投标人采取补救措施未造成采购人不良影响的，出现三次终止供货合同；</w:t>
      </w:r>
    </w:p>
    <w:p>
      <w:pPr>
        <w:pStyle w:val="23"/>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（4）凡投标人向采购人提供产品发生质量问题影响食用，并拒绝退换的；</w:t>
      </w:r>
    </w:p>
    <w:p>
      <w:pPr>
        <w:pStyle w:val="23"/>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（5）采购人将不定期组织专人对食材进行抽检，若发现质量不符，采购人有权要求予以退换货。</w:t>
      </w:r>
    </w:p>
    <w:p>
      <w:pPr>
        <w:pStyle w:val="22"/>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2.投标人有下列情形之一的，采购人有权解除合同，由投标人承担全部经济损失和相关责任：</w:t>
      </w:r>
    </w:p>
    <w:p>
      <w:pPr>
        <w:pStyle w:val="22"/>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（1）投标人以书面、微信、短信等方式通知采购人不再供货，包括对部分食材不再供货；</w:t>
      </w:r>
    </w:p>
    <w:p>
      <w:pPr>
        <w:pStyle w:val="22"/>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（2）投标人虽未通知采购人不再供货，但1天没有供应采购人采购的货物，包括对部分食材没有供货；</w:t>
      </w:r>
    </w:p>
    <w:p>
      <w:pPr>
        <w:pStyle w:val="16"/>
        <w:spacing w:before="0" w:after="0" w:line="360" w:lineRule="auto"/>
        <w:ind w:left="0" w:firstLine="640"/>
        <w:jc w:val="both"/>
        <w:rPr>
          <w:rFonts w:hint="eastAsia" w:ascii="仿宋_GB2312" w:hAnsi="仿宋_GB2312" w:eastAsia="仿宋_GB2312" w:cs="仿宋_GB2312"/>
          <w:color w:val="auto"/>
          <w:sz w:val="28"/>
          <w:szCs w:val="28"/>
          <w:lang w:eastAsia="zh-CN"/>
        </w:rPr>
      </w:pPr>
      <w:r>
        <w:rPr>
          <w:rFonts w:ascii="仿宋_GB2312" w:hAnsi="仿宋_GB2312" w:eastAsia="仿宋_GB2312" w:cs="仿宋_GB2312"/>
          <w:color w:val="auto"/>
          <w:sz w:val="28"/>
          <w:szCs w:val="28"/>
        </w:rPr>
        <w:t>（3）投标人未经采购人同意单方面提价的</w:t>
      </w:r>
      <w:r>
        <w:rPr>
          <w:rFonts w:hint="eastAsia" w:ascii="仿宋_GB2312" w:hAnsi="仿宋_GB2312" w:eastAsia="仿宋_GB2312" w:cs="仿宋_GB2312"/>
          <w:color w:val="auto"/>
          <w:sz w:val="28"/>
          <w:szCs w:val="28"/>
          <w:lang w:eastAsia="zh-CN"/>
        </w:rPr>
        <w:t>；</w:t>
      </w:r>
    </w:p>
    <w:p>
      <w:pPr>
        <w:pStyle w:val="16"/>
        <w:spacing w:before="0" w:after="0" w:line="360" w:lineRule="auto"/>
        <w:ind w:left="0" w:firstLine="640"/>
        <w:jc w:val="both"/>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）数量不足、对货不对版、价格明显偏高，以上情况出现三次以上终止合同。</w:t>
      </w:r>
    </w:p>
    <w:p>
      <w:pPr>
        <w:pStyle w:val="3"/>
        <w:keepNext w:val="0"/>
        <w:spacing w:before="0" w:after="0" w:line="360" w:lineRule="auto"/>
        <w:jc w:val="center"/>
        <w:rPr>
          <w:rFonts w:ascii="仿宋_GB2312" w:hAnsi="仿宋_GB2312" w:eastAsia="仿宋_GB2312" w:cs="仿宋_GB2312"/>
          <w:b/>
          <w:bCs/>
          <w:color w:val="auto"/>
          <w:sz w:val="32"/>
          <w:szCs w:val="32"/>
        </w:rPr>
      </w:pPr>
      <w:bookmarkStart w:id="35" w:name="_Toc256000033"/>
      <w:r>
        <w:rPr>
          <w:rFonts w:ascii="仿宋_GB2312" w:hAnsi="仿宋_GB2312" w:eastAsia="仿宋_GB2312" w:cs="仿宋_GB2312"/>
          <w:color w:val="auto"/>
          <w:kern w:val="36"/>
        </w:rPr>
        <w:t>7履约验收要求</w:t>
      </w:r>
      <w:bookmarkEnd w:id="35"/>
    </w:p>
    <w:p>
      <w:pPr>
        <w:pStyle w:val="4"/>
        <w:keepNext w:val="0"/>
        <w:spacing w:before="0" w:after="0" w:line="360" w:lineRule="auto"/>
        <w:rPr>
          <w:rFonts w:ascii="仿宋_GB2312" w:hAnsi="仿宋_GB2312" w:eastAsia="仿宋_GB2312" w:cs="仿宋_GB2312"/>
          <w:b/>
          <w:bCs/>
          <w:color w:val="auto"/>
          <w:sz w:val="28"/>
          <w:szCs w:val="28"/>
        </w:rPr>
      </w:pPr>
      <w:bookmarkStart w:id="36" w:name="_Toc256000034"/>
      <w:r>
        <w:rPr>
          <w:rFonts w:ascii="仿宋_GB2312" w:hAnsi="仿宋_GB2312" w:eastAsia="仿宋_GB2312" w:cs="仿宋_GB2312"/>
          <w:i w:val="0"/>
          <w:iCs w:val="0"/>
          <w:color w:val="auto"/>
        </w:rPr>
        <w:t>7.1总体要求</w:t>
      </w:r>
      <w:bookmarkEnd w:id="36"/>
    </w:p>
    <w:tbl>
      <w:tblPr>
        <w:tblStyle w:val="10"/>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（一）总体要求</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1.验收人员：由采购人食堂管理人员、库房管理人员组成验收小组，投标人送货人员应积极配合验收。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2.验收时间和地点</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（1）验收时间：到货当天。</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（2）验收地点：</w:t>
            </w:r>
            <w:r>
              <w:rPr>
                <w:rFonts w:hint="eastAsia" w:ascii="仿宋_GB2312" w:hAnsi="仿宋_GB2312" w:eastAsia="仿宋_GB2312" w:cs="仿宋_GB2312"/>
                <w:b w:val="0"/>
                <w:bCs w:val="0"/>
                <w:i w:val="0"/>
                <w:iCs w:val="0"/>
                <w:smallCaps w:val="0"/>
                <w:color w:val="auto"/>
                <w:sz w:val="21"/>
                <w:szCs w:val="21"/>
                <w:lang w:eastAsia="zh-CN"/>
              </w:rPr>
              <w:t>国家税务总局天津市津南区税务局食堂（咸水沽镇南环路</w:t>
            </w:r>
            <w:r>
              <w:rPr>
                <w:rFonts w:hint="eastAsia" w:ascii="仿宋_GB2312" w:hAnsi="仿宋_GB2312" w:eastAsia="仿宋_GB2312" w:cs="仿宋_GB2312"/>
                <w:b w:val="0"/>
                <w:bCs w:val="0"/>
                <w:i w:val="0"/>
                <w:iCs w:val="0"/>
                <w:smallCaps w:val="0"/>
                <w:color w:val="auto"/>
                <w:sz w:val="21"/>
                <w:szCs w:val="21"/>
                <w:lang w:val="en-US" w:eastAsia="zh-CN"/>
              </w:rPr>
              <w:t>31号</w:t>
            </w:r>
            <w:r>
              <w:rPr>
                <w:rFonts w:hint="eastAsia" w:ascii="仿宋_GB2312" w:hAnsi="仿宋_GB2312" w:eastAsia="仿宋_GB2312" w:cs="仿宋_GB2312"/>
                <w:b w:val="0"/>
                <w:bCs w:val="0"/>
                <w:i w:val="0"/>
                <w:iCs w:val="0"/>
                <w:smallCaps w:val="0"/>
                <w:color w:val="auto"/>
                <w:sz w:val="21"/>
                <w:szCs w:val="21"/>
                <w:lang w:eastAsia="zh-CN"/>
              </w:rPr>
              <w:t>）、南华路办公区食堂（咸水沽镇南华路</w:t>
            </w:r>
            <w:r>
              <w:rPr>
                <w:rFonts w:hint="eastAsia" w:ascii="仿宋_GB2312" w:hAnsi="仿宋_GB2312" w:eastAsia="仿宋_GB2312" w:cs="仿宋_GB2312"/>
                <w:b w:val="0"/>
                <w:bCs w:val="0"/>
                <w:i w:val="0"/>
                <w:iCs w:val="0"/>
                <w:smallCaps w:val="0"/>
                <w:color w:val="auto"/>
                <w:sz w:val="21"/>
                <w:szCs w:val="21"/>
                <w:lang w:val="en-US" w:eastAsia="zh-CN"/>
              </w:rPr>
              <w:t>29号</w:t>
            </w:r>
            <w:r>
              <w:rPr>
                <w:rFonts w:hint="eastAsia" w:ascii="仿宋_GB2312" w:hAnsi="仿宋_GB2312" w:eastAsia="仿宋_GB2312" w:cs="仿宋_GB2312"/>
                <w:b w:val="0"/>
                <w:bCs w:val="0"/>
                <w:i w:val="0"/>
                <w:iCs w:val="0"/>
                <w:smallCaps w:val="0"/>
                <w:color w:val="auto"/>
                <w:sz w:val="21"/>
                <w:szCs w:val="21"/>
                <w:lang w:eastAsia="zh-CN"/>
              </w:rPr>
              <w:t>）、国家税务总局天津市津南区税务葛沽税务所食堂（葛沽镇荣水园</w:t>
            </w:r>
            <w:r>
              <w:rPr>
                <w:rFonts w:hint="eastAsia" w:ascii="仿宋_GB2312" w:hAnsi="仿宋_GB2312" w:eastAsia="仿宋_GB2312" w:cs="仿宋_GB2312"/>
                <w:b w:val="0"/>
                <w:bCs w:val="0"/>
                <w:i w:val="0"/>
                <w:iCs w:val="0"/>
                <w:smallCaps w:val="0"/>
                <w:color w:val="auto"/>
                <w:sz w:val="21"/>
                <w:szCs w:val="21"/>
                <w:lang w:val="en-US" w:eastAsia="zh-CN"/>
              </w:rPr>
              <w:t>F区</w:t>
            </w:r>
            <w:r>
              <w:rPr>
                <w:rFonts w:hint="eastAsia" w:ascii="仿宋_GB2312" w:hAnsi="仿宋_GB2312" w:eastAsia="仿宋_GB2312" w:cs="仿宋_GB2312"/>
                <w:b w:val="0"/>
                <w:bCs w:val="0"/>
                <w:i w:val="0"/>
                <w:iCs w:val="0"/>
                <w:smallCaps w:val="0"/>
                <w:color w:val="auto"/>
                <w:sz w:val="21"/>
                <w:szCs w:val="21"/>
                <w:lang w:eastAsia="zh-CN"/>
              </w:rPr>
              <w:t>）、国家税务总局天津市津南区税务旺港路税务所食堂（津南区香港街</w:t>
            </w:r>
            <w:r>
              <w:rPr>
                <w:rFonts w:hint="eastAsia" w:ascii="仿宋_GB2312" w:hAnsi="仿宋_GB2312" w:eastAsia="仿宋_GB2312" w:cs="仿宋_GB2312"/>
                <w:b w:val="0"/>
                <w:bCs w:val="0"/>
                <w:i w:val="0"/>
                <w:iCs w:val="0"/>
                <w:smallCaps w:val="0"/>
                <w:color w:val="auto"/>
                <w:sz w:val="21"/>
                <w:szCs w:val="21"/>
                <w:lang w:val="en-US" w:eastAsia="zh-CN"/>
              </w:rPr>
              <w:t>3号津南经济开发区管理委员会内6号</w:t>
            </w:r>
            <w:r>
              <w:rPr>
                <w:rFonts w:hint="eastAsia" w:ascii="仿宋_GB2312" w:hAnsi="仿宋_GB2312" w:eastAsia="仿宋_GB2312" w:cs="仿宋_GB2312"/>
                <w:b w:val="0"/>
                <w:bCs w:val="0"/>
                <w:i w:val="0"/>
                <w:iCs w:val="0"/>
                <w:smallCaps w:val="0"/>
                <w:color w:val="auto"/>
                <w:sz w:val="21"/>
                <w:szCs w:val="21"/>
                <w:lang w:eastAsia="zh-CN"/>
              </w:rPr>
              <w:t>）、国家税务总局天津市津南区税务双港税务所食堂（双港镇微山南路</w:t>
            </w:r>
            <w:r>
              <w:rPr>
                <w:rFonts w:hint="eastAsia" w:ascii="仿宋_GB2312" w:hAnsi="仿宋_GB2312" w:eastAsia="仿宋_GB2312" w:cs="仿宋_GB2312"/>
                <w:b w:val="0"/>
                <w:bCs w:val="0"/>
                <w:i w:val="0"/>
                <w:iCs w:val="0"/>
                <w:smallCaps w:val="0"/>
                <w:color w:val="auto"/>
                <w:sz w:val="21"/>
                <w:szCs w:val="21"/>
                <w:lang w:val="en-US" w:eastAsia="zh-CN"/>
              </w:rPr>
              <w:t>27号</w:t>
            </w:r>
            <w:r>
              <w:rPr>
                <w:rFonts w:hint="eastAsia" w:ascii="仿宋_GB2312" w:hAnsi="仿宋_GB2312" w:eastAsia="仿宋_GB2312" w:cs="仿宋_GB2312"/>
                <w:b w:val="0"/>
                <w:bCs w:val="0"/>
                <w:i w:val="0"/>
                <w:iCs w:val="0"/>
                <w:smallCaps w:val="0"/>
                <w:color w:val="auto"/>
                <w:sz w:val="21"/>
                <w:szCs w:val="21"/>
                <w:lang w:eastAsia="zh-CN"/>
              </w:rPr>
              <w:t>）、国家税务总局天津市津南区税务小站税务所食堂（小站镇红旗路</w:t>
            </w:r>
            <w:r>
              <w:rPr>
                <w:rFonts w:hint="eastAsia" w:ascii="仿宋_GB2312" w:hAnsi="仿宋_GB2312" w:eastAsia="仿宋_GB2312" w:cs="仿宋_GB2312"/>
                <w:b w:val="0"/>
                <w:bCs w:val="0"/>
                <w:i w:val="0"/>
                <w:iCs w:val="0"/>
                <w:smallCaps w:val="0"/>
                <w:color w:val="auto"/>
                <w:sz w:val="21"/>
                <w:szCs w:val="21"/>
                <w:lang w:val="en-US" w:eastAsia="zh-CN"/>
              </w:rPr>
              <w:t>79号</w:t>
            </w:r>
            <w:r>
              <w:rPr>
                <w:rFonts w:hint="eastAsia" w:ascii="仿宋_GB2312" w:hAnsi="仿宋_GB2312" w:eastAsia="仿宋_GB2312" w:cs="仿宋_GB2312"/>
                <w:b w:val="0"/>
                <w:bCs w:val="0"/>
                <w:i w:val="0"/>
                <w:iCs w:val="0"/>
                <w:smallCaps w:val="0"/>
                <w:color w:val="auto"/>
                <w:sz w:val="21"/>
                <w:szCs w:val="21"/>
                <w:lang w:eastAsia="zh-CN"/>
              </w:rPr>
              <w:t>）</w:t>
            </w:r>
            <w:r>
              <w:rPr>
                <w:rFonts w:ascii="仿宋_GB2312" w:hAnsi="仿宋_GB2312" w:eastAsia="仿宋_GB2312" w:cs="仿宋_GB2312"/>
                <w:b w:val="0"/>
                <w:bCs w:val="0"/>
                <w:i w:val="0"/>
                <w:iCs w:val="0"/>
                <w:smallCaps w:val="0"/>
                <w:color w:val="auto"/>
                <w:sz w:val="21"/>
                <w:szCs w:val="21"/>
              </w:rPr>
              <w:t>。</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（3）验收组织形式：采购人组织验收。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（4）验收方式：现场验收。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（5）验收内容:</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（a）质量是否符合约定标准；</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（b）重量、数量、价格是否与采购人的预定需求一致。</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（二）具体要求</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1.验收场所的准备</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应当在固定的场所进行验收，采购人定期清扫消毒，保持清洁，保证无积尘、无食品残渣，无霉斑、鼠迹、苍蝇、蟑螂，验收场所不准存放有毒、有害物品及个人生活用品。</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3.验收流程</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（1）投标人应在验收时提供与送货内容一致的送货单，并加盖公章。</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（2）卸货前的检查。验收人员卸货前应对货物的外观质量进行初步了解。</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（3）采取当场验收的方式，验收人认真检查货物，按核对品种→索证→抽查(检测）→数量、重量、质量、价格验收→签名确认→入库的程序完成验收。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要求投标人提供产品质量检测报告及卫生合格报告书，蔬菜类应提供农药残留检测结果，证明内容与产品内容要一致。投标人以提供原件为主，不能留原件的提供复印件。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（4）发现食品质量安全问题的处理：</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抽查时发现食品质量不过关或影响食用安全的，对当日所送同批次产品全部退货。</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若抽查未发现问题，按储藏要求储藏后在加工食用前发现产品质量问题的，投标人必须退货或更换。</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4.退（补）货流程</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5.鲜活鱼类需进行宰杀处理，如去麟去腮去内脏等，净膛的统一按0.8的出成率计算净膛价。</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6.部分蔬菜需进行简易处理，如去皮摘叶摘筋等，统一按0.85的出成率计算净菜价。</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7.包装带箱、筐的食材按照去除箱、筐后的重量计算。投标人需配合采购人库管人员进行倒筐称重，共同签字确认。</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（三）货物验收方案。</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投标人必须按照本项目需求书要求详细阐述货物验收方案。对规定各项验收指标提出明确的验收前提条件和验收依据及标准，列明需要移交和交付的各类检验报告和证明证书。对验收中可能发现的问题，投标人应提出有效解决办法和补救措施。</w:t>
            </w:r>
          </w:p>
        </w:tc>
      </w:tr>
    </w:tbl>
    <w:p>
      <w:pPr>
        <w:pStyle w:val="4"/>
        <w:keepNext w:val="0"/>
        <w:spacing w:before="0" w:after="0" w:line="360" w:lineRule="auto"/>
        <w:rPr>
          <w:rFonts w:ascii="仿宋_GB2312" w:hAnsi="仿宋_GB2312" w:eastAsia="仿宋_GB2312" w:cs="仿宋_GB2312"/>
          <w:b/>
          <w:bCs/>
          <w:i w:val="0"/>
          <w:iCs w:val="0"/>
          <w:color w:val="auto"/>
          <w:sz w:val="28"/>
          <w:szCs w:val="28"/>
          <w:lang w:val="en-US" w:eastAsia="en-US" w:bidi="ar-SA"/>
        </w:rPr>
      </w:pPr>
      <w:bookmarkStart w:id="37" w:name="_Toc256000035"/>
      <w:r>
        <w:rPr>
          <w:rFonts w:ascii="仿宋_GB2312" w:hAnsi="仿宋_GB2312" w:eastAsia="仿宋_GB2312" w:cs="仿宋_GB2312"/>
          <w:b/>
          <w:bCs/>
          <w:i w:val="0"/>
          <w:iCs w:val="0"/>
          <w:color w:val="auto"/>
        </w:rPr>
        <w:t>7.</w:t>
      </w:r>
      <w:r>
        <w:rPr>
          <w:rFonts w:ascii="仿宋_GB2312" w:hAnsi="仿宋_GB2312" w:eastAsia="仿宋_GB2312" w:cs="仿宋_GB2312"/>
          <w:b/>
          <w:bCs/>
          <w:i w:val="0"/>
          <w:iCs w:val="0"/>
          <w:color w:val="auto"/>
          <w:sz w:val="28"/>
          <w:szCs w:val="28"/>
          <w:lang w:val="en-US" w:eastAsia="en-US" w:bidi="ar-SA"/>
        </w:rPr>
        <w:t>2具体要求</w:t>
      </w:r>
      <w:bookmarkEnd w:id="37"/>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1.验收场所的准备</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应当在固定的场所进行验收，采购人定期清扫消毒，保持清洁，保证无积尘、无食品残渣，无霉斑、鼠迹、苍蝇、蟑螂，验收场所不准存放有毒、有害物品及个人生活用品。</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2.验收小组按订单对采购货物的品种、质量、数量进行检查验收，对货不对版、质量不好、价格明显过于偏高的食材不予验收，对于数量不足的食材，按照实际数量入账，填制验收记录和验收单。</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3.验收流程</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（1）投标人应在验收时提供与送货内容一致的送货单，并加盖公章。</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（2）卸货前的检查。验收人员卸货前应对货物的外观质量进行初步了解。</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（3）采取当场验收的方式，验收人认真检查货物，按核对品种→索证→抽查(</w:t>
      </w:r>
      <w:r>
        <w:rPr>
          <w:rFonts w:hint="eastAsia" w:ascii="仿宋_GB2312" w:hAnsi="仿宋_GB2312" w:eastAsia="仿宋_GB2312" w:cs="仿宋_GB2312"/>
          <w:color w:val="auto"/>
          <w:sz w:val="28"/>
          <w:szCs w:val="28"/>
          <w:lang w:val="en-US" w:eastAsia="zh-CN" w:bidi="ar-SA"/>
        </w:rPr>
        <w:t>如若产生</w:t>
      </w:r>
      <w:r>
        <w:rPr>
          <w:rFonts w:ascii="仿宋_GB2312" w:hAnsi="仿宋_GB2312" w:eastAsia="仿宋_GB2312" w:cs="仿宋_GB2312"/>
          <w:color w:val="auto"/>
          <w:sz w:val="28"/>
          <w:szCs w:val="28"/>
          <w:lang w:val="en-US" w:eastAsia="en-US" w:bidi="ar-SA"/>
        </w:rPr>
        <w:t>检测</w:t>
      </w:r>
      <w:r>
        <w:rPr>
          <w:rFonts w:hint="eastAsia" w:ascii="仿宋_GB2312" w:hAnsi="仿宋_GB2312" w:eastAsia="仿宋_GB2312" w:cs="仿宋_GB2312"/>
          <w:color w:val="auto"/>
          <w:sz w:val="28"/>
          <w:szCs w:val="28"/>
          <w:lang w:val="en-US" w:eastAsia="zh-CN" w:bidi="ar-SA"/>
        </w:rPr>
        <w:t>费用由投标人承担</w:t>
      </w:r>
      <w:r>
        <w:rPr>
          <w:rFonts w:ascii="仿宋_GB2312" w:hAnsi="仿宋_GB2312" w:eastAsia="仿宋_GB2312" w:cs="仿宋_GB2312"/>
          <w:color w:val="auto"/>
          <w:sz w:val="28"/>
          <w:szCs w:val="28"/>
          <w:lang w:val="en-US" w:eastAsia="en-US" w:bidi="ar-SA"/>
        </w:rPr>
        <w:t>）→数量、重量、质量、价格验收→签名确认→入库的程序完成验收。</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4"/>
        <w:spacing w:before="0" w:after="0" w:line="360" w:lineRule="auto"/>
        <w:ind w:left="0" w:firstLine="640"/>
        <w:jc w:val="both"/>
        <w:rPr>
          <w:rFonts w:ascii="仿宋_GB2312" w:hAnsi="仿宋_GB2312" w:eastAsia="仿宋_GB2312" w:cs="仿宋_GB2312"/>
          <w:color w:val="auto"/>
          <w:sz w:val="32"/>
          <w:szCs w:val="32"/>
        </w:rPr>
      </w:pPr>
      <w:r>
        <w:rPr>
          <w:rFonts w:ascii="仿宋_GB2312" w:hAnsi="仿宋_GB2312" w:eastAsia="仿宋_GB2312" w:cs="仿宋_GB2312"/>
          <w:color w:val="auto"/>
          <w:sz w:val="28"/>
          <w:szCs w:val="28"/>
          <w:lang w:val="en-US" w:eastAsia="en-US" w:bidi="ar-SA"/>
        </w:rPr>
        <w:t>要求投标人提供产品质量检测报告及卫生合格报告书，蔬菜类应提供农药残留检测结果，肉类产品应提供当地卫生部门开具的动物检验检疫合格票、产品检疫合格证，证明内容与产品内容要一致。投标人以提供原件为主，不能留原件的提供复印件。</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（4）发现食品质量安全问题的处理：</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抽查时发现食品质量不过关或影响食用安全的，对当日所送同批次产品全部退货。</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若抽查未发现问题，按储藏要求储藏后在加工食用前发现产品质量问题的，投标人必须退货或更换。</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4.退（补）货流程</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5.鲜活鱼类需进行宰杀处理，如去麟去腮去内脏等，净膛的统一按0.8的出成率计算净膛价。</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6.部分蔬菜需进行简易处理，如去皮摘叶摘筋等，统一按0.85的出成率计算净菜价。</w:t>
      </w:r>
    </w:p>
    <w:p>
      <w:pPr>
        <w:pStyle w:val="14"/>
        <w:spacing w:before="0" w:after="0" w:line="360" w:lineRule="auto"/>
        <w:ind w:left="0" w:firstLine="640"/>
        <w:jc w:val="both"/>
        <w:rPr>
          <w:rFonts w:ascii="仿宋_GB2312" w:hAnsi="仿宋_GB2312" w:eastAsia="仿宋_GB2312" w:cs="仿宋_GB2312"/>
          <w:color w:val="auto"/>
          <w:sz w:val="28"/>
          <w:szCs w:val="28"/>
          <w:lang w:val="en-US" w:eastAsia="en-US" w:bidi="ar-SA"/>
        </w:rPr>
      </w:pPr>
      <w:r>
        <w:rPr>
          <w:rFonts w:ascii="仿宋_GB2312" w:hAnsi="仿宋_GB2312" w:eastAsia="仿宋_GB2312" w:cs="仿宋_GB2312"/>
          <w:color w:val="auto"/>
          <w:sz w:val="28"/>
          <w:szCs w:val="28"/>
          <w:lang w:val="en-US" w:eastAsia="en-US" w:bidi="ar-SA"/>
        </w:rPr>
        <w:t>7.包装带箱、筐的食材按照去除箱、筐后的重量计算。投标人需配合采购人库管人员进行倒筐称重，共同签字确认。</w:t>
      </w:r>
    </w:p>
    <w:p>
      <w:pPr>
        <w:pStyle w:val="15"/>
        <w:spacing w:before="0" w:after="0" w:line="360" w:lineRule="auto"/>
        <w:ind w:left="0" w:firstLine="64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pStyle w:val="13"/>
        <w:spacing w:before="0" w:after="0" w:line="360" w:lineRule="auto"/>
        <w:jc w:val="both"/>
        <w:rPr>
          <w:color w:val="auto"/>
        </w:rPr>
      </w:pPr>
      <w:r>
        <w:rPr>
          <w:rFonts w:ascii="仿宋_GB2312" w:hAnsi="仿宋_GB2312" w:eastAsia="仿宋_GB2312" w:cs="仿宋_GB2312"/>
          <w:color w:val="auto"/>
          <w:sz w:val="28"/>
          <w:szCs w:val="28"/>
        </w:rPr>
        <w:t>包装带箱、筐的食材按照去除箱、筐后的重量计算。投标人需配合采购人库管人员进行倒筐称重，共同签字确认。</w:t>
      </w:r>
    </w:p>
    <w:p>
      <w:pPr>
        <w:pStyle w:val="14"/>
        <w:spacing w:before="0" w:after="0" w:line="360" w:lineRule="auto"/>
        <w:ind w:left="0" w:firstLine="640"/>
        <w:jc w:val="both"/>
        <w:rPr>
          <w:rFonts w:ascii="仿宋_GB2312" w:hAnsi="仿宋_GB2312" w:eastAsia="仿宋_GB2312" w:cs="仿宋_GB2312"/>
          <w:color w:val="auto"/>
          <w:sz w:val="32"/>
          <w:szCs w:val="32"/>
        </w:rPr>
      </w:pPr>
    </w:p>
    <w:p>
      <w:pPr>
        <w:pStyle w:val="3"/>
        <w:keepNext w:val="0"/>
        <w:spacing w:before="0" w:after="0" w:line="360" w:lineRule="auto"/>
        <w:jc w:val="center"/>
        <w:rPr>
          <w:rFonts w:ascii="仿宋_GB2312" w:hAnsi="仿宋_GB2312" w:eastAsia="仿宋_GB2312" w:cs="仿宋_GB2312"/>
          <w:b/>
          <w:bCs/>
          <w:color w:val="auto"/>
          <w:sz w:val="32"/>
          <w:szCs w:val="32"/>
        </w:rPr>
      </w:pPr>
      <w:bookmarkStart w:id="38" w:name="_Toc256000036"/>
      <w:r>
        <w:rPr>
          <w:rFonts w:ascii="仿宋_GB2312" w:hAnsi="仿宋_GB2312" w:eastAsia="仿宋_GB2312" w:cs="仿宋_GB2312"/>
          <w:color w:val="auto"/>
          <w:kern w:val="36"/>
        </w:rPr>
        <w:t>8其他要求</w:t>
      </w:r>
      <w:bookmarkEnd w:id="38"/>
    </w:p>
    <w:p>
      <w:pPr>
        <w:pStyle w:val="4"/>
        <w:keepNext w:val="0"/>
        <w:spacing w:before="0" w:after="0" w:line="360" w:lineRule="auto"/>
        <w:rPr>
          <w:rFonts w:ascii="仿宋_GB2312" w:hAnsi="仿宋_GB2312" w:eastAsia="仿宋_GB2312" w:cs="仿宋_GB2312"/>
          <w:b/>
          <w:bCs/>
          <w:sz w:val="28"/>
          <w:szCs w:val="28"/>
        </w:rPr>
      </w:pPr>
      <w:bookmarkStart w:id="39" w:name="_Toc256000037"/>
      <w:bookmarkStart w:id="40" w:name="_Toc256000039"/>
      <w:r>
        <w:rPr>
          <w:rFonts w:ascii="仿宋_GB2312" w:hAnsi="仿宋_GB2312" w:eastAsia="仿宋_GB2312" w:cs="仿宋_GB2312"/>
          <w:i w:val="0"/>
          <w:iCs w:val="0"/>
        </w:rPr>
        <w:t>8.1定价和结算要求</w:t>
      </w:r>
      <w:bookmarkEnd w:id="39"/>
    </w:p>
    <w:p>
      <w:pPr>
        <w:pStyle w:val="16"/>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费率=投标总价/预算金额，</w:t>
      </w:r>
    </w:p>
    <w:p>
      <w:pPr>
        <w:pStyle w:val="16"/>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结算价格=中标供应商所报综合折扣×基础价格A×1.1（或基础价格B×1)。</w:t>
      </w:r>
    </w:p>
    <w:p>
      <w:pPr>
        <w:pStyle w:val="16"/>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基础价格A：依次参照“全国农产品批发市场价格信息系统（https://pfsc.argi.cn/portal-app/#/indexpage）”发布的天津何庄子农产品批发市场</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rPr>
        <w:t>天津市金钟河蔬菜贸易中心、天津韩家墅海吉星农产品批发市场同等食材的“大</w:t>
      </w:r>
      <w:r>
        <w:rPr>
          <w:rFonts w:hint="eastAsia" w:ascii="仿宋_GB2312" w:hAnsi="仿宋_GB2312" w:eastAsia="仿宋_GB2312" w:cs="仿宋_GB2312"/>
          <w:sz w:val="28"/>
          <w:szCs w:val="28"/>
          <w:lang w:eastAsia="zh-CN"/>
        </w:rPr>
        <w:t>宗</w:t>
      </w:r>
      <w:r>
        <w:rPr>
          <w:rFonts w:ascii="仿宋_GB2312" w:hAnsi="仿宋_GB2312" w:eastAsia="仿宋_GB2312" w:cs="仿宋_GB2312"/>
          <w:sz w:val="28"/>
          <w:szCs w:val="28"/>
        </w:rPr>
        <w:t>价”确定为“基础价格A”，定价单位为500克。基础价格为配送食材当日价格。</w:t>
      </w:r>
    </w:p>
    <w:p>
      <w:pPr>
        <w:pStyle w:val="16"/>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基础价格B：当</w:t>
      </w:r>
      <w:r>
        <w:rPr>
          <w:rFonts w:ascii="仿宋_GB2312" w:hAnsi="仿宋_GB2312" w:eastAsia="仿宋_GB2312" w:cs="仿宋_GB2312"/>
        </w:rPr>
        <w:t>“</w:t>
      </w:r>
      <w:r>
        <w:rPr>
          <w:rFonts w:ascii="仿宋_GB2312" w:hAnsi="仿宋_GB2312" w:eastAsia="仿宋_GB2312" w:cs="仿宋_GB2312"/>
          <w:sz w:val="28"/>
          <w:szCs w:val="28"/>
        </w:rPr>
        <w:t>全国农产品批发市场价格信息系统”上述3个市场中没有列明所采购食材的大宗价格时，依次参照</w:t>
      </w:r>
      <w:r>
        <w:rPr>
          <w:rFonts w:ascii="仿宋_GB2312" w:hAnsi="仿宋_GB2312" w:eastAsia="仿宋_GB2312" w:cs="仿宋_GB2312"/>
          <w:color w:val="auto"/>
          <w:sz w:val="28"/>
          <w:szCs w:val="28"/>
        </w:rPr>
        <w:t>多点APP、七鲜APP、</w:t>
      </w:r>
      <w:r>
        <w:rPr>
          <w:rFonts w:ascii="仿宋_GB2312" w:hAnsi="仿宋_GB2312" w:eastAsia="仿宋_GB2312" w:cs="仿宋_GB2312"/>
          <w:sz w:val="28"/>
          <w:szCs w:val="28"/>
        </w:rPr>
        <w:t>华润万家进行定价，定价单位为500克，零售商品有多个规格的，以最大规格的每500克价格为定价依据，确定具体的“基础价格B”。基础价格为配送食材当日价格。</w:t>
      </w:r>
    </w:p>
    <w:p>
      <w:pPr>
        <w:pStyle w:val="16"/>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所报综合折扣＞100%，视为无效投标。</w:t>
      </w:r>
    </w:p>
    <w:p>
      <w:pPr>
        <w:pStyle w:val="4"/>
        <w:keepNext w:val="0"/>
        <w:spacing w:before="0" w:after="0" w:line="360" w:lineRule="auto"/>
        <w:rPr>
          <w:rFonts w:ascii="仿宋_GB2312" w:hAnsi="仿宋_GB2312" w:eastAsia="仿宋_GB2312" w:cs="仿宋_GB2312"/>
          <w:b/>
          <w:bCs/>
          <w:sz w:val="28"/>
          <w:szCs w:val="28"/>
        </w:rPr>
      </w:pPr>
      <w:bookmarkStart w:id="41" w:name="_Toc256000038"/>
      <w:r>
        <w:rPr>
          <w:rFonts w:ascii="仿宋_GB2312" w:hAnsi="仿宋_GB2312" w:eastAsia="仿宋_GB2312" w:cs="仿宋_GB2312"/>
          <w:i w:val="0"/>
          <w:iCs w:val="0"/>
        </w:rPr>
        <w:t>8.2必备要求</w:t>
      </w:r>
      <w:bookmarkEnd w:id="41"/>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8.2.1通用必备要求</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4"/>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i w:val="0"/>
          <w:iCs w:val="0"/>
          <w:color w:val="auto"/>
        </w:rPr>
        <w:t>8.</w:t>
      </w:r>
      <w:r>
        <w:rPr>
          <w:rFonts w:hint="default" w:ascii="仿宋_GB2312" w:hAnsi="仿宋_GB2312" w:eastAsia="仿宋_GB2312" w:cs="仿宋_GB2312"/>
          <w:i w:val="0"/>
          <w:iCs w:val="0"/>
          <w:color w:val="auto"/>
          <w:lang w:val="en"/>
        </w:rPr>
        <w:t>3</w:t>
      </w:r>
      <w:r>
        <w:rPr>
          <w:rFonts w:ascii="仿宋_GB2312" w:hAnsi="仿宋_GB2312" w:eastAsia="仿宋_GB2312" w:cs="仿宋_GB2312"/>
          <w:i w:val="0"/>
          <w:iCs w:val="0"/>
          <w:color w:val="auto"/>
        </w:rPr>
        <w:t>付款安排建议</w:t>
      </w:r>
      <w:bookmarkEnd w:id="40"/>
    </w:p>
    <w:tbl>
      <w:tblPr>
        <w:tblStyle w:val="10"/>
        <w:tblW w:w="5000" w:type="pct"/>
        <w:tblInd w:w="30" w:type="dxa"/>
        <w:tblLayout w:type="autofit"/>
        <w:tblCellMar>
          <w:top w:w="15" w:type="dxa"/>
          <w:left w:w="15" w:type="dxa"/>
          <w:bottom w:w="15" w:type="dxa"/>
          <w:right w:w="15" w:type="dxa"/>
        </w:tblCellMar>
      </w:tblPr>
      <w:tblGrid>
        <w:gridCol w:w="1814"/>
        <w:gridCol w:w="5442"/>
        <w:gridCol w:w="1814"/>
      </w:tblGrid>
      <w:tr>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8.37</w:t>
            </w:r>
          </w:p>
        </w:tc>
      </w:tr>
    </w:tbl>
    <w:p>
      <w:pPr>
        <w:pStyle w:val="4"/>
        <w:keepNext w:val="0"/>
        <w:spacing w:before="0" w:after="0" w:line="360" w:lineRule="auto"/>
        <w:rPr>
          <w:rFonts w:ascii="仿宋_GB2312" w:hAnsi="仿宋_GB2312" w:eastAsia="仿宋_GB2312" w:cs="仿宋_GB2312"/>
          <w:b/>
          <w:bCs/>
          <w:color w:val="auto"/>
          <w:sz w:val="28"/>
          <w:szCs w:val="28"/>
        </w:rPr>
      </w:pPr>
      <w:bookmarkStart w:id="42" w:name="_Toc256000040"/>
      <w:r>
        <w:rPr>
          <w:rFonts w:ascii="仿宋_GB2312" w:hAnsi="仿宋_GB2312" w:eastAsia="仿宋_GB2312" w:cs="仿宋_GB2312"/>
          <w:i w:val="0"/>
          <w:iCs w:val="0"/>
          <w:color w:val="auto"/>
        </w:rPr>
        <w:t>8.</w:t>
      </w:r>
      <w:r>
        <w:rPr>
          <w:rFonts w:hint="default" w:ascii="仿宋_GB2312" w:hAnsi="仿宋_GB2312" w:eastAsia="仿宋_GB2312" w:cs="仿宋_GB2312"/>
          <w:i w:val="0"/>
          <w:iCs w:val="0"/>
          <w:color w:val="auto"/>
          <w:lang w:val="en"/>
        </w:rPr>
        <w:t>4</w:t>
      </w:r>
      <w:r>
        <w:rPr>
          <w:rFonts w:ascii="仿宋_GB2312" w:hAnsi="仿宋_GB2312" w:eastAsia="仿宋_GB2312" w:cs="仿宋_GB2312"/>
          <w:i w:val="0"/>
          <w:iCs w:val="0"/>
          <w:color w:val="auto"/>
        </w:rPr>
        <w:t>其他要求</w:t>
      </w:r>
      <w:bookmarkEnd w:id="42"/>
    </w:p>
    <w:p>
      <w:pPr>
        <w:pStyle w:val="5"/>
        <w:keepNext w:val="0"/>
        <w:spacing w:before="0" w:after="0" w:line="360" w:lineRule="auto"/>
        <w:rPr>
          <w:rFonts w:ascii="仿宋_GB2312" w:hAnsi="仿宋_GB2312" w:eastAsia="仿宋_GB2312" w:cs="仿宋_GB2312"/>
          <w:b/>
          <w:bCs/>
          <w:color w:val="auto"/>
          <w:sz w:val="28"/>
          <w:szCs w:val="28"/>
        </w:rPr>
      </w:pPr>
      <w:bookmarkStart w:id="43" w:name="_Toc256000041"/>
      <w:r>
        <w:rPr>
          <w:rFonts w:ascii="仿宋_GB2312" w:hAnsi="仿宋_GB2312" w:eastAsia="仿宋_GB2312" w:cs="仿宋_GB2312"/>
          <w:color w:val="auto"/>
          <w:sz w:val="28"/>
          <w:szCs w:val="28"/>
        </w:rPr>
        <w:t>8.</w:t>
      </w:r>
      <w:r>
        <w:rPr>
          <w:rFonts w:hint="default" w:ascii="仿宋_GB2312" w:hAnsi="仿宋_GB2312" w:eastAsia="仿宋_GB2312" w:cs="仿宋_GB2312"/>
          <w:color w:val="auto"/>
          <w:sz w:val="28"/>
          <w:szCs w:val="28"/>
          <w:lang w:val="en"/>
        </w:rPr>
        <w:t>4</w:t>
      </w:r>
      <w:r>
        <w:rPr>
          <w:rFonts w:ascii="仿宋_GB2312" w:hAnsi="仿宋_GB2312" w:eastAsia="仿宋_GB2312" w:cs="仿宋_GB2312"/>
          <w:color w:val="auto"/>
          <w:sz w:val="28"/>
          <w:szCs w:val="28"/>
        </w:rPr>
        <w:t>.1保密要求</w:t>
      </w:r>
      <w:bookmarkEnd w:id="43"/>
    </w:p>
    <w:p>
      <w:pPr>
        <w:pStyle w:val="13"/>
        <w:spacing w:before="0" w:after="0" w:line="360" w:lineRule="auto"/>
        <w:ind w:firstLine="513"/>
        <w:jc w:val="both"/>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中标供应商应提供遵守国家税务总局天津市津南区税务局相关安全保密制度规定的承诺函，并签订保密协议。若中标供应商服务人员违反信息安全保密制度相关规定，对税务机关造成利益损害的，中标供应商应承担相关法律责任。</w:t>
      </w:r>
    </w:p>
    <w:p>
      <w:pPr>
        <w:pStyle w:val="5"/>
        <w:keepNext w:val="0"/>
        <w:spacing w:before="0" w:after="0" w:line="360" w:lineRule="auto"/>
        <w:rPr>
          <w:rFonts w:ascii="仿宋_GB2312" w:hAnsi="仿宋_GB2312" w:eastAsia="仿宋_GB2312" w:cs="仿宋_GB2312"/>
          <w:b/>
          <w:bCs/>
          <w:color w:val="auto"/>
          <w:sz w:val="28"/>
          <w:szCs w:val="28"/>
        </w:rPr>
      </w:pPr>
      <w:bookmarkStart w:id="44" w:name="_Toc256000042"/>
      <w:r>
        <w:rPr>
          <w:rFonts w:ascii="仿宋_GB2312" w:hAnsi="仿宋_GB2312" w:eastAsia="仿宋_GB2312" w:cs="仿宋_GB2312"/>
          <w:color w:val="auto"/>
          <w:sz w:val="28"/>
          <w:szCs w:val="28"/>
        </w:rPr>
        <w:t>8.</w:t>
      </w:r>
      <w:r>
        <w:rPr>
          <w:rFonts w:hint="default" w:ascii="仿宋_GB2312" w:hAnsi="仿宋_GB2312" w:eastAsia="仿宋_GB2312" w:cs="仿宋_GB2312"/>
          <w:color w:val="auto"/>
          <w:sz w:val="28"/>
          <w:szCs w:val="28"/>
          <w:lang w:val="en"/>
        </w:rPr>
        <w:t>4</w:t>
      </w:r>
      <w:r>
        <w:rPr>
          <w:rFonts w:ascii="仿宋_GB2312" w:hAnsi="仿宋_GB2312" w:eastAsia="仿宋_GB2312" w:cs="仿宋_GB2312"/>
          <w:color w:val="auto"/>
          <w:sz w:val="28"/>
          <w:szCs w:val="28"/>
        </w:rPr>
        <w:t>.2知识产权要求</w:t>
      </w:r>
      <w:bookmarkEnd w:id="44"/>
    </w:p>
    <w:p>
      <w:pPr>
        <w:spacing w:before="0" w:after="0" w:line="360" w:lineRule="auto"/>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无</w:t>
      </w:r>
    </w:p>
    <w:p>
      <w:pPr>
        <w:spacing w:before="0" w:after="0" w:line="360" w:lineRule="auto"/>
        <w:ind w:firstLine="561"/>
        <w:rPr>
          <w:rFonts w:ascii="仿宋_GB2312" w:hAnsi="仿宋_GB2312" w:eastAsia="仿宋_GB2312" w:cs="仿宋_GB2312"/>
          <w:color w:val="auto"/>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17</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55F26F4"/>
    <w:rsid w:val="08FF1D78"/>
    <w:rsid w:val="0DF34F94"/>
    <w:rsid w:val="0DF94029"/>
    <w:rsid w:val="11670D99"/>
    <w:rsid w:val="152E6396"/>
    <w:rsid w:val="1A364410"/>
    <w:rsid w:val="1C7B614E"/>
    <w:rsid w:val="1D3FAA58"/>
    <w:rsid w:val="1DE66007"/>
    <w:rsid w:val="1FE54158"/>
    <w:rsid w:val="1FEB2D26"/>
    <w:rsid w:val="23AF4009"/>
    <w:rsid w:val="23FFA263"/>
    <w:rsid w:val="27A3BFD2"/>
    <w:rsid w:val="337FEE59"/>
    <w:rsid w:val="34B241BB"/>
    <w:rsid w:val="37C56B01"/>
    <w:rsid w:val="37D2B246"/>
    <w:rsid w:val="3EA4EAC7"/>
    <w:rsid w:val="3EC7F150"/>
    <w:rsid w:val="3ED9348D"/>
    <w:rsid w:val="3FF2628B"/>
    <w:rsid w:val="47867A85"/>
    <w:rsid w:val="4DD46065"/>
    <w:rsid w:val="57778CE3"/>
    <w:rsid w:val="57EE6A23"/>
    <w:rsid w:val="5DF72B88"/>
    <w:rsid w:val="5E7CB862"/>
    <w:rsid w:val="5EBC743B"/>
    <w:rsid w:val="5EDBFBFE"/>
    <w:rsid w:val="5F5FA593"/>
    <w:rsid w:val="5FA319B7"/>
    <w:rsid w:val="65EBB702"/>
    <w:rsid w:val="672804D4"/>
    <w:rsid w:val="69862486"/>
    <w:rsid w:val="6F7F0C38"/>
    <w:rsid w:val="6FB754B0"/>
    <w:rsid w:val="6FDBCDDB"/>
    <w:rsid w:val="79312126"/>
    <w:rsid w:val="7A7DF5C3"/>
    <w:rsid w:val="7BAB4803"/>
    <w:rsid w:val="7DE949EE"/>
    <w:rsid w:val="7E5F519F"/>
    <w:rsid w:val="7EE7216F"/>
    <w:rsid w:val="7F5FDFF7"/>
    <w:rsid w:val="7F855246"/>
    <w:rsid w:val="7FA5145E"/>
    <w:rsid w:val="8B577046"/>
    <w:rsid w:val="98F7E5A7"/>
    <w:rsid w:val="9CE78CF1"/>
    <w:rsid w:val="9FAF2E55"/>
    <w:rsid w:val="9FFFB7AC"/>
    <w:rsid w:val="B6A654BE"/>
    <w:rsid w:val="BA6D0850"/>
    <w:rsid w:val="BA7B23C6"/>
    <w:rsid w:val="BAC6C3C2"/>
    <w:rsid w:val="BBBEDC5B"/>
    <w:rsid w:val="BD77ED87"/>
    <w:rsid w:val="BEBBAC6B"/>
    <w:rsid w:val="BFFA2DCC"/>
    <w:rsid w:val="C7FFD3EC"/>
    <w:rsid w:val="CEF7720D"/>
    <w:rsid w:val="CF9F8082"/>
    <w:rsid w:val="EF6B2B5E"/>
    <w:rsid w:val="F13DFA60"/>
    <w:rsid w:val="F63F1815"/>
    <w:rsid w:val="F6FDAB92"/>
    <w:rsid w:val="F6FF2841"/>
    <w:rsid w:val="F7ADFD64"/>
    <w:rsid w:val="F7D7BDEA"/>
    <w:rsid w:val="F7E10F66"/>
    <w:rsid w:val="F9F21F7B"/>
    <w:rsid w:val="FBFE14C3"/>
    <w:rsid w:val="FDEF4854"/>
    <w:rsid w:val="FDFCCEFB"/>
    <w:rsid w:val="FF773541"/>
    <w:rsid w:val="FFAB1289"/>
    <w:rsid w:val="FFFE759D"/>
    <w:rsid w:val="FFFE8CAB"/>
    <w:rsid w:val="FFFFF3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lang w:val="zh-CN" w:bidi="zh-CN"/>
    </w:rPr>
  </w:style>
  <w:style w:type="paragraph" w:styleId="7">
    <w:name w:val="toc 3"/>
    <w:basedOn w:val="1"/>
    <w:next w:val="1"/>
    <w:qFormat/>
    <w:uiPriority w:val="0"/>
    <w:pPr>
      <w:ind w:left="480"/>
    </w:pPr>
  </w:style>
  <w:style w:type="paragraph" w:styleId="8">
    <w:name w:val="toc 1"/>
    <w:basedOn w:val="1"/>
    <w:next w:val="1"/>
    <w:qFormat/>
    <w:uiPriority w:val="0"/>
  </w:style>
  <w:style w:type="paragraph" w:styleId="9">
    <w:name w:val="toc 2"/>
    <w:basedOn w:val="1"/>
    <w:next w:val="1"/>
    <w:qFormat/>
    <w:uiPriority w:val="0"/>
    <w:pPr>
      <w:ind w:left="240"/>
    </w:pPr>
  </w:style>
  <w:style w:type="character" w:styleId="12">
    <w:name w:val="Hyperlink"/>
    <w:basedOn w:val="11"/>
    <w:qFormat/>
    <w:uiPriority w:val="0"/>
    <w:rPr>
      <w:color w:val="0000FF"/>
      <w:u w:val="single"/>
    </w:rPr>
  </w:style>
  <w:style w:type="paragraph" w:customStyle="1" w:styleId="13">
    <w:name w:val="MsoNormal"/>
    <w:basedOn w:val="1"/>
    <w:qFormat/>
    <w:uiPriority w:val="0"/>
  </w:style>
  <w:style w:type="paragraph" w:customStyle="1" w:styleId="14">
    <w:name w:val="18"/>
    <w:basedOn w:val="1"/>
    <w:qFormat/>
    <w:uiPriority w:val="0"/>
  </w:style>
  <w:style w:type="paragraph" w:customStyle="1" w:styleId="15">
    <w:name w:val="16"/>
    <w:basedOn w:val="1"/>
    <w:qFormat/>
    <w:uiPriority w:val="0"/>
  </w:style>
  <w:style w:type="paragraph" w:customStyle="1" w:styleId="16">
    <w:name w:val="15"/>
    <w:basedOn w:val="1"/>
    <w:qFormat/>
    <w:uiPriority w:val="0"/>
  </w:style>
  <w:style w:type="paragraph" w:customStyle="1" w:styleId="17">
    <w:name w:val="22"/>
    <w:basedOn w:val="1"/>
    <w:qFormat/>
    <w:uiPriority w:val="0"/>
  </w:style>
  <w:style w:type="paragraph" w:customStyle="1" w:styleId="18">
    <w:name w:val="19"/>
    <w:basedOn w:val="1"/>
    <w:qFormat/>
    <w:uiPriority w:val="0"/>
  </w:style>
  <w:style w:type="paragraph" w:customStyle="1" w:styleId="19">
    <w:name w:val="20"/>
    <w:basedOn w:val="1"/>
    <w:qFormat/>
    <w:uiPriority w:val="0"/>
  </w:style>
  <w:style w:type="paragraph" w:customStyle="1" w:styleId="20">
    <w:name w:val="17"/>
    <w:basedOn w:val="1"/>
    <w:qFormat/>
    <w:uiPriority w:val="0"/>
  </w:style>
  <w:style w:type="paragraph" w:customStyle="1" w:styleId="21">
    <w:name w:val="21"/>
    <w:basedOn w:val="1"/>
    <w:qFormat/>
    <w:uiPriority w:val="0"/>
  </w:style>
  <w:style w:type="paragraph" w:customStyle="1" w:styleId="22">
    <w:name w:val="29"/>
    <w:basedOn w:val="1"/>
    <w:qFormat/>
    <w:uiPriority w:val="0"/>
  </w:style>
  <w:style w:type="paragraph" w:customStyle="1" w:styleId="23">
    <w:name w:val="25"/>
    <w:basedOn w:val="1"/>
    <w:qFormat/>
    <w:uiPriority w:val="0"/>
  </w:style>
  <w:style w:type="paragraph" w:customStyle="1" w:styleId="24">
    <w:name w:val="24"/>
    <w:basedOn w:val="1"/>
    <w:qFormat/>
    <w:uiPriority w:val="0"/>
  </w:style>
  <w:style w:type="character" w:customStyle="1" w:styleId="25">
    <w:name w:val="font01"/>
    <w:basedOn w:val="11"/>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17</Pages>
  <Words>0</Words>
  <Characters>0</Characters>
  <Lines>1</Lines>
  <Paragraphs>1</Paragraphs>
  <TotalTime>5</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2025-03-08T16:06:00Z</dcterms:created>
  <dc:creator>user</dc:creator>
  <cp:lastModifiedBy>郭岚旭</cp:lastModifiedBy>
  <cp:lastPrinted>2025-04-02T13:44:00Z</cp:lastPrinted>
  <dcterms:modified xsi:type="dcterms:W3CDTF">2025-04-18T06:03:47Z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8EB61F274CC5417AB08695709B15ED0E</vt:lpwstr>
  </property>
</Properties>
</file>