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9E1AFC">
      <w:pPr>
        <w:jc w:val="center"/>
        <w:rPr>
          <w:rFonts w:hint="eastAsia" w:ascii="方正小标宋简体" w:hAnsi="方正小标宋简体" w:eastAsia="方正小标宋简体" w:cs="方正小标宋简体"/>
          <w:b/>
          <w:color w:val="000000"/>
          <w:kern w:val="0"/>
          <w:sz w:val="48"/>
          <w:szCs w:val="48"/>
          <w:lang w:bidi="ar"/>
        </w:rPr>
      </w:pPr>
      <w:r>
        <w:rPr>
          <w:rFonts w:hint="eastAsia" w:ascii="方正小标宋简体" w:hAnsi="方正小标宋简体" w:eastAsia="方正小标宋简体" w:cs="方正小标宋简体"/>
          <w:b/>
          <w:color w:val="000000"/>
          <w:kern w:val="0"/>
          <w:sz w:val="48"/>
          <w:szCs w:val="48"/>
          <w:lang w:bidi="ar"/>
        </w:rPr>
        <w:t>税收统计调查业务操作指引  纳税人端</w:t>
      </w:r>
    </w:p>
    <w:p w14:paraId="15CFC88B">
      <w:pPr>
        <w:pStyle w:val="3"/>
        <w:ind w:firstLine="643" w:firstLineChars="200"/>
        <w:rPr>
          <w:rFonts w:hint="eastAsia"/>
          <w:sz w:val="32"/>
          <w:szCs w:val="32"/>
        </w:rPr>
      </w:pPr>
    </w:p>
    <w:p w14:paraId="6FAEA7C0">
      <w:pPr>
        <w:pStyle w:val="3"/>
        <w:ind w:firstLine="643" w:firstLineChars="200"/>
        <w:rPr>
          <w:sz w:val="32"/>
          <w:szCs w:val="32"/>
        </w:rPr>
      </w:pPr>
      <w:r>
        <w:rPr>
          <w:rFonts w:hint="eastAsia"/>
          <w:sz w:val="32"/>
          <w:szCs w:val="32"/>
        </w:rPr>
        <w:t>一、</w:t>
      </w:r>
      <w:r>
        <w:rPr>
          <w:sz w:val="32"/>
          <w:szCs w:val="32"/>
        </w:rPr>
        <w:t xml:space="preserve">业务概述 </w:t>
      </w:r>
    </w:p>
    <w:p w14:paraId="56EF7335">
      <w:pPr>
        <w:topLinePunct/>
        <w:spacing w:line="360" w:lineRule="auto"/>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税收统计调查工作是财政部和国家税务总局联合布置的一项重要工作，每年开展一次，主要是为完善财税政策、加强财税管理提供数据支撑，自1984年开始至今，为我国的经济税收事业的发展发挥了重要的作用。</w:t>
      </w:r>
    </w:p>
    <w:p w14:paraId="2AA31A9A">
      <w:pPr>
        <w:topLinePunct/>
        <w:spacing w:line="360" w:lineRule="auto"/>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税收统计调查企业名单由主管税务机关根据总局制定的标准确定，形成税收统计调查企业清册。</w:t>
      </w:r>
    </w:p>
    <w:p w14:paraId="1C729852">
      <w:pPr>
        <w:pStyle w:val="3"/>
        <w:ind w:firstLine="643" w:firstLineChars="200"/>
        <w:rPr>
          <w:rFonts w:hint="eastAsia"/>
          <w:sz w:val="32"/>
          <w:szCs w:val="32"/>
        </w:rPr>
      </w:pPr>
      <w:r>
        <w:rPr>
          <w:rFonts w:hint="eastAsia"/>
          <w:sz w:val="32"/>
          <w:szCs w:val="32"/>
        </w:rPr>
        <w:t>二、办理流程</w:t>
      </w:r>
    </w:p>
    <w:p w14:paraId="4E540FEA">
      <w:pPr>
        <w:topLinePunct/>
        <w:spacing w:line="360" w:lineRule="auto"/>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税收统计调查企业清册上的纳税人存在未报送税收统计调查表的，系统自动发起提醒，待确认后，启动税收统计调查事项流程，并根据智能处理规则推送纳税人确认或补录后，经系统智能处理规则校验审核审验通过的，自动办结该事项；对于系统审验不通过的，需转人工审核的情形，推送税务人员处理。</w:t>
      </w:r>
    </w:p>
    <w:p w14:paraId="58149E8F">
      <w:pPr>
        <w:pStyle w:val="3"/>
        <w:ind w:firstLine="643" w:firstLineChars="200"/>
        <w:rPr>
          <w:sz w:val="32"/>
          <w:szCs w:val="32"/>
        </w:rPr>
      </w:pPr>
      <w:r>
        <w:rPr>
          <w:rFonts w:hint="eastAsia"/>
          <w:sz w:val="32"/>
          <w:szCs w:val="32"/>
        </w:rPr>
        <w:t>三、关联场景</w:t>
      </w:r>
    </w:p>
    <w:tbl>
      <w:tblPr>
        <w:tblStyle w:val="5"/>
        <w:tblW w:w="5779" w:type="pct"/>
        <w:tblInd w:w="1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31"/>
        <w:gridCol w:w="1188"/>
        <w:gridCol w:w="1505"/>
        <w:gridCol w:w="1844"/>
        <w:gridCol w:w="4182"/>
      </w:tblGrid>
      <w:tr w14:paraId="715721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trPr>
        <w:tc>
          <w:tcPr>
            <w:tcW w:w="574" w:type="pct"/>
            <w:shd w:val="clear" w:color="auto" w:fill="DBE5F1"/>
            <w:noWrap w:val="0"/>
            <w:vAlign w:val="center"/>
          </w:tcPr>
          <w:p w14:paraId="551C82A1">
            <w:pPr>
              <w:pStyle w:val="7"/>
              <w:rPr>
                <w:rFonts w:ascii="宋体" w:hAnsi="宋体" w:eastAsia="宋体" w:cs="微软雅黑"/>
                <w:b w:val="0"/>
                <w:bCs/>
                <w:sz w:val="21"/>
                <w:szCs w:val="21"/>
                <w:lang w:val="en-US" w:eastAsia="zh-CN"/>
              </w:rPr>
            </w:pPr>
            <w:r>
              <w:rPr>
                <w:rFonts w:hint="eastAsia" w:ascii="宋体" w:hAnsi="宋体" w:eastAsia="宋体" w:cs="微软雅黑"/>
                <w:b w:val="0"/>
                <w:bCs/>
                <w:sz w:val="21"/>
                <w:szCs w:val="21"/>
                <w:lang w:val="en-US" w:eastAsia="zh-CN"/>
              </w:rPr>
              <w:t>场景编号</w:t>
            </w:r>
          </w:p>
        </w:tc>
        <w:tc>
          <w:tcPr>
            <w:tcW w:w="603" w:type="pct"/>
            <w:shd w:val="clear" w:color="auto" w:fill="DBE5F1"/>
            <w:noWrap w:val="0"/>
            <w:vAlign w:val="top"/>
          </w:tcPr>
          <w:p w14:paraId="77F78021">
            <w:pPr>
              <w:pStyle w:val="7"/>
              <w:rPr>
                <w:rFonts w:hint="eastAsia" w:ascii="宋体" w:hAnsi="宋体" w:eastAsia="宋体" w:cs="微软雅黑"/>
                <w:b w:val="0"/>
                <w:bCs/>
                <w:sz w:val="21"/>
                <w:szCs w:val="21"/>
                <w:lang w:val="en-US" w:eastAsia="zh-CN"/>
              </w:rPr>
            </w:pPr>
            <w:r>
              <w:rPr>
                <w:rFonts w:hint="eastAsia" w:ascii="宋体" w:hAnsi="宋体" w:eastAsia="宋体" w:cs="微软雅黑"/>
                <w:b w:val="0"/>
                <w:bCs/>
                <w:sz w:val="21"/>
                <w:szCs w:val="21"/>
                <w:lang w:val="en-US" w:eastAsia="zh-CN"/>
              </w:rPr>
              <w:t>场景顺序</w:t>
            </w:r>
          </w:p>
        </w:tc>
        <w:tc>
          <w:tcPr>
            <w:tcW w:w="764" w:type="pct"/>
            <w:shd w:val="clear" w:color="auto" w:fill="DBE5F1"/>
            <w:noWrap w:val="0"/>
            <w:vAlign w:val="top"/>
          </w:tcPr>
          <w:p w14:paraId="66EB00E3">
            <w:pPr>
              <w:pStyle w:val="7"/>
              <w:rPr>
                <w:rFonts w:ascii="宋体" w:hAnsi="宋体" w:eastAsia="宋体" w:cs="微软雅黑"/>
                <w:b w:val="0"/>
                <w:bCs/>
                <w:sz w:val="21"/>
                <w:szCs w:val="21"/>
                <w:lang w:val="en-US" w:eastAsia="zh-CN"/>
              </w:rPr>
            </w:pPr>
            <w:r>
              <w:rPr>
                <w:rFonts w:hint="eastAsia" w:ascii="宋体" w:hAnsi="宋体" w:eastAsia="宋体" w:cs="微软雅黑"/>
                <w:b w:val="0"/>
                <w:bCs/>
                <w:sz w:val="21"/>
                <w:szCs w:val="21"/>
                <w:lang w:val="en-US" w:eastAsia="zh-CN"/>
              </w:rPr>
              <w:t>关联性</w:t>
            </w:r>
          </w:p>
        </w:tc>
        <w:tc>
          <w:tcPr>
            <w:tcW w:w="936" w:type="pct"/>
            <w:shd w:val="clear" w:color="auto" w:fill="DBE5F1"/>
            <w:noWrap w:val="0"/>
            <w:vAlign w:val="center"/>
          </w:tcPr>
          <w:p w14:paraId="53B87ACF">
            <w:pPr>
              <w:pStyle w:val="7"/>
              <w:rPr>
                <w:rFonts w:ascii="宋体" w:hAnsi="宋体" w:eastAsia="宋体" w:cs="微软雅黑"/>
                <w:b w:val="0"/>
                <w:bCs/>
                <w:sz w:val="21"/>
                <w:szCs w:val="21"/>
                <w:lang w:val="en-US" w:eastAsia="zh-CN"/>
              </w:rPr>
            </w:pPr>
            <w:r>
              <w:rPr>
                <w:rFonts w:hint="eastAsia" w:ascii="宋体" w:hAnsi="宋体" w:eastAsia="宋体" w:cs="微软雅黑"/>
                <w:b w:val="0"/>
                <w:bCs/>
                <w:sz w:val="21"/>
                <w:szCs w:val="21"/>
                <w:lang w:val="en-US" w:eastAsia="zh-CN"/>
              </w:rPr>
              <w:t>场景名称</w:t>
            </w:r>
          </w:p>
        </w:tc>
        <w:tc>
          <w:tcPr>
            <w:tcW w:w="2123" w:type="pct"/>
            <w:shd w:val="clear" w:color="auto" w:fill="DBE5F1"/>
            <w:noWrap w:val="0"/>
            <w:vAlign w:val="center"/>
          </w:tcPr>
          <w:p w14:paraId="6AE5D949">
            <w:pPr>
              <w:pStyle w:val="7"/>
              <w:rPr>
                <w:rFonts w:ascii="宋体" w:hAnsi="宋体" w:eastAsia="宋体" w:cs="微软雅黑"/>
                <w:b w:val="0"/>
                <w:bCs/>
                <w:sz w:val="21"/>
                <w:szCs w:val="21"/>
                <w:lang w:val="en-US" w:eastAsia="zh-CN"/>
              </w:rPr>
            </w:pPr>
            <w:r>
              <w:rPr>
                <w:rFonts w:hint="eastAsia" w:ascii="宋体" w:hAnsi="宋体" w:eastAsia="宋体" w:cs="微软雅黑"/>
                <w:b w:val="0"/>
                <w:bCs/>
                <w:sz w:val="21"/>
                <w:szCs w:val="21"/>
                <w:lang w:val="en-US" w:eastAsia="zh-CN"/>
              </w:rPr>
              <w:t>关联关系</w:t>
            </w:r>
          </w:p>
        </w:tc>
      </w:tr>
      <w:tr w14:paraId="68D035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74" w:type="pct"/>
            <w:noWrap w:val="0"/>
            <w:vAlign w:val="center"/>
          </w:tcPr>
          <w:p w14:paraId="68E3EC49">
            <w:pPr>
              <w:pStyle w:val="9"/>
              <w:rPr>
                <w:rFonts w:ascii="宋体" w:hAnsi="宋体" w:cs="Arial"/>
                <w:sz w:val="21"/>
                <w:szCs w:val="21"/>
                <w:lang w:val="en-US" w:eastAsia="zh-CN"/>
              </w:rPr>
            </w:pPr>
            <w:r>
              <w:rPr>
                <w:rFonts w:hint="eastAsia" w:ascii="宋体" w:hAnsi="宋体" w:cs="Arial"/>
                <w:sz w:val="21"/>
                <w:szCs w:val="21"/>
                <w:lang w:val="en-US" w:eastAsia="zh-CN"/>
              </w:rPr>
              <w:t>1</w:t>
            </w:r>
          </w:p>
        </w:tc>
        <w:tc>
          <w:tcPr>
            <w:tcW w:w="603" w:type="pct"/>
            <w:noWrap w:val="0"/>
            <w:vAlign w:val="top"/>
          </w:tcPr>
          <w:p w14:paraId="3D2E4FB4">
            <w:pPr>
              <w:pStyle w:val="9"/>
              <w:jc w:val="both"/>
              <w:rPr>
                <w:rFonts w:hint="eastAsia" w:ascii="宋体" w:hAnsi="宋体" w:cs="Arial"/>
                <w:sz w:val="21"/>
                <w:szCs w:val="21"/>
                <w:lang w:val="en-US" w:eastAsia="zh-CN"/>
              </w:rPr>
            </w:pPr>
            <w:r>
              <w:rPr>
                <w:rFonts w:hint="eastAsia" w:ascii="宋体" w:hAnsi="宋体" w:cs="Arial"/>
                <w:sz w:val="21"/>
                <w:szCs w:val="21"/>
                <w:lang w:val="en-US" w:eastAsia="zh-CN"/>
              </w:rPr>
              <w:t>前序业务</w:t>
            </w:r>
          </w:p>
        </w:tc>
        <w:tc>
          <w:tcPr>
            <w:tcW w:w="764" w:type="pct"/>
            <w:noWrap w:val="0"/>
            <w:vAlign w:val="top"/>
          </w:tcPr>
          <w:p w14:paraId="054F8DF9">
            <w:pPr>
              <w:pStyle w:val="9"/>
              <w:jc w:val="both"/>
              <w:rPr>
                <w:rFonts w:ascii="宋体" w:hAnsi="宋体" w:cs="Arial"/>
                <w:sz w:val="21"/>
                <w:szCs w:val="21"/>
                <w:lang w:val="en-US" w:eastAsia="zh-CN"/>
              </w:rPr>
            </w:pPr>
            <w:r>
              <w:rPr>
                <w:rFonts w:hint="eastAsia" w:ascii="宋体" w:hAnsi="宋体" w:cs="Arial"/>
                <w:sz w:val="21"/>
                <w:szCs w:val="21"/>
                <w:lang w:val="en-US" w:eastAsia="zh-CN"/>
              </w:rPr>
              <w:t>强制关联</w:t>
            </w:r>
          </w:p>
        </w:tc>
        <w:tc>
          <w:tcPr>
            <w:tcW w:w="936" w:type="pct"/>
            <w:noWrap w:val="0"/>
            <w:vAlign w:val="center"/>
          </w:tcPr>
          <w:p w14:paraId="54D6736D">
            <w:pPr>
              <w:pStyle w:val="9"/>
              <w:jc w:val="both"/>
              <w:rPr>
                <w:rFonts w:ascii="宋体" w:hAnsi="宋体" w:cs="Arial"/>
                <w:sz w:val="21"/>
                <w:szCs w:val="21"/>
                <w:lang w:val="en-US" w:eastAsia="zh-CN"/>
              </w:rPr>
            </w:pPr>
            <w:r>
              <w:rPr>
                <w:rFonts w:hint="eastAsia" w:ascii="宋体" w:hAnsi="宋体" w:cs="Arial"/>
                <w:sz w:val="21"/>
                <w:szCs w:val="21"/>
                <w:lang w:val="en-US" w:eastAsia="zh-CN"/>
              </w:rPr>
              <w:t>税调企业监控</w:t>
            </w:r>
          </w:p>
        </w:tc>
        <w:tc>
          <w:tcPr>
            <w:tcW w:w="2123" w:type="pct"/>
            <w:noWrap w:val="0"/>
            <w:vAlign w:val="center"/>
          </w:tcPr>
          <w:p w14:paraId="157ACBC7">
            <w:pPr>
              <w:pStyle w:val="9"/>
              <w:jc w:val="left"/>
              <w:rPr>
                <w:rFonts w:ascii="宋体" w:hAnsi="宋体" w:cs="Arial"/>
                <w:sz w:val="21"/>
                <w:szCs w:val="21"/>
                <w:lang w:val="en-US" w:eastAsia="zh-CN"/>
              </w:rPr>
            </w:pPr>
            <w:r>
              <w:rPr>
                <w:rFonts w:hint="eastAsia" w:ascii="宋体" w:hAnsi="宋体" w:cs="Arial"/>
                <w:sz w:val="21"/>
                <w:szCs w:val="21"/>
                <w:lang w:val="en-US" w:eastAsia="zh-CN"/>
              </w:rPr>
              <w:t>纳税人需为税收统计调查企业。</w:t>
            </w:r>
          </w:p>
        </w:tc>
      </w:tr>
    </w:tbl>
    <w:p w14:paraId="5605D62E">
      <w:pPr>
        <w:ind w:firstLine="420" w:firstLineChars="200"/>
        <w:rPr>
          <w:rFonts w:hint="eastAsia"/>
        </w:rPr>
      </w:pPr>
    </w:p>
    <w:p w14:paraId="13F28DA7">
      <w:pPr>
        <w:pStyle w:val="3"/>
        <w:ind w:firstLine="643" w:firstLineChars="200"/>
        <w:rPr>
          <w:rFonts w:hint="eastAsia"/>
          <w:sz w:val="32"/>
          <w:szCs w:val="32"/>
        </w:rPr>
      </w:pPr>
      <w:r>
        <w:rPr>
          <w:rFonts w:hint="eastAsia"/>
          <w:sz w:val="32"/>
          <w:szCs w:val="32"/>
        </w:rPr>
        <w:t>四、功能路径</w:t>
      </w:r>
    </w:p>
    <w:p w14:paraId="6155522F">
      <w:pPr>
        <w:ind w:firstLine="640" w:firstLineChars="200"/>
        <w:rPr>
          <w:rFonts w:ascii="华文仿宋" w:hAnsi="华文仿宋" w:eastAsia="华文仿宋" w:cs="华文仿宋"/>
          <w:bCs/>
          <w:sz w:val="32"/>
          <w:szCs w:val="32"/>
          <w:shd w:val="clear" w:color="auto" w:fill="FFFFFF"/>
        </w:rPr>
      </w:pPr>
      <w:r>
        <w:rPr>
          <w:rFonts w:hint="eastAsia" w:ascii="华文仿宋" w:hAnsi="华文仿宋" w:eastAsia="华文仿宋" w:cs="华文仿宋"/>
          <w:bCs/>
          <w:sz w:val="32"/>
          <w:szCs w:val="32"/>
        </w:rPr>
        <w:t>1.我要办税-税费申报及缴纳-</w:t>
      </w:r>
      <w:r>
        <w:rPr>
          <w:rFonts w:hint="eastAsia" w:ascii="华文仿宋" w:hAnsi="华文仿宋" w:eastAsia="华文仿宋" w:cs="华文仿宋"/>
          <w:bCs/>
          <w:sz w:val="32"/>
          <w:szCs w:val="32"/>
          <w:shd w:val="clear" w:color="auto" w:fill="FFFFFF"/>
        </w:rPr>
        <w:t>税收统计调查</w:t>
      </w:r>
    </w:p>
    <w:p w14:paraId="56923618">
      <w:pPr>
        <w:ind w:firstLine="640" w:firstLineChars="200"/>
        <w:rPr>
          <w:rFonts w:hint="eastAsia" w:ascii="华文仿宋" w:hAnsi="华文仿宋" w:eastAsia="华文仿宋" w:cs="华文仿宋"/>
          <w:bCs/>
          <w:sz w:val="32"/>
          <w:szCs w:val="32"/>
          <w:shd w:val="clear" w:color="auto" w:fill="FFFFFF"/>
        </w:rPr>
      </w:pPr>
      <w:r>
        <w:rPr>
          <w:rFonts w:hint="eastAsia" w:ascii="华文仿宋" w:hAnsi="华文仿宋" w:eastAsia="华文仿宋" w:cs="华文仿宋"/>
          <w:bCs/>
          <w:sz w:val="32"/>
          <w:szCs w:val="32"/>
          <w:shd w:val="clear" w:color="auto" w:fill="FFFFFF"/>
        </w:rPr>
        <w:t>2.通过首页搜索栏输入关键字查找出的“税收统计调查”进入办税功能。</w:t>
      </w:r>
    </w:p>
    <w:p w14:paraId="09580A52">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highlight w:val="yellow"/>
          <w:lang w:eastAsia="zh-CN"/>
        </w:rPr>
        <w:t>说明：</w:t>
      </w:r>
      <w:r>
        <w:rPr>
          <w:rFonts w:hint="eastAsia" w:ascii="仿宋_GB2312" w:hAnsi="仿宋_GB2312" w:eastAsia="仿宋_GB2312" w:cs="仿宋_GB2312"/>
          <w:color w:val="FF0000"/>
          <w:sz w:val="32"/>
          <w:szCs w:val="32"/>
          <w:lang w:eastAsia="zh-CN"/>
        </w:rPr>
        <w:t>如果企业在调查名单内，填报人员登录电子税务局后，没有填报模块，可能权限不够，需要用企业法人或财务负责人身份登录给填报人员赋权。</w:t>
      </w:r>
    </w:p>
    <w:p w14:paraId="483283DA">
      <w:pPr>
        <w:pStyle w:val="3"/>
        <w:ind w:firstLine="643" w:firstLineChars="200"/>
        <w:rPr>
          <w:rFonts w:hint="eastAsia"/>
          <w:sz w:val="32"/>
          <w:szCs w:val="32"/>
          <w:lang w:eastAsia="zh-Hans"/>
        </w:rPr>
      </w:pPr>
      <w:r>
        <w:rPr>
          <w:rFonts w:hint="eastAsia"/>
          <w:sz w:val="32"/>
          <w:szCs w:val="32"/>
        </w:rPr>
        <w:t>五、</w:t>
      </w:r>
      <w:r>
        <w:rPr>
          <w:rFonts w:hint="eastAsia"/>
          <w:sz w:val="32"/>
          <w:szCs w:val="32"/>
          <w:lang w:eastAsia="zh-Hans"/>
        </w:rPr>
        <w:t>操作步骤</w:t>
      </w:r>
    </w:p>
    <w:p w14:paraId="1F0BB0C8">
      <w:pPr>
        <w:numPr>
          <w:ilvl w:val="0"/>
          <w:numId w:val="1"/>
        </w:numPr>
        <w:ind w:left="0" w:leftChars="0" w:firstLine="21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登录新电子税局后，点击</w:t>
      </w:r>
      <w:r>
        <w:rPr>
          <w:rFonts w:hint="eastAsia" w:ascii="仿宋_GB2312" w:hAnsi="仿宋_GB2312" w:eastAsia="仿宋_GB2312" w:cs="仿宋_GB2312"/>
          <w:sz w:val="32"/>
          <w:szCs w:val="32"/>
          <w:highlight w:val="yellow"/>
        </w:rPr>
        <w:t>【我要办税】-【税费申报及缴纳】-【申报辅助信息报告】-【税收统计调查】</w:t>
      </w:r>
      <w:r>
        <w:rPr>
          <w:rFonts w:hint="eastAsia" w:ascii="仿宋_GB2312" w:hAnsi="仿宋_GB2312" w:eastAsia="仿宋_GB2312" w:cs="仿宋_GB2312"/>
          <w:sz w:val="32"/>
          <w:szCs w:val="32"/>
        </w:rPr>
        <w:t>功能菜单。</w:t>
      </w:r>
    </w:p>
    <w:p w14:paraId="0E4F7EC7">
      <w:pPr>
        <w:rPr>
          <w:rFonts w:hint="eastAsia" w:ascii="仿宋_GB2312" w:hAnsi="仿宋_GB2312" w:eastAsia="仿宋_GB2312" w:cs="仿宋_GB2312"/>
          <w:sz w:val="32"/>
          <w:szCs w:val="32"/>
        </w:rPr>
      </w:pPr>
      <w:r>
        <w:drawing>
          <wp:inline distT="0" distB="0" distL="114300" distR="114300">
            <wp:extent cx="5270500" cy="2520950"/>
            <wp:effectExtent l="0" t="0" r="635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70500" cy="2520950"/>
                    </a:xfrm>
                    <a:prstGeom prst="rect">
                      <a:avLst/>
                    </a:prstGeom>
                    <a:noFill/>
                    <a:ln>
                      <a:noFill/>
                    </a:ln>
                  </pic:spPr>
                </pic:pic>
              </a:graphicData>
            </a:graphic>
          </wp:inline>
        </w:drawing>
      </w:r>
    </w:p>
    <w:p w14:paraId="5F128887">
      <w:pPr>
        <w:pStyle w:val="2"/>
        <w:rPr>
          <w:rFonts w:hint="eastAsia" w:ascii="仿宋_GB2312" w:hAnsi="仿宋_GB2312" w:eastAsia="仿宋_GB2312" w:cs="仿宋_GB2312"/>
          <w:sz w:val="32"/>
          <w:szCs w:val="32"/>
        </w:rPr>
      </w:pPr>
      <w:r>
        <w:rPr>
          <w:rFonts w:hint="eastAsia" w:ascii="Times New Roman" w:hAnsi="Times New Roman" w:eastAsia="仿宋_GB2312"/>
          <w:sz w:val="32"/>
          <w:szCs w:val="32"/>
        </w:rPr>
        <w:t>点击采集，进入到报表填写界面。</w:t>
      </w:r>
    </w:p>
    <w:p w14:paraId="3580EC61">
      <w:pPr>
        <w:rPr>
          <w:rFonts w:ascii="Times New Roman" w:hAnsi="Times New Roman" w:eastAsia="仿宋_GB2312"/>
          <w:sz w:val="32"/>
          <w:szCs w:val="32"/>
        </w:rPr>
      </w:pPr>
      <w:r>
        <w:drawing>
          <wp:inline distT="0" distB="0" distL="114300" distR="114300">
            <wp:extent cx="5273675" cy="2034540"/>
            <wp:effectExtent l="0" t="0" r="317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3675" cy="2034540"/>
                    </a:xfrm>
                    <a:prstGeom prst="rect">
                      <a:avLst/>
                    </a:prstGeom>
                    <a:noFill/>
                    <a:ln>
                      <a:noFill/>
                    </a:ln>
                  </pic:spPr>
                </pic:pic>
              </a:graphicData>
            </a:graphic>
          </wp:inline>
        </w:drawing>
      </w:r>
    </w:p>
    <w:p w14:paraId="44EB832C">
      <w:pPr>
        <w:numPr>
          <w:ilvl w:val="0"/>
          <w:numId w:val="1"/>
        </w:numPr>
        <w:rPr>
          <w:rFonts w:ascii="Times New Roman" w:hAnsi="Times New Roman" w:eastAsia="仿宋_GB2312"/>
          <w:sz w:val="32"/>
          <w:szCs w:val="32"/>
        </w:rPr>
      </w:pPr>
      <w:r>
        <w:rPr>
          <w:rFonts w:hint="eastAsia" w:ascii="Times New Roman" w:hAnsi="Times New Roman" w:eastAsia="仿宋_GB2312"/>
          <w:sz w:val="32"/>
          <w:szCs w:val="32"/>
        </w:rPr>
        <w:t>系统对数据进行预填写，纳税人需</w:t>
      </w:r>
      <w:r>
        <w:rPr>
          <w:rFonts w:ascii="Times New Roman" w:hAnsi="Times New Roman" w:eastAsia="仿宋_GB2312"/>
          <w:sz w:val="32"/>
          <w:szCs w:val="32"/>
        </w:rPr>
        <w:t>按照实际情况</w:t>
      </w:r>
      <w:r>
        <w:rPr>
          <w:rFonts w:hint="eastAsia" w:ascii="Times New Roman" w:hAnsi="Times New Roman" w:eastAsia="仿宋_GB2312"/>
          <w:sz w:val="32"/>
          <w:szCs w:val="32"/>
        </w:rPr>
        <w:t>进行修改和补录数据，</w:t>
      </w:r>
      <w:r>
        <w:rPr>
          <w:rFonts w:ascii="Times New Roman" w:hAnsi="Times New Roman" w:eastAsia="仿宋_GB2312"/>
          <w:sz w:val="32"/>
          <w:szCs w:val="32"/>
        </w:rPr>
        <w:t>纳税人点击</w:t>
      </w:r>
      <w:r>
        <w:rPr>
          <w:rFonts w:hint="eastAsia" w:ascii="Times New Roman" w:hAnsi="Times New Roman" w:eastAsia="仿宋_GB2312"/>
          <w:sz w:val="32"/>
          <w:szCs w:val="32"/>
        </w:rPr>
        <w:t>【</w:t>
      </w:r>
      <w:r>
        <w:rPr>
          <w:rFonts w:ascii="Times New Roman" w:hAnsi="Times New Roman" w:eastAsia="仿宋_GB2312"/>
          <w:sz w:val="32"/>
          <w:szCs w:val="32"/>
        </w:rPr>
        <w:t>暂存</w:t>
      </w:r>
      <w:r>
        <w:rPr>
          <w:rFonts w:hint="eastAsia" w:ascii="Times New Roman" w:hAnsi="Times New Roman" w:eastAsia="仿宋_GB2312"/>
          <w:sz w:val="32"/>
          <w:szCs w:val="32"/>
        </w:rPr>
        <w:t>】</w:t>
      </w:r>
      <w:r>
        <w:rPr>
          <w:rFonts w:ascii="Times New Roman" w:hAnsi="Times New Roman" w:eastAsia="仿宋_GB2312"/>
          <w:sz w:val="32"/>
          <w:szCs w:val="32"/>
        </w:rPr>
        <w:t>按钮</w:t>
      </w:r>
      <w:r>
        <w:rPr>
          <w:rFonts w:hint="eastAsia" w:ascii="Times New Roman" w:hAnsi="Times New Roman" w:eastAsia="仿宋_GB2312"/>
          <w:sz w:val="32"/>
          <w:szCs w:val="32"/>
        </w:rPr>
        <w:t>，</w:t>
      </w:r>
      <w:r>
        <w:rPr>
          <w:rFonts w:ascii="Times New Roman" w:hAnsi="Times New Roman" w:eastAsia="仿宋_GB2312"/>
          <w:sz w:val="32"/>
          <w:szCs w:val="32"/>
        </w:rPr>
        <w:t>可对填写</w:t>
      </w:r>
      <w:r>
        <w:rPr>
          <w:rFonts w:hint="eastAsia" w:ascii="Times New Roman" w:hAnsi="Times New Roman" w:eastAsia="仿宋_GB2312"/>
          <w:sz w:val="32"/>
          <w:szCs w:val="32"/>
        </w:rPr>
        <w:t>数据</w:t>
      </w:r>
      <w:r>
        <w:rPr>
          <w:rFonts w:ascii="Times New Roman" w:hAnsi="Times New Roman" w:eastAsia="仿宋_GB2312"/>
          <w:sz w:val="32"/>
          <w:szCs w:val="32"/>
        </w:rPr>
        <w:t>进行暂存。</w:t>
      </w:r>
    </w:p>
    <w:p w14:paraId="173B26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指标不同颜色数据框的含义：</w:t>
      </w:r>
    </w:p>
    <w:p w14:paraId="2AD9DBA7">
      <w:pPr>
        <w:pStyle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白色：纳税人根据实际情况据实填报或修改数据（请特别注意不要漏填其中项）。</w:t>
      </w:r>
    </w:p>
    <w:p w14:paraId="6BFCA4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绿色：无法修改，根据您所填写的信息表相关信息锁定。若需填写，请先修改信息表相关项。</w:t>
      </w:r>
      <w:r>
        <w:rPr>
          <w:rFonts w:hint="eastAsia" w:ascii="仿宋_GB2312" w:hAnsi="仿宋_GB2312" w:eastAsia="仿宋_GB2312" w:cs="仿宋_GB2312"/>
          <w:sz w:val="32"/>
          <w:szCs w:val="32"/>
          <w:lang w:eastAsia="zh-CN"/>
        </w:rPr>
        <w:t>企业表指标与信息表有勾稽关系</w:t>
      </w:r>
    </w:p>
    <w:p w14:paraId="14592A16">
      <w:pPr>
        <w:pStyle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蓝色：计算项根据计算公式自动计算得出，无法修改。若数据有误，</w:t>
      </w:r>
      <w:r>
        <w:rPr>
          <w:rFonts w:hint="eastAsia" w:ascii="仿宋_GB2312" w:hAnsi="仿宋_GB2312" w:eastAsia="仿宋_GB2312" w:cs="仿宋_GB2312"/>
          <w:sz w:val="32"/>
          <w:szCs w:val="32"/>
          <w:lang w:eastAsia="zh-CN"/>
        </w:rPr>
        <w:t>修改对应指标或联系主管税务机关</w:t>
      </w:r>
      <w:r>
        <w:rPr>
          <w:rFonts w:hint="eastAsia" w:ascii="仿宋_GB2312" w:hAnsi="仿宋_GB2312" w:eastAsia="仿宋_GB2312" w:cs="仿宋_GB2312"/>
          <w:sz w:val="32"/>
          <w:szCs w:val="32"/>
        </w:rPr>
        <w:t>。</w:t>
      </w:r>
    </w:p>
    <w:p w14:paraId="3B5C213C">
      <w:pPr>
        <w:pStyle w:val="2"/>
        <w:ind w:left="0" w:leftChars="0" w:firstLine="0" w:firstLineChars="0"/>
        <w:rPr>
          <w:rFonts w:hint="eastAsia" w:ascii="仿宋_GB2312" w:hAnsi="仿宋_GB2312" w:eastAsia="仿宋_GB2312" w:cs="仿宋_GB2312"/>
          <w:sz w:val="32"/>
          <w:szCs w:val="32"/>
        </w:rPr>
      </w:pPr>
      <w:r>
        <w:drawing>
          <wp:inline distT="0" distB="0" distL="114300" distR="114300">
            <wp:extent cx="5270500" cy="1927225"/>
            <wp:effectExtent l="0" t="0" r="6350"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70500" cy="1927225"/>
                    </a:xfrm>
                    <a:prstGeom prst="rect">
                      <a:avLst/>
                    </a:prstGeom>
                    <a:noFill/>
                    <a:ln>
                      <a:noFill/>
                    </a:ln>
                  </pic:spPr>
                </pic:pic>
              </a:graphicData>
            </a:graphic>
          </wp:inline>
        </w:drawing>
      </w:r>
    </w:p>
    <w:p w14:paraId="7081A3A8">
      <w:pPr>
        <w:jc w:val="left"/>
      </w:pPr>
      <w:r>
        <w:drawing>
          <wp:inline distT="0" distB="0" distL="114300" distR="114300">
            <wp:extent cx="5268595" cy="2240915"/>
            <wp:effectExtent l="0" t="0" r="825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68595" cy="2240915"/>
                    </a:xfrm>
                    <a:prstGeom prst="rect">
                      <a:avLst/>
                    </a:prstGeom>
                    <a:noFill/>
                    <a:ln>
                      <a:noFill/>
                    </a:ln>
                  </pic:spPr>
                </pic:pic>
              </a:graphicData>
            </a:graphic>
          </wp:inline>
        </w:drawing>
      </w:r>
    </w:p>
    <w:p w14:paraId="6803C828">
      <w:pPr>
        <w:bidi w:val="0"/>
        <w:rPr>
          <w:rFonts w:ascii="Calibri" w:hAnsi="Calibri"/>
          <w:kern w:val="2"/>
          <w:sz w:val="21"/>
          <w:szCs w:val="24"/>
          <w:lang w:val="en-US" w:eastAsia="zh-CN" w:bidi="ar-SA"/>
        </w:rPr>
      </w:pPr>
    </w:p>
    <w:p w14:paraId="600DD277">
      <w:pPr>
        <w:bidi w:val="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点击指标名称的符号，即可查看该指标的口径说明。</w:t>
      </w:r>
    </w:p>
    <w:p w14:paraId="28339C5C">
      <w:pPr>
        <w:jc w:val="left"/>
      </w:pPr>
      <w:r>
        <w:drawing>
          <wp:inline distT="0" distB="0" distL="114300" distR="114300">
            <wp:extent cx="5271770" cy="2338070"/>
            <wp:effectExtent l="0" t="0" r="5080"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271770" cy="2338070"/>
                    </a:xfrm>
                    <a:prstGeom prst="rect">
                      <a:avLst/>
                    </a:prstGeom>
                    <a:noFill/>
                    <a:ln>
                      <a:noFill/>
                    </a:ln>
                  </pic:spPr>
                </pic:pic>
              </a:graphicData>
            </a:graphic>
          </wp:inline>
        </w:drawing>
      </w:r>
    </w:p>
    <w:p w14:paraId="4D964BAB">
      <w:pPr>
        <w:pStyle w:val="2"/>
      </w:pPr>
    </w:p>
    <w:p w14:paraId="54A21227">
      <w:r>
        <w:drawing>
          <wp:inline distT="0" distB="0" distL="114300" distR="114300">
            <wp:extent cx="5269230" cy="2511425"/>
            <wp:effectExtent l="0" t="0" r="7620"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69230" cy="2511425"/>
                    </a:xfrm>
                    <a:prstGeom prst="rect">
                      <a:avLst/>
                    </a:prstGeom>
                    <a:noFill/>
                    <a:ln>
                      <a:noFill/>
                    </a:ln>
                  </pic:spPr>
                </pic:pic>
              </a:graphicData>
            </a:graphic>
          </wp:inline>
        </w:drawing>
      </w:r>
    </w:p>
    <w:p w14:paraId="001EB54D">
      <w:pPr>
        <w:pStyle w:val="2"/>
      </w:pPr>
    </w:p>
    <w:p w14:paraId="0DA405EF">
      <w:pPr>
        <w:rPr>
          <w:rFonts w:hint="eastAsia" w:ascii="Times New Roman" w:hAnsi="Times New Roman" w:eastAsia="仿宋_GB2312"/>
          <w:sz w:val="32"/>
          <w:szCs w:val="32"/>
        </w:rPr>
      </w:pPr>
      <w:r>
        <w:drawing>
          <wp:inline distT="0" distB="0" distL="114300" distR="114300">
            <wp:extent cx="5269230" cy="2511425"/>
            <wp:effectExtent l="0" t="0" r="762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69230" cy="2511425"/>
                    </a:xfrm>
                    <a:prstGeom prst="rect">
                      <a:avLst/>
                    </a:prstGeom>
                    <a:noFill/>
                    <a:ln>
                      <a:noFill/>
                    </a:ln>
                  </pic:spPr>
                </pic:pic>
              </a:graphicData>
            </a:graphic>
          </wp:inline>
        </w:drawing>
      </w:r>
      <w:r>
        <w:drawing>
          <wp:inline distT="0" distB="0" distL="114300" distR="114300">
            <wp:extent cx="5269230" cy="2511425"/>
            <wp:effectExtent l="0" t="0" r="7620" b="31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9230" cy="2511425"/>
                    </a:xfrm>
                    <a:prstGeom prst="rect">
                      <a:avLst/>
                    </a:prstGeom>
                    <a:noFill/>
                    <a:ln>
                      <a:noFill/>
                    </a:ln>
                  </pic:spPr>
                </pic:pic>
              </a:graphicData>
            </a:graphic>
          </wp:inline>
        </w:drawing>
      </w:r>
    </w:p>
    <w:p w14:paraId="74E1301B">
      <w:pPr>
        <w:numPr>
          <w:ilvl w:val="0"/>
          <w:numId w:val="1"/>
        </w:numPr>
        <w:rPr>
          <w:rFonts w:hint="eastAsia" w:ascii="华文仿宋" w:hAnsi="华文仿宋" w:eastAsia="华文仿宋" w:cs="华文仿宋"/>
          <w:sz w:val="32"/>
          <w:szCs w:val="32"/>
        </w:rPr>
      </w:pPr>
      <w:r>
        <w:rPr>
          <w:rFonts w:hint="eastAsia" w:ascii="华文仿宋" w:hAnsi="华文仿宋" w:eastAsia="华文仿宋" w:cs="华文仿宋"/>
          <w:sz w:val="32"/>
          <w:szCs w:val="32"/>
        </w:rPr>
        <w:t>纳税人填报完各表后，点【审核】，审核通过的，点【提交】，采集流程结束；审核不通过的，按照审核提示继续补充填报数据、修改数据或填写审核情况说明，再次点击审核，直到提示“审核通过”。</w:t>
      </w:r>
    </w:p>
    <w:p w14:paraId="7ADDE214">
      <w:r>
        <w:drawing>
          <wp:inline distT="0" distB="0" distL="114300" distR="114300">
            <wp:extent cx="5269230" cy="2511425"/>
            <wp:effectExtent l="0" t="0" r="762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9230" cy="2511425"/>
                    </a:xfrm>
                    <a:prstGeom prst="rect">
                      <a:avLst/>
                    </a:prstGeom>
                    <a:noFill/>
                    <a:ln>
                      <a:noFill/>
                    </a:ln>
                  </pic:spPr>
                </pic:pic>
              </a:graphicData>
            </a:graphic>
          </wp:inline>
        </w:drawing>
      </w:r>
    </w:p>
    <w:p w14:paraId="06B06390">
      <w:pPr>
        <w:rPr>
          <w:rFonts w:hint="eastAsia"/>
        </w:rPr>
      </w:pPr>
    </w:p>
    <w:p w14:paraId="0192F6C0">
      <w:pPr>
        <w:rPr>
          <w:rFonts w:hint="default" w:ascii="仿宋_GB2312" w:hAnsi="仿宋_GB2312" w:eastAsia="仿宋_GB2312" w:cs="仿宋_GB2312"/>
          <w:color w:val="C00000"/>
          <w:sz w:val="32"/>
          <w:szCs w:val="32"/>
          <w:lang w:val="en"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C00000"/>
          <w:sz w:val="32"/>
          <w:szCs w:val="32"/>
          <w:lang w:val="en-US" w:eastAsia="zh-CN"/>
        </w:rPr>
        <w:t>在审核过程中，如果需要中间退出，可点击“确定”按钮，即可保存纳税人已经填报的审核说明。尽量完整填写指标，不写审核说明！</w:t>
      </w:r>
    </w:p>
    <w:p w14:paraId="287632F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审核通过后，需要纳税人对本次采集结果进行确认声明，纳税人按提示补全 “ 真、实、责、任”的声明信息后，点击【确认】即可提交申请。</w:t>
      </w:r>
    </w:p>
    <w:p w14:paraId="3154F6DB">
      <w:pPr>
        <w:rPr>
          <w:rFonts w:hint="eastAsia"/>
        </w:rPr>
      </w:pPr>
      <w:r>
        <w:drawing>
          <wp:inline distT="0" distB="0" distL="114300" distR="114300">
            <wp:extent cx="5269230" cy="2511425"/>
            <wp:effectExtent l="0" t="0" r="7620"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9230" cy="2511425"/>
                    </a:xfrm>
                    <a:prstGeom prst="rect">
                      <a:avLst/>
                    </a:prstGeom>
                    <a:noFill/>
                    <a:ln>
                      <a:noFill/>
                    </a:ln>
                  </pic:spPr>
                </pic:pic>
              </a:graphicData>
            </a:graphic>
          </wp:inline>
        </w:drawing>
      </w:r>
    </w:p>
    <w:p w14:paraId="28A884F3">
      <w:pPr>
        <w:numPr>
          <w:ilvl w:val="0"/>
          <w:numId w:val="1"/>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提交成功后，完成本次税收统计调查采集，</w:t>
      </w:r>
      <w:r>
        <w:rPr>
          <w:rFonts w:hint="eastAsia" w:ascii="华文仿宋" w:hAnsi="华文仿宋" w:eastAsia="华文仿宋" w:cs="华文仿宋"/>
          <w:sz w:val="32"/>
          <w:szCs w:val="32"/>
        </w:rPr>
        <w:t>系统自动锁定数据并上报</w:t>
      </w:r>
      <w:r>
        <w:rPr>
          <w:rFonts w:hint="eastAsia" w:ascii="仿宋_GB2312" w:hAnsi="仿宋_GB2312" w:eastAsia="仿宋_GB2312" w:cs="仿宋_GB2312"/>
          <w:sz w:val="32"/>
          <w:szCs w:val="32"/>
        </w:rPr>
        <w:t>至税务机关。</w:t>
      </w:r>
    </w:p>
    <w:p w14:paraId="22750B19">
      <w:pPr>
        <w:pStyle w:val="4"/>
      </w:pPr>
      <w:r>
        <w:drawing>
          <wp:inline distT="0" distB="0" distL="114300" distR="114300">
            <wp:extent cx="5269230" cy="2511425"/>
            <wp:effectExtent l="0" t="0" r="7620" b="317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269230" cy="2511425"/>
                    </a:xfrm>
                    <a:prstGeom prst="rect">
                      <a:avLst/>
                    </a:prstGeom>
                    <a:noFill/>
                    <a:ln>
                      <a:noFill/>
                    </a:ln>
                  </pic:spPr>
                </pic:pic>
              </a:graphicData>
            </a:graphic>
          </wp:inline>
        </w:drawing>
      </w:r>
    </w:p>
    <w:p w14:paraId="7EC6925B">
      <w:pPr>
        <w:jc w:val="center"/>
        <w:rPr>
          <w:rFonts w:hint="eastAsia" w:ascii="仿宋_GB2312" w:hAnsi="仿宋_GB2312" w:eastAsia="仿宋_GB2312" w:cs="仿宋_GB2312"/>
          <w:sz w:val="32"/>
          <w:szCs w:val="32"/>
        </w:rPr>
      </w:pPr>
    </w:p>
    <w:p w14:paraId="284629C5">
      <w:pPr>
        <w:pStyle w:val="3"/>
        <w:ind w:firstLine="643" w:firstLineChars="200"/>
        <w:rPr>
          <w:sz w:val="32"/>
          <w:szCs w:val="32"/>
        </w:rPr>
      </w:pPr>
      <w:r>
        <w:rPr>
          <w:rFonts w:hint="eastAsia"/>
          <w:sz w:val="32"/>
          <w:szCs w:val="32"/>
        </w:rPr>
        <w:t>六、报送资料</w:t>
      </w:r>
    </w:p>
    <w:p w14:paraId="005BD57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14:paraId="34725053">
      <w:pPr>
        <w:pStyle w:val="3"/>
        <w:ind w:firstLine="643" w:firstLineChars="200"/>
        <w:rPr>
          <w:rFonts w:hint="eastAsia"/>
          <w:sz w:val="32"/>
          <w:szCs w:val="32"/>
          <w:lang w:eastAsia="zh-Hans"/>
        </w:rPr>
      </w:pPr>
      <w:r>
        <w:rPr>
          <w:rFonts w:hint="eastAsia"/>
          <w:sz w:val="32"/>
          <w:szCs w:val="32"/>
        </w:rPr>
        <w:t>七、</w:t>
      </w:r>
      <w:r>
        <w:rPr>
          <w:rFonts w:hint="eastAsia"/>
          <w:sz w:val="32"/>
          <w:szCs w:val="32"/>
          <w:lang w:eastAsia="zh-Hans"/>
        </w:rPr>
        <w:t>注意事项</w:t>
      </w:r>
    </w:p>
    <w:p w14:paraId="29BE3E3E">
      <w:pPr>
        <w:ind w:firstLine="320" w:firstLineChars="100"/>
        <w:rPr>
          <w:rFonts w:hint="eastAsia" w:ascii="仿宋_GB2312" w:hAnsi="仿宋_GB2312" w:eastAsia="仿宋_GB2312" w:cs="仿宋_GB2312"/>
          <w:color w:val="FF0000"/>
          <w:sz w:val="32"/>
          <w:szCs w:val="32"/>
          <w:lang w:eastAsia="zh-CN"/>
        </w:rPr>
      </w:pPr>
      <w:r>
        <w:rPr>
          <w:rFonts w:hint="eastAsia" w:ascii="仿宋_GB2312" w:hAnsi="仿宋_GB2312" w:eastAsia="仿宋_GB2312" w:cs="仿宋_GB2312"/>
          <w:color w:val="FF0000"/>
          <w:sz w:val="32"/>
          <w:szCs w:val="32"/>
          <w:lang w:val="en-US" w:eastAsia="zh-CN"/>
        </w:rPr>
        <w:t>1、在审核的过程中，填写的审核说明不会自动保存，需要手动点击【确定】保存数据。</w:t>
      </w:r>
    </w:p>
    <w:p w14:paraId="7C5C7EC6">
      <w:pPr>
        <w:pStyle w:val="3"/>
        <w:ind w:firstLine="643" w:firstLineChars="200"/>
        <w:rPr>
          <w:sz w:val="32"/>
          <w:szCs w:val="32"/>
        </w:rPr>
      </w:pPr>
      <w:r>
        <w:rPr>
          <w:rFonts w:hint="eastAsia"/>
          <w:sz w:val="32"/>
          <w:szCs w:val="32"/>
        </w:rPr>
        <w:t>八、常见问题</w:t>
      </w:r>
    </w:p>
    <w:p w14:paraId="179A8F3A">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1、税收统计调查为按月采集、按季采集还是按年采集？</w:t>
      </w:r>
    </w:p>
    <w:p w14:paraId="733880AD">
      <w:pPr>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答：按年采集</w:t>
      </w:r>
    </w:p>
    <w:p w14:paraId="434C2760">
      <w:pPr>
        <w:numPr>
          <w:ilvl w:val="0"/>
          <w:numId w:val="2"/>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提交后，发现填报错误，需要更正如何处理？</w:t>
      </w:r>
    </w:p>
    <w:p w14:paraId="0B7D81A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答：已提交的记录，会自动锁定无法修改，如需修改，可联系税务人员解锁后，方可进行更正操作。</w:t>
      </w:r>
    </w:p>
    <w:p w14:paraId="50A6EB5D">
      <w:pPr>
        <w:numPr>
          <w:ilvl w:val="0"/>
          <w:numId w:val="2"/>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系统预填的数据能不能修改？</w:t>
      </w:r>
    </w:p>
    <w:p w14:paraId="527C9D05">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系统预填的数据均来自企业上年度登记信息、纳税申报表和财物报表，一般不建议修改。如核实后确实存在数据错误的，建议优先通过更正纳税申报表、填写审核情况说明等方式解决，慎重采用直接修改预填数据的方式。</w:t>
      </w:r>
    </w:p>
    <w:p w14:paraId="0FC37710">
      <w:pPr>
        <w:rPr>
          <w:rFonts w:hint="eastAsia" w:ascii="仿宋_GB2312" w:hAnsi="仿宋_GB2312" w:eastAsia="仿宋_GB2312" w:cs="仿宋_GB2312"/>
          <w:b/>
          <w:bCs/>
          <w:sz w:val="32"/>
          <w:szCs w:val="32"/>
          <w:lang w:eastAsia="zh-CN"/>
        </w:rPr>
      </w:pPr>
    </w:p>
    <w:p w14:paraId="7F55E39B">
      <w:pPr>
        <w:bidi w:val="0"/>
        <w:rPr>
          <w:rFonts w:hint="eastAsia" w:ascii="Calibri" w:hAnsi="Calibri"/>
          <w:kern w:val="2"/>
          <w:sz w:val="21"/>
          <w:szCs w:val="24"/>
          <w:lang w:val="en-US" w:eastAsia="zh-CN" w:bidi="ar-SA"/>
        </w:rPr>
      </w:pPr>
    </w:p>
    <w:p w14:paraId="76ECAA84">
      <w:pPr>
        <w:bidi w:val="0"/>
        <w:rPr>
          <w:rFonts w:hint="eastAsia"/>
          <w:lang w:val="en-US" w:eastAsia="zh-CN"/>
        </w:rPr>
      </w:pPr>
    </w:p>
    <w:p w14:paraId="67548768">
      <w:pPr>
        <w:bidi w:val="0"/>
        <w:rPr>
          <w:rFonts w:hint="eastAsia"/>
          <w:lang w:val="en-US" w:eastAsia="zh-CN"/>
        </w:rPr>
      </w:pPr>
    </w:p>
    <w:p w14:paraId="27DA1CBE">
      <w:pPr>
        <w:bidi w:val="0"/>
        <w:rPr>
          <w:rFonts w:hint="eastAsia"/>
          <w:lang w:val="en-US" w:eastAsia="zh-CN"/>
        </w:rPr>
      </w:pPr>
    </w:p>
    <w:p w14:paraId="1080A4C7">
      <w:pPr>
        <w:bidi w:val="0"/>
        <w:rPr>
          <w:rFonts w:hint="eastAsia"/>
          <w:lang w:val="en-US" w:eastAsia="zh-CN"/>
        </w:rPr>
      </w:pPr>
    </w:p>
    <w:p w14:paraId="3BB82BEE">
      <w:pPr>
        <w:bidi w:val="0"/>
        <w:rPr>
          <w:rFonts w:hint="eastAsia"/>
          <w:lang w:val="en-US" w:eastAsia="zh-CN"/>
        </w:rPr>
      </w:pPr>
    </w:p>
    <w:p w14:paraId="279321EA">
      <w:pPr>
        <w:bidi w:val="0"/>
        <w:rPr>
          <w:rFonts w:hint="eastAsia"/>
          <w:lang w:val="en-US" w:eastAsia="zh-CN"/>
        </w:rPr>
      </w:pPr>
    </w:p>
    <w:p w14:paraId="1CCF118A">
      <w:pPr>
        <w:bidi w:val="0"/>
        <w:rPr>
          <w:rFonts w:hint="eastAsia"/>
          <w:lang w:val="en-US" w:eastAsia="zh-CN"/>
        </w:rPr>
      </w:pPr>
    </w:p>
    <w:p w14:paraId="713CCC0E">
      <w:pPr>
        <w:bidi w:val="0"/>
        <w:rPr>
          <w:rFonts w:hint="eastAsia"/>
          <w:lang w:val="en-US" w:eastAsia="zh-CN"/>
        </w:rPr>
      </w:pPr>
    </w:p>
    <w:p w14:paraId="2ABB2C8C">
      <w:pPr>
        <w:bidi w:val="0"/>
        <w:rPr>
          <w:rFonts w:hint="eastAsia"/>
          <w:lang w:val="en-US" w:eastAsia="zh-CN"/>
        </w:rPr>
      </w:pPr>
    </w:p>
    <w:p w14:paraId="26F5C892">
      <w:pPr>
        <w:bidi w:val="0"/>
        <w:rPr>
          <w:rFonts w:hint="eastAsia"/>
          <w:lang w:val="en-US" w:eastAsia="zh-CN"/>
        </w:rPr>
      </w:pPr>
    </w:p>
    <w:p w14:paraId="719101F2">
      <w:pPr>
        <w:bidi w:val="0"/>
        <w:rPr>
          <w:rFonts w:hint="eastAsia"/>
          <w:lang w:val="en-US" w:eastAsia="zh-CN"/>
        </w:rPr>
      </w:pPr>
    </w:p>
    <w:p w14:paraId="346553CE">
      <w:pPr>
        <w:bidi w:val="0"/>
        <w:rPr>
          <w:rFonts w:hint="eastAsia"/>
          <w:lang w:val="en-US" w:eastAsia="zh-CN"/>
        </w:rPr>
      </w:pPr>
    </w:p>
    <w:p w14:paraId="5755416C">
      <w:pPr>
        <w:bidi w:val="0"/>
        <w:rPr>
          <w:rFonts w:hint="eastAsia"/>
          <w:lang w:val="en-US" w:eastAsia="zh-CN"/>
        </w:rPr>
      </w:pPr>
    </w:p>
    <w:p w14:paraId="0ED50F73">
      <w:pPr>
        <w:bidi w:val="0"/>
        <w:rPr>
          <w:rFonts w:hint="eastAsia"/>
          <w:lang w:val="en-US" w:eastAsia="zh-CN"/>
        </w:rPr>
      </w:pPr>
    </w:p>
    <w:p w14:paraId="167A1C02">
      <w:pPr>
        <w:bidi w:val="0"/>
        <w:rPr>
          <w:rFonts w:hint="eastAsia"/>
          <w:lang w:val="en-US" w:eastAsia="zh-CN"/>
        </w:rPr>
      </w:pPr>
    </w:p>
    <w:p w14:paraId="22A66B45">
      <w:pPr>
        <w:bidi w:val="0"/>
        <w:rPr>
          <w:rFonts w:hint="eastAsia"/>
          <w:lang w:val="en-US" w:eastAsia="zh-CN"/>
        </w:rPr>
      </w:pPr>
    </w:p>
    <w:p w14:paraId="57F30738">
      <w:pPr>
        <w:bidi w:val="0"/>
        <w:rPr>
          <w:rFonts w:hint="eastAsia"/>
          <w:lang w:val="en-US" w:eastAsia="zh-CN"/>
        </w:rPr>
      </w:pPr>
    </w:p>
    <w:p w14:paraId="7398D936">
      <w:pPr>
        <w:bidi w:val="0"/>
        <w:rPr>
          <w:rFonts w:hint="eastAsia"/>
          <w:lang w:val="en-US" w:eastAsia="zh-CN"/>
        </w:rPr>
      </w:pPr>
    </w:p>
    <w:p w14:paraId="49233C9D">
      <w:pPr>
        <w:bidi w:val="0"/>
        <w:ind w:firstLine="486" w:firstLineChars="0"/>
        <w:jc w:val="left"/>
        <w:rPr>
          <w:rFonts w:hint="eastAsia"/>
          <w:lang w:val="en-US" w:eastAsia="zh-CN"/>
        </w:rPr>
      </w:pPr>
    </w:p>
    <w:p w14:paraId="057C2BDC">
      <w:pPr>
        <w:pStyle w:val="2"/>
        <w:rPr>
          <w:rFonts w:hint="eastAsia"/>
          <w:lang w:val="en-US" w:eastAsia="zh-CN"/>
        </w:rPr>
      </w:pPr>
    </w:p>
    <w:p w14:paraId="799A9B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税收调查填报重点注意事项</w:t>
      </w:r>
    </w:p>
    <w:p w14:paraId="39AD05C9">
      <w:pPr>
        <w:pStyle w:val="2"/>
        <w:rPr>
          <w:rFonts w:hint="eastAsia"/>
        </w:rPr>
      </w:pPr>
    </w:p>
    <w:p w14:paraId="5CB4A8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32"/>
          <w:szCs w:val="32"/>
        </w:rPr>
        <w:t xml:space="preserve">   </w:t>
      </w:r>
      <w:r>
        <w:rPr>
          <w:rFonts w:hint="eastAsia" w:ascii="黑体" w:hAnsi="黑体" w:eastAsia="黑体" w:cs="黑体"/>
          <w:sz w:val="32"/>
          <w:szCs w:val="32"/>
        </w:rPr>
        <w:t xml:space="preserve"> 一、调查年度</w:t>
      </w:r>
    </w:p>
    <w:p w14:paraId="2FFF83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rPr>
      </w:pPr>
      <w:r>
        <w:rPr>
          <w:rFonts w:hint="eastAsia" w:ascii="宋体" w:hAnsi="宋体" w:eastAsia="宋体" w:cs="宋体"/>
          <w:sz w:val="28"/>
          <w:szCs w:val="28"/>
        </w:rPr>
        <w:t xml:space="preserve">    </w:t>
      </w:r>
      <w:r>
        <w:rPr>
          <w:rFonts w:hint="eastAsia" w:ascii="仿宋_GB2312" w:hAnsi="仿宋_GB2312" w:eastAsia="仿宋_GB2312" w:cs="仿宋_GB2312"/>
          <w:sz w:val="32"/>
          <w:szCs w:val="32"/>
        </w:rPr>
        <w:t xml:space="preserve"> 企业表、货物劳务服务表填报调查年度</w:t>
      </w:r>
      <w:r>
        <w:rPr>
          <w:rFonts w:hint="eastAsia" w:ascii="仿宋_GB2312" w:hAnsi="仿宋_GB2312" w:eastAsia="仿宋_GB2312" w:cs="仿宋_GB2312"/>
          <w:sz w:val="32"/>
          <w:szCs w:val="32"/>
          <w:lang w:eastAsia="zh-CN"/>
        </w:rPr>
        <w:t>为</w:t>
      </w:r>
      <w:r>
        <w:rPr>
          <w:rFonts w:hint="eastAsia" w:ascii="仿宋_GB2312" w:hAnsi="仿宋_GB2312" w:eastAsia="仿宋_GB2312" w:cs="仿宋_GB2312"/>
          <w:sz w:val="32"/>
          <w:szCs w:val="32"/>
          <w:lang w:val="en-US" w:eastAsia="zh-CN"/>
        </w:rPr>
        <w:t>2024年</w:t>
      </w:r>
      <w:r>
        <w:rPr>
          <w:rFonts w:hint="eastAsia" w:ascii="仿宋_GB2312" w:hAnsi="仿宋_GB2312" w:eastAsia="仿宋_GB2312" w:cs="仿宋_GB2312"/>
          <w:sz w:val="32"/>
          <w:szCs w:val="32"/>
        </w:rPr>
        <w:t>1月1日至12月31日全年应缴、已缴以及当年发生的其他累计数据，其中应缴税款为1月1日-12月31日发生纳税义务的交易或行为所产生的应纳税额;已缴税款为1月1日-12月31日实际缴纳的税款。表中期初、期末指的是调查年度的期初、期末数据。</w:t>
      </w:r>
    </w:p>
    <w:p w14:paraId="4246FE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32"/>
          <w:szCs w:val="32"/>
        </w:rPr>
        <w:t xml:space="preserve">   </w:t>
      </w:r>
      <w:r>
        <w:rPr>
          <w:rFonts w:hint="eastAsia" w:ascii="黑体" w:hAnsi="黑体" w:eastAsia="黑体" w:cs="黑体"/>
          <w:sz w:val="32"/>
          <w:szCs w:val="32"/>
        </w:rPr>
        <w:t>二、数量单位</w:t>
      </w:r>
    </w:p>
    <w:p w14:paraId="08CFF2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rPr>
      </w:pPr>
      <w:r>
        <w:rPr>
          <w:rFonts w:hint="eastAsia" w:ascii="宋体" w:hAnsi="宋体" w:eastAsia="宋体" w:cs="宋体"/>
          <w:sz w:val="28"/>
          <w:szCs w:val="28"/>
        </w:rPr>
        <w:t xml:space="preserve">     </w:t>
      </w:r>
      <w:r>
        <w:rPr>
          <w:rFonts w:hint="eastAsia" w:ascii="仿宋_GB2312" w:hAnsi="仿宋_GB2312" w:eastAsia="仿宋_GB2312" w:cs="仿宋_GB2312"/>
          <w:sz w:val="32"/>
          <w:szCs w:val="32"/>
        </w:rPr>
        <w:t>税收调查报表的</w:t>
      </w:r>
      <w:r>
        <w:rPr>
          <w:rFonts w:hint="eastAsia" w:ascii="仿宋_GB2312" w:hAnsi="仿宋_GB2312" w:eastAsia="仿宋_GB2312" w:cs="仿宋_GB2312"/>
          <w:b w:val="0"/>
          <w:bCs/>
          <w:color w:val="FF0000"/>
          <w:sz w:val="32"/>
          <w:szCs w:val="32"/>
        </w:rPr>
        <w:t>货币金额均为</w:t>
      </w:r>
      <w:r>
        <w:rPr>
          <w:rFonts w:hint="eastAsia" w:ascii="仿宋_GB2312" w:hAnsi="仿宋_GB2312" w:eastAsia="仿宋_GB2312" w:cs="仿宋_GB2312"/>
          <w:b/>
          <w:color w:val="FF0000"/>
          <w:sz w:val="32"/>
          <w:szCs w:val="32"/>
        </w:rPr>
        <w:t>千元，</w:t>
      </w:r>
      <w:r>
        <w:rPr>
          <w:rFonts w:hint="eastAsia" w:ascii="仿宋_GB2312" w:hAnsi="仿宋_GB2312" w:eastAsia="仿宋_GB2312" w:cs="仿宋_GB2312"/>
          <w:b w:val="0"/>
          <w:bCs/>
          <w:color w:val="FF0000"/>
          <w:sz w:val="32"/>
          <w:szCs w:val="32"/>
        </w:rPr>
        <w:t>与惯用的万元表或角分表区别较大，填报时务必准确转换计量单位。</w:t>
      </w:r>
      <w:r>
        <w:rPr>
          <w:rFonts w:hint="eastAsia" w:ascii="仿宋_GB2312" w:hAnsi="仿宋_GB2312" w:eastAsia="仿宋_GB2312" w:cs="仿宋_GB2312"/>
          <w:sz w:val="32"/>
          <w:szCs w:val="32"/>
        </w:rPr>
        <w:t>与此同时，油、气、大气污染物排放量等消费最指标单位分别是吨、万标立方米、干克等，要注意区分。</w:t>
      </w:r>
    </w:p>
    <w:p w14:paraId="0CC88123">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rPr>
        <w:t>需要特别提醒的是，</w:t>
      </w:r>
      <w:r>
        <w:rPr>
          <w:rFonts w:hint="eastAsia" w:ascii="仿宋_GB2312" w:hAnsi="仿宋_GB2312" w:eastAsia="仿宋_GB2312" w:cs="仿宋_GB2312"/>
          <w:sz w:val="32"/>
          <w:szCs w:val="32"/>
          <w:lang w:eastAsia="zh-CN"/>
        </w:rPr>
        <w:t>企业表</w:t>
      </w:r>
      <w:r>
        <w:rPr>
          <w:rFonts w:hint="eastAsia" w:ascii="仿宋_GB2312" w:hAnsi="仿宋_GB2312" w:eastAsia="仿宋_GB2312" w:cs="仿宋_GB2312"/>
          <w:sz w:val="32"/>
          <w:szCs w:val="32"/>
          <w:highlight w:val="yellow"/>
        </w:rPr>
        <w:t>电力消费量</w:t>
      </w:r>
      <w:r>
        <w:rPr>
          <w:rFonts w:hint="eastAsia" w:ascii="仿宋_GB2312" w:hAnsi="仿宋_GB2312" w:eastAsia="仿宋_GB2312" w:cs="仿宋_GB2312"/>
          <w:sz w:val="32"/>
          <w:szCs w:val="32"/>
        </w:rPr>
        <w:t>指标单位是万千瓦时，</w:t>
      </w:r>
      <w:r>
        <w:rPr>
          <w:rFonts w:hint="eastAsia" w:ascii="仿宋_GB2312" w:hAnsi="仿宋_GB2312" w:eastAsia="仿宋_GB2312" w:cs="仿宋_GB2312"/>
          <w:b/>
          <w:color w:val="FF0000"/>
          <w:sz w:val="32"/>
          <w:szCs w:val="32"/>
        </w:rPr>
        <w:t>一万千瓦时等于一万度，</w:t>
      </w:r>
      <w:r>
        <w:rPr>
          <w:rFonts w:hint="eastAsia" w:ascii="仿宋_GB2312" w:hAnsi="仿宋_GB2312" w:eastAsia="仿宋_GB2312" w:cs="仿宋_GB2312"/>
          <w:sz w:val="32"/>
          <w:szCs w:val="32"/>
        </w:rPr>
        <w:t>之所以使用“万千瓦时”，是因为如果使用“千瓦时”那么全省乃至全国汇总，数字位数过多，远远超出软件处理范围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yellow"/>
          <w:lang w:eastAsia="zh-CN"/>
        </w:rPr>
        <w:t>天然气消费量指标单位是万标立方米。</w:t>
      </w:r>
    </w:p>
    <w:p w14:paraId="64DD40C8">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yellow"/>
          <w:lang w:eastAsia="zh-CN"/>
        </w:rPr>
        <w:t>特别注意货物劳务表中</w:t>
      </w:r>
      <w:r>
        <w:rPr>
          <w:rFonts w:hint="eastAsia" w:ascii="仿宋_GB2312" w:hAnsi="仿宋_GB2312" w:eastAsia="仿宋_GB2312" w:cs="仿宋_GB2312"/>
          <w:sz w:val="32"/>
          <w:szCs w:val="32"/>
          <w:highlight w:val="none"/>
          <w:lang w:eastAsia="zh-CN"/>
        </w:rPr>
        <w:t>发电供电计量单位是：千千瓦时，燃气计量单位：千立方米。</w:t>
      </w:r>
    </w:p>
    <w:p w14:paraId="7DBC9B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另外除车船税、房产税、土地使用税、印花税、城市维护建设费和教育费附加的相关指标允许填1位小数外，其余不保留小数。</w:t>
      </w:r>
      <w:r>
        <w:rPr>
          <w:rFonts w:hint="eastAsia" w:ascii="仿宋_GB2312" w:hAnsi="仿宋_GB2312" w:eastAsia="仿宋_GB2312" w:cs="仿宋_GB2312"/>
          <w:color w:val="FF0000"/>
          <w:sz w:val="32"/>
          <w:szCs w:val="32"/>
        </w:rPr>
        <w:t>如果因为四舍五入数据无法写入，</w:t>
      </w:r>
      <w:r>
        <w:rPr>
          <w:rFonts w:hint="eastAsia" w:ascii="仿宋_GB2312" w:hAnsi="仿宋_GB2312" w:eastAsia="仿宋_GB2312" w:cs="仿宋_GB2312"/>
          <w:color w:val="FF0000"/>
          <w:sz w:val="32"/>
          <w:szCs w:val="32"/>
          <w:lang w:eastAsia="zh-CN"/>
        </w:rPr>
        <w:t>根据逻辑设定不足</w:t>
      </w:r>
      <w:r>
        <w:rPr>
          <w:rFonts w:hint="eastAsia" w:ascii="仿宋_GB2312" w:hAnsi="仿宋_GB2312" w:eastAsia="仿宋_GB2312" w:cs="仿宋_GB2312"/>
          <w:color w:val="FF0000"/>
          <w:sz w:val="32"/>
          <w:szCs w:val="32"/>
          <w:lang w:val="en-US" w:eastAsia="zh-CN"/>
        </w:rPr>
        <w:t>1但大于0的按1填写。</w:t>
      </w:r>
    </w:p>
    <w:p w14:paraId="42C2CB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rPr>
      </w:pPr>
    </w:p>
    <w:p w14:paraId="364B23A7">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700" w:leftChars="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指标填报</w:t>
      </w:r>
    </w:p>
    <w:p w14:paraId="555EEE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企业采集表指标不同颜色数据框的含义：</w:t>
      </w:r>
    </w:p>
    <w:p w14:paraId="68D742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白色：纳税人根据实际情况据实填报或修改数据（请特别注意不要漏填其中项）。</w:t>
      </w:r>
    </w:p>
    <w:p w14:paraId="15A631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绿色：无法修改，根据您所填写的信息表相关信息锁定。若需填写，请先修改信息表相关项。企业表指标与信息表有勾稽关系。</w:t>
      </w:r>
    </w:p>
    <w:p w14:paraId="25A34A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蓝色：计算项根据计算公式自动计算得出，无法修改。</w:t>
      </w:r>
      <w:r>
        <w:rPr>
          <w:rFonts w:hint="eastAsia" w:ascii="仿宋_GB2312" w:hAnsi="仿宋_GB2312" w:eastAsia="仿宋_GB2312" w:cs="仿宋_GB2312"/>
          <w:sz w:val="32"/>
          <w:szCs w:val="32"/>
        </w:rPr>
        <w:t>若数据有误，</w:t>
      </w:r>
      <w:r>
        <w:rPr>
          <w:rFonts w:hint="eastAsia" w:ascii="仿宋_GB2312" w:hAnsi="仿宋_GB2312" w:eastAsia="仿宋_GB2312" w:cs="仿宋_GB2312"/>
          <w:sz w:val="32"/>
          <w:szCs w:val="32"/>
          <w:lang w:eastAsia="zh-CN"/>
        </w:rPr>
        <w:t>修改对应指标或联系主管税务机关。</w:t>
      </w:r>
    </w:p>
    <w:p w14:paraId="2A95AC95">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方正楷体简体" w:hAnsi="方正楷体简体" w:eastAsia="方正楷体简体" w:cs="方正楷体简体"/>
          <w:b w:val="0"/>
          <w:bCs w:val="0"/>
          <w:sz w:val="32"/>
          <w:szCs w:val="32"/>
          <w:lang w:val="en-US" w:eastAsia="zh-CN"/>
        </w:rPr>
      </w:pPr>
      <w:r>
        <w:rPr>
          <w:rFonts w:hint="eastAsia" w:ascii="方正楷体简体" w:hAnsi="方正楷体简体" w:eastAsia="方正楷体简体" w:cs="方正楷体简体"/>
          <w:b w:val="0"/>
          <w:bCs w:val="0"/>
          <w:sz w:val="32"/>
          <w:szCs w:val="32"/>
          <w:lang w:val="en-US" w:eastAsia="zh-CN"/>
        </w:rPr>
        <w:t>（一）信息表的填报</w:t>
      </w:r>
    </w:p>
    <w:p w14:paraId="3BB32DC3">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信息表是填报企业表、货物劳务服务表，合理审核数据的基础，在下拉选项中选择时，一定选择</w:t>
      </w:r>
      <w:r>
        <w:rPr>
          <w:rFonts w:hint="eastAsia" w:ascii="仿宋_GB2312" w:hAnsi="仿宋_GB2312" w:eastAsia="仿宋_GB2312" w:cs="仿宋_GB2312"/>
          <w:sz w:val="32"/>
          <w:szCs w:val="32"/>
          <w:highlight w:val="yellow"/>
          <w:lang w:val="en-US" w:eastAsia="zh-CN"/>
        </w:rPr>
        <w:t>至最底层</w:t>
      </w:r>
      <w:r>
        <w:rPr>
          <w:rFonts w:hint="eastAsia" w:ascii="仿宋_GB2312" w:hAnsi="仿宋_GB2312" w:eastAsia="仿宋_GB2312" w:cs="仿宋_GB2312"/>
          <w:sz w:val="32"/>
          <w:szCs w:val="32"/>
          <w:lang w:val="en-US" w:eastAsia="zh-CN"/>
        </w:rPr>
        <w:t>（这里的最底层是指选到最细类最细项）。能够实现金三取数的指标都已经预填了，填报时需要注意以下几项：</w:t>
      </w:r>
    </w:p>
    <w:p w14:paraId="623B6D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1.信息表第5栏次“纳税人登记注册类型代码”:要按照工商行政管理机关核定的类型填写，注意其他有限责任公司和私营有限责任公司的区别。</w:t>
      </w:r>
      <w:r>
        <w:rPr>
          <w:rFonts w:hint="eastAsia" w:ascii="仿宋_GB2312" w:hAnsi="仿宋_GB2312" w:eastAsia="仿宋_GB2312" w:cs="仿宋_GB2312"/>
          <w:b/>
          <w:bCs/>
          <w:sz w:val="32"/>
          <w:szCs w:val="32"/>
          <w:lang w:val="en-US" w:eastAsia="zh-CN"/>
        </w:rPr>
        <w:t>企业登记注册类型为个人合伙企业，填写纳税人登记注册类型代码，应在代码为170（私营企业中）选择，</w:t>
      </w:r>
      <w:r>
        <w:rPr>
          <w:rFonts w:hint="eastAsia" w:ascii="仿宋_GB2312" w:hAnsi="仿宋_GB2312" w:eastAsia="仿宋_GB2312" w:cs="仿宋_GB2312"/>
          <w:sz w:val="32"/>
          <w:szCs w:val="32"/>
          <w:lang w:val="en-US" w:eastAsia="zh-CN"/>
        </w:rPr>
        <w:t>不能填400（个体经营）中的登记注册类型。</w:t>
      </w:r>
    </w:p>
    <w:p w14:paraId="0C7D7B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2.信息表第9栏次D列 “上市区域”：由注册类型为“161国有绝对控股上市企业” 、“162国有相对控股上市企业”或“163非国有控股上市公司”填写。信息表第9栏次H列“股票代码”由上年度12月31日以前沪市和深市上市的公司填写，股票代码直接选择或按照正确的代码输入即可，如无对应代码，可以选择代码999999。</w:t>
      </w:r>
    </w:p>
    <w:p w14:paraId="038C48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3.信息表第10栏次，所在地行政区划代码，四川参与税收调查的企业应填写四川省内的行政区划代码，应填写到区县一级代码。</w:t>
      </w:r>
    </w:p>
    <w:p w14:paraId="7EFEFF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4.信息表第12栏次“增值税优惠政策代码”，调查企业按照享受的增值税优惠政策选择填写，优惠政策可以多选。请注意“01000000</w:t>
      </w:r>
      <w:r>
        <w:rPr>
          <w:rFonts w:hint="eastAsia" w:ascii="仿宋_GB2312" w:hAnsi="仿宋_GB2312" w:eastAsia="仿宋_GB2312" w:cs="仿宋_GB2312"/>
          <w:color w:val="FF0000"/>
          <w:sz w:val="32"/>
          <w:szCs w:val="32"/>
          <w:lang w:val="en-US" w:eastAsia="zh-CN"/>
        </w:rPr>
        <w:t>不享受增值税优惠政策”</w:t>
      </w:r>
      <w:r>
        <w:rPr>
          <w:rFonts w:hint="eastAsia" w:ascii="仿宋_GB2312" w:hAnsi="仿宋_GB2312" w:eastAsia="仿宋_GB2312" w:cs="仿宋_GB2312"/>
          <w:sz w:val="32"/>
          <w:szCs w:val="32"/>
          <w:lang w:val="en-US" w:eastAsia="zh-CN"/>
        </w:rPr>
        <w:t>代码不应与</w:t>
      </w:r>
      <w:r>
        <w:rPr>
          <w:rFonts w:hint="eastAsia" w:ascii="仿宋_GB2312" w:hAnsi="仿宋_GB2312" w:eastAsia="仿宋_GB2312" w:cs="仿宋_GB2312"/>
          <w:color w:val="FF0000"/>
          <w:sz w:val="32"/>
          <w:szCs w:val="32"/>
          <w:lang w:val="en-US" w:eastAsia="zh-CN"/>
        </w:rPr>
        <w:t>优惠政策代</w:t>
      </w:r>
      <w:r>
        <w:rPr>
          <w:rFonts w:hint="eastAsia" w:ascii="仿宋_GB2312" w:hAnsi="仿宋_GB2312" w:eastAsia="仿宋_GB2312" w:cs="仿宋_GB2312"/>
          <w:sz w:val="32"/>
          <w:szCs w:val="32"/>
          <w:lang w:val="en-US" w:eastAsia="zh-CN"/>
        </w:rPr>
        <w:t>码同时选择填写。企业表第4、5、25、37行有数据，需要选择增值税优惠政策代码</w:t>
      </w:r>
    </w:p>
    <w:p w14:paraId="6355B97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5.信息表第16栏次“海关特殊监管区域和场所代码”：注意有的企业虽然有报关进出口业务但不一定在海关特殊监管区内，请按照填报说明据实填写。</w:t>
      </w:r>
    </w:p>
    <w:p w14:paraId="41EBB6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6.信息表第17-25栏次关于税种缴纳方式根据企业情况据实填写；第20-25栏次，如果企业表有相应数据。</w:t>
      </w:r>
    </w:p>
    <w:p w14:paraId="0EEE5F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7.信息表中第26栏次“是否编制现金流量表”：若选择不编制现金流量表，则可能导致留抵退税数据无法填报。请2023年实际收到增值税留抵退税的企业，选择编制现金流量表，并在相关报表填写现金流量表相关指标。</w:t>
      </w:r>
    </w:p>
    <w:p w14:paraId="2BD9D5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56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8.信息表中第28栏次、第36栏次关于“联系方式”、“填报人”和“负责人”信息的填报，一定要如实准确认真填报，请勿不填或填错。</w:t>
      </w:r>
    </w:p>
    <w:p w14:paraId="44042B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560" w:firstLineChars="0"/>
        <w:jc w:val="left"/>
        <w:textAlignment w:val="auto"/>
        <w:rPr>
          <w:rFonts w:hint="eastAsia" w:ascii="方正楷体简体" w:hAnsi="方正楷体简体" w:eastAsia="方正楷体简体" w:cs="方正楷体简体"/>
          <w:b w:val="0"/>
          <w:bCs w:val="0"/>
          <w:sz w:val="32"/>
          <w:szCs w:val="32"/>
          <w:lang w:val="en-US" w:eastAsia="zh-CN"/>
        </w:rPr>
      </w:pPr>
      <w:r>
        <w:rPr>
          <w:rFonts w:hint="eastAsia" w:ascii="方正楷体简体" w:hAnsi="方正楷体简体" w:eastAsia="方正楷体简体" w:cs="方正楷体简体"/>
          <w:b w:val="0"/>
          <w:bCs w:val="0"/>
          <w:sz w:val="32"/>
          <w:szCs w:val="32"/>
          <w:lang w:val="en-US" w:eastAsia="zh-CN"/>
        </w:rPr>
        <w:t>（二）调查问卷表</w:t>
      </w:r>
    </w:p>
    <w:p w14:paraId="1691AF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560" w:firstLineChars="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企业根据生产经营状况，按照调查问卷的指标内容进行客观填写。</w:t>
      </w:r>
    </w:p>
    <w:p w14:paraId="45961B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方正楷体简体" w:hAnsi="方正楷体简体" w:eastAsia="方正楷体简体" w:cs="方正楷体简体"/>
          <w:b w:val="0"/>
          <w:bCs w:val="0"/>
          <w:sz w:val="32"/>
          <w:szCs w:val="32"/>
          <w:lang w:val="en-US" w:eastAsia="zh-CN"/>
        </w:rPr>
        <w:t>（三）企业表填报</w:t>
      </w:r>
    </w:p>
    <w:p w14:paraId="4B2BF5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highlight w:val="none"/>
          <w:lang w:val="en-US" w:eastAsia="zh-CN"/>
        </w:rPr>
        <w:t>企业表各税费种指标，已经通过金三系统实现了自动预填，数据来源税费申报表，请逐条核实，不正确的数据可自行修改。</w:t>
      </w:r>
    </w:p>
    <w:p w14:paraId="7B1E7E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yellow"/>
          <w:lang w:eastAsia="zh-CN"/>
        </w:rPr>
        <w:t>数据采集中，有些指标当年发生额，只有几十元，几百元的，无法填写的，根据逻辑设定不足</w:t>
      </w:r>
      <w:r>
        <w:rPr>
          <w:rFonts w:hint="eastAsia" w:ascii="仿宋_GB2312" w:hAnsi="仿宋_GB2312" w:eastAsia="仿宋_GB2312" w:cs="仿宋_GB2312"/>
          <w:sz w:val="32"/>
          <w:szCs w:val="32"/>
          <w:highlight w:val="yellow"/>
          <w:lang w:val="en-US" w:eastAsia="zh-CN"/>
        </w:rPr>
        <w:t>1但大于0的按1填写。</w:t>
      </w:r>
    </w:p>
    <w:p w14:paraId="360515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1.增值税指标：填报企业表第4-5栏次“本年免税销售额、本年即征即退货物、劳务和应税服务销售额”时，该栏次只针对</w:t>
      </w:r>
      <w:r>
        <w:rPr>
          <w:rFonts w:hint="eastAsia" w:ascii="仿宋_GB2312" w:hAnsi="仿宋_GB2312" w:eastAsia="仿宋_GB2312" w:cs="仿宋_GB2312"/>
          <w:color w:val="FF0000"/>
          <w:sz w:val="32"/>
          <w:szCs w:val="32"/>
          <w:lang w:eastAsia="zh-CN"/>
        </w:rPr>
        <w:t>国</w:t>
      </w:r>
      <w:r>
        <w:rPr>
          <w:rFonts w:hint="eastAsia" w:ascii="仿宋_GB2312" w:hAnsi="仿宋_GB2312" w:eastAsia="仿宋_GB2312" w:cs="仿宋_GB2312"/>
          <w:color w:val="FF0000"/>
          <w:sz w:val="32"/>
          <w:szCs w:val="32"/>
        </w:rPr>
        <w:t>内销</w:t>
      </w:r>
      <w:r>
        <w:rPr>
          <w:rFonts w:hint="eastAsia" w:ascii="仿宋_GB2312" w:hAnsi="仿宋_GB2312" w:eastAsia="仿宋_GB2312" w:cs="仿宋_GB2312"/>
          <w:sz w:val="32"/>
          <w:szCs w:val="32"/>
        </w:rPr>
        <w:t>销售额，不包括出口免税销售额，并且只有在信息表第12栏次“增值税优惠政策代码”选择一项或多项相关优惠政策后才能填报；</w:t>
      </w:r>
    </w:p>
    <w:p w14:paraId="34BC7E5D">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企业表第</w:t>
      </w:r>
      <w:r>
        <w:rPr>
          <w:rFonts w:hint="eastAsia" w:ascii="仿宋_GB2312" w:hAnsi="仿宋_GB2312" w:eastAsia="仿宋_GB2312" w:cs="仿宋_GB2312"/>
          <w:sz w:val="32"/>
          <w:szCs w:val="32"/>
          <w:lang w:val="en-US" w:eastAsia="zh-CN"/>
        </w:rPr>
        <w:t>20栏次“</w:t>
      </w:r>
      <w:r>
        <w:rPr>
          <w:rFonts w:hint="eastAsia" w:ascii="仿宋_GB2312" w:hAnsi="仿宋_GB2312" w:eastAsia="仿宋_GB2312" w:cs="仿宋_GB2312"/>
          <w:i w:val="0"/>
          <w:iCs w:val="0"/>
          <w:caps w:val="0"/>
          <w:color w:val="FF0000"/>
          <w:spacing w:val="0"/>
          <w:sz w:val="32"/>
          <w:szCs w:val="32"/>
          <w:shd w:val="clear" w:color="auto" w:fill="auto"/>
        </w:rPr>
        <w:t>上年留抵税额</w:t>
      </w:r>
      <w:r>
        <w:rPr>
          <w:rFonts w:hint="eastAsia" w:ascii="仿宋_GB2312" w:hAnsi="仿宋_GB2312" w:eastAsia="仿宋_GB2312" w:cs="仿宋_GB2312"/>
          <w:i w:val="0"/>
          <w:iCs w:val="0"/>
          <w:caps w:val="0"/>
          <w:color w:val="auto"/>
          <w:spacing w:val="0"/>
          <w:sz w:val="32"/>
          <w:szCs w:val="32"/>
          <w:shd w:val="clear" w:color="auto" w:fill="auto"/>
          <w:lang w:eastAsia="zh-CN"/>
        </w:rPr>
        <w:t>”是指</w:t>
      </w:r>
      <w:r>
        <w:rPr>
          <w:rFonts w:hint="eastAsia" w:ascii="仿宋_GB2312" w:hAnsi="仿宋_GB2312" w:eastAsia="仿宋_GB2312" w:cs="仿宋_GB2312"/>
          <w:i w:val="0"/>
          <w:iCs w:val="0"/>
          <w:caps w:val="0"/>
          <w:color w:val="auto"/>
          <w:spacing w:val="0"/>
          <w:sz w:val="32"/>
          <w:szCs w:val="32"/>
          <w:shd w:val="clear" w:color="auto" w:fill="auto"/>
          <w:lang w:val="en-US" w:eastAsia="zh-CN"/>
        </w:rPr>
        <w:t>2022年年末留抵税额（2022年12月增值税申报表期末留抵税额）</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企业表第</w:t>
      </w: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栏次“本年已</w:t>
      </w:r>
      <w:r>
        <w:rPr>
          <w:rFonts w:hint="eastAsia" w:ascii="仿宋_GB2312" w:hAnsi="仿宋_GB2312" w:eastAsia="仿宋_GB2312" w:cs="仿宋_GB2312"/>
          <w:sz w:val="32"/>
          <w:szCs w:val="32"/>
          <w:lang w:eastAsia="zh-CN"/>
        </w:rPr>
        <w:t>缴</w:t>
      </w:r>
      <w:r>
        <w:rPr>
          <w:rFonts w:hint="eastAsia" w:ascii="仿宋_GB2312" w:hAnsi="仿宋_GB2312" w:eastAsia="仿宋_GB2312" w:cs="仿宋_GB2312"/>
          <w:sz w:val="32"/>
          <w:szCs w:val="32"/>
        </w:rPr>
        <w:t>税额”</w:t>
      </w:r>
      <w:r>
        <w:rPr>
          <w:rFonts w:hint="eastAsia" w:ascii="仿宋_GB2312" w:hAnsi="仿宋_GB2312" w:eastAsia="仿宋_GB2312" w:cs="仿宋_GB2312"/>
          <w:b/>
          <w:bCs/>
          <w:color w:val="FF0000"/>
          <w:sz w:val="32"/>
          <w:szCs w:val="32"/>
        </w:rPr>
        <w:t>不包含代扣代缴</w:t>
      </w:r>
      <w:r>
        <w:rPr>
          <w:rFonts w:hint="eastAsia" w:ascii="仿宋_GB2312" w:hAnsi="仿宋_GB2312" w:eastAsia="仿宋_GB2312" w:cs="仿宋_GB2312"/>
          <w:sz w:val="32"/>
          <w:szCs w:val="32"/>
        </w:rPr>
        <w:t>增值税额。所以在增值税应缴指标中，都不</w:t>
      </w:r>
      <w:r>
        <w:rPr>
          <w:rFonts w:hint="eastAsia" w:ascii="仿宋_GB2312" w:hAnsi="仿宋_GB2312" w:eastAsia="仿宋_GB2312" w:cs="仿宋_GB2312"/>
          <w:sz w:val="32"/>
          <w:szCs w:val="32"/>
          <w:lang w:eastAsia="zh-CN"/>
        </w:rPr>
        <w:t>应包括</w:t>
      </w:r>
      <w:r>
        <w:rPr>
          <w:rFonts w:hint="eastAsia" w:ascii="仿宋_GB2312" w:hAnsi="仿宋_GB2312" w:eastAsia="仿宋_GB2312" w:cs="仿宋_GB2312"/>
          <w:sz w:val="32"/>
          <w:szCs w:val="32"/>
        </w:rPr>
        <w:t>代扣代缴的税额。</w:t>
      </w:r>
      <w:r>
        <w:rPr>
          <w:rFonts w:hint="eastAsia" w:ascii="仿宋_GB2312" w:hAnsi="仿宋_GB2312" w:eastAsia="仿宋_GB2312" w:cs="仿宋_GB2312"/>
          <w:sz w:val="32"/>
          <w:szCs w:val="32"/>
          <w:lang w:eastAsia="zh-CN"/>
        </w:rPr>
        <w:t>企业</w:t>
      </w:r>
      <w:r>
        <w:rPr>
          <w:rFonts w:hint="eastAsia" w:ascii="仿宋_GB2312" w:hAnsi="仿宋_GB2312" w:eastAsia="仿宋_GB2312" w:cs="仿宋_GB2312"/>
          <w:color w:val="FF0000"/>
          <w:sz w:val="32"/>
          <w:szCs w:val="32"/>
          <w:lang w:eastAsia="zh-CN"/>
        </w:rPr>
        <w:t>本年加计抵减实际抵减额</w:t>
      </w:r>
      <w:r>
        <w:rPr>
          <w:rFonts w:hint="eastAsia" w:ascii="仿宋_GB2312" w:hAnsi="仿宋_GB2312" w:eastAsia="仿宋_GB2312" w:cs="仿宋_GB2312"/>
          <w:sz w:val="32"/>
          <w:szCs w:val="32"/>
          <w:lang w:eastAsia="zh-CN"/>
        </w:rPr>
        <w:t>填在</w:t>
      </w:r>
      <w:r>
        <w:rPr>
          <w:rFonts w:hint="eastAsia" w:ascii="仿宋_GB2312" w:hAnsi="仿宋_GB2312" w:eastAsia="仿宋_GB2312" w:cs="仿宋_GB2312"/>
          <w:sz w:val="32"/>
          <w:szCs w:val="32"/>
          <w:lang w:val="en-US" w:eastAsia="zh-CN"/>
        </w:rPr>
        <w:t>26行。</w:t>
      </w:r>
    </w:p>
    <w:p w14:paraId="2A5E30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出口退税指标：</w:t>
      </w:r>
      <w:r>
        <w:rPr>
          <w:rFonts w:hint="eastAsia" w:ascii="仿宋_GB2312" w:hAnsi="仿宋_GB2312" w:eastAsia="仿宋_GB2312" w:cs="仿宋_GB2312"/>
          <w:sz w:val="32"/>
          <w:szCs w:val="32"/>
          <w:lang w:eastAsia="zh-CN"/>
        </w:rPr>
        <w:t>涉及出口业务的企业，企业表</w:t>
      </w:r>
      <w:r>
        <w:rPr>
          <w:rFonts w:hint="eastAsia" w:ascii="仿宋_GB2312" w:hAnsi="仿宋_GB2312" w:eastAsia="仿宋_GB2312" w:cs="仿宋_GB2312"/>
          <w:i w:val="0"/>
          <w:iCs w:val="0"/>
          <w:caps w:val="0"/>
          <w:color w:val="auto"/>
          <w:spacing w:val="0"/>
          <w:sz w:val="32"/>
          <w:szCs w:val="32"/>
          <w:shd w:val="clear" w:color="auto" w:fill="auto"/>
          <w:lang w:val="en-US" w:eastAsia="zh-CN"/>
        </w:rPr>
        <w:t>38栏次，39栏次、41栏次、42栏次需要手动填写。</w:t>
      </w:r>
    </w:p>
    <w:p w14:paraId="15CA5C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企业表第4</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栏次“本年申报退（免）税的出口货物销售额”，是指扣减零税率销售额后的出口销售额。涉及企业退税或办理减免业务的，在填写相关指标时一般按正数填报。</w:t>
      </w:r>
    </w:p>
    <w:p w14:paraId="63DE9DB8">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3.消费税指标： 企业表第</w:t>
      </w:r>
      <w:r>
        <w:rPr>
          <w:rFonts w:hint="eastAsia" w:ascii="仿宋_GB2312" w:hAnsi="仿宋_GB2312" w:eastAsia="仿宋_GB2312" w:cs="仿宋_GB2312"/>
          <w:sz w:val="32"/>
          <w:szCs w:val="32"/>
          <w:lang w:val="en-US" w:eastAsia="zh-CN"/>
        </w:rPr>
        <w:t>82</w:t>
      </w:r>
      <w:r>
        <w:rPr>
          <w:rFonts w:hint="eastAsia" w:ascii="仿宋_GB2312" w:hAnsi="仿宋_GB2312" w:eastAsia="仿宋_GB2312" w:cs="仿宋_GB2312"/>
          <w:sz w:val="32"/>
          <w:szCs w:val="32"/>
        </w:rPr>
        <w:t>栏次“本年已退消费税额”需填写</w:t>
      </w:r>
      <w:r>
        <w:rPr>
          <w:rFonts w:hint="eastAsia" w:ascii="仿宋_GB2312" w:hAnsi="仿宋_GB2312" w:eastAsia="仿宋_GB2312" w:cs="仿宋_GB2312"/>
          <w:color w:val="auto"/>
          <w:sz w:val="32"/>
          <w:szCs w:val="32"/>
        </w:rPr>
        <w:t>纳税人本年内销货物实际收到的由税务机关审核并退还的税款。其中，“不是消费税纳税人，但存在消费税退</w:t>
      </w:r>
      <w:bookmarkStart w:id="0" w:name="_GoBack"/>
      <w:bookmarkEnd w:id="0"/>
      <w:r>
        <w:rPr>
          <w:rFonts w:hint="eastAsia" w:ascii="仿宋_GB2312" w:hAnsi="仿宋_GB2312" w:eastAsia="仿宋_GB2312" w:cs="仿宋_GB2312"/>
          <w:color w:val="auto"/>
          <w:sz w:val="32"/>
          <w:szCs w:val="32"/>
        </w:rPr>
        <w:t>税额”的情况仅适用利用石脑油、燃料油加工生产乙烯、芳烃类工业产品的企业。</w:t>
      </w:r>
    </w:p>
    <w:p w14:paraId="4CB06A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4.房产税指标：注意与企业表第</w:t>
      </w:r>
      <w:r>
        <w:rPr>
          <w:rFonts w:hint="eastAsia" w:ascii="仿宋_GB2312" w:hAnsi="仿宋_GB2312" w:eastAsia="仿宋_GB2312" w:cs="仿宋_GB2312"/>
          <w:sz w:val="32"/>
          <w:szCs w:val="32"/>
          <w:lang w:val="en-US" w:eastAsia="zh-CN"/>
        </w:rPr>
        <w:t>214</w:t>
      </w:r>
      <w:r>
        <w:rPr>
          <w:rFonts w:hint="eastAsia" w:ascii="仿宋_GB2312" w:hAnsi="仿宋_GB2312" w:eastAsia="仿宋_GB2312" w:cs="仿宋_GB2312"/>
          <w:sz w:val="32"/>
          <w:szCs w:val="32"/>
        </w:rPr>
        <w:t>栏次“税金及附加”之间的数据关联关系（房产税列入税金及附加项）。企业表第</w:t>
      </w:r>
      <w:r>
        <w:rPr>
          <w:rFonts w:hint="eastAsia" w:ascii="仿宋_GB2312" w:hAnsi="仿宋_GB2312" w:eastAsia="仿宋_GB2312" w:cs="仿宋_GB2312"/>
          <w:sz w:val="32"/>
          <w:szCs w:val="32"/>
          <w:lang w:val="en-US" w:eastAsia="zh-CN"/>
        </w:rPr>
        <w:t>84</w:t>
      </w:r>
      <w:r>
        <w:rPr>
          <w:rFonts w:hint="eastAsia" w:ascii="仿宋_GB2312" w:hAnsi="仿宋_GB2312" w:eastAsia="仿宋_GB2312" w:cs="仿宋_GB2312"/>
          <w:sz w:val="32"/>
          <w:szCs w:val="32"/>
        </w:rPr>
        <w:t>栏次“房产原值”按照申报表的房产原值填报。</w:t>
      </w:r>
      <w:r>
        <w:rPr>
          <w:rFonts w:hint="eastAsia" w:ascii="仿宋_GB2312" w:hAnsi="仿宋_GB2312" w:eastAsia="仿宋_GB2312" w:cs="仿宋_GB2312"/>
          <w:sz w:val="32"/>
          <w:szCs w:val="32"/>
          <w:lang w:val="en-US" w:eastAsia="zh-CN"/>
        </w:rPr>
        <w:t>从价计征房产税</w:t>
      </w:r>
      <w:r>
        <w:rPr>
          <w:rFonts w:hint="eastAsia" w:ascii="仿宋_GB2312" w:hAnsi="仿宋_GB2312" w:eastAsia="仿宋_GB2312" w:cs="仿宋_GB2312"/>
          <w:b/>
          <w:bCs/>
          <w:sz w:val="32"/>
          <w:szCs w:val="32"/>
          <w:lang w:val="en-US" w:eastAsia="zh-CN"/>
        </w:rPr>
        <w:t>计税比例</w:t>
      </w:r>
      <w:r>
        <w:rPr>
          <w:rFonts w:hint="eastAsia" w:ascii="仿宋_GB2312" w:hAnsi="仿宋_GB2312" w:eastAsia="仿宋_GB2312" w:cs="仿宋_GB2312"/>
          <w:sz w:val="32"/>
          <w:szCs w:val="32"/>
          <w:lang w:val="en-US" w:eastAsia="zh-CN"/>
        </w:rPr>
        <w:t>（企业表86栏）四川是按70%计征税额，因此此栏应填</w:t>
      </w:r>
      <w:r>
        <w:rPr>
          <w:rFonts w:hint="eastAsia" w:ascii="仿宋_GB2312" w:hAnsi="仿宋_GB2312" w:eastAsia="仿宋_GB2312" w:cs="仿宋_GB2312"/>
          <w:color w:val="FF0000"/>
          <w:sz w:val="32"/>
          <w:szCs w:val="32"/>
          <w:lang w:val="en-US" w:eastAsia="zh-CN"/>
        </w:rPr>
        <w:t>“70”。</w:t>
      </w:r>
    </w:p>
    <w:p w14:paraId="17C1BE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5.车船税指标:</w:t>
      </w:r>
      <w:r>
        <w:rPr>
          <w:rFonts w:hint="eastAsia" w:ascii="仿宋_GB2312" w:hAnsi="仿宋_GB2312" w:eastAsia="仿宋_GB2312" w:cs="仿宋_GB2312"/>
          <w:sz w:val="32"/>
          <w:szCs w:val="32"/>
          <w:lang w:val="en-US" w:eastAsia="zh-CN"/>
        </w:rPr>
        <w:t>107栏</w:t>
      </w:r>
      <w:r>
        <w:rPr>
          <w:rFonts w:hint="eastAsia" w:ascii="仿宋_GB2312" w:hAnsi="仿宋_GB2312" w:eastAsia="仿宋_GB2312" w:cs="仿宋_GB2312"/>
          <w:sz w:val="32"/>
          <w:szCs w:val="32"/>
        </w:rPr>
        <w:t>指标不含“代收（扣）代缴其他单位或个人的车船税额”；企业表第</w:t>
      </w:r>
      <w:r>
        <w:rPr>
          <w:rFonts w:hint="eastAsia" w:ascii="仿宋_GB2312" w:hAnsi="仿宋_GB2312" w:eastAsia="仿宋_GB2312" w:cs="仿宋_GB2312"/>
          <w:sz w:val="32"/>
          <w:szCs w:val="32"/>
          <w:lang w:val="en-US" w:eastAsia="zh-CN"/>
        </w:rPr>
        <w:t>108</w:t>
      </w:r>
      <w:r>
        <w:rPr>
          <w:rFonts w:hint="eastAsia" w:ascii="仿宋_GB2312" w:hAnsi="仿宋_GB2312" w:eastAsia="仿宋_GB2312" w:cs="仿宋_GB2312"/>
          <w:sz w:val="32"/>
          <w:szCs w:val="32"/>
        </w:rPr>
        <w:t>栏次“代收（扣）代缴车船税”仅限</w:t>
      </w:r>
      <w:r>
        <w:rPr>
          <w:rFonts w:hint="eastAsia" w:ascii="仿宋_GB2312" w:hAnsi="仿宋_GB2312" w:eastAsia="仿宋_GB2312" w:cs="仿宋_GB2312"/>
          <w:sz w:val="32"/>
          <w:szCs w:val="32"/>
          <w:lang w:eastAsia="zh-CN"/>
        </w:rPr>
        <w:t>代扣代缴车船税的</w:t>
      </w:r>
      <w:r>
        <w:rPr>
          <w:rFonts w:hint="eastAsia" w:ascii="仿宋_GB2312" w:hAnsi="仿宋_GB2312" w:eastAsia="仿宋_GB2312" w:cs="仿宋_GB2312"/>
          <w:sz w:val="32"/>
          <w:szCs w:val="32"/>
        </w:rPr>
        <w:t>保险公司等单位填写。</w:t>
      </w:r>
    </w:p>
    <w:p w14:paraId="7F3095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6.土地增值税指标： 注意企业表第</w:t>
      </w:r>
      <w:r>
        <w:rPr>
          <w:rFonts w:hint="eastAsia" w:ascii="仿宋_GB2312" w:hAnsi="仿宋_GB2312" w:eastAsia="仿宋_GB2312" w:cs="仿宋_GB2312"/>
          <w:color w:val="auto"/>
          <w:sz w:val="32"/>
          <w:szCs w:val="32"/>
          <w:lang w:val="en-US" w:eastAsia="zh-CN"/>
        </w:rPr>
        <w:t>119</w:t>
      </w:r>
      <w:r>
        <w:rPr>
          <w:rFonts w:hint="eastAsia" w:ascii="仿宋_GB2312" w:hAnsi="仿宋_GB2312" w:eastAsia="仿宋_GB2312" w:cs="仿宋_GB2312"/>
          <w:color w:val="auto"/>
          <w:sz w:val="32"/>
          <w:szCs w:val="32"/>
        </w:rPr>
        <w:t>栏次“财政部规定的其他扣除项目”仅限从事房地产开发业务的企业填写。</w:t>
      </w:r>
    </w:p>
    <w:p w14:paraId="13BBE0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7.其他税费指标：请注意以增值税（含企业表第</w:t>
      </w:r>
      <w:r>
        <w:rPr>
          <w:rFonts w:hint="eastAsia" w:ascii="仿宋_GB2312" w:hAnsi="仿宋_GB2312" w:eastAsia="仿宋_GB2312" w:cs="仿宋_GB2312"/>
          <w:sz w:val="32"/>
          <w:szCs w:val="32"/>
          <w:lang w:val="en-US" w:eastAsia="zh-CN"/>
        </w:rPr>
        <w:t>48</w:t>
      </w:r>
      <w:r>
        <w:rPr>
          <w:rFonts w:hint="eastAsia" w:ascii="仿宋_GB2312" w:hAnsi="仿宋_GB2312" w:eastAsia="仿宋_GB2312" w:cs="仿宋_GB2312"/>
          <w:sz w:val="32"/>
          <w:szCs w:val="32"/>
        </w:rPr>
        <w:t>栏次,本年实行“免、抵、退”办法出口货物劳务服务的应免抵税额）、消费税的税额合计数为基数正确填写城市维护建设税、教育费附加、地方教育费附加的应缴和已纳数额（增值税、消费税的税额合计数不为0时，城市维护建设、教育费附加、地方教育费附加的相关项也不应为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7537F4C">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企业表第</w:t>
      </w:r>
      <w:r>
        <w:rPr>
          <w:rFonts w:hint="eastAsia" w:ascii="仿宋_GB2312" w:hAnsi="仿宋_GB2312" w:eastAsia="仿宋_GB2312" w:cs="仿宋_GB2312"/>
          <w:sz w:val="32"/>
          <w:szCs w:val="32"/>
          <w:highlight w:val="none"/>
          <w:lang w:val="en-US" w:eastAsia="zh-CN"/>
        </w:rPr>
        <w:t>182</w:t>
      </w:r>
      <w:r>
        <w:rPr>
          <w:rFonts w:hint="eastAsia" w:ascii="仿宋_GB2312" w:hAnsi="仿宋_GB2312" w:eastAsia="仿宋_GB2312" w:cs="仿宋_GB2312"/>
          <w:sz w:val="32"/>
          <w:szCs w:val="32"/>
          <w:highlight w:val="none"/>
        </w:rPr>
        <w:t>栏次“本年已纳代扣代缴个人所得税”，注意与第3</w:t>
      </w:r>
      <w:r>
        <w:rPr>
          <w:rFonts w:hint="eastAsia" w:ascii="仿宋_GB2312" w:hAnsi="仿宋_GB2312" w:eastAsia="仿宋_GB2312" w:cs="仿宋_GB2312"/>
          <w:sz w:val="32"/>
          <w:szCs w:val="32"/>
          <w:highlight w:val="none"/>
          <w:lang w:val="en-US" w:eastAsia="zh-CN"/>
        </w:rPr>
        <w:t>85</w:t>
      </w:r>
      <w:r>
        <w:rPr>
          <w:rFonts w:hint="eastAsia" w:ascii="仿宋_GB2312" w:hAnsi="仿宋_GB2312" w:eastAsia="仿宋_GB2312" w:cs="仿宋_GB2312"/>
          <w:sz w:val="32"/>
          <w:szCs w:val="32"/>
          <w:highlight w:val="none"/>
        </w:rPr>
        <w:t>栏次“全年计提的工资及奖金总额”、第3</w:t>
      </w:r>
      <w:r>
        <w:rPr>
          <w:rFonts w:hint="eastAsia" w:ascii="仿宋_GB2312" w:hAnsi="仿宋_GB2312" w:eastAsia="仿宋_GB2312" w:cs="仿宋_GB2312"/>
          <w:sz w:val="32"/>
          <w:szCs w:val="32"/>
          <w:highlight w:val="none"/>
          <w:lang w:val="en-US" w:eastAsia="zh-CN"/>
        </w:rPr>
        <w:t>86</w:t>
      </w:r>
      <w:r>
        <w:rPr>
          <w:rFonts w:hint="eastAsia" w:ascii="仿宋_GB2312" w:hAnsi="仿宋_GB2312" w:eastAsia="仿宋_GB2312" w:cs="仿宋_GB2312"/>
          <w:sz w:val="32"/>
          <w:szCs w:val="32"/>
          <w:highlight w:val="none"/>
        </w:rPr>
        <w:t>栏次“年初职工人数”和第3</w:t>
      </w:r>
      <w:r>
        <w:rPr>
          <w:rFonts w:hint="eastAsia" w:ascii="仿宋_GB2312" w:hAnsi="仿宋_GB2312" w:eastAsia="仿宋_GB2312" w:cs="仿宋_GB2312"/>
          <w:sz w:val="32"/>
          <w:szCs w:val="32"/>
          <w:highlight w:val="none"/>
          <w:lang w:val="en-US" w:eastAsia="zh-CN"/>
        </w:rPr>
        <w:t>89</w:t>
      </w:r>
      <w:r>
        <w:rPr>
          <w:rFonts w:hint="eastAsia" w:ascii="仿宋_GB2312" w:hAnsi="仿宋_GB2312" w:eastAsia="仿宋_GB2312" w:cs="仿宋_GB2312"/>
          <w:sz w:val="32"/>
          <w:szCs w:val="32"/>
          <w:highlight w:val="none"/>
        </w:rPr>
        <w:t>栏次“年末职工人数”的逻辑关系。</w:t>
      </w:r>
    </w:p>
    <w:p w14:paraId="1B333628">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企业表第</w:t>
      </w:r>
      <w:r>
        <w:rPr>
          <w:rFonts w:hint="eastAsia" w:ascii="仿宋_GB2312" w:hAnsi="仿宋_GB2312" w:eastAsia="仿宋_GB2312" w:cs="仿宋_GB2312"/>
          <w:sz w:val="32"/>
          <w:szCs w:val="32"/>
          <w:lang w:val="en-US" w:eastAsia="zh-CN"/>
        </w:rPr>
        <w:t>188</w:t>
      </w:r>
      <w:r>
        <w:rPr>
          <w:rFonts w:hint="eastAsia" w:ascii="仿宋_GB2312" w:hAnsi="仿宋_GB2312" w:eastAsia="仿宋_GB2312" w:cs="仿宋_GB2312"/>
          <w:sz w:val="32"/>
          <w:szCs w:val="32"/>
        </w:rPr>
        <w:t>栏次“本年已纳印花税”请着重注意，勿漏填漏报。</w:t>
      </w:r>
    </w:p>
    <w:p w14:paraId="37C5A9E0">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8.企业所得税指标：按照上年度最新版本《中华人民共和国企业所得税年度纳税申报表》的对应项进行填报及审核的说明；注意一点，如果企业是</w:t>
      </w:r>
      <w:r>
        <w:rPr>
          <w:rFonts w:hint="eastAsia" w:ascii="仿宋_GB2312" w:hAnsi="仿宋_GB2312" w:eastAsia="仿宋_GB2312" w:cs="仿宋_GB2312"/>
          <w:sz w:val="32"/>
          <w:szCs w:val="32"/>
          <w:lang w:eastAsia="zh-CN"/>
        </w:rPr>
        <w:t>企业</w:t>
      </w:r>
      <w:r>
        <w:rPr>
          <w:rFonts w:hint="eastAsia" w:ascii="仿宋_GB2312" w:hAnsi="仿宋_GB2312" w:eastAsia="仿宋_GB2312" w:cs="仿宋_GB2312"/>
          <w:sz w:val="32"/>
          <w:szCs w:val="32"/>
        </w:rPr>
        <w:t>所得税纳税人，无论是何种缴纳方式，</w:t>
      </w:r>
      <w:r>
        <w:rPr>
          <w:rFonts w:hint="eastAsia" w:ascii="仿宋_GB2312" w:hAnsi="仿宋_GB2312" w:eastAsia="仿宋_GB2312" w:cs="仿宋_GB2312"/>
          <w:b/>
          <w:bCs/>
          <w:color w:val="FF0000"/>
          <w:sz w:val="32"/>
          <w:szCs w:val="32"/>
        </w:rPr>
        <w:t>企业表第2</w:t>
      </w:r>
      <w:r>
        <w:rPr>
          <w:rFonts w:hint="eastAsia" w:ascii="仿宋_GB2312" w:hAnsi="仿宋_GB2312" w:eastAsia="仿宋_GB2312" w:cs="仿宋_GB2312"/>
          <w:b/>
          <w:bCs/>
          <w:color w:val="FF0000"/>
          <w:sz w:val="32"/>
          <w:szCs w:val="32"/>
          <w:lang w:val="en-US" w:eastAsia="zh-CN"/>
        </w:rPr>
        <w:t>69</w:t>
      </w:r>
      <w:r>
        <w:rPr>
          <w:rFonts w:hint="eastAsia" w:ascii="仿宋_GB2312" w:hAnsi="仿宋_GB2312" w:eastAsia="仿宋_GB2312" w:cs="仿宋_GB2312"/>
          <w:b/>
          <w:bCs/>
          <w:color w:val="FF0000"/>
          <w:sz w:val="32"/>
          <w:szCs w:val="32"/>
        </w:rPr>
        <w:t>栏次“企业所得税纳税人就地实际缴纳所得税额”必须填报企业调查年度1月1日至12月31日以现金或银行结算实际缴纳的企业所得税额。</w:t>
      </w:r>
    </w:p>
    <w:p w14:paraId="7484AC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9.利润表指标：信息表第19栏次企业所得税缴纳方式选择</w:t>
      </w:r>
      <w:r>
        <w:rPr>
          <w:rFonts w:hint="eastAsia" w:ascii="仿宋_GB2312" w:hAnsi="仿宋_GB2312" w:eastAsia="仿宋_GB2312" w:cs="仿宋_GB2312"/>
          <w:sz w:val="32"/>
          <w:szCs w:val="32"/>
          <w:highlight w:val="yellow"/>
        </w:rPr>
        <w:t xml:space="preserve">1“依率计征并独立缴纳企业所得税的纳税人”， </w:t>
      </w:r>
      <w:r>
        <w:rPr>
          <w:rFonts w:hint="eastAsia" w:ascii="仿宋_GB2312" w:hAnsi="仿宋_GB2312" w:eastAsia="仿宋_GB2312" w:cs="仿宋_GB2312"/>
          <w:sz w:val="32"/>
          <w:szCs w:val="32"/>
        </w:rPr>
        <w:t>在填报对应企业所得税指标时，相关财务数据直接在利润表相应栏次中反映，一定要注意补充填写利润表其中项指标</w:t>
      </w:r>
      <w:r>
        <w:rPr>
          <w:rFonts w:hint="eastAsia" w:ascii="仿宋_GB2312" w:hAnsi="仿宋_GB2312" w:eastAsia="仿宋_GB2312" w:cs="仿宋_GB2312"/>
          <w:color w:val="FF0000"/>
          <w:sz w:val="32"/>
          <w:szCs w:val="32"/>
          <w:highlight w:val="yellow"/>
          <w:lang w:val="en-US" w:eastAsia="zh-CN"/>
        </w:rPr>
        <w:t>(即利润表中营业收入和营业成本标是从企业所得税指标中取得的)</w:t>
      </w:r>
      <w:r>
        <w:rPr>
          <w:rFonts w:hint="eastAsia" w:ascii="仿宋_GB2312" w:hAnsi="仿宋_GB2312" w:eastAsia="仿宋_GB2312" w:cs="仿宋_GB2312"/>
          <w:sz w:val="32"/>
          <w:szCs w:val="32"/>
        </w:rPr>
        <w:t>。特别说明，关于金融企业的利润表项目填写：其中企业的汇兑（净）收益合并填写在营业收入的主营业务收入项目，企业的投资收益、公允价值变动净收益、资产处置收益、其他收益等单独填报，不包含在营业收入项目；营业成本（支出）不含企业的业务及管理费、资产减值损失等项目，企业实际发生的销售、财务、管理费用项目、资产减值损失项目单独填报，其他成本及支出一并填报在“其他业务成本”项目。</w:t>
      </w:r>
    </w:p>
    <w:p w14:paraId="6BD9C0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10.资产负债表指标：企业表第</w:t>
      </w:r>
      <w:r>
        <w:rPr>
          <w:rFonts w:hint="eastAsia" w:ascii="仿宋_GB2312" w:hAnsi="仿宋_GB2312" w:eastAsia="仿宋_GB2312" w:cs="仿宋_GB2312"/>
          <w:sz w:val="32"/>
          <w:szCs w:val="32"/>
          <w:lang w:val="en-US" w:eastAsia="zh-CN"/>
        </w:rPr>
        <w:t>317</w:t>
      </w:r>
      <w:r>
        <w:rPr>
          <w:rFonts w:hint="eastAsia" w:ascii="仿宋_GB2312" w:hAnsi="仿宋_GB2312" w:eastAsia="仿宋_GB2312" w:cs="仿宋_GB2312"/>
          <w:sz w:val="32"/>
          <w:szCs w:val="32"/>
        </w:rPr>
        <w:t>栏次“固定资产年末数”，包含“年末固定资产净值”和在建工程，在填报时应考虑第1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大类中的“固定资产指标”的因素，固定资产类相关指标请认真填写；要注意“其中：企业表第</w:t>
      </w:r>
      <w:r>
        <w:rPr>
          <w:rFonts w:hint="eastAsia" w:ascii="仿宋_GB2312" w:hAnsi="仿宋_GB2312" w:eastAsia="仿宋_GB2312" w:cs="仿宋_GB2312"/>
          <w:sz w:val="32"/>
          <w:szCs w:val="32"/>
          <w:lang w:val="en-US" w:eastAsia="zh-CN"/>
        </w:rPr>
        <w:t>335</w:t>
      </w:r>
      <w:r>
        <w:rPr>
          <w:rFonts w:hint="eastAsia" w:ascii="仿宋_GB2312" w:hAnsi="仿宋_GB2312" w:eastAsia="仿宋_GB2312" w:cs="仿宋_GB2312"/>
          <w:sz w:val="32"/>
          <w:szCs w:val="32"/>
        </w:rPr>
        <w:t>栏次实收资本（股本）年末数”出现负数的情况，并加强对该情况的说明。</w:t>
      </w:r>
    </w:p>
    <w:p w14:paraId="1F64F6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color w:val="FF0000"/>
          <w:sz w:val="32"/>
          <w:szCs w:val="32"/>
          <w:highlight w:val="yellow"/>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highlight w:val="yellow"/>
        </w:rPr>
        <w:t>其他指标</w:t>
      </w:r>
      <w:r>
        <w:rPr>
          <w:rFonts w:hint="eastAsia" w:ascii="仿宋_GB2312" w:hAnsi="仿宋_GB2312" w:eastAsia="仿宋_GB2312" w:cs="仿宋_GB2312"/>
          <w:sz w:val="32"/>
          <w:szCs w:val="32"/>
          <w:highlight w:val="yellow"/>
          <w:lang w:val="en-US" w:eastAsia="zh-CN"/>
        </w:rPr>
        <w:t>350行-408行</w:t>
      </w:r>
      <w:r>
        <w:rPr>
          <w:rFonts w:hint="eastAsia" w:ascii="仿宋_GB2312" w:hAnsi="仿宋_GB2312" w:eastAsia="仿宋_GB2312" w:cs="仿宋_GB2312"/>
          <w:sz w:val="32"/>
          <w:szCs w:val="32"/>
          <w:highlight w:val="yellow"/>
          <w:lang w:eastAsia="zh-CN"/>
        </w:rPr>
        <w:t>（固定资产指标、</w:t>
      </w:r>
      <w:r>
        <w:rPr>
          <w:rFonts w:hint="eastAsia" w:ascii="仿宋_GB2312" w:hAnsi="仿宋_GB2312" w:eastAsia="仿宋_GB2312" w:cs="仿宋_GB2312"/>
          <w:sz w:val="32"/>
          <w:szCs w:val="32"/>
          <w:highlight w:val="yellow"/>
        </w:rPr>
        <w:t>外购非固定资产</w:t>
      </w:r>
      <w:r>
        <w:rPr>
          <w:rFonts w:hint="eastAsia" w:ascii="仿宋_GB2312" w:hAnsi="仿宋_GB2312" w:eastAsia="仿宋_GB2312" w:cs="仿宋_GB2312"/>
          <w:sz w:val="32"/>
          <w:szCs w:val="32"/>
          <w:highlight w:val="yellow"/>
          <w:lang w:eastAsia="zh-CN"/>
        </w:rPr>
        <w:t>货物</w:t>
      </w:r>
      <w:r>
        <w:rPr>
          <w:rFonts w:hint="eastAsia" w:ascii="仿宋_GB2312" w:hAnsi="仿宋_GB2312" w:eastAsia="仿宋_GB2312" w:cs="仿宋_GB2312"/>
          <w:sz w:val="32"/>
          <w:szCs w:val="32"/>
          <w:highlight w:val="yellow"/>
        </w:rPr>
        <w:t>劳务和服务</w:t>
      </w:r>
      <w:r>
        <w:rPr>
          <w:rFonts w:hint="eastAsia" w:ascii="仿宋_GB2312" w:hAnsi="仿宋_GB2312" w:eastAsia="仿宋_GB2312" w:cs="仿宋_GB2312"/>
          <w:sz w:val="32"/>
          <w:szCs w:val="32"/>
          <w:highlight w:val="yellow"/>
          <w:lang w:eastAsia="zh-CN"/>
        </w:rPr>
        <w:t>）：</w:t>
      </w:r>
      <w:r>
        <w:rPr>
          <w:rFonts w:hint="eastAsia" w:ascii="仿宋_GB2312" w:hAnsi="仿宋_GB2312" w:eastAsia="仿宋_GB2312" w:cs="仿宋_GB2312"/>
          <w:sz w:val="32"/>
          <w:szCs w:val="32"/>
          <w:highlight w:val="yellow"/>
          <w:lang w:val="en-US" w:eastAsia="zh-CN"/>
        </w:rPr>
        <w:t>固定资产指标、对外支付的非固定资产类的货物劳务和服务费用、其他指标（职工人数，水、电、气、油、煤炭能耗指标），一般情况下，所有企业都涉及有该指标，请据实填写，</w:t>
      </w:r>
      <w:r>
        <w:rPr>
          <w:rFonts w:hint="eastAsia" w:ascii="仿宋_GB2312" w:hAnsi="仿宋_GB2312" w:eastAsia="仿宋_GB2312" w:cs="仿宋_GB2312"/>
          <w:color w:val="FF0000"/>
          <w:sz w:val="32"/>
          <w:szCs w:val="32"/>
          <w:highlight w:val="yellow"/>
          <w:lang w:eastAsia="zh-CN"/>
        </w:rPr>
        <w:t>只有几十元，几百元的，无法填写的，根据逻辑设定不足1但大于0的按1填写</w:t>
      </w:r>
      <w:r>
        <w:rPr>
          <w:rFonts w:hint="eastAsia" w:ascii="仿宋_GB2312" w:hAnsi="仿宋_GB2312" w:eastAsia="仿宋_GB2312" w:cs="仿宋_GB2312"/>
          <w:color w:val="FF0000"/>
          <w:sz w:val="32"/>
          <w:szCs w:val="32"/>
          <w:highlight w:val="yellow"/>
          <w:lang w:val="en-US" w:eastAsia="zh-CN"/>
        </w:rPr>
        <w:t>。</w:t>
      </w:r>
    </w:p>
    <w:p w14:paraId="5DD7493B">
      <w:pPr>
        <w:pStyle w:val="2"/>
        <w:rPr>
          <w:rFonts w:hint="default"/>
          <w:b/>
          <w:bCs/>
          <w:color w:val="FF0000"/>
          <w:lang w:val="en-US" w:eastAsia="zh-CN"/>
        </w:rPr>
      </w:pPr>
      <w:r>
        <w:rPr>
          <w:rFonts w:hint="eastAsia" w:ascii="仿宋_GB2312" w:hAnsi="仿宋_GB2312" w:eastAsia="仿宋_GB2312" w:cs="仿宋_GB2312"/>
          <w:b/>
          <w:bCs/>
          <w:color w:val="FF0000"/>
          <w:sz w:val="32"/>
          <w:szCs w:val="32"/>
          <w:highlight w:val="none"/>
          <w:lang w:val="en-US" w:eastAsia="zh-CN"/>
        </w:rPr>
        <w:t>注意：生产企业本年度发生实际生产的企业，逻辑上应有职工人数，水、电、气、油、煤炭能耗指标，填写时已企业实际发生支出为准，无需纠结与企业账载数据和进项发票逻辑关系问题。</w:t>
      </w:r>
    </w:p>
    <w:p w14:paraId="7FAA963E">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企业表第</w:t>
      </w:r>
      <w:r>
        <w:rPr>
          <w:rFonts w:hint="eastAsia" w:ascii="仿宋_GB2312" w:hAnsi="仿宋_GB2312" w:eastAsia="仿宋_GB2312" w:cs="仿宋_GB2312"/>
          <w:sz w:val="32"/>
          <w:szCs w:val="32"/>
          <w:lang w:val="en-US" w:eastAsia="zh-CN"/>
        </w:rPr>
        <w:t>395</w:t>
      </w:r>
      <w:r>
        <w:rPr>
          <w:rFonts w:hint="eastAsia" w:ascii="仿宋_GB2312" w:hAnsi="仿宋_GB2312" w:eastAsia="仿宋_GB2312" w:cs="仿宋_GB2312"/>
          <w:sz w:val="32"/>
          <w:szCs w:val="32"/>
        </w:rPr>
        <w:t>栏次“本年企业增加值”应小于等于企业表第</w:t>
      </w:r>
      <w:r>
        <w:rPr>
          <w:rFonts w:hint="eastAsia" w:ascii="仿宋_GB2312" w:hAnsi="仿宋_GB2312" w:eastAsia="仿宋_GB2312" w:cs="仿宋_GB2312"/>
          <w:sz w:val="32"/>
          <w:szCs w:val="32"/>
          <w:lang w:val="en-US" w:eastAsia="zh-CN"/>
        </w:rPr>
        <w:t>394</w:t>
      </w:r>
      <w:r>
        <w:rPr>
          <w:rFonts w:hint="eastAsia" w:ascii="仿宋_GB2312" w:hAnsi="仿宋_GB2312" w:eastAsia="仿宋_GB2312" w:cs="仿宋_GB2312"/>
          <w:sz w:val="32"/>
          <w:szCs w:val="32"/>
        </w:rPr>
        <w:t>栏次“本年企业总产值”。</w:t>
      </w:r>
    </w:p>
    <w:p w14:paraId="3E9534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12.</w:t>
      </w:r>
      <w:r>
        <w:rPr>
          <w:rFonts w:hint="eastAsia" w:ascii="仿宋_GB2312" w:hAnsi="仿宋_GB2312" w:eastAsia="仿宋_GB2312" w:cs="仿宋_GB2312"/>
          <w:sz w:val="32"/>
          <w:szCs w:val="32"/>
        </w:rPr>
        <w:t>滞纳金、罚款统</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填写在企业表</w:t>
      </w:r>
      <w:r>
        <w:rPr>
          <w:rFonts w:hint="eastAsia" w:ascii="仿宋_GB2312" w:hAnsi="仿宋_GB2312" w:eastAsia="仿宋_GB2312" w:cs="仿宋_GB2312"/>
          <w:sz w:val="32"/>
          <w:szCs w:val="32"/>
          <w:lang w:val="en-US" w:eastAsia="zh-CN"/>
        </w:rPr>
        <w:t>210</w:t>
      </w:r>
      <w:r>
        <w:rPr>
          <w:rFonts w:hint="eastAsia" w:ascii="仿宋_GB2312" w:hAnsi="仿宋_GB2312" w:eastAsia="仿宋_GB2312" w:cs="仿宋_GB2312"/>
          <w:sz w:val="32"/>
          <w:szCs w:val="32"/>
        </w:rPr>
        <w:t>行 “本年已纳各种税费滞纳金及罚款”。</w:t>
      </w:r>
    </w:p>
    <w:p w14:paraId="22C89836">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方正楷体简体" w:hAnsi="方正楷体简体" w:eastAsia="方正楷体简体" w:cs="方正楷体简体"/>
          <w:sz w:val="32"/>
          <w:szCs w:val="32"/>
          <w:lang w:val="en-US" w:eastAsia="zh-CN"/>
        </w:rPr>
      </w:pPr>
      <w:r>
        <w:rPr>
          <w:rFonts w:hint="eastAsia" w:ascii="方正楷体简体" w:hAnsi="方正楷体简体" w:eastAsia="方正楷体简体" w:cs="方正楷体简体"/>
          <w:sz w:val="32"/>
          <w:szCs w:val="32"/>
          <w:lang w:val="en-US" w:eastAsia="zh-CN"/>
        </w:rPr>
        <w:t>（四）货物劳务服务表</w:t>
      </w:r>
    </w:p>
    <w:p w14:paraId="3178E0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*货物劳务服务表填写的前提条件</w:t>
      </w:r>
    </w:p>
    <w:p w14:paraId="1A16B0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只有信息表第3栏【企业规模】为“大型企业”或“中型企业”，且第4栏【国民经济行业类别代码】为“采矿业”、“制造业”、“电力、热力、燃气及水生产和供应业”、“信息传输、软件和信息技术服务业”或“科学研究和技术服务业”五个行业之一的纳税人，才需要填写货物劳务服务表。不满足前述条件的纳税人，申报界面不展示货物劳务服务表。</w:t>
      </w:r>
    </w:p>
    <w:p w14:paraId="59C1D3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lang w:val="en-US" w:eastAsia="zh-CN"/>
        </w:rPr>
        <w:drawing>
          <wp:inline distT="0" distB="0" distL="114300" distR="114300">
            <wp:extent cx="5274310" cy="2963545"/>
            <wp:effectExtent l="0" t="0" r="2540" b="8255"/>
            <wp:docPr id="13" name="图片 12" descr="货劳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货劳表"/>
                    <pic:cNvPicPr>
                      <a:picLocks noChangeAspect="1"/>
                    </pic:cNvPicPr>
                  </pic:nvPicPr>
                  <pic:blipFill>
                    <a:blip r:embed="rId15"/>
                    <a:stretch>
                      <a:fillRect/>
                    </a:stretch>
                  </pic:blipFill>
                  <pic:spPr>
                    <a:xfrm>
                      <a:off x="0" y="0"/>
                      <a:ext cx="5274310" cy="2963545"/>
                    </a:xfrm>
                    <a:prstGeom prst="rect">
                      <a:avLst/>
                    </a:prstGeom>
                    <a:noFill/>
                    <a:ln>
                      <a:noFill/>
                    </a:ln>
                  </pic:spPr>
                </pic:pic>
              </a:graphicData>
            </a:graphic>
          </wp:inline>
        </w:drawing>
      </w:r>
    </w:p>
    <w:p w14:paraId="64E3D8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货物劳务服务表填报的货物劳务服务收入，应该大于或等于企业表增值税计税收入合计数的80%，如果企业有多种产品，可以在代码表栏次单击箭头增加一行或者选中任一单元格，点击鼠标右键，选择“增加行”，</w:t>
      </w:r>
      <w:r>
        <w:rPr>
          <w:rFonts w:hint="eastAsia" w:ascii="仿宋_GB2312" w:hAnsi="仿宋_GB2312" w:eastAsia="仿宋_GB2312" w:cs="仿宋_GB2312"/>
          <w:color w:val="FF0000"/>
          <w:sz w:val="32"/>
          <w:szCs w:val="32"/>
          <w:lang w:val="en-US" w:eastAsia="zh-CN"/>
        </w:rPr>
        <w:t>不同税率的货物劳务要分别填写货物劳务服务代码。</w:t>
      </w:r>
    </w:p>
    <w:p w14:paraId="3C2D03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货物劳务服务表中的代码选择,要注意与信息表中的国民经济行业类别代码对应,从事多税目行业或兼营的除外；货物劳务服务代码不能涵盖所有的货物、劳务及服务，如果不能选到完全相符的代码，请尽量选择相对接近的产品代码。工业企业如果无法找到对应代码，可以选择“2702其它工业产品”；对代码的选择应选择到最小类，并注意填报“产品产量、销量和价格”一栏时要与前面的“计量单位”相对应。</w:t>
      </w:r>
    </w:p>
    <w:p w14:paraId="264B15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注意：有些产品是没有年初产品库存量，如电力供应的发电量。</w:t>
      </w:r>
    </w:p>
    <w:p w14:paraId="198B95DC">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3.产品代码选择为</w:t>
      </w:r>
      <w:r>
        <w:rPr>
          <w:rFonts w:hint="eastAsia" w:ascii="仿宋_GB2312" w:hAnsi="仿宋_GB2312" w:eastAsia="仿宋_GB2312" w:cs="仿宋_GB2312"/>
          <w:b/>
          <w:bCs/>
          <w:color w:val="FF0000"/>
          <w:sz w:val="32"/>
          <w:szCs w:val="32"/>
          <w:highlight w:val="none"/>
          <w:lang w:val="en-US" w:eastAsia="zh-CN"/>
        </w:rPr>
        <w:t>货物类</w:t>
      </w:r>
      <w:r>
        <w:rPr>
          <w:rFonts w:hint="eastAsia" w:ascii="仿宋_GB2312" w:hAnsi="仿宋_GB2312" w:eastAsia="仿宋_GB2312" w:cs="仿宋_GB2312"/>
          <w:sz w:val="32"/>
          <w:szCs w:val="32"/>
          <w:lang w:val="en-US" w:eastAsia="zh-CN"/>
        </w:rPr>
        <w:t>的企业，需填写货物劳务服务表“五、</w:t>
      </w:r>
      <w:r>
        <w:rPr>
          <w:rFonts w:hint="eastAsia" w:ascii="仿宋_GB2312" w:hAnsi="仿宋_GB2312" w:eastAsia="仿宋_GB2312" w:cs="仿宋_GB2312"/>
          <w:b/>
          <w:bCs/>
          <w:color w:val="FF0000"/>
          <w:sz w:val="32"/>
          <w:szCs w:val="32"/>
          <w:lang w:val="en-US" w:eastAsia="zh-CN"/>
        </w:rPr>
        <w:t>销售货物</w:t>
      </w:r>
      <w:r>
        <w:rPr>
          <w:rFonts w:hint="eastAsia" w:ascii="仿宋_GB2312" w:hAnsi="仿宋_GB2312" w:eastAsia="仿宋_GB2312" w:cs="仿宋_GB2312"/>
          <w:sz w:val="32"/>
          <w:szCs w:val="32"/>
          <w:lang w:val="en-US" w:eastAsia="zh-CN"/>
        </w:rPr>
        <w:t>取得的收入（31列）和成本指标（32列）”。</w:t>
      </w:r>
    </w:p>
    <w:p w14:paraId="03DA4408">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四、数据审核</w:t>
      </w:r>
    </w:p>
    <w:p w14:paraId="06C93DB5">
      <w:pPr>
        <w:keepNext w:val="0"/>
        <w:keepLines w:val="0"/>
        <w:pageBreakBefore w:val="0"/>
        <w:widowControl w:val="0"/>
        <w:kinsoku/>
        <w:wordWrap/>
        <w:overflowPunct/>
        <w:topLinePunct w:val="0"/>
        <w:autoSpaceDE/>
        <w:autoSpaceDN/>
        <w:bidi w:val="0"/>
        <w:adjustRightInd/>
        <w:snapToGrid/>
        <w:spacing w:line="240" w:lineRule="auto"/>
        <w:ind w:left="0" w:leftChars="0" w:firstLine="320" w:firstLineChars="1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待数据填报完毕后，点击“审核”按钮；如果审核不通过，会弹出审核结果对话框。选中对话框某一项后一般出现审核信息提示、审核公式、填写审核说明三个部分。如果指标漏填，审核提示有误，要根据审核提示，结合详细信息和企业实际情况，据实填写，如果金额为几十元，几百元的可以填1。</w:t>
      </w:r>
    </w:p>
    <w:p w14:paraId="633DAD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如果是数据指标填报了，审核提示有误，应结合审核提示和详细信息仔细修改调整相关指标，但如果企业实际情况确实如此，不需要修改数据，请填写审核说明，内容要准确详实，不能为了通过审核而随便填写审核说明。</w:t>
      </w:r>
    </w:p>
    <w:p w14:paraId="76FEC6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五、注意事项</w:t>
      </w:r>
    </w:p>
    <w:p w14:paraId="54BB79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独立核算的法人企业、非法人企业填写全部指标。非独立核算的非法人企业填写交纳的税费指标。</w:t>
      </w:r>
    </w:p>
    <w:p w14:paraId="045F27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1.</w:t>
      </w:r>
      <w:r>
        <w:rPr>
          <w:rFonts w:hint="eastAsia" w:ascii="仿宋_GB2312" w:hAnsi="仿宋_GB2312" w:eastAsia="仿宋_GB2312" w:cs="仿宋_GB2312"/>
          <w:sz w:val="32"/>
          <w:szCs w:val="32"/>
        </w:rPr>
        <w:t>总机构单独纳入调查时:按合并后的税收和财务数据填报。</w:t>
      </w:r>
    </w:p>
    <w:p w14:paraId="200F59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总、分机构同时列入调查范围时:总机构企业所得税指标、财务和其他成本费用指标按合并报表填写，其他税费指标按本级机构缴纳填报。</w:t>
      </w:r>
    </w:p>
    <w:p w14:paraId="77F97A6C">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分支机构只需填写本级，含三级机构缴纳的增值税、消费税等税收数据，就地缴纳的地方税指标和分摊的企业所得税。(如果三级机构也纳入调查范围，级分支机构要确保与纳入调查范围的三级机构填报的数据不重复。）</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SC">
    <w:altName w:val="宋体"/>
    <w:panose1 w:val="00000000000000000000"/>
    <w:charset w:val="00"/>
    <w:family w:val="auto"/>
    <w:pitch w:val="default"/>
    <w:sig w:usb0="00000000" w:usb1="00000000" w:usb2="00000010" w:usb3="00000000" w:csb0="0004009F" w:csb1="00000000"/>
  </w:font>
  <w:font w:name="方正小标宋简体">
    <w:altName w:val="黑体"/>
    <w:panose1 w:val="0201060103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方正楷体简体">
    <w:altName w:val="宋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744F0B"/>
    <w:multiLevelType w:val="multilevel"/>
    <w:tmpl w:val="2B744F0B"/>
    <w:lvl w:ilvl="0" w:tentative="0">
      <w:start w:val="1"/>
      <w:numFmt w:val="decimal"/>
      <w:lvlText w:val="%1."/>
      <w:lvlJc w:val="left"/>
      <w:pPr>
        <w:ind w:left="1081" w:hanging="440"/>
      </w:pPr>
      <w:rPr>
        <w:rFonts w:hint="eastAsia"/>
      </w:rPr>
    </w:lvl>
    <w:lvl w:ilvl="1" w:tentative="0">
      <w:start w:val="1"/>
      <w:numFmt w:val="lowerLetter"/>
      <w:lvlText w:val="%2)"/>
      <w:lvlJc w:val="left"/>
      <w:pPr>
        <w:ind w:left="1521" w:hanging="440"/>
      </w:pPr>
    </w:lvl>
    <w:lvl w:ilvl="2" w:tentative="0">
      <w:start w:val="1"/>
      <w:numFmt w:val="lowerRoman"/>
      <w:lvlText w:val="%3."/>
      <w:lvlJc w:val="right"/>
      <w:pPr>
        <w:ind w:left="1961" w:hanging="440"/>
      </w:pPr>
    </w:lvl>
    <w:lvl w:ilvl="3" w:tentative="0">
      <w:start w:val="1"/>
      <w:numFmt w:val="decimal"/>
      <w:lvlText w:val="%4."/>
      <w:lvlJc w:val="left"/>
      <w:pPr>
        <w:ind w:left="2401" w:hanging="440"/>
      </w:pPr>
    </w:lvl>
    <w:lvl w:ilvl="4" w:tentative="0">
      <w:start w:val="1"/>
      <w:numFmt w:val="lowerLetter"/>
      <w:lvlText w:val="%5)"/>
      <w:lvlJc w:val="left"/>
      <w:pPr>
        <w:ind w:left="2841" w:hanging="440"/>
      </w:pPr>
    </w:lvl>
    <w:lvl w:ilvl="5" w:tentative="0">
      <w:start w:val="1"/>
      <w:numFmt w:val="lowerRoman"/>
      <w:lvlText w:val="%6."/>
      <w:lvlJc w:val="right"/>
      <w:pPr>
        <w:ind w:left="3281" w:hanging="440"/>
      </w:pPr>
    </w:lvl>
    <w:lvl w:ilvl="6" w:tentative="0">
      <w:start w:val="1"/>
      <w:numFmt w:val="decimal"/>
      <w:lvlText w:val="%7."/>
      <w:lvlJc w:val="left"/>
      <w:pPr>
        <w:ind w:left="3721" w:hanging="440"/>
      </w:pPr>
    </w:lvl>
    <w:lvl w:ilvl="7" w:tentative="0">
      <w:start w:val="1"/>
      <w:numFmt w:val="lowerLetter"/>
      <w:lvlText w:val="%8)"/>
      <w:lvlJc w:val="left"/>
      <w:pPr>
        <w:ind w:left="4161" w:hanging="440"/>
      </w:pPr>
    </w:lvl>
    <w:lvl w:ilvl="8" w:tentative="0">
      <w:start w:val="1"/>
      <w:numFmt w:val="lowerRoman"/>
      <w:lvlText w:val="%9."/>
      <w:lvlJc w:val="right"/>
      <w:pPr>
        <w:ind w:left="4601" w:hanging="440"/>
      </w:pPr>
    </w:lvl>
  </w:abstractNum>
  <w:abstractNum w:abstractNumId="1">
    <w:nsid w:val="48A1F067"/>
    <w:multiLevelType w:val="singleLevel"/>
    <w:tmpl w:val="48A1F067"/>
    <w:lvl w:ilvl="0" w:tentative="0">
      <w:start w:val="2"/>
      <w:numFmt w:val="decimal"/>
      <w:suff w:val="nothing"/>
      <w:lvlText w:val="%1、"/>
      <w:lvlJc w:val="left"/>
    </w:lvl>
  </w:abstractNum>
  <w:abstractNum w:abstractNumId="2">
    <w:nsid w:val="691DB7DA"/>
    <w:multiLevelType w:val="singleLevel"/>
    <w:tmpl w:val="691DB7DA"/>
    <w:lvl w:ilvl="0" w:tentative="0">
      <w:start w:val="3"/>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AB35CD"/>
    <w:rsid w:val="00031DF5"/>
    <w:rsid w:val="000509AC"/>
    <w:rsid w:val="0039435B"/>
    <w:rsid w:val="003D0357"/>
    <w:rsid w:val="00645E72"/>
    <w:rsid w:val="006B03C9"/>
    <w:rsid w:val="00730659"/>
    <w:rsid w:val="007738D7"/>
    <w:rsid w:val="0081071A"/>
    <w:rsid w:val="00AF2C0E"/>
    <w:rsid w:val="00B54280"/>
    <w:rsid w:val="00CA4DAB"/>
    <w:rsid w:val="00DA61F9"/>
    <w:rsid w:val="00DF2AA2"/>
    <w:rsid w:val="0102439D"/>
    <w:rsid w:val="01252236"/>
    <w:rsid w:val="012E6824"/>
    <w:rsid w:val="013D565E"/>
    <w:rsid w:val="016321A4"/>
    <w:rsid w:val="018007C9"/>
    <w:rsid w:val="01847F1C"/>
    <w:rsid w:val="0193068D"/>
    <w:rsid w:val="020842F5"/>
    <w:rsid w:val="020D4D20"/>
    <w:rsid w:val="02233F62"/>
    <w:rsid w:val="023C77C9"/>
    <w:rsid w:val="02567D8A"/>
    <w:rsid w:val="0269396F"/>
    <w:rsid w:val="026E7A22"/>
    <w:rsid w:val="027A3941"/>
    <w:rsid w:val="028A5DE2"/>
    <w:rsid w:val="028B73B0"/>
    <w:rsid w:val="029C0CA7"/>
    <w:rsid w:val="029D0518"/>
    <w:rsid w:val="02A6112C"/>
    <w:rsid w:val="02C25D4B"/>
    <w:rsid w:val="02C862CC"/>
    <w:rsid w:val="02FB1468"/>
    <w:rsid w:val="030907F2"/>
    <w:rsid w:val="03422CAD"/>
    <w:rsid w:val="034A6A32"/>
    <w:rsid w:val="035120FC"/>
    <w:rsid w:val="036A25CD"/>
    <w:rsid w:val="036F2707"/>
    <w:rsid w:val="03A62BFD"/>
    <w:rsid w:val="03A63DA0"/>
    <w:rsid w:val="03BC4CD6"/>
    <w:rsid w:val="03CC006F"/>
    <w:rsid w:val="03DF0CDF"/>
    <w:rsid w:val="03DF60F9"/>
    <w:rsid w:val="03F65D5B"/>
    <w:rsid w:val="040C49BF"/>
    <w:rsid w:val="041F1858"/>
    <w:rsid w:val="0422396F"/>
    <w:rsid w:val="04295645"/>
    <w:rsid w:val="0431201D"/>
    <w:rsid w:val="047535DD"/>
    <w:rsid w:val="048536BE"/>
    <w:rsid w:val="04965A73"/>
    <w:rsid w:val="04E37D97"/>
    <w:rsid w:val="04F67F10"/>
    <w:rsid w:val="04FB5D9C"/>
    <w:rsid w:val="052558D8"/>
    <w:rsid w:val="055242AF"/>
    <w:rsid w:val="055830E1"/>
    <w:rsid w:val="056B3353"/>
    <w:rsid w:val="05783016"/>
    <w:rsid w:val="057941FE"/>
    <w:rsid w:val="05882ADC"/>
    <w:rsid w:val="0596285E"/>
    <w:rsid w:val="05E10624"/>
    <w:rsid w:val="05E12B67"/>
    <w:rsid w:val="05EE2ABE"/>
    <w:rsid w:val="060E565D"/>
    <w:rsid w:val="062F09FB"/>
    <w:rsid w:val="063657A1"/>
    <w:rsid w:val="063C3345"/>
    <w:rsid w:val="06497801"/>
    <w:rsid w:val="06534B0A"/>
    <w:rsid w:val="06580ECF"/>
    <w:rsid w:val="067247AE"/>
    <w:rsid w:val="068667B5"/>
    <w:rsid w:val="068A349F"/>
    <w:rsid w:val="06921ED1"/>
    <w:rsid w:val="0693505E"/>
    <w:rsid w:val="069910FA"/>
    <w:rsid w:val="069E3A84"/>
    <w:rsid w:val="06A43215"/>
    <w:rsid w:val="06B80F39"/>
    <w:rsid w:val="06CB492E"/>
    <w:rsid w:val="070277B7"/>
    <w:rsid w:val="07080935"/>
    <w:rsid w:val="076B3854"/>
    <w:rsid w:val="076B4FC1"/>
    <w:rsid w:val="07745BA6"/>
    <w:rsid w:val="078A542C"/>
    <w:rsid w:val="079645B2"/>
    <w:rsid w:val="079D3EDB"/>
    <w:rsid w:val="07B056E6"/>
    <w:rsid w:val="07C41F7A"/>
    <w:rsid w:val="07C862F7"/>
    <w:rsid w:val="07CD3AAD"/>
    <w:rsid w:val="07EE1588"/>
    <w:rsid w:val="07FC1DED"/>
    <w:rsid w:val="081F4103"/>
    <w:rsid w:val="0833337E"/>
    <w:rsid w:val="08473CDC"/>
    <w:rsid w:val="085518A9"/>
    <w:rsid w:val="08574506"/>
    <w:rsid w:val="0862315C"/>
    <w:rsid w:val="0883215E"/>
    <w:rsid w:val="08A11133"/>
    <w:rsid w:val="08D751A8"/>
    <w:rsid w:val="090F3CCE"/>
    <w:rsid w:val="092C24BB"/>
    <w:rsid w:val="093068F0"/>
    <w:rsid w:val="093625A9"/>
    <w:rsid w:val="093C618A"/>
    <w:rsid w:val="094A6DDD"/>
    <w:rsid w:val="096731DE"/>
    <w:rsid w:val="09A11644"/>
    <w:rsid w:val="09AD5603"/>
    <w:rsid w:val="09B834A0"/>
    <w:rsid w:val="09BF52E6"/>
    <w:rsid w:val="09D12C1E"/>
    <w:rsid w:val="09D44FEB"/>
    <w:rsid w:val="09E8129D"/>
    <w:rsid w:val="0A013297"/>
    <w:rsid w:val="0A2241F1"/>
    <w:rsid w:val="0A265033"/>
    <w:rsid w:val="0A2F6AE0"/>
    <w:rsid w:val="0A6F4524"/>
    <w:rsid w:val="0A712639"/>
    <w:rsid w:val="0AA56D34"/>
    <w:rsid w:val="0AB15D85"/>
    <w:rsid w:val="0AB175FB"/>
    <w:rsid w:val="0ABC0C67"/>
    <w:rsid w:val="0AC93C64"/>
    <w:rsid w:val="0ACB6187"/>
    <w:rsid w:val="0ADE021A"/>
    <w:rsid w:val="0AE2297C"/>
    <w:rsid w:val="0AE74B79"/>
    <w:rsid w:val="0B1A0B39"/>
    <w:rsid w:val="0B2879A6"/>
    <w:rsid w:val="0B297CEE"/>
    <w:rsid w:val="0B506B01"/>
    <w:rsid w:val="0B885FE1"/>
    <w:rsid w:val="0B93780D"/>
    <w:rsid w:val="0B96517C"/>
    <w:rsid w:val="0BB12FD9"/>
    <w:rsid w:val="0BCA137A"/>
    <w:rsid w:val="0BD648E6"/>
    <w:rsid w:val="0BE24538"/>
    <w:rsid w:val="0BF731DA"/>
    <w:rsid w:val="0C0D143A"/>
    <w:rsid w:val="0C105DBE"/>
    <w:rsid w:val="0C1346D0"/>
    <w:rsid w:val="0C495FC7"/>
    <w:rsid w:val="0C52254A"/>
    <w:rsid w:val="0C8949AA"/>
    <w:rsid w:val="0C955BFC"/>
    <w:rsid w:val="0C962F93"/>
    <w:rsid w:val="0C974B5A"/>
    <w:rsid w:val="0C9F107E"/>
    <w:rsid w:val="0CBD2BC0"/>
    <w:rsid w:val="0CC32FCA"/>
    <w:rsid w:val="0CFA081E"/>
    <w:rsid w:val="0D074CE9"/>
    <w:rsid w:val="0D1546B7"/>
    <w:rsid w:val="0D254FAD"/>
    <w:rsid w:val="0DB266F7"/>
    <w:rsid w:val="0DB564AA"/>
    <w:rsid w:val="0DB77726"/>
    <w:rsid w:val="0DBD7B23"/>
    <w:rsid w:val="0DD30300"/>
    <w:rsid w:val="0DDA7FE1"/>
    <w:rsid w:val="0DE5258A"/>
    <w:rsid w:val="0DED4CC2"/>
    <w:rsid w:val="0E034EF0"/>
    <w:rsid w:val="0E0713F0"/>
    <w:rsid w:val="0E367C84"/>
    <w:rsid w:val="0E393DFE"/>
    <w:rsid w:val="0E7F6616"/>
    <w:rsid w:val="0EAF2B99"/>
    <w:rsid w:val="0EB330E7"/>
    <w:rsid w:val="0EC85CEC"/>
    <w:rsid w:val="0EDC3C01"/>
    <w:rsid w:val="0EF21843"/>
    <w:rsid w:val="0EFB316C"/>
    <w:rsid w:val="0F1D6543"/>
    <w:rsid w:val="0F1F1EE4"/>
    <w:rsid w:val="0F425091"/>
    <w:rsid w:val="0F7E2FC5"/>
    <w:rsid w:val="0F8172F5"/>
    <w:rsid w:val="0F994BC8"/>
    <w:rsid w:val="0F9C4A70"/>
    <w:rsid w:val="0FB03696"/>
    <w:rsid w:val="0FD37CF3"/>
    <w:rsid w:val="0FE01CBE"/>
    <w:rsid w:val="0FE54220"/>
    <w:rsid w:val="0FE91D06"/>
    <w:rsid w:val="0FEA4BC8"/>
    <w:rsid w:val="0FF31667"/>
    <w:rsid w:val="10001A2A"/>
    <w:rsid w:val="100A2A18"/>
    <w:rsid w:val="10492436"/>
    <w:rsid w:val="10653C4F"/>
    <w:rsid w:val="107A0DA0"/>
    <w:rsid w:val="10847916"/>
    <w:rsid w:val="10853D8F"/>
    <w:rsid w:val="108C5CC2"/>
    <w:rsid w:val="10AC1920"/>
    <w:rsid w:val="10BD1A72"/>
    <w:rsid w:val="10CB05A0"/>
    <w:rsid w:val="10EC72D5"/>
    <w:rsid w:val="10F85682"/>
    <w:rsid w:val="112754D8"/>
    <w:rsid w:val="113B67A3"/>
    <w:rsid w:val="11480CB4"/>
    <w:rsid w:val="114F7C6B"/>
    <w:rsid w:val="119C4B74"/>
    <w:rsid w:val="11C3152C"/>
    <w:rsid w:val="11C4257F"/>
    <w:rsid w:val="11D12504"/>
    <w:rsid w:val="11D234CE"/>
    <w:rsid w:val="11F518AA"/>
    <w:rsid w:val="12007DFC"/>
    <w:rsid w:val="12103402"/>
    <w:rsid w:val="12474370"/>
    <w:rsid w:val="124B308B"/>
    <w:rsid w:val="12501EE0"/>
    <w:rsid w:val="12503769"/>
    <w:rsid w:val="125F1607"/>
    <w:rsid w:val="127040BD"/>
    <w:rsid w:val="12767B6D"/>
    <w:rsid w:val="127D2246"/>
    <w:rsid w:val="127E1758"/>
    <w:rsid w:val="128875D4"/>
    <w:rsid w:val="128E1C63"/>
    <w:rsid w:val="12930C3E"/>
    <w:rsid w:val="12D60A4F"/>
    <w:rsid w:val="12F478B5"/>
    <w:rsid w:val="12F93F63"/>
    <w:rsid w:val="133723E7"/>
    <w:rsid w:val="133F3F2B"/>
    <w:rsid w:val="13632E5C"/>
    <w:rsid w:val="136B7DBB"/>
    <w:rsid w:val="136E738E"/>
    <w:rsid w:val="1377007D"/>
    <w:rsid w:val="137B01FF"/>
    <w:rsid w:val="1383280B"/>
    <w:rsid w:val="139E44DB"/>
    <w:rsid w:val="13C756E5"/>
    <w:rsid w:val="13D12844"/>
    <w:rsid w:val="14080E37"/>
    <w:rsid w:val="140A0C74"/>
    <w:rsid w:val="14256BB5"/>
    <w:rsid w:val="14462138"/>
    <w:rsid w:val="144937AF"/>
    <w:rsid w:val="14563581"/>
    <w:rsid w:val="145F7078"/>
    <w:rsid w:val="14756331"/>
    <w:rsid w:val="14767AA5"/>
    <w:rsid w:val="14972FD7"/>
    <w:rsid w:val="14AB6528"/>
    <w:rsid w:val="14CE6961"/>
    <w:rsid w:val="14CF7965"/>
    <w:rsid w:val="14D5197D"/>
    <w:rsid w:val="14E274CF"/>
    <w:rsid w:val="15073101"/>
    <w:rsid w:val="151112D2"/>
    <w:rsid w:val="1525160F"/>
    <w:rsid w:val="15412175"/>
    <w:rsid w:val="15562F69"/>
    <w:rsid w:val="155D69EF"/>
    <w:rsid w:val="156557F2"/>
    <w:rsid w:val="15CC3761"/>
    <w:rsid w:val="15CC3D75"/>
    <w:rsid w:val="15D1485A"/>
    <w:rsid w:val="15EF08C1"/>
    <w:rsid w:val="15EF7C1F"/>
    <w:rsid w:val="160203AD"/>
    <w:rsid w:val="1605634E"/>
    <w:rsid w:val="163D3844"/>
    <w:rsid w:val="16626832"/>
    <w:rsid w:val="16642819"/>
    <w:rsid w:val="166C5076"/>
    <w:rsid w:val="168464F8"/>
    <w:rsid w:val="16BD74F3"/>
    <w:rsid w:val="16C67669"/>
    <w:rsid w:val="16FB0A3F"/>
    <w:rsid w:val="171A1186"/>
    <w:rsid w:val="17250D07"/>
    <w:rsid w:val="174C4BF0"/>
    <w:rsid w:val="1788762B"/>
    <w:rsid w:val="179B4762"/>
    <w:rsid w:val="180A0149"/>
    <w:rsid w:val="180F40C5"/>
    <w:rsid w:val="185316FA"/>
    <w:rsid w:val="1886355A"/>
    <w:rsid w:val="18985DAF"/>
    <w:rsid w:val="18AF6B80"/>
    <w:rsid w:val="18BF0453"/>
    <w:rsid w:val="18D003B5"/>
    <w:rsid w:val="18D16AF7"/>
    <w:rsid w:val="18E81311"/>
    <w:rsid w:val="18EB76AC"/>
    <w:rsid w:val="18F45E1E"/>
    <w:rsid w:val="19516188"/>
    <w:rsid w:val="197F4AA4"/>
    <w:rsid w:val="198E092B"/>
    <w:rsid w:val="199F6B91"/>
    <w:rsid w:val="19C34159"/>
    <w:rsid w:val="19C74065"/>
    <w:rsid w:val="19EF74F6"/>
    <w:rsid w:val="1A096701"/>
    <w:rsid w:val="1A0C6249"/>
    <w:rsid w:val="1A154ACD"/>
    <w:rsid w:val="1A1D1586"/>
    <w:rsid w:val="1A6C5605"/>
    <w:rsid w:val="1A7C4E65"/>
    <w:rsid w:val="1AAA2B81"/>
    <w:rsid w:val="1AAB21C2"/>
    <w:rsid w:val="1AC97A72"/>
    <w:rsid w:val="1AF804BB"/>
    <w:rsid w:val="1AFB7507"/>
    <w:rsid w:val="1B0310C0"/>
    <w:rsid w:val="1B112BAA"/>
    <w:rsid w:val="1B3351BE"/>
    <w:rsid w:val="1B376F5E"/>
    <w:rsid w:val="1B41405D"/>
    <w:rsid w:val="1B4A07F6"/>
    <w:rsid w:val="1B5447E4"/>
    <w:rsid w:val="1B6B214C"/>
    <w:rsid w:val="1B6C0A05"/>
    <w:rsid w:val="1B734EC1"/>
    <w:rsid w:val="1B750355"/>
    <w:rsid w:val="1B806271"/>
    <w:rsid w:val="1B9D1000"/>
    <w:rsid w:val="1BAC5AFC"/>
    <w:rsid w:val="1BD0512F"/>
    <w:rsid w:val="1BD262A0"/>
    <w:rsid w:val="1BE53B90"/>
    <w:rsid w:val="1BF820F0"/>
    <w:rsid w:val="1C11565C"/>
    <w:rsid w:val="1C1974F2"/>
    <w:rsid w:val="1C366B40"/>
    <w:rsid w:val="1CB9035A"/>
    <w:rsid w:val="1CDF3E72"/>
    <w:rsid w:val="1CEA739D"/>
    <w:rsid w:val="1D0A7410"/>
    <w:rsid w:val="1D265841"/>
    <w:rsid w:val="1D532BD2"/>
    <w:rsid w:val="1D811030"/>
    <w:rsid w:val="1D8B36C9"/>
    <w:rsid w:val="1D8D2108"/>
    <w:rsid w:val="1D9C0712"/>
    <w:rsid w:val="1D9C5FAC"/>
    <w:rsid w:val="1DAC24B6"/>
    <w:rsid w:val="1DAF3628"/>
    <w:rsid w:val="1DD06FDB"/>
    <w:rsid w:val="1DE47FC7"/>
    <w:rsid w:val="1DE932C9"/>
    <w:rsid w:val="1DEA6B59"/>
    <w:rsid w:val="1E286E34"/>
    <w:rsid w:val="1E4767B7"/>
    <w:rsid w:val="1E520881"/>
    <w:rsid w:val="1E7549BA"/>
    <w:rsid w:val="1E86349B"/>
    <w:rsid w:val="1ED54C28"/>
    <w:rsid w:val="1ED64B44"/>
    <w:rsid w:val="1EED196A"/>
    <w:rsid w:val="1F0B4F3F"/>
    <w:rsid w:val="1F0C017C"/>
    <w:rsid w:val="1F3D6C98"/>
    <w:rsid w:val="1F765460"/>
    <w:rsid w:val="1FB957AA"/>
    <w:rsid w:val="1FC424AE"/>
    <w:rsid w:val="1FE8398E"/>
    <w:rsid w:val="200779CC"/>
    <w:rsid w:val="2013268B"/>
    <w:rsid w:val="20282519"/>
    <w:rsid w:val="20360B1B"/>
    <w:rsid w:val="203B329E"/>
    <w:rsid w:val="203B799D"/>
    <w:rsid w:val="2044446A"/>
    <w:rsid w:val="204C09BE"/>
    <w:rsid w:val="20660D7D"/>
    <w:rsid w:val="20672A10"/>
    <w:rsid w:val="207F0390"/>
    <w:rsid w:val="20DC0139"/>
    <w:rsid w:val="212646DD"/>
    <w:rsid w:val="21527EED"/>
    <w:rsid w:val="215F6E33"/>
    <w:rsid w:val="21662F9C"/>
    <w:rsid w:val="219072EC"/>
    <w:rsid w:val="21A90A81"/>
    <w:rsid w:val="21BB203B"/>
    <w:rsid w:val="22025BD3"/>
    <w:rsid w:val="22163B60"/>
    <w:rsid w:val="22283797"/>
    <w:rsid w:val="225B4ECA"/>
    <w:rsid w:val="22795618"/>
    <w:rsid w:val="228342B4"/>
    <w:rsid w:val="228434F9"/>
    <w:rsid w:val="229B4C34"/>
    <w:rsid w:val="229D6905"/>
    <w:rsid w:val="22C0245A"/>
    <w:rsid w:val="22C90759"/>
    <w:rsid w:val="230507A3"/>
    <w:rsid w:val="2312471E"/>
    <w:rsid w:val="232F4DA9"/>
    <w:rsid w:val="233E6469"/>
    <w:rsid w:val="2351334F"/>
    <w:rsid w:val="235B5579"/>
    <w:rsid w:val="235D2C88"/>
    <w:rsid w:val="236765A5"/>
    <w:rsid w:val="23874671"/>
    <w:rsid w:val="23B0492B"/>
    <w:rsid w:val="23C5117D"/>
    <w:rsid w:val="23EC7B24"/>
    <w:rsid w:val="240B59CA"/>
    <w:rsid w:val="242921F7"/>
    <w:rsid w:val="24375DF1"/>
    <w:rsid w:val="24803C2A"/>
    <w:rsid w:val="248221BA"/>
    <w:rsid w:val="248F2D95"/>
    <w:rsid w:val="24904FB6"/>
    <w:rsid w:val="24A37D2C"/>
    <w:rsid w:val="24C95CB1"/>
    <w:rsid w:val="24CA2D06"/>
    <w:rsid w:val="24E402EC"/>
    <w:rsid w:val="24EB0E6A"/>
    <w:rsid w:val="24F903B5"/>
    <w:rsid w:val="251A3BE1"/>
    <w:rsid w:val="2559715B"/>
    <w:rsid w:val="255C0B10"/>
    <w:rsid w:val="255D1DB0"/>
    <w:rsid w:val="255D2D60"/>
    <w:rsid w:val="25804206"/>
    <w:rsid w:val="258E226D"/>
    <w:rsid w:val="25C801DB"/>
    <w:rsid w:val="25CD2CC7"/>
    <w:rsid w:val="25DA1266"/>
    <w:rsid w:val="25E10275"/>
    <w:rsid w:val="25E65ACF"/>
    <w:rsid w:val="25F73618"/>
    <w:rsid w:val="25FB5F90"/>
    <w:rsid w:val="260530FF"/>
    <w:rsid w:val="26101B9B"/>
    <w:rsid w:val="2618701F"/>
    <w:rsid w:val="261C5C84"/>
    <w:rsid w:val="262B121D"/>
    <w:rsid w:val="262D6B46"/>
    <w:rsid w:val="26357498"/>
    <w:rsid w:val="265B7E00"/>
    <w:rsid w:val="26675949"/>
    <w:rsid w:val="267665DE"/>
    <w:rsid w:val="26C445A6"/>
    <w:rsid w:val="26C61C4E"/>
    <w:rsid w:val="26D31F79"/>
    <w:rsid w:val="27063807"/>
    <w:rsid w:val="27080469"/>
    <w:rsid w:val="2716467E"/>
    <w:rsid w:val="272204FB"/>
    <w:rsid w:val="27732C9B"/>
    <w:rsid w:val="278B60F5"/>
    <w:rsid w:val="27B97EA8"/>
    <w:rsid w:val="27CA7293"/>
    <w:rsid w:val="27D45B82"/>
    <w:rsid w:val="283C0579"/>
    <w:rsid w:val="284D6113"/>
    <w:rsid w:val="28504273"/>
    <w:rsid w:val="2872437D"/>
    <w:rsid w:val="288309B4"/>
    <w:rsid w:val="28877645"/>
    <w:rsid w:val="28976781"/>
    <w:rsid w:val="28C26D19"/>
    <w:rsid w:val="28E91441"/>
    <w:rsid w:val="28FE4885"/>
    <w:rsid w:val="28FF5E81"/>
    <w:rsid w:val="291F0EED"/>
    <w:rsid w:val="2942419D"/>
    <w:rsid w:val="29487915"/>
    <w:rsid w:val="294D1F7C"/>
    <w:rsid w:val="29541463"/>
    <w:rsid w:val="295D7D8F"/>
    <w:rsid w:val="297A0AE4"/>
    <w:rsid w:val="298E5EDE"/>
    <w:rsid w:val="29A14269"/>
    <w:rsid w:val="29B55418"/>
    <w:rsid w:val="29B67E88"/>
    <w:rsid w:val="29BD7C9D"/>
    <w:rsid w:val="29CC4522"/>
    <w:rsid w:val="29DA43DB"/>
    <w:rsid w:val="29DC01DF"/>
    <w:rsid w:val="2A5A702B"/>
    <w:rsid w:val="2A5F36B8"/>
    <w:rsid w:val="2A62635F"/>
    <w:rsid w:val="2A7C4B23"/>
    <w:rsid w:val="2AB8492B"/>
    <w:rsid w:val="2AF67324"/>
    <w:rsid w:val="2B1E2486"/>
    <w:rsid w:val="2B29490B"/>
    <w:rsid w:val="2B3472B5"/>
    <w:rsid w:val="2B363B78"/>
    <w:rsid w:val="2B383D3E"/>
    <w:rsid w:val="2B4108C1"/>
    <w:rsid w:val="2BAA5E80"/>
    <w:rsid w:val="2BB35EA9"/>
    <w:rsid w:val="2BC01187"/>
    <w:rsid w:val="2BCB350A"/>
    <w:rsid w:val="2BDF30D9"/>
    <w:rsid w:val="2BEE73FC"/>
    <w:rsid w:val="2BFF0D28"/>
    <w:rsid w:val="2C3505DE"/>
    <w:rsid w:val="2C480333"/>
    <w:rsid w:val="2C4B4BD6"/>
    <w:rsid w:val="2C6935F7"/>
    <w:rsid w:val="2C951310"/>
    <w:rsid w:val="2CAA5140"/>
    <w:rsid w:val="2CBD1E69"/>
    <w:rsid w:val="2CC2682A"/>
    <w:rsid w:val="2CF3134B"/>
    <w:rsid w:val="2D134C8C"/>
    <w:rsid w:val="2D222F92"/>
    <w:rsid w:val="2D2F7C42"/>
    <w:rsid w:val="2D3125A9"/>
    <w:rsid w:val="2D3B7BCE"/>
    <w:rsid w:val="2D464E02"/>
    <w:rsid w:val="2D4E15ED"/>
    <w:rsid w:val="2D6179C0"/>
    <w:rsid w:val="2D7815AD"/>
    <w:rsid w:val="2D7D129E"/>
    <w:rsid w:val="2DAC7062"/>
    <w:rsid w:val="2DC02C34"/>
    <w:rsid w:val="2DC31527"/>
    <w:rsid w:val="2DDE7443"/>
    <w:rsid w:val="2DED3DB8"/>
    <w:rsid w:val="2DF57373"/>
    <w:rsid w:val="2E115ADC"/>
    <w:rsid w:val="2E225B06"/>
    <w:rsid w:val="2E4929E8"/>
    <w:rsid w:val="2E703854"/>
    <w:rsid w:val="2E742662"/>
    <w:rsid w:val="2E887E8A"/>
    <w:rsid w:val="2EB06B2E"/>
    <w:rsid w:val="2EB81DB4"/>
    <w:rsid w:val="2EC01550"/>
    <w:rsid w:val="2EC32E5D"/>
    <w:rsid w:val="2EEA1F25"/>
    <w:rsid w:val="2EFE61E8"/>
    <w:rsid w:val="2F176241"/>
    <w:rsid w:val="2F1A7465"/>
    <w:rsid w:val="2F3925C0"/>
    <w:rsid w:val="2F5D5C09"/>
    <w:rsid w:val="2F6D737B"/>
    <w:rsid w:val="2F83599D"/>
    <w:rsid w:val="2FA24FE9"/>
    <w:rsid w:val="2FC238F9"/>
    <w:rsid w:val="2FC538EF"/>
    <w:rsid w:val="2FDA6DEF"/>
    <w:rsid w:val="3034597C"/>
    <w:rsid w:val="30406741"/>
    <w:rsid w:val="30646D5A"/>
    <w:rsid w:val="306F0E1A"/>
    <w:rsid w:val="307E6DE1"/>
    <w:rsid w:val="3082759F"/>
    <w:rsid w:val="30911999"/>
    <w:rsid w:val="30934831"/>
    <w:rsid w:val="3095199A"/>
    <w:rsid w:val="30BA0729"/>
    <w:rsid w:val="30C51900"/>
    <w:rsid w:val="30DD3699"/>
    <w:rsid w:val="30FB0EDF"/>
    <w:rsid w:val="310953AD"/>
    <w:rsid w:val="311E12D0"/>
    <w:rsid w:val="31541C1A"/>
    <w:rsid w:val="31647676"/>
    <w:rsid w:val="316919A2"/>
    <w:rsid w:val="317D2543"/>
    <w:rsid w:val="31871C55"/>
    <w:rsid w:val="318B0288"/>
    <w:rsid w:val="31CF68DD"/>
    <w:rsid w:val="31CF6E86"/>
    <w:rsid w:val="31DA5193"/>
    <w:rsid w:val="31F145A1"/>
    <w:rsid w:val="32094030"/>
    <w:rsid w:val="32255942"/>
    <w:rsid w:val="324A6396"/>
    <w:rsid w:val="32525A92"/>
    <w:rsid w:val="32672E99"/>
    <w:rsid w:val="32753BEC"/>
    <w:rsid w:val="32886F2E"/>
    <w:rsid w:val="32AD5F67"/>
    <w:rsid w:val="32B22665"/>
    <w:rsid w:val="32CE54B0"/>
    <w:rsid w:val="32D84409"/>
    <w:rsid w:val="32E946D7"/>
    <w:rsid w:val="32F9271B"/>
    <w:rsid w:val="32FD7600"/>
    <w:rsid w:val="333B7DB9"/>
    <w:rsid w:val="3356419F"/>
    <w:rsid w:val="335B63F4"/>
    <w:rsid w:val="336965FD"/>
    <w:rsid w:val="33866C98"/>
    <w:rsid w:val="338C5AFB"/>
    <w:rsid w:val="33CA721D"/>
    <w:rsid w:val="33D41AF2"/>
    <w:rsid w:val="33DF2737"/>
    <w:rsid w:val="33F81CCA"/>
    <w:rsid w:val="33FC3AFE"/>
    <w:rsid w:val="33FC69CA"/>
    <w:rsid w:val="34013486"/>
    <w:rsid w:val="340C6F83"/>
    <w:rsid w:val="34152A55"/>
    <w:rsid w:val="34300ECA"/>
    <w:rsid w:val="343E2317"/>
    <w:rsid w:val="344D52CA"/>
    <w:rsid w:val="346031B0"/>
    <w:rsid w:val="347A761D"/>
    <w:rsid w:val="34BB140B"/>
    <w:rsid w:val="34C80E72"/>
    <w:rsid w:val="34CA4DF2"/>
    <w:rsid w:val="34D359F2"/>
    <w:rsid w:val="34E61AA7"/>
    <w:rsid w:val="35123315"/>
    <w:rsid w:val="3528094D"/>
    <w:rsid w:val="35281672"/>
    <w:rsid w:val="3537641F"/>
    <w:rsid w:val="3557606B"/>
    <w:rsid w:val="359B61A7"/>
    <w:rsid w:val="35B1729E"/>
    <w:rsid w:val="35CF5C65"/>
    <w:rsid w:val="35E17C4F"/>
    <w:rsid w:val="35F271FA"/>
    <w:rsid w:val="35F8269F"/>
    <w:rsid w:val="36093BAB"/>
    <w:rsid w:val="360A4FBB"/>
    <w:rsid w:val="360E431E"/>
    <w:rsid w:val="36280B66"/>
    <w:rsid w:val="362A7173"/>
    <w:rsid w:val="363041E3"/>
    <w:rsid w:val="364251E6"/>
    <w:rsid w:val="36427D53"/>
    <w:rsid w:val="366E7F60"/>
    <w:rsid w:val="367B4075"/>
    <w:rsid w:val="36A36113"/>
    <w:rsid w:val="36AB35CD"/>
    <w:rsid w:val="36B465E1"/>
    <w:rsid w:val="36C54EAF"/>
    <w:rsid w:val="36C82B9C"/>
    <w:rsid w:val="36E4664D"/>
    <w:rsid w:val="36EF44D5"/>
    <w:rsid w:val="37015F7D"/>
    <w:rsid w:val="37136616"/>
    <w:rsid w:val="37565BE1"/>
    <w:rsid w:val="375848B0"/>
    <w:rsid w:val="376B7F41"/>
    <w:rsid w:val="377C754B"/>
    <w:rsid w:val="379E739E"/>
    <w:rsid w:val="37AD575E"/>
    <w:rsid w:val="37AE3730"/>
    <w:rsid w:val="37B24FA9"/>
    <w:rsid w:val="37B3114C"/>
    <w:rsid w:val="37DE3CA2"/>
    <w:rsid w:val="37F0269C"/>
    <w:rsid w:val="37FE51F7"/>
    <w:rsid w:val="380D3F16"/>
    <w:rsid w:val="380D6100"/>
    <w:rsid w:val="381017E5"/>
    <w:rsid w:val="381A7FAB"/>
    <w:rsid w:val="386739CB"/>
    <w:rsid w:val="386A0B8D"/>
    <w:rsid w:val="38710A6F"/>
    <w:rsid w:val="387B530D"/>
    <w:rsid w:val="39033165"/>
    <w:rsid w:val="39075D0E"/>
    <w:rsid w:val="39385494"/>
    <w:rsid w:val="3940338C"/>
    <w:rsid w:val="396024C1"/>
    <w:rsid w:val="396867CD"/>
    <w:rsid w:val="39751795"/>
    <w:rsid w:val="397B3CCB"/>
    <w:rsid w:val="39CE3776"/>
    <w:rsid w:val="3A003AC9"/>
    <w:rsid w:val="3A1F0C78"/>
    <w:rsid w:val="3A225B32"/>
    <w:rsid w:val="3A3F04F7"/>
    <w:rsid w:val="3A98729C"/>
    <w:rsid w:val="3AA265D6"/>
    <w:rsid w:val="3AD77F7F"/>
    <w:rsid w:val="3AE5233A"/>
    <w:rsid w:val="3AEF09CD"/>
    <w:rsid w:val="3AFD4362"/>
    <w:rsid w:val="3B0A6C8A"/>
    <w:rsid w:val="3B230A2F"/>
    <w:rsid w:val="3B40717E"/>
    <w:rsid w:val="3B776941"/>
    <w:rsid w:val="3B8F17E0"/>
    <w:rsid w:val="3B9E7F49"/>
    <w:rsid w:val="3BB80A80"/>
    <w:rsid w:val="3BCC6DB5"/>
    <w:rsid w:val="3BEA71F2"/>
    <w:rsid w:val="3BF10126"/>
    <w:rsid w:val="3C1777DA"/>
    <w:rsid w:val="3C3A1C45"/>
    <w:rsid w:val="3C7E4460"/>
    <w:rsid w:val="3C8C0E35"/>
    <w:rsid w:val="3CB51C7A"/>
    <w:rsid w:val="3CBB0263"/>
    <w:rsid w:val="3CBC7457"/>
    <w:rsid w:val="3CE413CD"/>
    <w:rsid w:val="3CEF7087"/>
    <w:rsid w:val="3CF07B0C"/>
    <w:rsid w:val="3CFE77C8"/>
    <w:rsid w:val="3D17654F"/>
    <w:rsid w:val="3D1A2C60"/>
    <w:rsid w:val="3D271AAD"/>
    <w:rsid w:val="3D3741CF"/>
    <w:rsid w:val="3D3A37B5"/>
    <w:rsid w:val="3D7C1913"/>
    <w:rsid w:val="3D7C6941"/>
    <w:rsid w:val="3D843C82"/>
    <w:rsid w:val="3D8F5060"/>
    <w:rsid w:val="3DA46439"/>
    <w:rsid w:val="3DB17033"/>
    <w:rsid w:val="3DF07D80"/>
    <w:rsid w:val="3DF4036A"/>
    <w:rsid w:val="3E125F87"/>
    <w:rsid w:val="3E126F2E"/>
    <w:rsid w:val="3E1E5126"/>
    <w:rsid w:val="3E30096E"/>
    <w:rsid w:val="3E3D7588"/>
    <w:rsid w:val="3E54126E"/>
    <w:rsid w:val="3E546ED1"/>
    <w:rsid w:val="3E584536"/>
    <w:rsid w:val="3E6111BA"/>
    <w:rsid w:val="3E8F6DF9"/>
    <w:rsid w:val="3E9645B8"/>
    <w:rsid w:val="3EA07701"/>
    <w:rsid w:val="3EC53D53"/>
    <w:rsid w:val="3EFD5555"/>
    <w:rsid w:val="3F0E29EA"/>
    <w:rsid w:val="3F144B2F"/>
    <w:rsid w:val="3F185E2E"/>
    <w:rsid w:val="3F196629"/>
    <w:rsid w:val="3F8D7103"/>
    <w:rsid w:val="3F8E5621"/>
    <w:rsid w:val="3F924E93"/>
    <w:rsid w:val="3F9B26C5"/>
    <w:rsid w:val="3F9F6492"/>
    <w:rsid w:val="3FA03488"/>
    <w:rsid w:val="3FBC2F14"/>
    <w:rsid w:val="40313D88"/>
    <w:rsid w:val="403326D3"/>
    <w:rsid w:val="403C61C4"/>
    <w:rsid w:val="403F035E"/>
    <w:rsid w:val="404A4FC7"/>
    <w:rsid w:val="40584366"/>
    <w:rsid w:val="405F745A"/>
    <w:rsid w:val="406B7ABA"/>
    <w:rsid w:val="409877A9"/>
    <w:rsid w:val="409A6DAA"/>
    <w:rsid w:val="409D38B6"/>
    <w:rsid w:val="40A40471"/>
    <w:rsid w:val="40B76E38"/>
    <w:rsid w:val="411756AA"/>
    <w:rsid w:val="411A20F6"/>
    <w:rsid w:val="415034C3"/>
    <w:rsid w:val="415F5C7D"/>
    <w:rsid w:val="416A131A"/>
    <w:rsid w:val="417A25A6"/>
    <w:rsid w:val="418D31CB"/>
    <w:rsid w:val="41BB2905"/>
    <w:rsid w:val="41C633AD"/>
    <w:rsid w:val="41D06BFE"/>
    <w:rsid w:val="41D23669"/>
    <w:rsid w:val="41DF750D"/>
    <w:rsid w:val="41EC7FDB"/>
    <w:rsid w:val="41F67667"/>
    <w:rsid w:val="41F868C6"/>
    <w:rsid w:val="41FC5381"/>
    <w:rsid w:val="420047DC"/>
    <w:rsid w:val="420D28B3"/>
    <w:rsid w:val="4214036E"/>
    <w:rsid w:val="42144290"/>
    <w:rsid w:val="421F7A8E"/>
    <w:rsid w:val="422C6E34"/>
    <w:rsid w:val="423E3512"/>
    <w:rsid w:val="42550DE5"/>
    <w:rsid w:val="4259318F"/>
    <w:rsid w:val="425A40DE"/>
    <w:rsid w:val="425C74DE"/>
    <w:rsid w:val="42640036"/>
    <w:rsid w:val="426F387B"/>
    <w:rsid w:val="4283779D"/>
    <w:rsid w:val="42A97285"/>
    <w:rsid w:val="42B70F0A"/>
    <w:rsid w:val="42BA448B"/>
    <w:rsid w:val="42C243BA"/>
    <w:rsid w:val="42D26E90"/>
    <w:rsid w:val="42D41213"/>
    <w:rsid w:val="42F52CB4"/>
    <w:rsid w:val="42FA251B"/>
    <w:rsid w:val="42FF6453"/>
    <w:rsid w:val="43037DAF"/>
    <w:rsid w:val="4322270F"/>
    <w:rsid w:val="43237A97"/>
    <w:rsid w:val="432D6A7B"/>
    <w:rsid w:val="43401957"/>
    <w:rsid w:val="43614226"/>
    <w:rsid w:val="436F6896"/>
    <w:rsid w:val="43785EDC"/>
    <w:rsid w:val="43A544A8"/>
    <w:rsid w:val="43D20625"/>
    <w:rsid w:val="43EA4A66"/>
    <w:rsid w:val="44025169"/>
    <w:rsid w:val="44091B9C"/>
    <w:rsid w:val="441E4E74"/>
    <w:rsid w:val="44500F8E"/>
    <w:rsid w:val="44766526"/>
    <w:rsid w:val="447B73A4"/>
    <w:rsid w:val="448E4386"/>
    <w:rsid w:val="44AE6A56"/>
    <w:rsid w:val="44EB4259"/>
    <w:rsid w:val="44F55F54"/>
    <w:rsid w:val="4506399E"/>
    <w:rsid w:val="450A11E2"/>
    <w:rsid w:val="450B1D0F"/>
    <w:rsid w:val="450B4179"/>
    <w:rsid w:val="4510617E"/>
    <w:rsid w:val="454A6DB6"/>
    <w:rsid w:val="45630DCB"/>
    <w:rsid w:val="457D4EB6"/>
    <w:rsid w:val="457E1991"/>
    <w:rsid w:val="45832C2D"/>
    <w:rsid w:val="458E2A3A"/>
    <w:rsid w:val="458F3D27"/>
    <w:rsid w:val="4599374A"/>
    <w:rsid w:val="45AC0FA9"/>
    <w:rsid w:val="45E44967"/>
    <w:rsid w:val="45E97621"/>
    <w:rsid w:val="460D743C"/>
    <w:rsid w:val="460E4DF1"/>
    <w:rsid w:val="4612616E"/>
    <w:rsid w:val="462A31E5"/>
    <w:rsid w:val="46481CEB"/>
    <w:rsid w:val="46794C4F"/>
    <w:rsid w:val="46A51E03"/>
    <w:rsid w:val="46B56F8E"/>
    <w:rsid w:val="46C66AAC"/>
    <w:rsid w:val="46E55D8E"/>
    <w:rsid w:val="46E735E2"/>
    <w:rsid w:val="470D56E2"/>
    <w:rsid w:val="471C2618"/>
    <w:rsid w:val="47462252"/>
    <w:rsid w:val="47536CE6"/>
    <w:rsid w:val="477816E5"/>
    <w:rsid w:val="477F5E58"/>
    <w:rsid w:val="47853753"/>
    <w:rsid w:val="479419CB"/>
    <w:rsid w:val="47A4244C"/>
    <w:rsid w:val="47A90B21"/>
    <w:rsid w:val="47B32CB2"/>
    <w:rsid w:val="47ED2536"/>
    <w:rsid w:val="47F30D28"/>
    <w:rsid w:val="48063292"/>
    <w:rsid w:val="48280C4E"/>
    <w:rsid w:val="482E11B8"/>
    <w:rsid w:val="483714C9"/>
    <w:rsid w:val="48397C77"/>
    <w:rsid w:val="48633FE7"/>
    <w:rsid w:val="487A2EEC"/>
    <w:rsid w:val="48AE0E86"/>
    <w:rsid w:val="48BA4A3C"/>
    <w:rsid w:val="48D25339"/>
    <w:rsid w:val="48D86FAE"/>
    <w:rsid w:val="48D95022"/>
    <w:rsid w:val="48E76FB1"/>
    <w:rsid w:val="490A524F"/>
    <w:rsid w:val="491D5F5B"/>
    <w:rsid w:val="49635C93"/>
    <w:rsid w:val="49660A8F"/>
    <w:rsid w:val="49690D24"/>
    <w:rsid w:val="498F54DE"/>
    <w:rsid w:val="4998776B"/>
    <w:rsid w:val="49BA0172"/>
    <w:rsid w:val="49E90F12"/>
    <w:rsid w:val="4A0E35CB"/>
    <w:rsid w:val="4A327F18"/>
    <w:rsid w:val="4A3E49AF"/>
    <w:rsid w:val="4A490EEE"/>
    <w:rsid w:val="4A6B64BD"/>
    <w:rsid w:val="4A830ACD"/>
    <w:rsid w:val="4A8804D9"/>
    <w:rsid w:val="4A987871"/>
    <w:rsid w:val="4AA86ED6"/>
    <w:rsid w:val="4ACF7BC7"/>
    <w:rsid w:val="4AD800D3"/>
    <w:rsid w:val="4AE164EB"/>
    <w:rsid w:val="4AF11982"/>
    <w:rsid w:val="4B04426E"/>
    <w:rsid w:val="4B05275B"/>
    <w:rsid w:val="4B393003"/>
    <w:rsid w:val="4B5C6F9A"/>
    <w:rsid w:val="4B9A71EE"/>
    <w:rsid w:val="4BB51EE1"/>
    <w:rsid w:val="4BD4537B"/>
    <w:rsid w:val="4BDA2CA4"/>
    <w:rsid w:val="4BE75C75"/>
    <w:rsid w:val="4BEF29E9"/>
    <w:rsid w:val="4BF77B66"/>
    <w:rsid w:val="4C0E4015"/>
    <w:rsid w:val="4C1C00E5"/>
    <w:rsid w:val="4C1F4558"/>
    <w:rsid w:val="4C3D5DAB"/>
    <w:rsid w:val="4C54147B"/>
    <w:rsid w:val="4C671741"/>
    <w:rsid w:val="4C6F21C7"/>
    <w:rsid w:val="4C7D4D0D"/>
    <w:rsid w:val="4C9D17CC"/>
    <w:rsid w:val="4CA34541"/>
    <w:rsid w:val="4CB113DA"/>
    <w:rsid w:val="4CF24918"/>
    <w:rsid w:val="4D2A4C5B"/>
    <w:rsid w:val="4D2B7D28"/>
    <w:rsid w:val="4D4008EA"/>
    <w:rsid w:val="4D57295B"/>
    <w:rsid w:val="4D5D2226"/>
    <w:rsid w:val="4D6956A3"/>
    <w:rsid w:val="4D6A182D"/>
    <w:rsid w:val="4D70063B"/>
    <w:rsid w:val="4D7852EA"/>
    <w:rsid w:val="4D7F17F8"/>
    <w:rsid w:val="4DA1555B"/>
    <w:rsid w:val="4DA47229"/>
    <w:rsid w:val="4DCA59E4"/>
    <w:rsid w:val="4DF13A02"/>
    <w:rsid w:val="4DFE40C6"/>
    <w:rsid w:val="4E0008B0"/>
    <w:rsid w:val="4E056D87"/>
    <w:rsid w:val="4E123229"/>
    <w:rsid w:val="4E146F93"/>
    <w:rsid w:val="4E3114D7"/>
    <w:rsid w:val="4E44086F"/>
    <w:rsid w:val="4E457F8B"/>
    <w:rsid w:val="4E4C151C"/>
    <w:rsid w:val="4E5E35E6"/>
    <w:rsid w:val="4E9E144C"/>
    <w:rsid w:val="4EAE7B7E"/>
    <w:rsid w:val="4EC57D26"/>
    <w:rsid w:val="4EE17334"/>
    <w:rsid w:val="4EE32696"/>
    <w:rsid w:val="4EEF4858"/>
    <w:rsid w:val="4EF53A4F"/>
    <w:rsid w:val="4F0C2598"/>
    <w:rsid w:val="4F1D2175"/>
    <w:rsid w:val="4F252794"/>
    <w:rsid w:val="4F296EC3"/>
    <w:rsid w:val="4F443011"/>
    <w:rsid w:val="4F533DB5"/>
    <w:rsid w:val="4F5D4778"/>
    <w:rsid w:val="4F5F42A2"/>
    <w:rsid w:val="4F731A9A"/>
    <w:rsid w:val="4F7F693A"/>
    <w:rsid w:val="4F961CA1"/>
    <w:rsid w:val="4FB77BB0"/>
    <w:rsid w:val="4FC225FA"/>
    <w:rsid w:val="4FEF213F"/>
    <w:rsid w:val="4FF23D0A"/>
    <w:rsid w:val="501237AD"/>
    <w:rsid w:val="50267B46"/>
    <w:rsid w:val="50316627"/>
    <w:rsid w:val="50447563"/>
    <w:rsid w:val="504B7F99"/>
    <w:rsid w:val="506B74F3"/>
    <w:rsid w:val="507822F7"/>
    <w:rsid w:val="50A672B6"/>
    <w:rsid w:val="50B34FD7"/>
    <w:rsid w:val="50C90A47"/>
    <w:rsid w:val="51084745"/>
    <w:rsid w:val="512939FE"/>
    <w:rsid w:val="51404660"/>
    <w:rsid w:val="51553E34"/>
    <w:rsid w:val="515D32D2"/>
    <w:rsid w:val="51633B30"/>
    <w:rsid w:val="516372E9"/>
    <w:rsid w:val="5184528B"/>
    <w:rsid w:val="518D2F16"/>
    <w:rsid w:val="519D1403"/>
    <w:rsid w:val="51D86E70"/>
    <w:rsid w:val="51FC2426"/>
    <w:rsid w:val="521A408E"/>
    <w:rsid w:val="52207026"/>
    <w:rsid w:val="523341F4"/>
    <w:rsid w:val="524210C0"/>
    <w:rsid w:val="52540651"/>
    <w:rsid w:val="52872691"/>
    <w:rsid w:val="52A45BB2"/>
    <w:rsid w:val="52B1505F"/>
    <w:rsid w:val="52C27A36"/>
    <w:rsid w:val="52D219F8"/>
    <w:rsid w:val="52F33D82"/>
    <w:rsid w:val="530C155C"/>
    <w:rsid w:val="5311479E"/>
    <w:rsid w:val="53200B37"/>
    <w:rsid w:val="532357FA"/>
    <w:rsid w:val="53266270"/>
    <w:rsid w:val="533416D6"/>
    <w:rsid w:val="534D3EAB"/>
    <w:rsid w:val="53740793"/>
    <w:rsid w:val="537A1464"/>
    <w:rsid w:val="53B02D8D"/>
    <w:rsid w:val="53C54992"/>
    <w:rsid w:val="53D86BA5"/>
    <w:rsid w:val="54166685"/>
    <w:rsid w:val="54287BE7"/>
    <w:rsid w:val="543A6AB1"/>
    <w:rsid w:val="546142A3"/>
    <w:rsid w:val="546E41B4"/>
    <w:rsid w:val="54835BFC"/>
    <w:rsid w:val="549D3D90"/>
    <w:rsid w:val="54A92FB9"/>
    <w:rsid w:val="54B74CFA"/>
    <w:rsid w:val="54C55E95"/>
    <w:rsid w:val="54E52C5C"/>
    <w:rsid w:val="54FE2C97"/>
    <w:rsid w:val="550254CC"/>
    <w:rsid w:val="552E6176"/>
    <w:rsid w:val="55380C27"/>
    <w:rsid w:val="558208CB"/>
    <w:rsid w:val="55BE4469"/>
    <w:rsid w:val="55F30F51"/>
    <w:rsid w:val="56087556"/>
    <w:rsid w:val="56536587"/>
    <w:rsid w:val="56540BC8"/>
    <w:rsid w:val="56593BAF"/>
    <w:rsid w:val="565F389D"/>
    <w:rsid w:val="566828CD"/>
    <w:rsid w:val="56683DBE"/>
    <w:rsid w:val="56A9346D"/>
    <w:rsid w:val="56AF0D31"/>
    <w:rsid w:val="56B95AF0"/>
    <w:rsid w:val="56C87883"/>
    <w:rsid w:val="56CC5E9D"/>
    <w:rsid w:val="56D15813"/>
    <w:rsid w:val="56F13FEC"/>
    <w:rsid w:val="56F72C88"/>
    <w:rsid w:val="56F86E99"/>
    <w:rsid w:val="570937FB"/>
    <w:rsid w:val="570D5771"/>
    <w:rsid w:val="57256D21"/>
    <w:rsid w:val="573F4A20"/>
    <w:rsid w:val="57430E45"/>
    <w:rsid w:val="576B3425"/>
    <w:rsid w:val="578A418B"/>
    <w:rsid w:val="57D05AFF"/>
    <w:rsid w:val="57EE1A82"/>
    <w:rsid w:val="58053449"/>
    <w:rsid w:val="58345F62"/>
    <w:rsid w:val="58765F98"/>
    <w:rsid w:val="588746D7"/>
    <w:rsid w:val="58886CAF"/>
    <w:rsid w:val="588F3877"/>
    <w:rsid w:val="589E725E"/>
    <w:rsid w:val="58B9375C"/>
    <w:rsid w:val="58C24663"/>
    <w:rsid w:val="58C7172D"/>
    <w:rsid w:val="58D076D0"/>
    <w:rsid w:val="58E1669C"/>
    <w:rsid w:val="58F6687B"/>
    <w:rsid w:val="58FC3CD4"/>
    <w:rsid w:val="591C202E"/>
    <w:rsid w:val="59224E4C"/>
    <w:rsid w:val="592916AE"/>
    <w:rsid w:val="5933248E"/>
    <w:rsid w:val="59727752"/>
    <w:rsid w:val="5978550F"/>
    <w:rsid w:val="597E60A8"/>
    <w:rsid w:val="5997792F"/>
    <w:rsid w:val="59A627CA"/>
    <w:rsid w:val="59A70406"/>
    <w:rsid w:val="59B12950"/>
    <w:rsid w:val="59B570EC"/>
    <w:rsid w:val="59E14440"/>
    <w:rsid w:val="59EE44CA"/>
    <w:rsid w:val="59F56D1E"/>
    <w:rsid w:val="5A0A5A5C"/>
    <w:rsid w:val="5A1714FC"/>
    <w:rsid w:val="5A190C21"/>
    <w:rsid w:val="5A25021F"/>
    <w:rsid w:val="5A325654"/>
    <w:rsid w:val="5A4F622F"/>
    <w:rsid w:val="5A573914"/>
    <w:rsid w:val="5A6A514D"/>
    <w:rsid w:val="5A73778C"/>
    <w:rsid w:val="5A7C665F"/>
    <w:rsid w:val="5A9D6B77"/>
    <w:rsid w:val="5AA53CA4"/>
    <w:rsid w:val="5AAB3AE8"/>
    <w:rsid w:val="5AAF69C7"/>
    <w:rsid w:val="5AFF7F6C"/>
    <w:rsid w:val="5B01296A"/>
    <w:rsid w:val="5B303D01"/>
    <w:rsid w:val="5B551504"/>
    <w:rsid w:val="5B7921AA"/>
    <w:rsid w:val="5BBB0C88"/>
    <w:rsid w:val="5BDE3D20"/>
    <w:rsid w:val="5BE264B0"/>
    <w:rsid w:val="5BE8607A"/>
    <w:rsid w:val="5C241158"/>
    <w:rsid w:val="5C274A3B"/>
    <w:rsid w:val="5C357D9A"/>
    <w:rsid w:val="5C471AC7"/>
    <w:rsid w:val="5C595A0F"/>
    <w:rsid w:val="5C6617FA"/>
    <w:rsid w:val="5C6A08C1"/>
    <w:rsid w:val="5CA0353B"/>
    <w:rsid w:val="5CA942A4"/>
    <w:rsid w:val="5CB72740"/>
    <w:rsid w:val="5CD959FA"/>
    <w:rsid w:val="5CDB621A"/>
    <w:rsid w:val="5CE2009D"/>
    <w:rsid w:val="5CE570AF"/>
    <w:rsid w:val="5CE829F9"/>
    <w:rsid w:val="5CF52E9E"/>
    <w:rsid w:val="5D0E4B66"/>
    <w:rsid w:val="5D180012"/>
    <w:rsid w:val="5D2F381F"/>
    <w:rsid w:val="5D411E1D"/>
    <w:rsid w:val="5D790E89"/>
    <w:rsid w:val="5D7A778A"/>
    <w:rsid w:val="5D8E3BCA"/>
    <w:rsid w:val="5D911CFA"/>
    <w:rsid w:val="5DA44691"/>
    <w:rsid w:val="5DCA2675"/>
    <w:rsid w:val="5DD066AB"/>
    <w:rsid w:val="5DE33C48"/>
    <w:rsid w:val="5DF80CA3"/>
    <w:rsid w:val="5DF83EF7"/>
    <w:rsid w:val="5DFE380D"/>
    <w:rsid w:val="5E275BED"/>
    <w:rsid w:val="5E3F5869"/>
    <w:rsid w:val="5E7D7CC4"/>
    <w:rsid w:val="5E913808"/>
    <w:rsid w:val="5EB6684D"/>
    <w:rsid w:val="5ED57215"/>
    <w:rsid w:val="5ED73B8E"/>
    <w:rsid w:val="5EE0788D"/>
    <w:rsid w:val="5F0C074E"/>
    <w:rsid w:val="5F2A27B7"/>
    <w:rsid w:val="5F2C29EC"/>
    <w:rsid w:val="5F3A534E"/>
    <w:rsid w:val="5F795528"/>
    <w:rsid w:val="5F877DC3"/>
    <w:rsid w:val="5FB4364D"/>
    <w:rsid w:val="5FD33113"/>
    <w:rsid w:val="5FDD1A08"/>
    <w:rsid w:val="5FDF233F"/>
    <w:rsid w:val="5FE73FAD"/>
    <w:rsid w:val="5FEB3932"/>
    <w:rsid w:val="606A03FF"/>
    <w:rsid w:val="607C2179"/>
    <w:rsid w:val="60817469"/>
    <w:rsid w:val="60A47DC1"/>
    <w:rsid w:val="60BE3D44"/>
    <w:rsid w:val="60E3774A"/>
    <w:rsid w:val="60F122EE"/>
    <w:rsid w:val="60FA67D1"/>
    <w:rsid w:val="61065D98"/>
    <w:rsid w:val="61086560"/>
    <w:rsid w:val="611663C7"/>
    <w:rsid w:val="61607BAE"/>
    <w:rsid w:val="61B138C9"/>
    <w:rsid w:val="61BB04D2"/>
    <w:rsid w:val="61EE529E"/>
    <w:rsid w:val="61F1620B"/>
    <w:rsid w:val="6221090A"/>
    <w:rsid w:val="62220038"/>
    <w:rsid w:val="6228062F"/>
    <w:rsid w:val="625459AB"/>
    <w:rsid w:val="626227AB"/>
    <w:rsid w:val="62680410"/>
    <w:rsid w:val="628C6E95"/>
    <w:rsid w:val="629A14EF"/>
    <w:rsid w:val="62A667C6"/>
    <w:rsid w:val="62AF0852"/>
    <w:rsid w:val="62BA5A48"/>
    <w:rsid w:val="62D03E2E"/>
    <w:rsid w:val="62DE3D27"/>
    <w:rsid w:val="62EA5D8A"/>
    <w:rsid w:val="63431014"/>
    <w:rsid w:val="63530237"/>
    <w:rsid w:val="63556EA1"/>
    <w:rsid w:val="63595B6E"/>
    <w:rsid w:val="635B64D0"/>
    <w:rsid w:val="637442E9"/>
    <w:rsid w:val="639D044F"/>
    <w:rsid w:val="63AB7C7F"/>
    <w:rsid w:val="63B174A3"/>
    <w:rsid w:val="63FD5760"/>
    <w:rsid w:val="640070D7"/>
    <w:rsid w:val="641C3282"/>
    <w:rsid w:val="6426653E"/>
    <w:rsid w:val="6469770D"/>
    <w:rsid w:val="648623FE"/>
    <w:rsid w:val="64987505"/>
    <w:rsid w:val="64B25D11"/>
    <w:rsid w:val="64C365F9"/>
    <w:rsid w:val="64C8480E"/>
    <w:rsid w:val="64D51D6C"/>
    <w:rsid w:val="64D66E25"/>
    <w:rsid w:val="64F50D1A"/>
    <w:rsid w:val="64F762C4"/>
    <w:rsid w:val="651950D9"/>
    <w:rsid w:val="6520276A"/>
    <w:rsid w:val="652F2D79"/>
    <w:rsid w:val="65425119"/>
    <w:rsid w:val="65474734"/>
    <w:rsid w:val="656E173A"/>
    <w:rsid w:val="65761964"/>
    <w:rsid w:val="657A4148"/>
    <w:rsid w:val="659031D6"/>
    <w:rsid w:val="65BE7527"/>
    <w:rsid w:val="65CE6B9D"/>
    <w:rsid w:val="65E50E3D"/>
    <w:rsid w:val="65EB328A"/>
    <w:rsid w:val="65FC0D3F"/>
    <w:rsid w:val="66147966"/>
    <w:rsid w:val="663D14B7"/>
    <w:rsid w:val="664D2C22"/>
    <w:rsid w:val="666338AF"/>
    <w:rsid w:val="666A669F"/>
    <w:rsid w:val="668B69E8"/>
    <w:rsid w:val="66C264EB"/>
    <w:rsid w:val="66D10E5F"/>
    <w:rsid w:val="66DC16F0"/>
    <w:rsid w:val="66E24DF4"/>
    <w:rsid w:val="66EA7DA5"/>
    <w:rsid w:val="66F25AAB"/>
    <w:rsid w:val="66FD3D4C"/>
    <w:rsid w:val="67325CA3"/>
    <w:rsid w:val="67326655"/>
    <w:rsid w:val="67330526"/>
    <w:rsid w:val="673B24E4"/>
    <w:rsid w:val="674A400D"/>
    <w:rsid w:val="674E313A"/>
    <w:rsid w:val="67531036"/>
    <w:rsid w:val="67564664"/>
    <w:rsid w:val="67607275"/>
    <w:rsid w:val="67667EB5"/>
    <w:rsid w:val="677B545B"/>
    <w:rsid w:val="677B57BD"/>
    <w:rsid w:val="67BB7D25"/>
    <w:rsid w:val="67D763B7"/>
    <w:rsid w:val="67E62CEF"/>
    <w:rsid w:val="67F33900"/>
    <w:rsid w:val="680469EE"/>
    <w:rsid w:val="680A17C6"/>
    <w:rsid w:val="68195C4F"/>
    <w:rsid w:val="685A46A5"/>
    <w:rsid w:val="686646BC"/>
    <w:rsid w:val="687D59BB"/>
    <w:rsid w:val="6881549D"/>
    <w:rsid w:val="68872FBF"/>
    <w:rsid w:val="68C222A7"/>
    <w:rsid w:val="68F71410"/>
    <w:rsid w:val="691A29A8"/>
    <w:rsid w:val="69374101"/>
    <w:rsid w:val="693A1F44"/>
    <w:rsid w:val="69420A5A"/>
    <w:rsid w:val="695D0DE8"/>
    <w:rsid w:val="696C1EB2"/>
    <w:rsid w:val="69710C0D"/>
    <w:rsid w:val="69921C44"/>
    <w:rsid w:val="69987D78"/>
    <w:rsid w:val="699F3A6A"/>
    <w:rsid w:val="69AE5E79"/>
    <w:rsid w:val="69E2710C"/>
    <w:rsid w:val="69E800BA"/>
    <w:rsid w:val="69F8606B"/>
    <w:rsid w:val="6A0B7FBB"/>
    <w:rsid w:val="6A5B6544"/>
    <w:rsid w:val="6AFD21D0"/>
    <w:rsid w:val="6B0F6A19"/>
    <w:rsid w:val="6B173367"/>
    <w:rsid w:val="6B2D34D2"/>
    <w:rsid w:val="6B34353E"/>
    <w:rsid w:val="6B3A6A90"/>
    <w:rsid w:val="6B3F5517"/>
    <w:rsid w:val="6B4925B5"/>
    <w:rsid w:val="6B523030"/>
    <w:rsid w:val="6B562199"/>
    <w:rsid w:val="6B8C706D"/>
    <w:rsid w:val="6BA56C3A"/>
    <w:rsid w:val="6BB153A8"/>
    <w:rsid w:val="6BB45BE0"/>
    <w:rsid w:val="6BBC7B74"/>
    <w:rsid w:val="6BD218DB"/>
    <w:rsid w:val="6BDA0DEE"/>
    <w:rsid w:val="6BE165B3"/>
    <w:rsid w:val="6BF23103"/>
    <w:rsid w:val="6BF36086"/>
    <w:rsid w:val="6BF61FDF"/>
    <w:rsid w:val="6BFA1C49"/>
    <w:rsid w:val="6C1A0FB0"/>
    <w:rsid w:val="6C553F6E"/>
    <w:rsid w:val="6C5C255D"/>
    <w:rsid w:val="6C5F61BF"/>
    <w:rsid w:val="6C651C84"/>
    <w:rsid w:val="6CA72F39"/>
    <w:rsid w:val="6CB81E69"/>
    <w:rsid w:val="6CC474E4"/>
    <w:rsid w:val="6CF7250F"/>
    <w:rsid w:val="6CFA2DD6"/>
    <w:rsid w:val="6D203815"/>
    <w:rsid w:val="6D331EC9"/>
    <w:rsid w:val="6D5D3BDB"/>
    <w:rsid w:val="6D6B2C28"/>
    <w:rsid w:val="6D7430EC"/>
    <w:rsid w:val="6D7E1A1A"/>
    <w:rsid w:val="6D9D0488"/>
    <w:rsid w:val="6DAF1DC5"/>
    <w:rsid w:val="6DE004D4"/>
    <w:rsid w:val="6DFE74A3"/>
    <w:rsid w:val="6E114891"/>
    <w:rsid w:val="6E193B0B"/>
    <w:rsid w:val="6E300715"/>
    <w:rsid w:val="6E6C05C5"/>
    <w:rsid w:val="6E6C6B48"/>
    <w:rsid w:val="6EAE014E"/>
    <w:rsid w:val="6ED46575"/>
    <w:rsid w:val="6EF5088F"/>
    <w:rsid w:val="6F015B85"/>
    <w:rsid w:val="6F1D49A9"/>
    <w:rsid w:val="6F20734B"/>
    <w:rsid w:val="6F252F98"/>
    <w:rsid w:val="6F6E01E1"/>
    <w:rsid w:val="6F6F5C0C"/>
    <w:rsid w:val="6F7C355E"/>
    <w:rsid w:val="6F9F5DE7"/>
    <w:rsid w:val="6FA5687A"/>
    <w:rsid w:val="6FAB7855"/>
    <w:rsid w:val="6FAE22FE"/>
    <w:rsid w:val="6FB05096"/>
    <w:rsid w:val="6FDF5CEF"/>
    <w:rsid w:val="6FE72CFB"/>
    <w:rsid w:val="70014D12"/>
    <w:rsid w:val="70032BCE"/>
    <w:rsid w:val="70497251"/>
    <w:rsid w:val="70607BDA"/>
    <w:rsid w:val="70653A8E"/>
    <w:rsid w:val="70796766"/>
    <w:rsid w:val="70933F35"/>
    <w:rsid w:val="70996913"/>
    <w:rsid w:val="709E7007"/>
    <w:rsid w:val="70BE667E"/>
    <w:rsid w:val="70F06142"/>
    <w:rsid w:val="70F905BE"/>
    <w:rsid w:val="711E6EAF"/>
    <w:rsid w:val="7127318F"/>
    <w:rsid w:val="712F3454"/>
    <w:rsid w:val="714E239D"/>
    <w:rsid w:val="71795DB9"/>
    <w:rsid w:val="71B64371"/>
    <w:rsid w:val="71FF038F"/>
    <w:rsid w:val="7209210D"/>
    <w:rsid w:val="72094AFB"/>
    <w:rsid w:val="721E5E14"/>
    <w:rsid w:val="7237615D"/>
    <w:rsid w:val="723874D2"/>
    <w:rsid w:val="72500AD9"/>
    <w:rsid w:val="725320FC"/>
    <w:rsid w:val="72793447"/>
    <w:rsid w:val="72A33A2D"/>
    <w:rsid w:val="72B343AA"/>
    <w:rsid w:val="72C22D1D"/>
    <w:rsid w:val="72C27CD0"/>
    <w:rsid w:val="72C55DD3"/>
    <w:rsid w:val="72D646C9"/>
    <w:rsid w:val="72D80309"/>
    <w:rsid w:val="72EF54FE"/>
    <w:rsid w:val="72F57F2A"/>
    <w:rsid w:val="730611C1"/>
    <w:rsid w:val="731335F9"/>
    <w:rsid w:val="73231CE3"/>
    <w:rsid w:val="735D0DEF"/>
    <w:rsid w:val="735D33BE"/>
    <w:rsid w:val="73637740"/>
    <w:rsid w:val="736C4AAD"/>
    <w:rsid w:val="73736AD1"/>
    <w:rsid w:val="737D1D76"/>
    <w:rsid w:val="738F5B8D"/>
    <w:rsid w:val="73916D46"/>
    <w:rsid w:val="740F7134"/>
    <w:rsid w:val="74745B71"/>
    <w:rsid w:val="747E548E"/>
    <w:rsid w:val="748A171E"/>
    <w:rsid w:val="74A75E1B"/>
    <w:rsid w:val="74B00D3B"/>
    <w:rsid w:val="74E6324D"/>
    <w:rsid w:val="74FF4257"/>
    <w:rsid w:val="750367DC"/>
    <w:rsid w:val="7521374A"/>
    <w:rsid w:val="75223712"/>
    <w:rsid w:val="75490CD6"/>
    <w:rsid w:val="7549114F"/>
    <w:rsid w:val="75502032"/>
    <w:rsid w:val="75510419"/>
    <w:rsid w:val="756808D4"/>
    <w:rsid w:val="757340DA"/>
    <w:rsid w:val="757A1199"/>
    <w:rsid w:val="75897F37"/>
    <w:rsid w:val="758A245D"/>
    <w:rsid w:val="759F76D1"/>
    <w:rsid w:val="75CA6EA7"/>
    <w:rsid w:val="7613022E"/>
    <w:rsid w:val="76204607"/>
    <w:rsid w:val="763B00BC"/>
    <w:rsid w:val="76581C16"/>
    <w:rsid w:val="768D76B7"/>
    <w:rsid w:val="76936DFB"/>
    <w:rsid w:val="76A12096"/>
    <w:rsid w:val="76B66BEA"/>
    <w:rsid w:val="76BF31C5"/>
    <w:rsid w:val="76CD3EAC"/>
    <w:rsid w:val="76F9744C"/>
    <w:rsid w:val="7740291B"/>
    <w:rsid w:val="774D3025"/>
    <w:rsid w:val="777A405B"/>
    <w:rsid w:val="77870ED7"/>
    <w:rsid w:val="77880FF9"/>
    <w:rsid w:val="779B3C14"/>
    <w:rsid w:val="77B71EE2"/>
    <w:rsid w:val="77BF3DD6"/>
    <w:rsid w:val="77DC4FF6"/>
    <w:rsid w:val="77E035B6"/>
    <w:rsid w:val="77E27099"/>
    <w:rsid w:val="780F5A15"/>
    <w:rsid w:val="782E3DC5"/>
    <w:rsid w:val="78333B5E"/>
    <w:rsid w:val="78365F18"/>
    <w:rsid w:val="78503135"/>
    <w:rsid w:val="78525117"/>
    <w:rsid w:val="788D16D7"/>
    <w:rsid w:val="789E637E"/>
    <w:rsid w:val="78A00D8C"/>
    <w:rsid w:val="78AD3D6C"/>
    <w:rsid w:val="792C543C"/>
    <w:rsid w:val="793B6920"/>
    <w:rsid w:val="795D558B"/>
    <w:rsid w:val="796B7ABA"/>
    <w:rsid w:val="797B153B"/>
    <w:rsid w:val="799665AB"/>
    <w:rsid w:val="79B05EA0"/>
    <w:rsid w:val="79CE2501"/>
    <w:rsid w:val="79D0199A"/>
    <w:rsid w:val="79F16A1F"/>
    <w:rsid w:val="79FC00E7"/>
    <w:rsid w:val="7A0B3E20"/>
    <w:rsid w:val="7A180C77"/>
    <w:rsid w:val="7A3B745A"/>
    <w:rsid w:val="7A3C51D9"/>
    <w:rsid w:val="7A402EBA"/>
    <w:rsid w:val="7A4D33A7"/>
    <w:rsid w:val="7A6E1110"/>
    <w:rsid w:val="7A6F15A5"/>
    <w:rsid w:val="7A7E0DAD"/>
    <w:rsid w:val="7A951F8F"/>
    <w:rsid w:val="7ADF188F"/>
    <w:rsid w:val="7AE232B6"/>
    <w:rsid w:val="7AFC640D"/>
    <w:rsid w:val="7B1C4298"/>
    <w:rsid w:val="7B5B1790"/>
    <w:rsid w:val="7B72774F"/>
    <w:rsid w:val="7B8D7030"/>
    <w:rsid w:val="7B9E1396"/>
    <w:rsid w:val="7BB54000"/>
    <w:rsid w:val="7BDB4B43"/>
    <w:rsid w:val="7BDD6309"/>
    <w:rsid w:val="7BE40C30"/>
    <w:rsid w:val="7BF57B3A"/>
    <w:rsid w:val="7C12747D"/>
    <w:rsid w:val="7C5B1BF0"/>
    <w:rsid w:val="7C5C3FD8"/>
    <w:rsid w:val="7C5D596C"/>
    <w:rsid w:val="7C6832AD"/>
    <w:rsid w:val="7C6A194C"/>
    <w:rsid w:val="7C7A51B8"/>
    <w:rsid w:val="7C7C7371"/>
    <w:rsid w:val="7C957EC9"/>
    <w:rsid w:val="7CC70366"/>
    <w:rsid w:val="7CCD2CE3"/>
    <w:rsid w:val="7CD101C1"/>
    <w:rsid w:val="7D0D2915"/>
    <w:rsid w:val="7D252689"/>
    <w:rsid w:val="7D387442"/>
    <w:rsid w:val="7D41048A"/>
    <w:rsid w:val="7D5E11FB"/>
    <w:rsid w:val="7D862757"/>
    <w:rsid w:val="7DAF155B"/>
    <w:rsid w:val="7DB746ED"/>
    <w:rsid w:val="7DCF6C0D"/>
    <w:rsid w:val="7DF82F3B"/>
    <w:rsid w:val="7E0109FA"/>
    <w:rsid w:val="7E133841"/>
    <w:rsid w:val="7E1D681B"/>
    <w:rsid w:val="7E2611F2"/>
    <w:rsid w:val="7E365938"/>
    <w:rsid w:val="7E3A4C4A"/>
    <w:rsid w:val="7E4B71CE"/>
    <w:rsid w:val="7E544F52"/>
    <w:rsid w:val="7E5F32B8"/>
    <w:rsid w:val="7E677379"/>
    <w:rsid w:val="7E6C752D"/>
    <w:rsid w:val="7EA24547"/>
    <w:rsid w:val="7EA92050"/>
    <w:rsid w:val="7EBC456E"/>
    <w:rsid w:val="7ED10FFC"/>
    <w:rsid w:val="7EDE5E78"/>
    <w:rsid w:val="7EED417C"/>
    <w:rsid w:val="7EF500EE"/>
    <w:rsid w:val="7F2C06ED"/>
    <w:rsid w:val="7F4C14C8"/>
    <w:rsid w:val="7F562C5C"/>
    <w:rsid w:val="7F5B691A"/>
    <w:rsid w:val="7F9C6BB5"/>
    <w:rsid w:val="7FD65CC4"/>
    <w:rsid w:val="7FE024DD"/>
    <w:rsid w:val="7FF278A5"/>
    <w:rsid w:val="7FFC3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spacing w:beforeLines="0" w:beforeAutospacing="0" w:afterLines="0" w:afterAutospacing="0" w:line="240" w:lineRule="auto"/>
      <w:outlineLvl w:val="1"/>
    </w:pPr>
    <w:rPr>
      <w:rFonts w:ascii="Arial" w:hAnsi="Arial" w:eastAsia="黑体"/>
      <w:b/>
      <w:sz w:val="2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Normal Indent1"/>
    <w:qFormat/>
    <w:uiPriority w:val="0"/>
    <w:pPr>
      <w:spacing w:line="360" w:lineRule="auto"/>
      <w:ind w:firstLine="883" w:firstLineChars="200"/>
    </w:pPr>
    <w:rPr>
      <w:rFonts w:ascii="Songti SC" w:hAnsi="Songti SC" w:eastAsia="宋体" w:cs="Songti SC"/>
      <w:sz w:val="24"/>
      <w:szCs w:val="24"/>
      <w:lang w:val="en-US" w:eastAsia="zh-CN" w:bidi="ar-SA"/>
    </w:rPr>
  </w:style>
  <w:style w:type="paragraph" w:styleId="4">
    <w:name w:val="Body Text"/>
    <w:basedOn w:val="1"/>
    <w:qFormat/>
    <w:uiPriority w:val="0"/>
    <w:pPr>
      <w:spacing w:after="120"/>
    </w:pPr>
    <w:rPr>
      <w:rFonts w:ascii="Times New Roman" w:hAnsi="Times New Roman"/>
      <w:szCs w:val="21"/>
    </w:rPr>
  </w:style>
  <w:style w:type="paragraph" w:customStyle="1" w:styleId="7">
    <w:name w:val="表格列标题"/>
    <w:basedOn w:val="8"/>
    <w:qFormat/>
    <w:uiPriority w:val="0"/>
    <w:pPr>
      <w:jc w:val="center"/>
    </w:pPr>
    <w:rPr>
      <w:rFonts w:ascii="Arial" w:hAnsi="Arial"/>
      <w:b/>
      <w:sz w:val="18"/>
    </w:rPr>
  </w:style>
  <w:style w:type="paragraph" w:customStyle="1" w:styleId="8">
    <w:name w:val="正文_1"/>
    <w:qFormat/>
    <w:uiPriority w:val="0"/>
    <w:rPr>
      <w:rFonts w:ascii="Times New Roman" w:hAnsi="Times New Roman" w:eastAsia="Times New Roman" w:cs="Times New Roman"/>
      <w:sz w:val="24"/>
      <w:szCs w:val="24"/>
      <w:lang w:val="en-US" w:eastAsia="zh-CN" w:bidi="ar-SA"/>
    </w:rPr>
  </w:style>
  <w:style w:type="paragraph" w:customStyle="1" w:styleId="9">
    <w:name w:val="表格文字 居中"/>
    <w:basedOn w:val="10"/>
    <w:qFormat/>
    <w:uiPriority w:val="0"/>
    <w:pPr>
      <w:jc w:val="center"/>
    </w:pPr>
    <w:rPr>
      <w:rFonts w:ascii="Arial" w:hAnsi="Arial"/>
      <w:sz w:val="18"/>
    </w:rPr>
  </w:style>
  <w:style w:type="paragraph" w:customStyle="1" w:styleId="10">
    <w:name w:val="正文1"/>
    <w:qFormat/>
    <w:uiPriority w:val="0"/>
    <w:pPr>
      <w:widowControl w:val="0"/>
      <w:jc w:val="both"/>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5754</Words>
  <Characters>5915</Characters>
  <Lines>0</Lines>
  <Paragraphs>0</Paragraphs>
  <TotalTime>0</TotalTime>
  <ScaleCrop>false</ScaleCrop>
  <LinksUpToDate>false</LinksUpToDate>
  <CharactersWithSpaces>6044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2025-06-09T06:26:00Z</dcterms:created>
  <dc:creator>李若萌</dc:creator>
  <cp:lastModifiedBy>Administrator</cp:lastModifiedBy>
  <dcterms:modified xsi:type="dcterms:W3CDTF">2025-06-10T00:37:40Z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eyJoZGlkIjoiYzA3NDc0NTU4MjAyNGVmYmI3YzUzYTI3ZWUzYTI0ZDQifQ==</vt:lpwstr>
  </property>
  <property fmtid="{D5CDD505-2E9C-101B-9397-08002B2CF9AE}" pid="4" name="ICV">
    <vt:lpwstr>D4430CF5E2914A2A802905A0C7B1D5DC_12</vt:lpwstr>
  </property>
</Properties>
</file>