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南开区税务局12366纳税缴费服务热线远程座席服务项目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2025年0</w:t>
      </w:r>
      <w:r>
        <w:rPr>
          <w:rFonts w:hint="eastAsia" w:ascii="宋体" w:hAnsi="宋体" w:eastAsia="宋体" w:cs="宋体"/>
          <w:sz w:val="36"/>
          <w:szCs w:val="36"/>
          <w:lang w:val="en-US" w:eastAsia="zh-CN"/>
        </w:rPr>
        <w:t>6</w:t>
      </w:r>
      <w:r>
        <w:rPr>
          <w:rFonts w:hint="eastAsia" w:ascii="宋体" w:hAnsi="宋体" w:eastAsia="宋体" w:cs="宋体"/>
          <w:sz w:val="36"/>
          <w:szCs w:val="36"/>
          <w:lang w:eastAsia="zh-CN"/>
        </w:rPr>
        <w:t>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_Toc256000007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_Toc256000008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_Toc256000009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_Toc256000010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_Toc256000011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_Toc256000012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_Toc256000013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2.2.1投标/响应方案要求</w:t>
      </w:r>
      <w:r>
        <w:tab/>
      </w:r>
      <w:r>
        <w:fldChar w:fldCharType="begin"/>
      </w:r>
      <w:r>
        <w:instrText xml:space="preserve"> PAGEREF _Toc256000014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_Toc256000015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_Toc256000016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3.2服务内容和要求</w:t>
      </w:r>
      <w:r>
        <w:tab/>
      </w:r>
      <w:r>
        <w:fldChar w:fldCharType="begin"/>
      </w:r>
      <w:r>
        <w:instrText xml:space="preserve"> PAGEREF _Toc256000017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3.2.1技术和服务客观指标</w:t>
      </w:r>
      <w:r>
        <w:tab/>
      </w:r>
      <w:r>
        <w:fldChar w:fldCharType="begin"/>
      </w:r>
      <w:r>
        <w:instrText xml:space="preserve"> PAGEREF _Toc256000018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_Toc256000019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4.1总体要求</w:t>
      </w:r>
      <w:r>
        <w:tab/>
      </w:r>
      <w:r>
        <w:fldChar w:fldCharType="begin"/>
      </w:r>
      <w:r>
        <w:instrText xml:space="preserve"> PAGEREF _Toc256000020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4.2管理团队</w:t>
      </w:r>
      <w:r>
        <w:tab/>
      </w:r>
      <w:r>
        <w:fldChar w:fldCharType="begin"/>
      </w:r>
      <w:r>
        <w:instrText xml:space="preserve"> PAGEREF _Toc256000021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4.3技术团队</w:t>
      </w:r>
      <w:r>
        <w:tab/>
      </w:r>
      <w:r>
        <w:fldChar w:fldCharType="begin"/>
      </w:r>
      <w:r>
        <w:instrText xml:space="preserve"> PAGEREF _Toc256000022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4.4优选资质/优选指标</w:t>
      </w:r>
      <w:r>
        <w:tab/>
      </w:r>
      <w:r>
        <w:fldChar w:fldCharType="begin"/>
      </w:r>
      <w:r>
        <w:instrText xml:space="preserve"> PAGEREF _Toc256000023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_Toc256000024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_Toc256000025 \h </w:instrText>
      </w:r>
      <w:r>
        <w:fldChar w:fldCharType="separate"/>
      </w:r>
      <w:r>
        <w:t>11</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_Toc256000026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_Toc256000027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_Toc256000028 \h </w:instrText>
      </w:r>
      <w:r>
        <w:fldChar w:fldCharType="separate"/>
      </w:r>
      <w:r>
        <w:t>11</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_Toc256000029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_Toc256000030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_Toc256000031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_Toc256000032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_Toc256000033 \h </w:instrText>
      </w:r>
      <w:r>
        <w:fldChar w:fldCharType="separate"/>
      </w:r>
      <w:r>
        <w:t>13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_Toc256000034 \h </w:instrText>
      </w:r>
      <w:r>
        <w:fldChar w:fldCharType="separate"/>
      </w:r>
      <w:r>
        <w:t>13</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480"/>
        <w:rPr>
          <w:rFonts w:ascii="Times New Roman" w:hAnsi="Times New Roman" w:eastAsia="Times New Roman" w:cs="Times New Roman"/>
        </w:rPr>
      </w:pP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为构建天津税务系统“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通过政府采购方式采购12366热线及其他咨询服务。</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为纳税人缴费人提供专业化、规范化、标准化服务，持续提升纳税人缴费人的满意度和获得感。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本项目采购内容为12366热线咨询服务，</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提供办公场地、人员工位及相关办公设备，中标供应商提供服务人员及接听设备。本项目需要服务人员</w:t>
      </w:r>
      <w:r>
        <w:rPr>
          <w:rFonts w:hint="eastAsia" w:ascii="仿宋_GB2312" w:hAnsi="仿宋_GB2312" w:eastAsia="仿宋_GB2312" w:cs="仿宋_GB2312"/>
          <w:sz w:val="28"/>
          <w:szCs w:val="28"/>
          <w:lang w:val="en-US" w:eastAsia="zh-CN"/>
        </w:rPr>
        <w:t>8人</w:t>
      </w:r>
      <w:r>
        <w:rPr>
          <w:rFonts w:ascii="仿宋_GB2312" w:hAnsi="仿宋_GB2312" w:eastAsia="仿宋_GB2312" w:cs="仿宋_GB2312"/>
          <w:sz w:val="28"/>
          <w:szCs w:val="28"/>
        </w:rPr>
        <w:t>，中标供应商按照</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要求培训、管理服务人员，配合</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对12366热线的日常管理工作，共同落实服务规范和绩效管理办法等制度体系。</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按照国家税务总局天津市税务局对12366热线及征纳互动咨询服务的要求，须为12366热线提供工作日人工座席服务。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合同规定的服务起始之日起起</w:t>
      </w:r>
      <w:r>
        <w:rPr>
          <w:rFonts w:hint="eastAsia" w:ascii="仿宋_GB2312" w:hAnsi="仿宋_GB2312" w:eastAsia="仿宋_GB2312" w:cs="仿宋_GB2312"/>
          <w:sz w:val="28"/>
          <w:szCs w:val="28"/>
          <w:lang w:val="en-US" w:eastAsia="zh-CN"/>
        </w:rPr>
        <w:t>2年</w:t>
      </w:r>
      <w:r>
        <w:rPr>
          <w:rFonts w:ascii="仿宋_GB2312" w:hAnsi="仿宋_GB2312" w:eastAsia="仿宋_GB2312" w:cs="仿宋_GB2312"/>
          <w:sz w:val="28"/>
          <w:szCs w:val="28"/>
        </w:rPr>
        <w:t>。</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2"/>
        <w:spacing w:before="0" w:after="0" w:line="360" w:lineRule="auto"/>
        <w:ind w:firstLine="560"/>
        <w:rPr>
          <w:rFonts w:ascii="Times New Roman" w:hAnsi="Times New Roman" w:eastAsia="Times New Roman" w:cs="Times New Roman"/>
        </w:rPr>
      </w:pPr>
      <w:bookmarkStart w:id="9" w:name="_Toc256000007"/>
      <w:r>
        <w:rPr>
          <w:rFonts w:ascii="仿宋_GB2312" w:hAnsi="仿宋_GB2312" w:eastAsia="仿宋_GB2312" w:cs="仿宋_GB2312"/>
          <w:sz w:val="28"/>
          <w:szCs w:val="28"/>
        </w:rPr>
        <w:t>国家税务总局天津市南开区税务局，地址天津市南开区南门外大街与南开五纬路交口新泉大厦B座</w:t>
      </w:r>
    </w:p>
    <w:p>
      <w:pPr>
        <w:pStyle w:val="2"/>
        <w:keepNext w:val="0"/>
        <w:spacing w:before="0" w:after="0" w:line="360" w:lineRule="auto"/>
        <w:jc w:val="center"/>
        <w:rPr>
          <w:rFonts w:ascii="仿宋_GB2312" w:hAnsi="仿宋_GB2312" w:eastAsia="仿宋_GB2312" w:cs="仿宋_GB2312"/>
          <w:b/>
          <w:bCs/>
          <w:sz w:val="32"/>
          <w:szCs w:val="32"/>
        </w:rPr>
      </w:pPr>
      <w:r>
        <w:rPr>
          <w:rFonts w:ascii="仿宋_GB2312" w:hAnsi="仿宋_GB2312" w:eastAsia="仿宋_GB2312" w:cs="仿宋_GB2312"/>
          <w:kern w:val="36"/>
        </w:rPr>
        <w:t>2投标/响应要求</w:t>
      </w:r>
      <w:bookmarkEnd w:id="9"/>
    </w:p>
    <w:p>
      <w:pPr>
        <w:pStyle w:val="3"/>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i w:val="0"/>
          <w:iCs w:val="0"/>
        </w:rPr>
        <w:t>2.1对供应商的要求</w:t>
      </w:r>
      <w:bookmarkEnd w:id="10"/>
    </w:p>
    <w:p>
      <w:pPr>
        <w:pStyle w:val="4"/>
        <w:keepNext w:val="0"/>
        <w:spacing w:before="0" w:after="0" w:line="360" w:lineRule="auto"/>
        <w:rPr>
          <w:rFonts w:ascii="仿宋_GB2312" w:hAnsi="仿宋_GB2312" w:eastAsia="仿宋_GB2312" w:cs="仿宋_GB2312"/>
          <w:b/>
          <w:bCs/>
          <w:sz w:val="28"/>
          <w:szCs w:val="28"/>
        </w:rPr>
      </w:pPr>
      <w:bookmarkStart w:id="11" w:name="_Toc256000009"/>
      <w:r>
        <w:rPr>
          <w:rFonts w:ascii="仿宋_GB2312" w:hAnsi="仿宋_GB2312" w:eastAsia="仿宋_GB2312" w:cs="仿宋_GB2312"/>
          <w:sz w:val="28"/>
          <w:szCs w:val="28"/>
        </w:rPr>
        <w:t>2.1.1必备资质</w:t>
      </w:r>
      <w:bookmarkEnd w:id="11"/>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4"/>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sz w:val="28"/>
          <w:szCs w:val="28"/>
        </w:rPr>
        <w:t>2.1.2优选资质/优选指标</w:t>
      </w:r>
      <w:bookmarkEnd w:id="12"/>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tbl>
      <w:tblPr>
        <w:tblStyle w:val="9"/>
        <w:tblW w:w="5000" w:type="pct"/>
        <w:tblInd w:w="30" w:type="dxa"/>
        <w:tblLayout w:type="autofit"/>
        <w:tblCellMar>
          <w:top w:w="15" w:type="dxa"/>
          <w:left w:w="15" w:type="dxa"/>
          <w:bottom w:w="15" w:type="dxa"/>
          <w:right w:w="15" w:type="dxa"/>
        </w:tblCellMar>
      </w:tblPr>
      <w:tblGrid>
        <w:gridCol w:w="1296"/>
        <w:gridCol w:w="2591"/>
        <w:gridCol w:w="2591"/>
        <w:gridCol w:w="2592"/>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证书名称</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颁发部门</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相关要求</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质量管理体系认证证书</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hint="eastAsia" w:ascii="仿宋_GB2312" w:hAnsi="仿宋_GB2312" w:eastAsia="仿宋_GB2312" w:cs="仿宋_GB2312"/>
                <w:b w:val="0"/>
                <w:bCs w:val="0"/>
                <w:i w:val="0"/>
                <w:iCs w:val="0"/>
                <w:smallCaps w:val="0"/>
                <w:color w:val="000000"/>
                <w:sz w:val="21"/>
                <w:szCs w:val="21"/>
              </w:rPr>
              <w:t>环境管理体系认证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hint="eastAsia" w:ascii="仿宋_GB2312" w:hAnsi="仿宋_GB2312" w:eastAsia="仿宋_GB2312" w:cs="仿宋_GB2312"/>
                <w:b w:val="0"/>
                <w:bCs w:val="0"/>
                <w:i w:val="0"/>
                <w:iCs w:val="0"/>
                <w:smallCaps w:val="0"/>
                <w:color w:val="000000"/>
                <w:sz w:val="21"/>
                <w:szCs w:val="21"/>
                <w:lang w:val="en-US" w:eastAsia="zh-CN"/>
              </w:rPr>
            </w:pPr>
            <w:r>
              <w:rPr>
                <w:rFonts w:hint="eastAsia" w:ascii="仿宋_GB2312" w:hAnsi="仿宋_GB2312" w:eastAsia="仿宋_GB2312" w:cs="仿宋_GB2312"/>
                <w:b w:val="0"/>
                <w:bCs w:val="0"/>
                <w:i w:val="0"/>
                <w:iCs w:val="0"/>
                <w:smallCaps w:val="0"/>
                <w:color w:val="000000"/>
                <w:sz w:val="21"/>
                <w:szCs w:val="21"/>
                <w:lang w:val="en-US" w:eastAsia="zh-CN"/>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hint="eastAsia" w:ascii="仿宋_GB2312" w:hAnsi="仿宋_GB2312" w:eastAsia="仿宋_GB2312" w:cs="仿宋_GB2312"/>
                <w:b w:val="0"/>
                <w:bCs w:val="0"/>
                <w:i w:val="0"/>
                <w:iCs w:val="0"/>
                <w:smallCaps w:val="0"/>
                <w:color w:val="000000"/>
                <w:sz w:val="21"/>
                <w:szCs w:val="21"/>
              </w:rPr>
            </w:pPr>
            <w:r>
              <w:rPr>
                <w:rFonts w:hint="eastAsia" w:ascii="仿宋_GB2312" w:hAnsi="仿宋_GB2312" w:eastAsia="仿宋_GB2312" w:cs="仿宋_GB2312"/>
                <w:b w:val="0"/>
                <w:bCs w:val="0"/>
                <w:i w:val="0"/>
                <w:iCs w:val="0"/>
                <w:smallCaps w:val="0"/>
                <w:color w:val="000000"/>
                <w:sz w:val="21"/>
                <w:szCs w:val="21"/>
              </w:rPr>
              <w:t>职业健康安全管理体系认证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3"/>
        <w:spacing w:line="360" w:lineRule="auto"/>
        <w:ind w:firstLine="480"/>
        <w:rPr>
          <w:lang w:eastAsia="zh-CN"/>
        </w:rPr>
      </w:pPr>
      <w:bookmarkStart w:id="13" w:name="_Toc256000011"/>
      <w:r>
        <w:rPr>
          <w:rFonts w:ascii="仿宋_GB2312" w:hAnsi="仿宋_GB2312" w:eastAsia="仿宋_GB2312" w:cs="仿宋_GB2312"/>
          <w:sz w:val="28"/>
          <w:szCs w:val="28"/>
          <w:lang w:eastAsia="zh-CN"/>
        </w:rPr>
        <w:t>有效案例为2022年1月1日以来（以合同签订日期为准）,供应商独立承担的与本项目相类似项目案例。</w:t>
      </w:r>
    </w:p>
    <w:p>
      <w:pPr>
        <w:pStyle w:val="4"/>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sz w:val="28"/>
          <w:szCs w:val="28"/>
        </w:rPr>
        <w:t>2.1.3是否允许联合体</w:t>
      </w:r>
      <w:bookmarkEnd w:id="1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2.1.4是否专门面向中小企业</w:t>
      </w:r>
      <w:bookmarkEnd w:id="14"/>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w:t>
      </w:r>
      <w:r>
        <w:rPr>
          <w:rFonts w:hint="eastAsia" w:ascii="仿宋_GB2312" w:hAnsi="仿宋_GB2312" w:eastAsia="仿宋_GB2312" w:cs="仿宋_GB2312"/>
          <w:sz w:val="28"/>
          <w:szCs w:val="28"/>
          <w:highlight w:val="none"/>
          <w:lang w:val="en-US" w:eastAsia="zh-CN"/>
        </w:rPr>
        <w:t>不专门</w:t>
      </w:r>
      <w:r>
        <w:rPr>
          <w:rFonts w:ascii="仿宋_GB2312" w:hAnsi="仿宋_GB2312" w:eastAsia="仿宋_GB2312" w:cs="仿宋_GB2312"/>
          <w:sz w:val="28"/>
          <w:szCs w:val="28"/>
        </w:rPr>
        <w:t>面向中小企业采购项目</w:t>
      </w:r>
    </w:p>
    <w:p>
      <w:pPr>
        <w:pStyle w:val="3"/>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i w:val="0"/>
          <w:iCs w:val="0"/>
        </w:rPr>
        <w:t>2.2技术部分投标/响应内容</w:t>
      </w:r>
      <w:bookmarkEnd w:id="15"/>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2.2.1投标/响应方案要求</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spacing w:before="0" w:after="0" w:line="360" w:lineRule="auto"/>
        <w:ind w:firstLine="480"/>
        <w:rPr>
          <w:rFonts w:ascii="仿宋_GB2312" w:hAnsi="仿宋_GB2312" w:eastAsia="仿宋_GB2312" w:cs="仿宋_GB2312"/>
          <w:sz w:val="28"/>
          <w:szCs w:val="28"/>
          <w:highlight w:val="none"/>
        </w:rPr>
      </w:pPr>
      <w:r>
        <w:rPr>
          <w:rFonts w:ascii="仿宋_GB2312" w:hAnsi="仿宋_GB2312" w:eastAsia="仿宋_GB2312" w:cs="仿宋_GB2312"/>
          <w:sz w:val="28"/>
          <w:szCs w:val="28"/>
          <w:highlight w:val="none"/>
        </w:rPr>
        <w:t>投标人应根据项目需求对</w:t>
      </w:r>
      <w:r>
        <w:rPr>
          <w:rFonts w:hint="eastAsia" w:ascii="仿宋_GB2312" w:hAnsi="仿宋_GB2312" w:eastAsia="仿宋_GB2312" w:cs="仿宋_GB2312"/>
          <w:sz w:val="28"/>
          <w:szCs w:val="28"/>
          <w:highlight w:val="none"/>
          <w:lang w:eastAsia="zh-CN"/>
        </w:rPr>
        <w:t>项目整体运行方案</w:t>
      </w:r>
      <w:r>
        <w:rPr>
          <w:rFonts w:ascii="仿宋_GB2312" w:hAnsi="仿宋_GB2312" w:eastAsia="仿宋_GB2312" w:cs="仿宋_GB2312"/>
          <w:sz w:val="28"/>
          <w:szCs w:val="28"/>
          <w:highlight w:val="none"/>
        </w:rPr>
        <w:t>、项目需求理解、保密管理</w:t>
      </w:r>
      <w:r>
        <w:rPr>
          <w:rFonts w:hint="eastAsia" w:ascii="仿宋_GB2312" w:hAnsi="仿宋_GB2312" w:eastAsia="仿宋_GB2312" w:cs="仿宋_GB2312"/>
          <w:sz w:val="28"/>
          <w:szCs w:val="28"/>
          <w:highlight w:val="none"/>
          <w:lang w:eastAsia="zh-CN"/>
        </w:rPr>
        <w:t>方案</w:t>
      </w:r>
      <w:r>
        <w:rPr>
          <w:rFonts w:ascii="仿宋_GB2312" w:hAnsi="仿宋_GB2312" w:eastAsia="仿宋_GB2312" w:cs="仿宋_GB2312"/>
          <w:sz w:val="28"/>
          <w:szCs w:val="28"/>
          <w:highlight w:val="none"/>
        </w:rPr>
        <w:t>、培训方案、应急</w:t>
      </w:r>
      <w:r>
        <w:rPr>
          <w:rFonts w:hint="eastAsia" w:ascii="仿宋_GB2312" w:hAnsi="仿宋_GB2312" w:eastAsia="仿宋_GB2312" w:cs="仿宋_GB2312"/>
          <w:sz w:val="28"/>
          <w:szCs w:val="28"/>
          <w:highlight w:val="none"/>
          <w:lang w:eastAsia="zh-CN"/>
        </w:rPr>
        <w:t>处理</w:t>
      </w:r>
      <w:r>
        <w:rPr>
          <w:rFonts w:ascii="仿宋_GB2312" w:hAnsi="仿宋_GB2312" w:eastAsia="仿宋_GB2312" w:cs="仿宋_GB2312"/>
          <w:sz w:val="28"/>
          <w:szCs w:val="28"/>
          <w:highlight w:val="none"/>
        </w:rPr>
        <w:t>方案等内容进行响应。</w:t>
      </w:r>
    </w:p>
    <w:p>
      <w:pPr>
        <w:spacing w:before="0" w:after="0" w:line="360" w:lineRule="auto"/>
        <w:ind w:firstLine="48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lang w:eastAsia="zh-CN"/>
        </w:rPr>
        <w:t>整体运行方案：至少包含针对本项目的人员管理、现场管理、业务管理等方面内容。</w:t>
      </w:r>
    </w:p>
    <w:p>
      <w:pPr>
        <w:spacing w:before="0" w:after="0" w:line="360" w:lineRule="auto"/>
        <w:ind w:firstLine="48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2.</w:t>
      </w:r>
      <w:r>
        <w:rPr>
          <w:rFonts w:ascii="仿宋_GB2312" w:hAnsi="仿宋_GB2312" w:eastAsia="仿宋_GB2312" w:cs="仿宋_GB2312"/>
          <w:sz w:val="28"/>
          <w:szCs w:val="28"/>
          <w:highlight w:val="none"/>
        </w:rPr>
        <w:t>项目需求理解</w:t>
      </w:r>
      <w:r>
        <w:rPr>
          <w:rFonts w:hint="eastAsia" w:ascii="仿宋_GB2312" w:hAnsi="仿宋_GB2312" w:eastAsia="仿宋_GB2312" w:cs="仿宋_GB2312"/>
          <w:sz w:val="28"/>
          <w:szCs w:val="28"/>
          <w:highlight w:val="none"/>
          <w:lang w:eastAsia="zh-CN"/>
        </w:rPr>
        <w:t>：至少包含投标人对本服务项目任务及需求的理解、用户现状分析、实施要求等方面的内容。</w:t>
      </w:r>
    </w:p>
    <w:p>
      <w:pPr>
        <w:spacing w:before="0" w:after="0" w:line="360" w:lineRule="auto"/>
        <w:ind w:firstLine="48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3.</w:t>
      </w:r>
      <w:r>
        <w:rPr>
          <w:rFonts w:ascii="仿宋_GB2312" w:hAnsi="仿宋_GB2312" w:eastAsia="仿宋_GB2312" w:cs="仿宋_GB2312"/>
          <w:sz w:val="28"/>
          <w:szCs w:val="28"/>
          <w:highlight w:val="none"/>
        </w:rPr>
        <w:t>保密管理</w:t>
      </w:r>
      <w:r>
        <w:rPr>
          <w:rFonts w:hint="eastAsia" w:ascii="仿宋_GB2312" w:hAnsi="仿宋_GB2312" w:eastAsia="仿宋_GB2312" w:cs="仿宋_GB2312"/>
          <w:sz w:val="28"/>
          <w:szCs w:val="28"/>
          <w:highlight w:val="none"/>
          <w:lang w:eastAsia="zh-CN"/>
        </w:rPr>
        <w:t>方案：至少包含有针对性地的信息安全管理制度、信息保密措施等方面的内容。</w:t>
      </w:r>
    </w:p>
    <w:p>
      <w:pPr>
        <w:spacing w:before="0" w:after="0" w:line="360" w:lineRule="auto"/>
        <w:ind w:firstLine="48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4.</w:t>
      </w:r>
      <w:r>
        <w:rPr>
          <w:rFonts w:ascii="仿宋_GB2312" w:hAnsi="仿宋_GB2312" w:eastAsia="仿宋_GB2312" w:cs="仿宋_GB2312"/>
          <w:sz w:val="28"/>
          <w:szCs w:val="28"/>
          <w:highlight w:val="none"/>
        </w:rPr>
        <w:t>培训方案</w:t>
      </w:r>
      <w:r>
        <w:rPr>
          <w:rFonts w:hint="eastAsia" w:ascii="仿宋_GB2312" w:hAnsi="仿宋_GB2312" w:eastAsia="仿宋_GB2312" w:cs="仿宋_GB2312"/>
          <w:sz w:val="28"/>
          <w:szCs w:val="28"/>
          <w:highlight w:val="none"/>
          <w:lang w:eastAsia="zh-CN"/>
        </w:rPr>
        <w:t>：至少包含针对本项目服务人员的培训计划、培训资料、培训师资、培训方式等方面的内容。</w:t>
      </w:r>
    </w:p>
    <w:p>
      <w:pPr>
        <w:spacing w:before="0" w:after="0" w:line="360" w:lineRule="auto"/>
        <w:ind w:firstLine="48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w:t>
      </w:r>
      <w:r>
        <w:rPr>
          <w:rFonts w:ascii="仿宋_GB2312" w:hAnsi="仿宋_GB2312" w:eastAsia="仿宋_GB2312" w:cs="仿宋_GB2312"/>
          <w:sz w:val="28"/>
          <w:szCs w:val="28"/>
          <w:highlight w:val="none"/>
        </w:rPr>
        <w:t>应急</w:t>
      </w:r>
      <w:r>
        <w:rPr>
          <w:rFonts w:hint="eastAsia" w:ascii="仿宋_GB2312" w:hAnsi="仿宋_GB2312" w:eastAsia="仿宋_GB2312" w:cs="仿宋_GB2312"/>
          <w:sz w:val="28"/>
          <w:szCs w:val="28"/>
          <w:highlight w:val="none"/>
          <w:lang w:eastAsia="zh-CN"/>
        </w:rPr>
        <w:t>处理</w:t>
      </w:r>
      <w:r>
        <w:rPr>
          <w:rFonts w:ascii="仿宋_GB2312" w:hAnsi="仿宋_GB2312" w:eastAsia="仿宋_GB2312" w:cs="仿宋_GB2312"/>
          <w:sz w:val="28"/>
          <w:szCs w:val="28"/>
          <w:highlight w:val="none"/>
        </w:rPr>
        <w:t>方案</w:t>
      </w:r>
      <w:r>
        <w:rPr>
          <w:rFonts w:hint="eastAsia" w:ascii="仿宋_GB2312" w:hAnsi="仿宋_GB2312" w:eastAsia="仿宋_GB2312" w:cs="仿宋_GB2312"/>
          <w:sz w:val="28"/>
          <w:szCs w:val="28"/>
          <w:highlight w:val="none"/>
          <w:lang w:eastAsia="zh-CN"/>
        </w:rPr>
        <w:t>：至少包含针对本项目实施过程中可能出现的系统故障、话务服务激增、人员流失等方面的突发情况，建立突发事件、应急事件处理制度。</w:t>
      </w:r>
    </w:p>
    <w:p>
      <w:pPr>
        <w:spacing w:before="0" w:after="0" w:line="360" w:lineRule="auto"/>
        <w:ind w:firstLine="480"/>
        <w:rPr>
          <w:rFonts w:hint="eastAsia" w:ascii="仿宋_GB2312" w:hAnsi="仿宋_GB2312" w:eastAsia="仿宋_GB2312" w:cs="仿宋_GB2312"/>
          <w:sz w:val="28"/>
          <w:szCs w:val="28"/>
          <w:lang w:val="en-US" w:eastAsia="zh-CN"/>
        </w:rPr>
      </w:pPr>
    </w:p>
    <w:p>
      <w:pPr>
        <w:pStyle w:val="2"/>
        <w:keepNext w:val="0"/>
        <w:spacing w:before="0" w:after="0" w:line="360" w:lineRule="auto"/>
        <w:jc w:val="center"/>
        <w:rPr>
          <w:rFonts w:ascii="仿宋_GB2312" w:hAnsi="仿宋_GB2312" w:eastAsia="仿宋_GB2312" w:cs="仿宋_GB2312"/>
          <w:b/>
          <w:bCs/>
          <w:sz w:val="32"/>
          <w:szCs w:val="32"/>
        </w:rPr>
      </w:pPr>
      <w:bookmarkStart w:id="17" w:name="_Toc256000015"/>
      <w:r>
        <w:rPr>
          <w:rFonts w:ascii="仿宋_GB2312" w:hAnsi="仿宋_GB2312" w:eastAsia="仿宋_GB2312" w:cs="仿宋_GB2312"/>
          <w:kern w:val="36"/>
        </w:rPr>
        <w:t>3项目需求</w:t>
      </w:r>
      <w:bookmarkEnd w:id="17"/>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3.1总体要求</w:t>
      </w:r>
      <w:bookmarkEnd w:id="18"/>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为构建天津税务系统“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pPr>
        <w:pStyle w:val="3"/>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i w:val="0"/>
          <w:iCs w:val="0"/>
        </w:rPr>
        <w:t>3.2服务内容和要求</w:t>
      </w:r>
      <w:bookmarkEnd w:id="19"/>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采购文件（技术部分）中有标注★号的，为必备服务要求，必须满足，如未作出响应，将导致响应无效；#为重要服务内容、△为一般服务内容。</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3.2.1技术和服务客观指标</w:t>
      </w:r>
      <w:bookmarkEnd w:id="20"/>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3.2.1.1技术和服务要求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2.电话回呼。通过人工主动呼出的方式向纳税人缴费人提供涉税费咨询服务。电话回呼包括留言回呼、纠错回呼、承诺回呼、遇忙（呼损）回呼等。</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3.征纳互动服务。通过征纳互动受理纳税人缴费人咨询，对通过12366热线发起咨询的符合条件的纳税人，根据业务需要为其提供反向拉起服务，提升咨询效率。</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4.后台支撑服务。主要解决热线人员无法及时回复或解决的问题，包括但不限于疑难问题的解答、业务工单等。</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5.宣传培训服务。包括相关涉税涉费热点问题的整理、编辑以及配合宣传和发布服务。</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6.需求采集服务。作为税务局和纳税人缴费人之间的沟通桥梁，了解纳税人缴费人的实际需求，利用服务纳税人缴费人时获得的需求信息和数据，定期提供需求报告，为税务局提高纳税服务水平提供决策依据。</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4人员要求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4.1总体要求</w:t>
      </w:r>
      <w:bookmarkEnd w:id="22"/>
    </w:p>
    <w:p>
      <w:pPr>
        <w:pStyle w:val="12"/>
        <w:spacing w:before="0" w:after="0" w:line="360" w:lineRule="auto"/>
        <w:ind w:firstLine="480"/>
        <w:rPr>
          <w:rFonts w:ascii="仿宋_GB2312" w:hAnsi="仿宋_GB2312" w:eastAsia="仿宋_GB2312" w:cs="仿宋_GB2312"/>
          <w:sz w:val="28"/>
          <w:szCs w:val="28"/>
        </w:rPr>
      </w:pPr>
      <w:r>
        <w:rPr>
          <w:rFonts w:ascii="仿宋_GB2312" w:hAnsi="仿宋_GB2312" w:eastAsia="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12366热线绩效管理要求。</w:t>
      </w:r>
    </w:p>
    <w:p>
      <w:pPr>
        <w:pStyle w:val="12"/>
        <w:spacing w:before="0" w:after="0" w:line="360" w:lineRule="auto"/>
        <w:ind w:firstLine="48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为本项目</w:t>
      </w:r>
      <w:r>
        <w:rPr>
          <w:rFonts w:ascii="仿宋_GB2312" w:hAnsi="仿宋_GB2312" w:eastAsia="仿宋_GB2312" w:cs="仿宋_GB2312"/>
          <w:sz w:val="28"/>
          <w:szCs w:val="28"/>
        </w:rPr>
        <w:t>提供热线咨询服务人员</w:t>
      </w:r>
      <w:r>
        <w:rPr>
          <w:rFonts w:hint="eastAsia" w:ascii="仿宋_GB2312" w:hAnsi="仿宋_GB2312" w:eastAsia="仿宋_GB2312" w:cs="仿宋_GB2312"/>
          <w:sz w:val="28"/>
          <w:szCs w:val="28"/>
          <w:lang w:val="en-US" w:eastAsia="zh-CN"/>
        </w:rPr>
        <w:t>8人</w:t>
      </w:r>
      <w:r>
        <w:rPr>
          <w:rFonts w:ascii="仿宋_GB2312" w:hAnsi="仿宋_GB2312" w:eastAsia="仿宋_GB2312" w:cs="仿宋_GB2312"/>
          <w:sz w:val="28"/>
          <w:szCs w:val="28"/>
        </w:rPr>
        <w:t>，指定其中</w:t>
      </w:r>
      <w:r>
        <w:rPr>
          <w:rFonts w:hint="eastAsia" w:ascii="仿宋_GB2312" w:hAnsi="仿宋_GB2312" w:eastAsia="仿宋_GB2312" w:cs="仿宋_GB2312"/>
          <w:sz w:val="28"/>
          <w:szCs w:val="28"/>
          <w:lang w:val="en-US" w:eastAsia="zh-CN"/>
        </w:rPr>
        <w:t>1人</w:t>
      </w:r>
      <w:r>
        <w:rPr>
          <w:rFonts w:ascii="仿宋_GB2312" w:hAnsi="仿宋_GB2312" w:eastAsia="仿宋_GB2312" w:cs="仿宋_GB2312"/>
          <w:sz w:val="28"/>
          <w:szCs w:val="28"/>
        </w:rPr>
        <w:t>为组长。</w:t>
      </w:r>
    </w:p>
    <w:p>
      <w:pPr>
        <w:pStyle w:val="3"/>
        <w:keepNext w:val="0"/>
        <w:spacing w:before="0" w:after="0" w:line="360" w:lineRule="auto"/>
        <w:rPr>
          <w:rFonts w:ascii="仿宋_GB2312" w:hAnsi="仿宋_GB2312" w:eastAsia="仿宋_GB2312" w:cs="仿宋_GB2312"/>
          <w:i w:val="0"/>
          <w:iCs w:val="0"/>
        </w:rPr>
      </w:pPr>
      <w:bookmarkStart w:id="23" w:name="_Toc256000021"/>
      <w:r>
        <w:rPr>
          <w:rFonts w:ascii="仿宋_GB2312" w:hAnsi="仿宋_GB2312" w:eastAsia="仿宋_GB2312" w:cs="仿宋_GB2312"/>
          <w:i w:val="0"/>
          <w:iCs w:val="0"/>
        </w:rPr>
        <w:t>4.2管理团队</w:t>
      </w:r>
      <w:bookmarkEnd w:id="23"/>
    </w:p>
    <w:p>
      <w:pPr>
        <w:pStyle w:val="12"/>
        <w:spacing w:before="0" w:after="0" w:line="360" w:lineRule="auto"/>
        <w:ind w:firstLine="480"/>
        <w:rPr>
          <w:rFonts w:hint="eastAsia" w:ascii="仿宋_GB2312" w:hAnsi="仿宋_GB2312" w:eastAsia="仿宋_GB2312" w:cs="仿宋_GB2312"/>
          <w:sz w:val="28"/>
          <w:szCs w:val="28"/>
          <w:lang w:eastAsia="zh-CN"/>
        </w:rPr>
      </w:pPr>
      <w:r>
        <w:rPr>
          <w:rFonts w:ascii="仿宋_GB2312" w:hAnsi="仿宋_GB2312" w:eastAsia="仿宋_GB2312" w:cs="仿宋_GB2312"/>
          <w:sz w:val="28"/>
          <w:szCs w:val="28"/>
        </w:rPr>
        <w:t>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w:t>
      </w:r>
      <w:r>
        <w:rPr>
          <w:rFonts w:hint="eastAsia" w:ascii="仿宋_GB2312" w:hAnsi="仿宋_GB2312" w:eastAsia="仿宋_GB2312" w:cs="仿宋_GB2312"/>
          <w:sz w:val="28"/>
          <w:szCs w:val="28"/>
          <w:lang w:eastAsia="zh-CN"/>
        </w:rPr>
        <w:t>。</w:t>
      </w:r>
    </w:p>
    <w:p>
      <w:pPr>
        <w:pStyle w:val="3"/>
        <w:keepNext w:val="0"/>
        <w:spacing w:before="0" w:after="0" w:line="360" w:lineRule="auto"/>
        <w:rPr>
          <w:rFonts w:ascii="仿宋_GB2312" w:hAnsi="仿宋_GB2312" w:eastAsia="仿宋_GB2312" w:cs="仿宋_GB2312"/>
          <w:b/>
          <w:bCs/>
          <w:sz w:val="28"/>
          <w:szCs w:val="28"/>
        </w:rPr>
      </w:pPr>
      <w:bookmarkStart w:id="24" w:name="_Toc256000022"/>
      <w:r>
        <w:rPr>
          <w:rFonts w:ascii="仿宋_GB2312" w:hAnsi="仿宋_GB2312" w:eastAsia="仿宋_GB2312" w:cs="仿宋_GB2312"/>
          <w:i w:val="0"/>
          <w:iCs w:val="0"/>
        </w:rPr>
        <w:t>4.3技术团队</w:t>
      </w:r>
      <w:bookmarkEnd w:id="24"/>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其他12366热线咨询服务人员负责通过12366热线电话向纳税人解答关于税收法律、行政法规、纳税程序以及社会保险费和税务机关管辖的非税收入征管有关问题等。</w:t>
      </w:r>
    </w:p>
    <w:p>
      <w:pPr>
        <w:keepNext w:val="0"/>
        <w:keepLines w:val="0"/>
        <w:widowControl/>
        <w:suppressLineNumbers w:val="0"/>
        <w:jc w:val="left"/>
        <w:rPr>
          <w:rFonts w:ascii="仿宋_GB2312" w:hAnsi="仿宋_GB2312" w:eastAsia="仿宋_GB2312" w:cs="仿宋_GB2312"/>
          <w:b/>
          <w:bCs/>
          <w:sz w:val="28"/>
          <w:szCs w:val="28"/>
          <w:lang w:val="en-US" w:eastAsia="en-US" w:bidi="ar-SA"/>
        </w:rPr>
      </w:pPr>
      <w:bookmarkStart w:id="25" w:name="_Toc256000023"/>
      <w:r>
        <w:rPr>
          <w:rFonts w:ascii="仿宋_GB2312" w:hAnsi="仿宋_GB2312" w:eastAsia="仿宋_GB2312" w:cs="仿宋_GB2312"/>
          <w:b/>
          <w:bCs/>
          <w:sz w:val="28"/>
          <w:szCs w:val="28"/>
          <w:lang w:val="en-US" w:eastAsia="zh-CN" w:bidi="ar-SA"/>
        </w:rPr>
        <w:t>4.4 人员具体要求</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中标供应商提供的服务人员需要符合以下条件：</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1.能熟练运用电脑办公软件，汉字录入速度不低于80字/分钟；</w:t>
      </w:r>
    </w:p>
    <w:p>
      <w:pPr>
        <w:pStyle w:val="14"/>
        <w:spacing w:before="0" w:after="0" w:line="360" w:lineRule="auto"/>
        <w:ind w:firstLine="480"/>
        <w:rPr>
          <w:rFonts w:ascii="仿宋_GB2312" w:hAnsi="仿宋_GB2312" w:eastAsia="仿宋_GB2312" w:cs="仿宋_GB2312"/>
          <w:b w:val="0"/>
          <w:bCs w:val="0"/>
          <w:sz w:val="28"/>
          <w:szCs w:val="28"/>
          <w:lang w:val="en-US" w:eastAsia="en-US" w:bidi="ar-SA"/>
        </w:rPr>
      </w:pPr>
      <w:r>
        <w:rPr>
          <w:rFonts w:ascii="仿宋_GB2312" w:hAnsi="仿宋_GB2312" w:eastAsia="仿宋_GB2312" w:cs="仿宋_GB2312"/>
          <w:sz w:val="28"/>
          <w:szCs w:val="28"/>
          <w:lang w:val="en-US" w:eastAsia="en-US" w:bidi="ar-SA"/>
        </w:rPr>
        <w:t>2</w:t>
      </w:r>
      <w:r>
        <w:rPr>
          <w:rFonts w:ascii="仿宋_GB2312" w:hAnsi="仿宋_GB2312" w:eastAsia="仿宋_GB2312" w:cs="仿宋_GB2312"/>
          <w:b/>
          <w:bCs/>
          <w:sz w:val="28"/>
          <w:szCs w:val="28"/>
          <w:lang w:val="en-US" w:eastAsia="en-US" w:bidi="ar-SA"/>
        </w:rPr>
        <w:t>.</w:t>
      </w:r>
      <w:r>
        <w:rPr>
          <w:rFonts w:ascii="仿宋_GB2312" w:hAnsi="仿宋_GB2312" w:eastAsia="仿宋_GB2312" w:cs="仿宋_GB2312"/>
          <w:b w:val="0"/>
          <w:bCs w:val="0"/>
          <w:sz w:val="28"/>
          <w:szCs w:val="28"/>
          <w:lang w:val="en-US" w:eastAsia="en-US" w:bidi="ar-SA"/>
        </w:rPr>
        <w:t>具有一定的税收基本业务知识，取得会计、税务类相关证书或考试合格证明，具备电话热线工作经验，其中财会、税收等财税经济类专业</w:t>
      </w:r>
      <w:r>
        <w:rPr>
          <w:rFonts w:hint="eastAsia" w:ascii="仿宋_GB2312" w:hAnsi="仿宋_GB2312" w:eastAsia="仿宋_GB2312" w:cs="仿宋_GB2312"/>
          <w:b w:val="0"/>
          <w:bCs w:val="0"/>
          <w:sz w:val="28"/>
          <w:szCs w:val="28"/>
          <w:lang w:val="en-US" w:eastAsia="zh-CN" w:bidi="ar-SA"/>
        </w:rPr>
        <w:t>本科</w:t>
      </w:r>
      <w:r>
        <w:rPr>
          <w:rFonts w:ascii="仿宋_GB2312" w:hAnsi="仿宋_GB2312" w:eastAsia="仿宋_GB2312" w:cs="仿宋_GB2312"/>
          <w:b w:val="0"/>
          <w:bCs w:val="0"/>
          <w:sz w:val="28"/>
          <w:szCs w:val="28"/>
          <w:lang w:val="en-US" w:eastAsia="en-US" w:bidi="ar-SA"/>
        </w:rPr>
        <w:t>（或以上）学历或具有一年（或以上）相关财税工作经验的人员，不得少于</w:t>
      </w:r>
      <w:r>
        <w:rPr>
          <w:rFonts w:hint="eastAsia" w:ascii="仿宋_GB2312" w:hAnsi="仿宋_GB2312" w:eastAsia="仿宋_GB2312" w:cs="仿宋_GB2312"/>
          <w:b w:val="0"/>
          <w:bCs w:val="0"/>
          <w:sz w:val="28"/>
          <w:szCs w:val="28"/>
          <w:lang w:val="en-US" w:eastAsia="zh-CN" w:bidi="ar-SA"/>
        </w:rPr>
        <w:t>5</w:t>
      </w:r>
      <w:r>
        <w:rPr>
          <w:rFonts w:ascii="仿宋_GB2312" w:hAnsi="仿宋_GB2312" w:eastAsia="仿宋_GB2312" w:cs="仿宋_GB2312"/>
          <w:b w:val="0"/>
          <w:bCs w:val="0"/>
          <w:sz w:val="28"/>
          <w:szCs w:val="28"/>
          <w:lang w:val="en-US" w:eastAsia="en-US" w:bidi="ar-SA"/>
        </w:rPr>
        <w:t>人；其中组长具备财会、税收等财税经济类专业大学本科（或以上）学历或具备三年（或以上）相关财税工作经验。</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3.普通话发音基本标准，语调自然，表达流畅，具备较强的服务意识和良好的语言表达能力、沟通能力、记忆能力、心理承受能力和学习能力；</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4.身体健康；</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5.12366热线人员上岗前由中标供应商组织培训，经考核通过后方能上岗。</w:t>
      </w:r>
    </w:p>
    <w:p>
      <w:pPr>
        <w:pStyle w:val="14"/>
        <w:spacing w:before="0" w:after="0" w:line="360" w:lineRule="auto"/>
        <w:ind w:firstLine="480"/>
        <w:rPr>
          <w:rFonts w:ascii="仿宋_GB2312" w:hAnsi="仿宋_GB2312" w:eastAsia="仿宋_GB2312" w:cs="仿宋_GB2312"/>
          <w:sz w:val="28"/>
          <w:szCs w:val="28"/>
          <w:lang w:val="en-US" w:eastAsia="en-US" w:bidi="ar-SA"/>
        </w:rPr>
      </w:pPr>
      <w:r>
        <w:rPr>
          <w:rFonts w:ascii="仿宋_GB2312" w:hAnsi="仿宋_GB2312" w:eastAsia="仿宋_GB2312" w:cs="仿宋_GB2312"/>
          <w:sz w:val="28"/>
          <w:szCs w:val="28"/>
          <w:lang w:val="en-US" w:eastAsia="en-US" w:bidi="ar-SA"/>
        </w:rPr>
        <w:t>6.符合采购人要求及日常管理工作规范</w:t>
      </w:r>
      <w:r>
        <w:rPr>
          <w:rFonts w:hint="eastAsia" w:ascii="仿宋_GB2312" w:hAnsi="仿宋_GB2312" w:eastAsia="仿宋_GB2312" w:cs="仿宋_GB2312"/>
          <w:sz w:val="28"/>
          <w:szCs w:val="28"/>
          <w:lang w:val="en-US" w:eastAsia="zh-CN" w:bidi="ar-SA"/>
        </w:rPr>
        <w:t>。</w:t>
      </w:r>
    </w:p>
    <w:p>
      <w:pPr>
        <w:pStyle w:val="3"/>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i w:val="0"/>
          <w:iCs w:val="0"/>
        </w:rPr>
        <w:t>4.</w:t>
      </w:r>
      <w:r>
        <w:rPr>
          <w:rFonts w:hint="eastAsia" w:ascii="仿宋_GB2312" w:hAnsi="仿宋_GB2312" w:eastAsia="仿宋_GB2312" w:cs="仿宋_GB2312"/>
          <w:i w:val="0"/>
          <w:iCs w:val="0"/>
          <w:lang w:val="en-US" w:eastAsia="zh-CN"/>
        </w:rPr>
        <w:t>5</w:t>
      </w:r>
      <w:r>
        <w:rPr>
          <w:rFonts w:ascii="仿宋_GB2312" w:hAnsi="仿宋_GB2312" w:eastAsia="仿宋_GB2312" w:cs="仿宋_GB2312"/>
          <w:i w:val="0"/>
          <w:iCs w:val="0"/>
        </w:rPr>
        <w:t>优选资质/优选指标</w:t>
      </w:r>
      <w:bookmarkEnd w:id="25"/>
    </w:p>
    <w:p>
      <w:pPr>
        <w:pStyle w:val="2"/>
        <w:keepNext w:val="0"/>
        <w:spacing w:before="0" w:after="0" w:line="360" w:lineRule="auto"/>
        <w:jc w:val="center"/>
        <w:rPr>
          <w:rFonts w:ascii="仿宋_GB2312" w:hAnsi="仿宋_GB2312" w:eastAsia="仿宋_GB2312" w:cs="仿宋_GB2312"/>
          <w:b/>
          <w:bCs/>
          <w:sz w:val="32"/>
          <w:szCs w:val="32"/>
        </w:rPr>
      </w:pPr>
      <w:bookmarkStart w:id="26" w:name="_Toc256000024"/>
      <w:r>
        <w:rPr>
          <w:rFonts w:ascii="仿宋_GB2312" w:hAnsi="仿宋_GB2312" w:eastAsia="仿宋_GB2312" w:cs="仿宋_GB2312"/>
          <w:kern w:val="36"/>
        </w:rPr>
        <w:t>5管理实施要求</w:t>
      </w:r>
      <w:bookmarkEnd w:id="26"/>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（一）实施要求</w:t>
      </w:r>
    </w:p>
    <w:p>
      <w:pPr>
        <w:pStyle w:val="13"/>
        <w:spacing w:before="0" w:after="0" w:line="360" w:lineRule="auto"/>
        <w:ind w:left="0" w:firstLine="480"/>
        <w:rPr>
          <w:rFonts w:ascii="Times New Roman" w:hAnsi="Times New Roman" w:eastAsia="Times New Roman" w:cs="Times New Roman"/>
        </w:rPr>
      </w:pPr>
      <w:r>
        <w:t>1.</w:t>
      </w:r>
      <w:r>
        <w:rPr>
          <w:sz w:val="14"/>
          <w:szCs w:val="14"/>
        </w:rPr>
        <w:t xml:space="preserve">    </w:t>
      </w:r>
      <w:r>
        <w:rPr>
          <w:rFonts w:ascii="仿宋_GB2312" w:hAnsi="仿宋_GB2312" w:eastAsia="仿宋_GB2312" w:cs="仿宋_GB2312"/>
          <w:sz w:val="28"/>
          <w:szCs w:val="28"/>
        </w:rPr>
        <w:t>中标供应商应提供所有座席人员的身份信息资料。</w:t>
      </w:r>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2.</w:t>
      </w:r>
      <w:r>
        <w:rPr>
          <w:sz w:val="14"/>
          <w:szCs w:val="14"/>
        </w:rPr>
        <w:t> </w:t>
      </w:r>
      <w:r>
        <w:rPr>
          <w:rFonts w:ascii="仿宋_GB2312" w:hAnsi="仿宋_GB2312" w:eastAsia="仿宋_GB2312" w:cs="仿宋_GB2312"/>
          <w:sz w:val="28"/>
          <w:szCs w:val="28"/>
        </w:rPr>
        <w:t>服务期内发生各种事故：包括安全、交通、防火和劳资纠纷等事故，由中标供应商承担相应责任。</w:t>
      </w:r>
    </w:p>
    <w:p>
      <w:pPr>
        <w:pStyle w:val="13"/>
        <w:spacing w:before="0" w:after="0" w:line="360" w:lineRule="auto"/>
        <w:ind w:left="0" w:firstLine="480"/>
        <w:rPr>
          <w:rFonts w:ascii="Times New Roman" w:hAnsi="Times New Roman" w:eastAsia="Times New Roman" w:cs="Times New Roman"/>
        </w:rPr>
      </w:pPr>
      <w:r>
        <w:t>3.</w:t>
      </w:r>
      <w:r>
        <w:rPr>
          <w:sz w:val="14"/>
          <w:szCs w:val="14"/>
        </w:rPr>
        <w:t xml:space="preserve">    </w:t>
      </w:r>
      <w:r>
        <w:rPr>
          <w:rFonts w:ascii="仿宋_GB2312" w:hAnsi="仿宋_GB2312" w:eastAsia="仿宋_GB2312" w:cs="仿宋_GB2312"/>
          <w:sz w:val="28"/>
          <w:szCs w:val="28"/>
        </w:rPr>
        <w:t>中标供应商需确保所提供服务的工作时长，工作期间不得擅离职守，注重仪容仪表、工作态度，保证为纳税人提供准确、快捷的纳税服务。</w:t>
      </w:r>
    </w:p>
    <w:p>
      <w:pPr>
        <w:pStyle w:val="13"/>
        <w:spacing w:before="0" w:after="0" w:line="360" w:lineRule="auto"/>
        <w:ind w:left="0" w:firstLine="480"/>
        <w:rPr>
          <w:rFonts w:ascii="Times New Roman" w:hAnsi="Times New Roman" w:eastAsia="Times New Roman" w:cs="Times New Roman"/>
        </w:rPr>
      </w:pPr>
      <w:r>
        <w:t>4.</w:t>
      </w:r>
      <w:r>
        <w:rPr>
          <w:sz w:val="14"/>
          <w:szCs w:val="14"/>
        </w:rPr>
        <w:t xml:space="preserve">    </w:t>
      </w:r>
      <w:r>
        <w:rPr>
          <w:rFonts w:ascii="仿宋_GB2312" w:hAnsi="仿宋_GB2312" w:eastAsia="仿宋_GB2312" w:cs="仿宋_GB2312"/>
          <w:sz w:val="28"/>
          <w:szCs w:val="28"/>
        </w:rPr>
        <w:t>中标供应商需确保提供座席服务过程中遵守采购方各项廉洁纪律，做到认真履行工作职责，谨言慎行，坚决不做损害纳税人利益和损害税务机关形象的事情。</w:t>
      </w:r>
    </w:p>
    <w:p>
      <w:pPr>
        <w:pStyle w:val="13"/>
        <w:spacing w:before="0" w:after="0" w:line="360" w:lineRule="auto"/>
        <w:ind w:left="0" w:firstLine="480"/>
        <w:rPr>
          <w:rFonts w:ascii="Times New Roman" w:hAnsi="Times New Roman" w:eastAsia="Times New Roman" w:cs="Times New Roman"/>
        </w:rPr>
      </w:pPr>
      <w:r>
        <w:t>5.</w:t>
      </w:r>
      <w:r>
        <w:rPr>
          <w:sz w:val="14"/>
          <w:szCs w:val="14"/>
        </w:rPr>
        <w:t xml:space="preserve">    </w:t>
      </w:r>
      <w:r>
        <w:rPr>
          <w:rFonts w:ascii="仿宋_GB2312" w:hAnsi="仿宋_GB2312" w:eastAsia="仿宋_GB2312" w:cs="仿宋_GB2312"/>
          <w:sz w:val="28"/>
          <w:szCs w:val="28"/>
        </w:rPr>
        <w:t>如采购方对中标供应商提供的人员出现3次不服从管理、违反采购方制定的相关规章制度，采购方可以要求更换，中标供应商必须及时且无条件的为采购方更换合格的人员。</w:t>
      </w:r>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6.</w:t>
      </w:r>
      <w:r>
        <w:rPr>
          <w:sz w:val="14"/>
          <w:szCs w:val="14"/>
        </w:rPr>
        <w:t> </w:t>
      </w:r>
      <w:r>
        <w:rPr>
          <w:rFonts w:ascii="仿宋_GB2312" w:hAnsi="仿宋_GB2312" w:eastAsia="仿宋_GB2312" w:cs="仿宋_GB2312"/>
          <w:sz w:val="28"/>
          <w:szCs w:val="28"/>
        </w:rPr>
        <w:t>服务期内，采购方</w:t>
      </w:r>
      <w:r>
        <w:rPr>
          <w:rFonts w:hint="eastAsia" w:ascii="仿宋_GB2312" w:hAnsi="仿宋_GB2312" w:eastAsia="仿宋_GB2312" w:cs="仿宋_GB2312"/>
          <w:sz w:val="28"/>
          <w:szCs w:val="28"/>
          <w:lang w:eastAsia="zh-CN"/>
        </w:rPr>
        <w:t>按月</w:t>
      </w:r>
      <w:r>
        <w:rPr>
          <w:rFonts w:ascii="仿宋_GB2312" w:hAnsi="仿宋_GB2312" w:eastAsia="仿宋_GB2312" w:cs="仿宋_GB2312"/>
          <w:sz w:val="28"/>
          <w:szCs w:val="28"/>
        </w:rPr>
        <w:t>对中标供应商的工作质量、履约情况、工作配合度等进行综合评价，评价合格则继续履行服务合同。如项目服务未达到要求，则采购方上报监管部门终止服务合同。</w:t>
      </w:r>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7.</w:t>
      </w:r>
      <w:r>
        <w:rPr>
          <w:sz w:val="14"/>
          <w:szCs w:val="14"/>
        </w:rPr>
        <w:t> </w:t>
      </w:r>
      <w:r>
        <w:rPr>
          <w:rFonts w:ascii="仿宋_GB2312" w:hAnsi="仿宋_GB2312" w:eastAsia="仿宋_GB2312" w:cs="仿宋_GB2312"/>
          <w:sz w:val="28"/>
          <w:szCs w:val="28"/>
        </w:rPr>
        <w:t>对服务人员的撤换或辞退等须经采购方同意认可。</w:t>
      </w:r>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 xml:space="preserve">（二）应急服务要求 </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要求中标供应商必须建立和完善突发事件的应急预案和处理机制，防患于未然。当出现不可预知的紧急情况时，保证服务正常开展。</w:t>
      </w:r>
    </w:p>
    <w:p>
      <w:pPr>
        <w:pStyle w:val="13"/>
        <w:spacing w:before="0" w:after="0" w:line="360" w:lineRule="auto"/>
        <w:ind w:left="0" w:firstLine="480"/>
        <w:rPr>
          <w:rFonts w:ascii="Times New Roman" w:hAnsi="Times New Roman" w:eastAsia="Times New Roman" w:cs="Times New Roman"/>
        </w:rPr>
      </w:pPr>
      <w:r>
        <w:rPr>
          <w:rFonts w:ascii="仿宋_GB2312" w:hAnsi="仿宋_GB2312" w:eastAsia="仿宋_GB2312" w:cs="仿宋_GB2312"/>
          <w:sz w:val="28"/>
          <w:szCs w:val="28"/>
        </w:rPr>
        <w:t>（三）人员保密要求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（四）人员稳定性要求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在服务期间，未经采购方同意，中标供应商不得随意更换座席人员。座席人员因为请假、调走、辞职或被中标供应商辞退等原因导致座席人员不足时，需及时安排替接人员以满足区局接听需求</w:t>
      </w:r>
      <w:r>
        <w:rPr>
          <w:rFonts w:hint="eastAsia" w:ascii="仿宋_GB2312" w:hAnsi="仿宋_GB2312" w:eastAsia="仿宋_GB2312" w:cs="仿宋_GB2312"/>
          <w:sz w:val="28"/>
          <w:szCs w:val="28"/>
          <w:lang w:eastAsia="zh-CN"/>
        </w:rPr>
        <w:t>，接替人员应满足招标文件人员要求</w:t>
      </w:r>
      <w:r>
        <w:rPr>
          <w:rFonts w:ascii="仿宋_GB2312" w:hAnsi="仿宋_GB2312" w:eastAsia="仿宋_GB2312" w:cs="仿宋_GB2312"/>
          <w:sz w:val="28"/>
          <w:szCs w:val="28"/>
        </w:rPr>
        <w:t>。服务人员因为调走、辞职或被中标供应商辞退等原因导致服务人员不足时，需在3天内补充，缺席人数不能同时超过2人，中标供应商在3天内未能及时补齐符合完成项目需求的服务人员，每月不得超过2次，否则视为中标供应商违约，采购方有权终止合同。</w:t>
      </w:r>
      <w:bookmarkStart w:id="37" w:name="_GoBack"/>
      <w:bookmarkEnd w:id="37"/>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（五）保密要求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pPr>
        <w:pStyle w:val="13"/>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（六）进驻和接管要求</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pPr>
        <w:pStyle w:val="13"/>
        <w:spacing w:before="0" w:after="0" w:line="360" w:lineRule="auto"/>
        <w:ind w:left="77" w:firstLine="480"/>
        <w:rPr>
          <w:rFonts w:ascii="Times New Roman" w:hAnsi="Times New Roman" w:eastAsia="Times New Roman" w:cs="Times New Roman"/>
        </w:rPr>
      </w:pPr>
      <w:r>
        <w:rPr>
          <w:rFonts w:ascii="仿宋_GB2312" w:hAnsi="仿宋_GB2312" w:eastAsia="仿宋_GB2312" w:cs="仿宋_GB2312"/>
          <w:sz w:val="28"/>
          <w:szCs w:val="28"/>
        </w:rPr>
        <w:t>（七）费用分割</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1.如因中标供应商引起的劳资纠纷问题，影响正常工作的，采购方有权另行聘请人员确保正常工作，所产生的费用由中标供应商承担，采购方不承担所产生的任何费用。</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在合同生效前对全部座席人员完成岗前培训，保障本项目在合同生效后顺利开展。培训实施后，对参加培训的座席人员进行考核，要求事先编制详细的考核计划和考核标准，考核通过后方可正式上岗。</w:t>
      </w:r>
    </w:p>
    <w:p>
      <w:pPr>
        <w:pStyle w:val="15"/>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3.本项目开展工作所需的场地、办公家具、软硬件设备、水电费用、网络费用等由采购人承担。</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4.项目座席人员工装费用、</w:t>
      </w:r>
      <w:r>
        <w:rPr>
          <w:rFonts w:hint="eastAsia" w:ascii="仿宋_GB2312" w:hAnsi="仿宋_GB2312" w:eastAsia="仿宋_GB2312" w:cs="仿宋_GB2312"/>
          <w:sz w:val="28"/>
          <w:szCs w:val="28"/>
          <w:lang w:val="en-US" w:eastAsia="zh-CN" w:bidi="ar-SA"/>
        </w:rPr>
        <w:t>8</w:t>
      </w:r>
      <w:r>
        <w:rPr>
          <w:rFonts w:ascii="仿宋_GB2312" w:hAnsi="仿宋_GB2312" w:eastAsia="仿宋_GB2312" w:cs="仿宋_GB2312"/>
          <w:sz w:val="28"/>
          <w:szCs w:val="28"/>
          <w:lang w:val="en-US" w:eastAsia="en-US" w:bidi="ar-SA"/>
        </w:rPr>
        <w:t>套接听设备(能进行网络连接和IP地址配置的IP话机)及对应耳机设备</w:t>
      </w:r>
      <w:r>
        <w:rPr>
          <w:rFonts w:ascii="仿宋_GB2312" w:hAnsi="仿宋_GB2312" w:eastAsia="仿宋_GB2312" w:cs="仿宋_GB2312"/>
          <w:sz w:val="28"/>
          <w:szCs w:val="28"/>
        </w:rPr>
        <w:t>由中标供应商承担。</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（八）履约责任</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1.中标供应商在服务过程中应满足本需求书提出的运行质量标准，若出现重大失误或重大事故并给</w:t>
      </w:r>
      <w:r>
        <w:rPr>
          <w:rFonts w:hint="eastAsia" w:ascii="仿宋_GB2312" w:hAnsi="仿宋_GB2312" w:eastAsia="仿宋_GB2312" w:cs="仿宋_GB2312"/>
          <w:b w:val="0"/>
          <w:bCs w:val="0"/>
          <w:sz w:val="28"/>
          <w:szCs w:val="28"/>
          <w:lang w:eastAsia="zh-CN"/>
        </w:rPr>
        <w:t>南开区</w:t>
      </w:r>
      <w:r>
        <w:rPr>
          <w:rFonts w:hint="eastAsia" w:ascii="仿宋_GB2312" w:hAnsi="仿宋_GB2312" w:eastAsia="仿宋_GB2312" w:cs="仿宋_GB2312"/>
          <w:sz w:val="28"/>
          <w:szCs w:val="28"/>
          <w:lang w:eastAsia="zh-CN"/>
        </w:rPr>
        <w:t>税务局</w:t>
      </w:r>
      <w:r>
        <w:rPr>
          <w:rFonts w:ascii="仿宋_GB2312" w:hAnsi="仿宋_GB2312" w:eastAsia="仿宋_GB2312" w:cs="仿宋_GB2312"/>
          <w:sz w:val="28"/>
          <w:szCs w:val="28"/>
        </w:rPr>
        <w:t>造成损失，</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有权终止合同，停止付款并要求中标供应商赔偿实际造成的损失。</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2.中标供应商每月服务质效考核验收未达到规定标准的，</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按照供应商月服务费的1‰-5‰进行扣减。</w:t>
      </w:r>
    </w:p>
    <w:p>
      <w:pPr>
        <w:pStyle w:val="13"/>
        <w:spacing w:before="0" w:after="0" w:line="360" w:lineRule="auto"/>
        <w:ind w:firstLine="480"/>
        <w:rPr>
          <w:rFonts w:ascii="仿宋_GB2312" w:hAnsi="仿宋_GB2312" w:eastAsia="仿宋_GB2312" w:cs="仿宋_GB2312"/>
          <w:sz w:val="28"/>
          <w:szCs w:val="28"/>
        </w:rPr>
      </w:pPr>
      <w:r>
        <w:rPr>
          <w:rFonts w:ascii="仿宋_GB2312" w:hAnsi="仿宋_GB2312" w:eastAsia="仿宋_GB2312" w:cs="仿宋_GB2312"/>
          <w:sz w:val="28"/>
          <w:szCs w:val="28"/>
        </w:rPr>
        <w:t>3.中标供应商每月评价满意率低于要求的，</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按照供应商月服务费的1‰-5‰进行扣减。</w:t>
      </w:r>
    </w:p>
    <w:p>
      <w:pPr>
        <w:pStyle w:val="13"/>
        <w:spacing w:before="0" w:after="0" w:line="360" w:lineRule="auto"/>
        <w:ind w:firstLine="480"/>
        <w:rPr>
          <w:rFonts w:ascii="仿宋_GB2312" w:hAnsi="仿宋_GB2312" w:eastAsia="仿宋_GB2312" w:cs="仿宋_GB2312"/>
          <w:sz w:val="28"/>
          <w:szCs w:val="28"/>
        </w:rPr>
      </w:pPr>
      <w:r>
        <w:rPr>
          <w:rFonts w:ascii="仿宋_GB2312" w:hAnsi="仿宋_GB2312" w:eastAsia="仿宋_GB2312" w:cs="仿宋_GB2312"/>
          <w:sz w:val="28"/>
          <w:szCs w:val="28"/>
        </w:rPr>
        <w:t>4.中标供应商每月被投诉数量超过来电总量的万分之一，经</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调查属实且认为投诉合理则按照供应商月服务费的1‰-5‰进行扣减。</w:t>
      </w:r>
    </w:p>
    <w:p>
      <w:pPr>
        <w:pStyle w:val="13"/>
        <w:spacing w:before="0" w:after="0" w:line="360" w:lineRule="auto"/>
        <w:ind w:firstLine="480"/>
        <w:rPr>
          <w:rFonts w:ascii="仿宋_GB2312" w:hAnsi="仿宋_GB2312" w:eastAsia="仿宋_GB2312" w:cs="仿宋_GB2312"/>
          <w:sz w:val="28"/>
          <w:szCs w:val="28"/>
        </w:rPr>
      </w:pPr>
      <w:r>
        <w:rPr>
          <w:rFonts w:ascii="仿宋_GB2312" w:hAnsi="仿宋_GB2312" w:eastAsia="仿宋_GB2312" w:cs="仿宋_GB2312"/>
          <w:sz w:val="28"/>
          <w:szCs w:val="28"/>
        </w:rPr>
        <w:t>5.中标供应商运行管理不到位、服务不规范、未按照要求履行工作职责产生负面影响的，或被通报批评产生负面影响的，</w:t>
      </w:r>
      <w:r>
        <w:rPr>
          <w:rFonts w:hint="eastAsia" w:ascii="仿宋_GB2312" w:hAnsi="仿宋_GB2312" w:eastAsia="仿宋_GB2312" w:cs="仿宋_GB2312"/>
          <w:sz w:val="28"/>
          <w:szCs w:val="28"/>
          <w:lang w:eastAsia="zh-CN"/>
        </w:rPr>
        <w:t>南开区税务局</w:t>
      </w:r>
      <w:r>
        <w:rPr>
          <w:rFonts w:ascii="仿宋_GB2312" w:hAnsi="仿宋_GB2312" w:eastAsia="仿宋_GB2312" w:cs="仿宋_GB2312"/>
          <w:sz w:val="28"/>
          <w:szCs w:val="28"/>
        </w:rPr>
        <w:t>按照供应商月服务费的1‰-5‰进行扣减。</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6.未经采购方同意，中标供应商不得将承包项目发包或转包，否则，视为中标供应商违约，采购方有权解除服务合同。</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7.若中标供应商在1年内违反其服务承诺或以下情况三次或以上，则视为中标供应商违约，采购方有权拒绝支付本期项目服务费，并终止合同。</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（1）非税务机关责任，导致服务出现质量问题。</w:t>
      </w:r>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（2）没有按照采购方要求对服务人员进行管理、培训、调配。</w:t>
      </w:r>
    </w:p>
    <w:p>
      <w:pPr>
        <w:pStyle w:val="2"/>
        <w:keepNext w:val="0"/>
        <w:spacing w:before="0" w:after="0" w:line="360" w:lineRule="auto"/>
        <w:jc w:val="center"/>
        <w:rPr>
          <w:rFonts w:ascii="仿宋_GB2312" w:hAnsi="仿宋_GB2312" w:eastAsia="仿宋_GB2312" w:cs="仿宋_GB2312"/>
          <w:b/>
          <w:bCs/>
          <w:sz w:val="32"/>
          <w:szCs w:val="32"/>
        </w:rPr>
      </w:pPr>
      <w:bookmarkStart w:id="27" w:name="_Toc256000025"/>
      <w:r>
        <w:rPr>
          <w:rFonts w:ascii="仿宋_GB2312" w:hAnsi="仿宋_GB2312" w:eastAsia="仿宋_GB2312" w:cs="仿宋_GB2312"/>
          <w:kern w:val="36"/>
        </w:rPr>
        <w:t>6风险管控要求</w:t>
      </w:r>
      <w:bookmarkEnd w:id="27"/>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pPr>
        <w:pStyle w:val="2"/>
        <w:keepNext w:val="0"/>
        <w:spacing w:before="0" w:after="0" w:line="360" w:lineRule="auto"/>
        <w:jc w:val="center"/>
        <w:rPr>
          <w:rFonts w:ascii="仿宋_GB2312" w:hAnsi="仿宋_GB2312" w:eastAsia="仿宋_GB2312" w:cs="仿宋_GB2312"/>
          <w:b/>
          <w:bCs/>
          <w:sz w:val="32"/>
          <w:szCs w:val="32"/>
        </w:rPr>
      </w:pPr>
      <w:bookmarkStart w:id="28" w:name="_Toc256000026"/>
      <w:r>
        <w:rPr>
          <w:rFonts w:ascii="仿宋_GB2312" w:hAnsi="仿宋_GB2312" w:eastAsia="仿宋_GB2312" w:cs="仿宋_GB2312"/>
          <w:kern w:val="36"/>
        </w:rPr>
        <w:t>7履约验收要求</w:t>
      </w:r>
      <w:bookmarkEnd w:id="28"/>
    </w:p>
    <w:p>
      <w:pPr>
        <w:pStyle w:val="3"/>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i w:val="0"/>
          <w:iCs w:val="0"/>
        </w:rPr>
        <w:t>7.1总体要求</w:t>
      </w:r>
      <w:bookmarkEnd w:id="29"/>
    </w:p>
    <w:tbl>
      <w:tblPr>
        <w:tblStyle w:val="9"/>
        <w:tblW w:w="5000" w:type="pct"/>
        <w:tblInd w:w="30" w:type="dxa"/>
        <w:tblLayout w:type="autofit"/>
        <w:tblCellMar>
          <w:top w:w="15" w:type="dxa"/>
          <w:left w:w="15" w:type="dxa"/>
          <w:bottom w:w="15" w:type="dxa"/>
          <w:right w:w="15" w:type="dxa"/>
        </w:tblCellMar>
      </w:tblPr>
      <w:tblGrid>
        <w:gridCol w:w="4535"/>
        <w:gridCol w:w="4535"/>
      </w:tblGrid>
      <w:tr>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w:t>
            </w:r>
            <w:r>
              <w:rPr>
                <w:rFonts w:hint="eastAsia" w:ascii="仿宋_GB2312" w:hAnsi="仿宋_GB2312" w:eastAsia="仿宋_GB2312" w:cs="仿宋_GB2312"/>
                <w:b w:val="0"/>
                <w:bCs w:val="0"/>
                <w:i w:val="0"/>
                <w:iCs w:val="0"/>
                <w:smallCaps w:val="0"/>
                <w:color w:val="000000"/>
                <w:sz w:val="21"/>
                <w:szCs w:val="21"/>
                <w:lang w:eastAsia="zh-CN"/>
              </w:rPr>
              <w:t>月</w:t>
            </w:r>
            <w:r>
              <w:rPr>
                <w:rFonts w:ascii="仿宋_GB2312" w:hAnsi="仿宋_GB2312" w:eastAsia="仿宋_GB2312" w:cs="仿宋_GB2312"/>
                <w:b w:val="0"/>
                <w:bCs w:val="0"/>
                <w:i w:val="0"/>
                <w:iCs w:val="0"/>
                <w:smallCaps w:val="0"/>
                <w:color w:val="000000"/>
                <w:sz w:val="21"/>
                <w:szCs w:val="21"/>
              </w:rPr>
              <w:t>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中标供应商应依据合同约定按时按质提供服务，每</w:t>
            </w:r>
            <w:r>
              <w:rPr>
                <w:rFonts w:hint="eastAsia" w:ascii="仿宋_GB2312" w:hAnsi="仿宋_GB2312" w:eastAsia="仿宋_GB2312" w:cs="仿宋_GB2312"/>
                <w:b w:val="0"/>
                <w:bCs w:val="0"/>
                <w:i w:val="0"/>
                <w:iCs w:val="0"/>
                <w:smallCaps w:val="0"/>
                <w:color w:val="000000"/>
                <w:sz w:val="21"/>
                <w:szCs w:val="21"/>
                <w:lang w:eastAsia="zh-CN"/>
              </w:rPr>
              <w:t>月</w:t>
            </w:r>
            <w:r>
              <w:rPr>
                <w:rFonts w:ascii="仿宋_GB2312" w:hAnsi="仿宋_GB2312" w:eastAsia="仿宋_GB2312" w:cs="仿宋_GB2312"/>
                <w:b w:val="0"/>
                <w:bCs w:val="0"/>
                <w:i w:val="0"/>
                <w:iCs w:val="0"/>
                <w:smallCaps w:val="0"/>
                <w:color w:val="000000"/>
                <w:sz w:val="21"/>
                <w:szCs w:val="21"/>
              </w:rPr>
              <w:t>服务期满后，采购人进行服务质量验收。</w:t>
            </w:r>
          </w:p>
        </w:tc>
      </w:tr>
    </w:tbl>
    <w:p>
      <w:pPr>
        <w:pStyle w:val="3"/>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i w:val="0"/>
          <w:iCs w:val="0"/>
        </w:rPr>
        <w:t>7.2具体要求</w:t>
      </w:r>
      <w:bookmarkEnd w:id="30"/>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严格按照法律法规和采购合同按</w:t>
      </w:r>
      <w:r>
        <w:rPr>
          <w:rFonts w:hint="eastAsia" w:ascii="仿宋_GB2312" w:hAnsi="仿宋_GB2312" w:eastAsia="仿宋_GB2312" w:cs="仿宋_GB2312"/>
          <w:sz w:val="28"/>
          <w:szCs w:val="28"/>
          <w:lang w:eastAsia="zh-CN"/>
        </w:rPr>
        <w:t>月</w:t>
      </w:r>
      <w:r>
        <w:rPr>
          <w:rFonts w:ascii="仿宋_GB2312" w:hAnsi="仿宋_GB2312" w:eastAsia="仿宋_GB2312" w:cs="仿宋_GB2312"/>
          <w:sz w:val="28"/>
          <w:szCs w:val="28"/>
        </w:rPr>
        <w:t>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keepNext w:val="0"/>
        <w:spacing w:before="0" w:after="0" w:line="360" w:lineRule="auto"/>
        <w:jc w:val="center"/>
        <w:rPr>
          <w:rFonts w:ascii="仿宋_GB2312" w:hAnsi="仿宋_GB2312" w:eastAsia="仿宋_GB2312" w:cs="仿宋_GB2312"/>
          <w:b/>
          <w:bCs/>
          <w:sz w:val="32"/>
          <w:szCs w:val="32"/>
        </w:rPr>
      </w:pPr>
      <w:bookmarkStart w:id="31" w:name="_Toc256000029"/>
      <w:r>
        <w:rPr>
          <w:rFonts w:ascii="仿宋_GB2312" w:hAnsi="仿宋_GB2312" w:eastAsia="仿宋_GB2312" w:cs="仿宋_GB2312"/>
          <w:kern w:val="36"/>
        </w:rPr>
        <w:t>8其他要求</w:t>
      </w:r>
      <w:bookmarkEnd w:id="31"/>
    </w:p>
    <w:p>
      <w:pPr>
        <w:pStyle w:val="3"/>
        <w:keepNext w:val="0"/>
        <w:spacing w:before="0" w:after="0" w:line="360" w:lineRule="auto"/>
        <w:rPr>
          <w:rFonts w:ascii="仿宋_GB2312" w:hAnsi="仿宋_GB2312" w:eastAsia="仿宋_GB2312" w:cs="仿宋_GB2312"/>
          <w:b/>
          <w:bCs/>
          <w:sz w:val="28"/>
          <w:szCs w:val="28"/>
        </w:rPr>
      </w:pPr>
      <w:bookmarkStart w:id="32" w:name="_Toc256000030"/>
      <w:r>
        <w:rPr>
          <w:rFonts w:ascii="仿宋_GB2312" w:hAnsi="仿宋_GB2312" w:eastAsia="仿宋_GB2312" w:cs="仿宋_GB2312"/>
          <w:i w:val="0"/>
          <w:iCs w:val="0"/>
        </w:rPr>
        <w:t>8.1必备要求</w:t>
      </w:r>
      <w:bookmarkEnd w:id="32"/>
    </w:p>
    <w:p>
      <w:pPr>
        <w:pStyle w:val="4"/>
        <w:keepNext w:val="0"/>
        <w:spacing w:before="0" w:after="0" w:line="360" w:lineRule="auto"/>
        <w:rPr>
          <w:rFonts w:ascii="仿宋_GB2312" w:hAnsi="仿宋_GB2312" w:eastAsia="仿宋_GB2312" w:cs="仿宋_GB2312"/>
          <w:b/>
          <w:bCs/>
          <w:sz w:val="28"/>
          <w:szCs w:val="28"/>
        </w:rPr>
      </w:pPr>
      <w:bookmarkStart w:id="33" w:name="_Toc256000031"/>
      <w:r>
        <w:rPr>
          <w:rFonts w:ascii="仿宋_GB2312" w:hAnsi="仿宋_GB2312" w:eastAsia="仿宋_GB2312" w:cs="仿宋_GB2312"/>
          <w:sz w:val="28"/>
          <w:szCs w:val="28"/>
        </w:rPr>
        <w:t>8.1.1通用必备要求</w:t>
      </w:r>
      <w:bookmarkEnd w:id="3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34" w:name="_Toc256000032"/>
      <w:r>
        <w:rPr>
          <w:rFonts w:ascii="仿宋_GB2312" w:hAnsi="仿宋_GB2312" w:eastAsia="仿宋_GB2312" w:cs="仿宋_GB2312"/>
          <w:i w:val="0"/>
          <w:iCs w:val="0"/>
        </w:rPr>
        <w:t>8.2付款安排建议</w:t>
      </w:r>
      <w:bookmarkEnd w:id="34"/>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w:t>
            </w:r>
            <w:r>
              <w:rPr>
                <w:rFonts w:hint="eastAsia" w:ascii="仿宋_GB2312" w:hAnsi="仿宋_GB2312" w:eastAsia="仿宋_GB2312" w:cs="仿宋_GB2312"/>
                <w:b w:val="0"/>
                <w:bCs w:val="0"/>
                <w:i w:val="0"/>
                <w:iCs w:val="0"/>
                <w:smallCaps w:val="0"/>
                <w:color w:val="000000"/>
                <w:sz w:val="21"/>
                <w:szCs w:val="21"/>
                <w:lang w:eastAsia="zh-CN"/>
              </w:rPr>
              <w:t>月</w:t>
            </w:r>
            <w:r>
              <w:rPr>
                <w:rFonts w:ascii="仿宋_GB2312" w:hAnsi="仿宋_GB2312" w:eastAsia="仿宋_GB2312" w:cs="仿宋_GB2312"/>
                <w:b w:val="0"/>
                <w:bCs w:val="0"/>
                <w:i w:val="0"/>
                <w:iCs w:val="0"/>
                <w:smallCaps w:val="0"/>
                <w:color w:val="000000"/>
                <w:sz w:val="21"/>
                <w:szCs w:val="21"/>
              </w:rPr>
              <w:t>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采购人按</w:t>
            </w:r>
            <w:r>
              <w:rPr>
                <w:rFonts w:hint="eastAsia" w:ascii="仿宋_GB2312" w:hAnsi="仿宋_GB2312" w:eastAsia="仿宋_GB2312" w:cs="仿宋_GB2312"/>
                <w:b w:val="0"/>
                <w:bCs w:val="0"/>
                <w:i w:val="0"/>
                <w:iCs w:val="0"/>
                <w:smallCaps w:val="0"/>
                <w:color w:val="000000"/>
                <w:sz w:val="21"/>
                <w:szCs w:val="21"/>
                <w:lang w:eastAsia="zh-CN"/>
              </w:rPr>
              <w:t>月</w:t>
            </w:r>
            <w:r>
              <w:rPr>
                <w:rFonts w:ascii="仿宋_GB2312" w:hAnsi="仿宋_GB2312" w:eastAsia="仿宋_GB2312" w:cs="仿宋_GB2312"/>
                <w:b w:val="0"/>
                <w:bCs w:val="0"/>
                <w:i w:val="0"/>
                <w:iCs w:val="0"/>
                <w:smallCaps w:val="0"/>
                <w:color w:val="000000"/>
                <w:sz w:val="21"/>
                <w:szCs w:val="21"/>
              </w:rPr>
              <w:t>完成服务质量验收，根据阶段性验收结果按</w:t>
            </w:r>
            <w:r>
              <w:rPr>
                <w:rFonts w:hint="eastAsia" w:ascii="仿宋_GB2312" w:hAnsi="仿宋_GB2312" w:eastAsia="仿宋_GB2312" w:cs="仿宋_GB2312"/>
                <w:b w:val="0"/>
                <w:bCs w:val="0"/>
                <w:i w:val="0"/>
                <w:iCs w:val="0"/>
                <w:smallCaps w:val="0"/>
                <w:color w:val="000000"/>
                <w:sz w:val="21"/>
                <w:szCs w:val="21"/>
                <w:lang w:eastAsia="zh-CN"/>
              </w:rPr>
              <w:t>月</w:t>
            </w:r>
            <w:r>
              <w:rPr>
                <w:rFonts w:ascii="仿宋_GB2312" w:hAnsi="仿宋_GB2312" w:eastAsia="仿宋_GB2312" w:cs="仿宋_GB2312"/>
                <w:b w:val="0"/>
                <w:bCs w:val="0"/>
                <w:i w:val="0"/>
                <w:iCs w:val="0"/>
                <w:smallCaps w:val="0"/>
                <w:color w:val="000000"/>
                <w:sz w:val="21"/>
                <w:szCs w:val="21"/>
              </w:rPr>
              <w:t>支付服务费。中标供应商向采购人提供正式发票，采购人在收到发票后10个工作日内支付服务费（特殊情况以签订合同为准）</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100.0</w:t>
            </w:r>
          </w:p>
        </w:tc>
      </w:tr>
    </w:tbl>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8.3其他要求</w:t>
      </w:r>
      <w:bookmarkEnd w:id="35"/>
    </w:p>
    <w:p>
      <w:pPr>
        <w:pStyle w:val="4"/>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sz w:val="28"/>
          <w:szCs w:val="28"/>
        </w:rPr>
        <w:t>8.3.1保密要求</w:t>
      </w:r>
      <w:bookmarkEnd w:id="36"/>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spacing w:before="0" w:after="0" w:line="360" w:lineRule="auto"/>
        <w:ind w:firstLine="561"/>
        <w:rPr>
          <w:rFonts w:ascii="仿宋_GB2312" w:hAnsi="仿宋_GB2312" w:eastAsia="仿宋_GB2312" w:cs="仿宋_GB2312"/>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13</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A77B3E"/>
    <w:rsid w:val="00CA2A55"/>
    <w:rsid w:val="032A7BD7"/>
    <w:rsid w:val="133652E7"/>
    <w:rsid w:val="28F94F6A"/>
    <w:rsid w:val="2CCB0006"/>
    <w:rsid w:val="3DA274D5"/>
    <w:rsid w:val="4A477C19"/>
    <w:rsid w:val="50987AAF"/>
    <w:rsid w:val="58C45516"/>
    <w:rsid w:val="5BF076BD"/>
    <w:rsid w:val="62F05F92"/>
    <w:rsid w:val="774B5FDD"/>
    <w:rsid w:val="FDE7B0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MsoNormal"/>
    <w:basedOn w:val="1"/>
    <w:qFormat/>
    <w:uiPriority w:val="0"/>
  </w:style>
  <w:style w:type="paragraph" w:customStyle="1" w:styleId="13">
    <w:name w:val="15"/>
    <w:basedOn w:val="1"/>
    <w:qFormat/>
    <w:uiPriority w:val="0"/>
  </w:style>
  <w:style w:type="paragraph" w:customStyle="1" w:styleId="14">
    <w:name w:val="16"/>
    <w:basedOn w:val="1"/>
    <w:qFormat/>
    <w:uiPriority w:val="0"/>
  </w:style>
  <w:style w:type="paragraph" w:customStyle="1" w:styleId="15">
    <w:name w:val="17"/>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13</Pages>
  <Words>0</Words>
  <Characters>0</Characters>
  <Lines>1</Lines>
  <Paragraphs>1</Paragraphs>
  <TotalTime>172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2025-04-16T09:02:00Z</dcterms:created>
  <dc:creator>张轲</dc:creator>
  <cp:lastModifiedBy>李晓菡</cp:lastModifiedBy>
  <dcterms:modified xsi:type="dcterms:W3CDTF">2025-06-20T09:00:47Z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