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bookmarkStart w:id="0" w:name="_GoBack"/>
      <w:bookmarkEnd w:id="0"/>
    </w:p>
    <w:p>
      <w:pPr>
        <w:widowControl w:val="0"/>
        <w:topLinePunct/>
        <w:autoSpaceDE w:val="0"/>
        <w:autoSpaceDN w:val="0"/>
        <w:spacing w:before="0" w:after="0" w:line="360" w:lineRule="auto"/>
        <w:jc w:val="center"/>
        <w:rPr>
          <w:rFonts w:ascii="宋体" w:eastAsia="宋体" w:hAnsi="宋体" w:cs="宋体" w:hint="eastAsia"/>
          <w:b/>
          <w:sz w:val="96"/>
          <w:szCs w:val="96"/>
          <w:lang w:eastAsia="zh-CN"/>
        </w:rPr>
      </w:pPr>
      <w:r>
        <w:rPr>
          <w:rFonts w:ascii="宋体" w:eastAsia="宋体" w:hAnsi="宋体" w:cs="宋体" w:hint="eastAsia"/>
          <w:b/>
          <w:sz w:val="96"/>
          <w:szCs w:val="96"/>
          <w:lang w:eastAsia="zh-CN"/>
        </w:rPr>
        <w:t>采 购 需 求</w:t>
      </w: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80"/>
          <w:szCs w:val="80"/>
          <w:lang w:eastAsia="zh-CN"/>
        </w:rPr>
      </w:pPr>
    </w:p>
    <w:p>
      <w:pPr>
        <w:widowControl w:val="0"/>
        <w:topLinePunct/>
        <w:autoSpaceDE w:val="0"/>
        <w:autoSpaceDN w:val="0"/>
        <w:spacing w:before="0" w:after="0" w:line="360" w:lineRule="auto"/>
        <w:jc w:val="center"/>
        <w:rPr>
          <w:rFonts w:ascii="宋体" w:eastAsia="宋体" w:hAnsi="宋体" w:cs="宋体" w:hint="eastAsia"/>
          <w:b/>
          <w:sz w:val="30"/>
          <w:szCs w:val="30"/>
          <w:lang w:eastAsia="zh-CN"/>
        </w:rPr>
      </w:pPr>
      <w:r>
        <w:rPr>
          <w:rFonts w:ascii="宋体" w:eastAsia="宋体" w:hAnsi="宋体" w:cs="宋体" w:hint="eastAsia"/>
          <w:b/>
          <w:sz w:val="30"/>
          <w:szCs w:val="30"/>
          <w:lang w:eastAsia="zh-CN"/>
        </w:rPr>
        <w:t>项目名称：</w:t>
      </w:r>
      <w:bookmarkStart w:id="1" w:name="项目名称_projectName"/>
      <w:r>
        <w:rPr>
          <w:rFonts w:ascii="宋体" w:eastAsia="宋体" w:hAnsi="宋体" w:cs="宋体" w:hint="eastAsia"/>
          <w:b/>
          <w:sz w:val="30"/>
          <w:szCs w:val="30"/>
          <w:lang w:eastAsia="zh-CN"/>
        </w:rPr>
        <w:t>国家税务总局天津市河东区税务局2025年食堂食材采购项目（主副食调料奶制品等其他类）</w:t>
      </w:r>
      <w:bookmarkEnd w:id="1"/>
    </w:p>
    <w:p>
      <w:pPr>
        <w:widowControl w:val="0"/>
        <w:spacing w:before="0" w:after="0" w:line="360" w:lineRule="auto"/>
        <w:jc w:val="both"/>
        <w:rPr>
          <w:rFonts w:ascii="宋体" w:eastAsia="宋体" w:hAnsi="宋体" w:cs="宋体" w:hint="eastAsia"/>
          <w:kern w:val="2"/>
          <w:sz w:val="32"/>
          <w:szCs w:val="32"/>
          <w:lang w:eastAsia="zh-CN"/>
        </w:rPr>
      </w:pPr>
    </w:p>
    <w:p>
      <w:pPr>
        <w:widowControl w:val="0"/>
        <w:spacing w:before="0" w:after="0" w:line="360" w:lineRule="auto"/>
        <w:jc w:val="both"/>
        <w:rPr>
          <w:rFonts w:ascii="宋体" w:eastAsia="宋体" w:hAnsi="宋体" w:cs="宋体"/>
          <w:kern w:val="2"/>
          <w:sz w:val="32"/>
          <w:szCs w:val="32"/>
          <w:lang w:eastAsia="zh-CN"/>
        </w:rPr>
      </w:pPr>
    </w:p>
    <w:p>
      <w:pPr>
        <w:widowControl w:val="0"/>
        <w:spacing w:before="0" w:after="0" w:line="360" w:lineRule="auto"/>
        <w:jc w:val="both"/>
        <w:rPr>
          <w:rFonts w:ascii="宋体" w:eastAsia="宋体" w:hAnsi="宋体" w:cs="宋体" w:hint="eastAsia"/>
          <w:kern w:val="2"/>
          <w:sz w:val="32"/>
          <w:szCs w:val="32"/>
          <w:lang w:eastAsia="zh-CN"/>
        </w:rPr>
      </w:pPr>
    </w:p>
    <w:p>
      <w:pPr>
        <w:widowControl w:val="0"/>
        <w:topLinePunct/>
        <w:autoSpaceDE w:val="0"/>
        <w:autoSpaceDN w:val="0"/>
        <w:spacing w:before="0" w:after="0" w:line="360" w:lineRule="auto"/>
        <w:jc w:val="both"/>
        <w:rPr>
          <w:rFonts w:ascii="宋体" w:eastAsia="宋体" w:hAnsi="宋体" w:cs="宋体" w:hint="eastAsia"/>
          <w:sz w:val="32"/>
          <w:szCs w:val="32"/>
          <w:lang w:eastAsia="zh-CN"/>
        </w:rPr>
      </w:pPr>
    </w:p>
    <w:p>
      <w:pPr>
        <w:spacing w:before="0" w:after="0" w:line="360" w:lineRule="auto"/>
        <w:jc w:val="center"/>
        <w:rPr>
          <w:rFonts w:eastAsia="宋体"/>
        </w:rPr>
      </w:pPr>
      <w:bookmarkStart w:id="2" w:name="生成日期_currentDateTime_ym"/>
      <w:r>
        <w:rPr>
          <w:rFonts w:ascii="宋体" w:eastAsia="宋体" w:hAnsi="宋体" w:cs="宋体" w:hint="eastAsia"/>
          <w:sz w:val="36"/>
          <w:szCs w:val="36"/>
          <w:lang w:eastAsia="zh-CN"/>
        </w:rPr>
        <w:t>2025年06月</w:t>
      </w:r>
      <w:bookmarkEnd w:id="2"/>
    </w:p>
    <w:p w:rsidR="00A77B3E">
      <w:pPr>
        <w:spacing w:before="0" w:after="0" w:line="360" w:lineRule="auto"/>
        <w:jc w:val="center"/>
        <w:rPr>
          <w:rFonts w:ascii="SimSun" w:eastAsia="SimSun" w:hAnsi="SimSun" w:cs="SimSun"/>
          <w:sz w:val="32"/>
        </w:rPr>
      </w:pPr>
      <w:r>
        <w:br w:type="page"/>
      </w:r>
      <w:r>
        <w:rPr>
          <w:rFonts w:ascii="SimSun" w:eastAsia="SimSun" w:hAnsi="SimSun" w:cs="SimSun"/>
          <w:sz w:val="32"/>
        </w:rPr>
        <w:t>目 录</w:t>
      </w:r>
    </w:p>
    <w:p>
      <w:pPr>
        <w:pStyle w:val="TOC1"/>
        <w:tabs>
          <w:tab w:val="right" w:leader="dot" w:pos="9016"/>
        </w:tabs>
        <w:spacing w:before="0" w:after="0" w:line="360" w:lineRule="auto"/>
        <w:rPr>
          <w:rFonts w:asciiTheme="minorHAnsi" w:hAnsiTheme="minorHAnsi"/>
          <w:noProof/>
          <w:sz w:val="22"/>
        </w:rPr>
      </w:pPr>
      <w:r w:rsidR="00A77B3E">
        <w:rPr>
          <w:rFonts w:ascii="SimSun" w:eastAsia="SimSun" w:hAnsi="SimSun" w:cs="SimSun"/>
          <w:sz w:val="32"/>
        </w:rPr>
        <w:fldChar w:fldCharType="begin"/>
      </w:r>
      <w:r w:rsidR="00A77B3E">
        <w:rPr>
          <w:rFonts w:ascii="SimSun" w:eastAsia="SimSun" w:hAnsi="SimSun" w:cs="SimSun"/>
          <w:sz w:val="32"/>
        </w:rPr>
        <w:instrText>TOC \o "1-3" \h \z \u</w:instrText>
      </w:r>
      <w:r w:rsidR="00A77B3E">
        <w:rPr>
          <w:rFonts w:ascii="SimSun" w:eastAsia="SimSun" w:hAnsi="SimSun" w:cs="SimSun"/>
          <w:sz w:val="32"/>
        </w:rPr>
        <w:fldChar w:fldCharType="separate"/>
      </w:r>
      <w:hyperlink w:anchor="_Toc256000000" w:history="1">
        <w:r>
          <w:rPr>
            <w:rStyle w:val="Hyperlink"/>
            <w:rFonts w:ascii="仿宋_GB2312" w:eastAsia="仿宋_GB2312" w:hAnsi="仿宋_GB2312" w:cs="仿宋_GB2312"/>
            <w:kern w:val="36"/>
          </w:rPr>
          <w:t>1项目概述</w:t>
        </w:r>
        <w:r>
          <w:tab/>
        </w:r>
        <w:r>
          <w:fldChar w:fldCharType="begin"/>
        </w:r>
        <w:r>
          <w:instrText xml:space="preserve"> PAGEREF _Toc256000000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1" w:history="1">
        <w:r>
          <w:rPr>
            <w:rStyle w:val="Hyperlink"/>
            <w:rFonts w:ascii="仿宋_GB2312" w:eastAsia="仿宋_GB2312" w:hAnsi="仿宋_GB2312" w:cs="仿宋_GB2312"/>
          </w:rPr>
          <w:t>1.1项目背景</w:t>
        </w:r>
        <w:r>
          <w:tab/>
        </w:r>
        <w:r>
          <w:fldChar w:fldCharType="begin"/>
        </w:r>
        <w:r>
          <w:instrText xml:space="preserve"> PAGEREF _Toc256000001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2" w:history="1">
        <w:r>
          <w:rPr>
            <w:rStyle w:val="Hyperlink"/>
            <w:rFonts w:ascii="仿宋_GB2312" w:eastAsia="仿宋_GB2312" w:hAnsi="仿宋_GB2312" w:cs="仿宋_GB2312"/>
          </w:rPr>
          <w:t>1.1.1项目目的、意义及背景</w:t>
        </w:r>
        <w:r>
          <w:tab/>
        </w:r>
        <w:r>
          <w:fldChar w:fldCharType="begin"/>
        </w:r>
        <w:r>
          <w:instrText xml:space="preserve"> PAGEREF _Toc256000002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3" w:history="1">
        <w:r>
          <w:rPr>
            <w:rStyle w:val="Hyperlink"/>
            <w:rFonts w:ascii="仿宋_GB2312" w:eastAsia="仿宋_GB2312" w:hAnsi="仿宋_GB2312" w:cs="仿宋_GB2312"/>
          </w:rPr>
          <w:t>1.2项目内容</w:t>
        </w:r>
        <w:r>
          <w:tab/>
        </w:r>
        <w:r>
          <w:fldChar w:fldCharType="begin"/>
        </w:r>
        <w:r>
          <w:instrText xml:space="preserve"> PAGEREF _Toc256000003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4" w:history="1">
        <w:r>
          <w:rPr>
            <w:rStyle w:val="Hyperlink"/>
            <w:rFonts w:ascii="仿宋_GB2312" w:eastAsia="仿宋_GB2312" w:hAnsi="仿宋_GB2312" w:cs="仿宋_GB2312"/>
          </w:rPr>
          <w:t>1.2.1项目建设思路</w:t>
        </w:r>
        <w:r>
          <w:tab/>
        </w:r>
        <w:r>
          <w:fldChar w:fldCharType="begin"/>
        </w:r>
        <w:r>
          <w:instrText xml:space="preserve"> PAGEREF _Toc256000004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5" w:history="1">
        <w:r>
          <w:rPr>
            <w:rStyle w:val="Hyperlink"/>
            <w:rFonts w:ascii="仿宋_GB2312" w:eastAsia="仿宋_GB2312" w:hAnsi="仿宋_GB2312" w:cs="仿宋_GB2312"/>
          </w:rPr>
          <w:t>1.2.2采购内容</w:t>
        </w:r>
        <w:r>
          <w:tab/>
        </w:r>
        <w:r>
          <w:fldChar w:fldCharType="begin"/>
        </w:r>
        <w:r>
          <w:instrText xml:space="preserve"> PAGEREF _Toc256000005 \h </w:instrText>
        </w:r>
        <w:r>
          <w:fldChar w:fldCharType="separate"/>
        </w:r>
        <w:r>
          <w:t>4</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6" w:history="1">
        <w:r>
          <w:rPr>
            <w:rStyle w:val="Hyperlink"/>
            <w:rFonts w:ascii="仿宋_GB2312" w:eastAsia="仿宋_GB2312" w:hAnsi="仿宋_GB2312" w:cs="仿宋_GB2312"/>
          </w:rPr>
          <w:t>1.2.3项目实施要求</w:t>
        </w:r>
        <w:r>
          <w:tab/>
        </w:r>
        <w:r>
          <w:fldChar w:fldCharType="begin"/>
        </w:r>
        <w:r>
          <w:instrText xml:space="preserve"> PAGEREF _Toc256000006 \h </w:instrText>
        </w:r>
        <w:r>
          <w:fldChar w:fldCharType="separate"/>
        </w:r>
        <w:r>
          <w:t>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07" w:history="1">
        <w:r>
          <w:rPr>
            <w:rStyle w:val="Hyperlink"/>
            <w:rFonts w:ascii="仿宋_GB2312" w:eastAsia="仿宋_GB2312" w:hAnsi="仿宋_GB2312" w:cs="仿宋_GB2312"/>
          </w:rPr>
          <w:t>1.3其他要求</w:t>
        </w:r>
        <w:r>
          <w:tab/>
        </w:r>
        <w:r>
          <w:fldChar w:fldCharType="begin"/>
        </w:r>
        <w:r>
          <w:instrText xml:space="preserve"> PAGEREF _Toc256000007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08" w:history="1">
        <w:r>
          <w:rPr>
            <w:rStyle w:val="Hyperlink"/>
            <w:rFonts w:ascii="仿宋_GB2312" w:eastAsia="仿宋_GB2312" w:hAnsi="仿宋_GB2312" w:cs="仿宋_GB2312"/>
          </w:rPr>
          <w:t>1.3.1采购标的需执行的相关标准规范</w:t>
        </w:r>
        <w:r>
          <w:tab/>
        </w:r>
        <w:r>
          <w:fldChar w:fldCharType="begin"/>
        </w:r>
        <w:r>
          <w:instrText xml:space="preserve"> PAGEREF _Toc256000008 \h </w:instrText>
        </w:r>
        <w:r>
          <w:fldChar w:fldCharType="separate"/>
        </w:r>
        <w:r>
          <w:t>5</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09" w:history="1">
        <w:r>
          <w:rPr>
            <w:rStyle w:val="Hyperlink"/>
            <w:rFonts w:ascii="仿宋_GB2312" w:eastAsia="仿宋_GB2312" w:hAnsi="仿宋_GB2312" w:cs="仿宋_GB2312"/>
            <w:kern w:val="36"/>
          </w:rPr>
          <w:t>2投标/响应要求</w:t>
        </w:r>
        <w:r>
          <w:tab/>
        </w:r>
        <w:r>
          <w:fldChar w:fldCharType="begin"/>
        </w:r>
        <w:r>
          <w:instrText xml:space="preserve"> PAGEREF _Toc256000009 \h </w:instrText>
        </w:r>
        <w:r>
          <w:fldChar w:fldCharType="separate"/>
        </w:r>
        <w:r>
          <w:t>5</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0" w:history="1">
        <w:r>
          <w:rPr>
            <w:rStyle w:val="Hyperlink"/>
            <w:rFonts w:ascii="仿宋_GB2312" w:eastAsia="仿宋_GB2312" w:hAnsi="仿宋_GB2312" w:cs="仿宋_GB2312"/>
          </w:rPr>
          <w:t>2.1对供应商的要求</w:t>
        </w:r>
        <w:r>
          <w:tab/>
        </w:r>
        <w:r>
          <w:fldChar w:fldCharType="begin"/>
        </w:r>
        <w:r>
          <w:instrText xml:space="preserve"> PAGEREF _Toc256000010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1" w:history="1">
        <w:r>
          <w:rPr>
            <w:rStyle w:val="Hyperlink"/>
            <w:rFonts w:ascii="仿宋_GB2312" w:eastAsia="仿宋_GB2312" w:hAnsi="仿宋_GB2312" w:cs="仿宋_GB2312"/>
          </w:rPr>
          <w:t>2.1.1必备资质</w:t>
        </w:r>
        <w:r>
          <w:tab/>
        </w:r>
        <w:r>
          <w:fldChar w:fldCharType="begin"/>
        </w:r>
        <w:r>
          <w:instrText xml:space="preserve"> PAGEREF _Toc256000011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2" w:history="1">
        <w:r>
          <w:rPr>
            <w:rStyle w:val="Hyperlink"/>
            <w:rFonts w:ascii="仿宋_GB2312" w:eastAsia="仿宋_GB2312" w:hAnsi="仿宋_GB2312" w:cs="仿宋_GB2312"/>
          </w:rPr>
          <w:t>2.1.2优选资质/优选指标</w:t>
        </w:r>
        <w:r>
          <w:tab/>
        </w:r>
        <w:r>
          <w:fldChar w:fldCharType="begin"/>
        </w:r>
        <w:r>
          <w:instrText xml:space="preserve"> PAGEREF _Toc256000012 \h </w:instrText>
        </w:r>
        <w:r>
          <w:fldChar w:fldCharType="separate"/>
        </w:r>
        <w:r>
          <w:t>5</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3" w:history="1">
        <w:r>
          <w:rPr>
            <w:rStyle w:val="Hyperlink"/>
            <w:rFonts w:ascii="仿宋_GB2312" w:eastAsia="仿宋_GB2312" w:hAnsi="仿宋_GB2312" w:cs="仿宋_GB2312"/>
          </w:rPr>
          <w:t>2.1.3是否允许联合体</w:t>
        </w:r>
        <w:r>
          <w:tab/>
        </w:r>
        <w:r>
          <w:fldChar w:fldCharType="begin"/>
        </w:r>
        <w:r>
          <w:instrText xml:space="preserve"> PAGEREF _Toc256000013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4" w:history="1">
        <w:r>
          <w:rPr>
            <w:rStyle w:val="Hyperlink"/>
            <w:rFonts w:ascii="仿宋_GB2312" w:eastAsia="仿宋_GB2312" w:hAnsi="仿宋_GB2312" w:cs="仿宋_GB2312"/>
          </w:rPr>
          <w:t>2.1.4是否专门面向中小企业</w:t>
        </w:r>
        <w:r>
          <w:tab/>
        </w:r>
        <w:r>
          <w:fldChar w:fldCharType="begin"/>
        </w:r>
        <w:r>
          <w:instrText xml:space="preserve"> PAGEREF _Toc256000014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5" w:history="1">
        <w:r>
          <w:rPr>
            <w:rStyle w:val="Hyperlink"/>
            <w:rFonts w:ascii="仿宋_GB2312" w:eastAsia="仿宋_GB2312" w:hAnsi="仿宋_GB2312" w:cs="仿宋_GB2312"/>
          </w:rPr>
          <w:t>2.1.5其他要求</w:t>
        </w:r>
        <w:r>
          <w:tab/>
        </w:r>
        <w:r>
          <w:fldChar w:fldCharType="begin"/>
        </w:r>
        <w:r>
          <w:instrText xml:space="preserve"> PAGEREF _Toc256000015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16" w:history="1">
        <w:r>
          <w:rPr>
            <w:rStyle w:val="Hyperlink"/>
            <w:rFonts w:ascii="仿宋_GB2312" w:eastAsia="仿宋_GB2312" w:hAnsi="仿宋_GB2312" w:cs="仿宋_GB2312"/>
          </w:rPr>
          <w:t>2.2技术部分投标/响应内容</w:t>
        </w:r>
        <w:r>
          <w:tab/>
        </w:r>
        <w:r>
          <w:fldChar w:fldCharType="begin"/>
        </w:r>
        <w:r>
          <w:instrText xml:space="preserve"> PAGEREF _Toc256000016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7" w:history="1">
        <w:r>
          <w:rPr>
            <w:rStyle w:val="Hyperlink"/>
            <w:rFonts w:ascii="仿宋_GB2312" w:eastAsia="仿宋_GB2312" w:hAnsi="仿宋_GB2312" w:cs="仿宋_GB2312"/>
          </w:rPr>
          <w:t>2.2.1技术投标/响应总要求</w:t>
        </w:r>
        <w:r>
          <w:tab/>
        </w:r>
        <w:r>
          <w:fldChar w:fldCharType="begin"/>
        </w:r>
        <w:r>
          <w:instrText xml:space="preserve"> PAGEREF _Toc256000017 \h </w:instrText>
        </w:r>
        <w:r>
          <w:fldChar w:fldCharType="separate"/>
        </w:r>
        <w:r>
          <w:t>6</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18" w:history="1">
        <w:r>
          <w:rPr>
            <w:rStyle w:val="Hyperlink"/>
            <w:rFonts w:ascii="仿宋_GB2312" w:eastAsia="仿宋_GB2312" w:hAnsi="仿宋_GB2312" w:cs="仿宋_GB2312"/>
          </w:rPr>
          <w:t>2.2.2投标/响应方案要求</w:t>
        </w:r>
        <w:r>
          <w:tab/>
        </w:r>
        <w:r>
          <w:fldChar w:fldCharType="begin"/>
        </w:r>
        <w:r>
          <w:instrText xml:space="preserve"> PAGEREF _Toc256000018 \h </w:instrText>
        </w:r>
        <w:r>
          <w:fldChar w:fldCharType="separate"/>
        </w:r>
        <w:r>
          <w:t>6</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19" w:history="1">
        <w:r>
          <w:rPr>
            <w:rStyle w:val="Hyperlink"/>
            <w:rFonts w:ascii="仿宋_GB2312" w:eastAsia="仿宋_GB2312" w:hAnsi="仿宋_GB2312" w:cs="仿宋_GB2312"/>
            <w:kern w:val="36"/>
          </w:rPr>
          <w:t>3项目需求</w:t>
        </w:r>
        <w:r>
          <w:tab/>
        </w:r>
        <w:r>
          <w:fldChar w:fldCharType="begin"/>
        </w:r>
        <w:r>
          <w:instrText xml:space="preserve"> PAGEREF _Toc256000019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0" w:history="1">
        <w:r>
          <w:rPr>
            <w:rStyle w:val="Hyperlink"/>
            <w:rFonts w:ascii="仿宋_GB2312" w:eastAsia="仿宋_GB2312" w:hAnsi="仿宋_GB2312" w:cs="仿宋_GB2312"/>
          </w:rPr>
          <w:t>3.1总体要求</w:t>
        </w:r>
        <w:r>
          <w:tab/>
        </w:r>
        <w:r>
          <w:fldChar w:fldCharType="begin"/>
        </w:r>
        <w:r>
          <w:instrText xml:space="preserve"> PAGEREF _Toc256000020 \h </w:instrText>
        </w:r>
        <w:r>
          <w:fldChar w:fldCharType="separate"/>
        </w:r>
        <w:r>
          <w:t>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1" w:history="1">
        <w:r>
          <w:rPr>
            <w:rStyle w:val="Hyperlink"/>
            <w:rFonts w:ascii="仿宋_GB2312" w:eastAsia="仿宋_GB2312" w:hAnsi="仿宋_GB2312" w:cs="仿宋_GB2312"/>
          </w:rPr>
          <w:t>3.2采购产品一览表</w:t>
        </w:r>
        <w:r>
          <w:tab/>
        </w:r>
        <w:r>
          <w:fldChar w:fldCharType="begin"/>
        </w:r>
        <w:r>
          <w:instrText xml:space="preserve"> PAGEREF _Toc256000021 \h </w:instrText>
        </w:r>
        <w:r>
          <w:fldChar w:fldCharType="separate"/>
        </w:r>
        <w:r>
          <w:t>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2" w:history="1">
        <w:r>
          <w:rPr>
            <w:rStyle w:val="Hyperlink"/>
            <w:rFonts w:ascii="仿宋_GB2312" w:eastAsia="仿宋_GB2312" w:hAnsi="仿宋_GB2312" w:cs="仿宋_GB2312"/>
          </w:rPr>
          <w:t>3.3采购产品详细清单及技术指标</w:t>
        </w:r>
        <w:r>
          <w:tab/>
        </w:r>
        <w:r>
          <w:fldChar w:fldCharType="begin"/>
        </w:r>
        <w:r>
          <w:instrText xml:space="preserve"> PAGEREF _Toc256000022 \h </w:instrText>
        </w:r>
        <w:r>
          <w:fldChar w:fldCharType="separate"/>
        </w:r>
        <w:r>
          <w:t>9</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3" w:history="1">
        <w:r>
          <w:rPr>
            <w:rStyle w:val="Hyperlink"/>
            <w:rFonts w:ascii="仿宋_GB2312" w:eastAsia="仿宋_GB2312" w:hAnsi="仿宋_GB2312" w:cs="仿宋_GB2312"/>
          </w:rPr>
          <w:t>3.4服务要求</w:t>
        </w:r>
        <w:r>
          <w:tab/>
        </w:r>
        <w:r>
          <w:fldChar w:fldCharType="begin"/>
        </w:r>
        <w:r>
          <w:instrText xml:space="preserve"> PAGEREF _Toc256000023 \h </w:instrText>
        </w:r>
        <w:r>
          <w:fldChar w:fldCharType="separate"/>
        </w:r>
        <w:r>
          <w:t>10</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4" w:history="1">
        <w:r>
          <w:rPr>
            <w:rStyle w:val="Hyperlink"/>
            <w:rFonts w:ascii="仿宋_GB2312" w:eastAsia="仿宋_GB2312" w:hAnsi="仿宋_GB2312" w:cs="仿宋_GB2312"/>
          </w:rPr>
          <w:t>3.5其他要求</w:t>
        </w:r>
        <w:r>
          <w:tab/>
        </w:r>
        <w:r>
          <w:fldChar w:fldCharType="begin"/>
        </w:r>
        <w:r>
          <w:instrText xml:space="preserve"> PAGEREF _Toc256000024 \h </w:instrText>
        </w:r>
        <w:r>
          <w:fldChar w:fldCharType="separate"/>
        </w:r>
        <w:r>
          <w:t>10</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5" w:history="1">
        <w:r>
          <w:rPr>
            <w:rStyle w:val="Hyperlink"/>
            <w:rFonts w:ascii="仿宋_GB2312" w:eastAsia="仿宋_GB2312" w:hAnsi="仿宋_GB2312" w:cs="仿宋_GB2312"/>
          </w:rPr>
          <w:t>3.5.1质量安全把控服务要求</w:t>
        </w:r>
        <w:r>
          <w:tab/>
        </w:r>
        <w:r>
          <w:fldChar w:fldCharType="begin"/>
        </w:r>
        <w:r>
          <w:instrText xml:space="preserve"> PAGEREF _Toc256000025 \h </w:instrText>
        </w:r>
        <w:r>
          <w:fldChar w:fldCharType="separate"/>
        </w:r>
        <w:r>
          <w:t>11</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6" w:history="1">
        <w:r>
          <w:rPr>
            <w:rStyle w:val="Hyperlink"/>
            <w:rFonts w:ascii="仿宋_GB2312" w:eastAsia="仿宋_GB2312" w:hAnsi="仿宋_GB2312" w:cs="仿宋_GB2312"/>
          </w:rPr>
          <w:t>3.5.2供应方案要求</w:t>
        </w:r>
        <w:r>
          <w:tab/>
        </w:r>
        <w:r>
          <w:fldChar w:fldCharType="begin"/>
        </w:r>
        <w:r>
          <w:instrText xml:space="preserve"> PAGEREF _Toc256000026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27" w:history="1">
        <w:r>
          <w:rPr>
            <w:rStyle w:val="Hyperlink"/>
            <w:rFonts w:ascii="仿宋_GB2312" w:eastAsia="仿宋_GB2312" w:hAnsi="仿宋_GB2312" w:cs="仿宋_GB2312"/>
            <w:kern w:val="36"/>
          </w:rPr>
          <w:t>4人员要求</w:t>
        </w:r>
        <w:r>
          <w:tab/>
        </w:r>
        <w:r>
          <w:fldChar w:fldCharType="begin"/>
        </w:r>
        <w:r>
          <w:instrText xml:space="preserve"> PAGEREF _Toc256000027 \h </w:instrText>
        </w:r>
        <w:r>
          <w:fldChar w:fldCharType="separate"/>
        </w:r>
        <w:r>
          <w:t>12</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28" w:history="1">
        <w:r>
          <w:rPr>
            <w:rStyle w:val="Hyperlink"/>
            <w:rFonts w:ascii="仿宋_GB2312" w:eastAsia="仿宋_GB2312" w:hAnsi="仿宋_GB2312" w:cs="仿宋_GB2312"/>
          </w:rPr>
          <w:t>4.1团队要求</w:t>
        </w:r>
        <w:r>
          <w:tab/>
        </w:r>
        <w:r>
          <w:fldChar w:fldCharType="begin"/>
        </w:r>
        <w:r>
          <w:instrText xml:space="preserve"> PAGEREF _Toc256000028 \h </w:instrText>
        </w:r>
        <w:r>
          <w:fldChar w:fldCharType="separate"/>
        </w:r>
        <w:r>
          <w:t>12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29" w:history="1">
        <w:r>
          <w:rPr>
            <w:rStyle w:val="Hyperlink"/>
            <w:rFonts w:ascii="仿宋_GB2312" w:eastAsia="仿宋_GB2312" w:hAnsi="仿宋_GB2312" w:cs="仿宋_GB2312"/>
          </w:rPr>
          <w:t>4.1.1基本要求</w:t>
        </w:r>
        <w:r>
          <w:tab/>
        </w:r>
        <w:r>
          <w:fldChar w:fldCharType="begin"/>
        </w:r>
        <w:r>
          <w:instrText xml:space="preserve"> PAGEREF _Toc256000029 \h </w:instrText>
        </w:r>
        <w:r>
          <w:fldChar w:fldCharType="separate"/>
        </w:r>
        <w:r>
          <w:t>12</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0" w:history="1">
        <w:r>
          <w:rPr>
            <w:rStyle w:val="Hyperlink"/>
            <w:rFonts w:ascii="仿宋_GB2312" w:eastAsia="仿宋_GB2312" w:hAnsi="仿宋_GB2312" w:cs="仿宋_GB2312"/>
          </w:rPr>
          <w:t>4.1.2优选资质/优选指标</w:t>
        </w:r>
        <w:r>
          <w:tab/>
        </w:r>
        <w:r>
          <w:fldChar w:fldCharType="begin"/>
        </w:r>
        <w:r>
          <w:instrText xml:space="preserve"> PAGEREF _Toc256000030 \h </w:instrText>
        </w:r>
        <w:r>
          <w:fldChar w:fldCharType="separate"/>
        </w:r>
        <w:r>
          <w:t>12</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1" w:history="1">
        <w:r>
          <w:rPr>
            <w:rStyle w:val="Hyperlink"/>
            <w:rFonts w:ascii="仿宋_GB2312" w:eastAsia="仿宋_GB2312" w:hAnsi="仿宋_GB2312" w:cs="仿宋_GB2312"/>
            <w:kern w:val="36"/>
          </w:rPr>
          <w:t>5管理实施要求</w:t>
        </w:r>
        <w:r>
          <w:tab/>
        </w:r>
        <w:r>
          <w:fldChar w:fldCharType="begin"/>
        </w:r>
        <w:r>
          <w:instrText xml:space="preserve"> PAGEREF _Toc256000031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2" w:history="1">
        <w:r>
          <w:rPr>
            <w:rStyle w:val="Hyperlink"/>
            <w:rFonts w:ascii="仿宋_GB2312" w:eastAsia="仿宋_GB2312" w:hAnsi="仿宋_GB2312" w:cs="仿宋_GB2312"/>
            <w:kern w:val="36"/>
          </w:rPr>
          <w:t>6风险管控要求</w:t>
        </w:r>
        <w:r>
          <w:tab/>
        </w:r>
        <w:r>
          <w:fldChar w:fldCharType="begin"/>
        </w:r>
        <w:r>
          <w:instrText xml:space="preserve"> PAGEREF _Toc256000032 \h </w:instrText>
        </w:r>
        <w:r>
          <w:fldChar w:fldCharType="separate"/>
        </w:r>
        <w:r>
          <w:t>13</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3" w:history="1">
        <w:r>
          <w:rPr>
            <w:rStyle w:val="Hyperlink"/>
            <w:rFonts w:ascii="仿宋_GB2312" w:eastAsia="仿宋_GB2312" w:hAnsi="仿宋_GB2312" w:cs="仿宋_GB2312"/>
            <w:kern w:val="36"/>
          </w:rPr>
          <w:t>7履约验收要求</w:t>
        </w:r>
        <w:r>
          <w:tab/>
        </w:r>
        <w:r>
          <w:fldChar w:fldCharType="begin"/>
        </w:r>
        <w:r>
          <w:instrText xml:space="preserve"> PAGEREF _Toc256000033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4" w:history="1">
        <w:r>
          <w:rPr>
            <w:rStyle w:val="Hyperlink"/>
            <w:rFonts w:ascii="仿宋_GB2312" w:eastAsia="仿宋_GB2312" w:hAnsi="仿宋_GB2312" w:cs="仿宋_GB2312"/>
          </w:rPr>
          <w:t>7.1总体要求</w:t>
        </w:r>
        <w:r>
          <w:tab/>
        </w:r>
        <w:r>
          <w:fldChar w:fldCharType="begin"/>
        </w:r>
        <w:r>
          <w:instrText xml:space="preserve"> PAGEREF _Toc256000034 \h </w:instrText>
        </w:r>
        <w:r>
          <w:fldChar w:fldCharType="separate"/>
        </w:r>
        <w:r>
          <w:t>14</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5" w:history="1">
        <w:r>
          <w:rPr>
            <w:rStyle w:val="Hyperlink"/>
            <w:rFonts w:ascii="仿宋_GB2312" w:eastAsia="仿宋_GB2312" w:hAnsi="仿宋_GB2312" w:cs="仿宋_GB2312"/>
          </w:rPr>
          <w:t>7.2具体要求</w:t>
        </w:r>
        <w:r>
          <w:tab/>
        </w:r>
        <w:r>
          <w:fldChar w:fldCharType="begin"/>
        </w:r>
        <w:r>
          <w:instrText xml:space="preserve"> PAGEREF _Toc256000035 \h </w:instrText>
        </w:r>
        <w:r>
          <w:fldChar w:fldCharType="separate"/>
        </w:r>
        <w:r>
          <w:t>14</w:t>
        </w:r>
        <w:r>
          <w:fldChar w:fldCharType="end"/>
        </w:r>
      </w:hyperlink>
    </w:p>
    <w:p>
      <w:pPr>
        <w:pStyle w:val="TOC1"/>
        <w:tabs>
          <w:tab w:val="right" w:leader="dot" w:pos="9016"/>
        </w:tabs>
        <w:spacing w:before="0" w:after="0" w:line="360" w:lineRule="auto"/>
        <w:rPr>
          <w:rFonts w:asciiTheme="minorHAnsi" w:hAnsiTheme="minorHAnsi"/>
          <w:noProof/>
          <w:sz w:val="22"/>
        </w:rPr>
      </w:pPr>
      <w:hyperlink w:anchor="_Toc256000036" w:history="1">
        <w:r>
          <w:rPr>
            <w:rStyle w:val="Hyperlink"/>
            <w:rFonts w:ascii="仿宋_GB2312" w:eastAsia="仿宋_GB2312" w:hAnsi="仿宋_GB2312" w:cs="仿宋_GB2312"/>
            <w:kern w:val="36"/>
          </w:rPr>
          <w:t>8其他要求</w:t>
        </w:r>
        <w:r>
          <w:tab/>
        </w:r>
        <w:r>
          <w:fldChar w:fldCharType="begin"/>
        </w:r>
        <w:r>
          <w:instrText xml:space="preserve"> PAGEREF _Toc256000036 \h </w:instrText>
        </w:r>
        <w:r>
          <w:fldChar w:fldCharType="separate"/>
        </w:r>
        <w:r>
          <w:t>16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7" w:history="1">
        <w:r>
          <w:rPr>
            <w:rStyle w:val="Hyperlink"/>
            <w:rFonts w:ascii="仿宋_GB2312" w:eastAsia="仿宋_GB2312" w:hAnsi="仿宋_GB2312" w:cs="仿宋_GB2312"/>
          </w:rPr>
          <w:t>8.1定价和结算要求</w:t>
        </w:r>
        <w:r>
          <w:tab/>
        </w:r>
        <w:r>
          <w:fldChar w:fldCharType="begin"/>
        </w:r>
        <w:r>
          <w:instrText xml:space="preserve"> PAGEREF _Toc256000037 \h </w:instrText>
        </w:r>
        <w:r>
          <w:fldChar w:fldCharType="separate"/>
        </w:r>
        <w:r>
          <w:t>16</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38" w:history="1">
        <w:r>
          <w:rPr>
            <w:rStyle w:val="Hyperlink"/>
            <w:rFonts w:ascii="仿宋_GB2312" w:eastAsia="仿宋_GB2312" w:hAnsi="仿宋_GB2312" w:cs="仿宋_GB2312"/>
          </w:rPr>
          <w:t>8.2必备要求</w:t>
        </w:r>
        <w:r>
          <w:tab/>
        </w:r>
        <w:r>
          <w:fldChar w:fldCharType="begin"/>
        </w:r>
        <w:r>
          <w:instrText xml:space="preserve"> PAGEREF _Toc256000038 \h </w:instrText>
        </w:r>
        <w:r>
          <w:fldChar w:fldCharType="separate"/>
        </w:r>
        <w:r>
          <w:t>17</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39" w:history="1">
        <w:r>
          <w:rPr>
            <w:rStyle w:val="Hyperlink"/>
            <w:rFonts w:ascii="仿宋_GB2312" w:eastAsia="仿宋_GB2312" w:hAnsi="仿宋_GB2312" w:cs="仿宋_GB2312"/>
          </w:rPr>
          <w:t>8.2.1通用必备要求</w:t>
        </w:r>
        <w:r>
          <w:tab/>
        </w:r>
        <w:r>
          <w:fldChar w:fldCharType="begin"/>
        </w:r>
        <w:r>
          <w:instrText xml:space="preserve"> PAGEREF _Toc256000039 \h </w:instrText>
        </w:r>
        <w:r>
          <w:fldChar w:fldCharType="separate"/>
        </w:r>
        <w:r>
          <w:t>17</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0" w:history="1">
        <w:r>
          <w:rPr>
            <w:rStyle w:val="Hyperlink"/>
            <w:rFonts w:ascii="仿宋_GB2312" w:eastAsia="仿宋_GB2312" w:hAnsi="仿宋_GB2312" w:cs="仿宋_GB2312"/>
          </w:rPr>
          <w:t>8.3付款安排建议</w:t>
        </w:r>
        <w:r>
          <w:tab/>
        </w:r>
        <w:r>
          <w:fldChar w:fldCharType="begin"/>
        </w:r>
        <w:r>
          <w:instrText xml:space="preserve"> PAGEREF _Toc256000040 \h </w:instrText>
        </w:r>
        <w:r>
          <w:fldChar w:fldCharType="separate"/>
        </w:r>
        <w:r>
          <w:t>18</w:t>
        </w:r>
        <w:r>
          <w:fldChar w:fldCharType="end"/>
        </w:r>
      </w:hyperlink>
    </w:p>
    <w:p>
      <w:pPr>
        <w:pStyle w:val="TOC2"/>
        <w:tabs>
          <w:tab w:val="right" w:leader="dot" w:pos="9016"/>
        </w:tabs>
        <w:spacing w:before="0" w:after="0" w:line="360" w:lineRule="auto"/>
        <w:rPr>
          <w:rFonts w:asciiTheme="minorHAnsi" w:hAnsiTheme="minorHAnsi"/>
          <w:noProof/>
          <w:sz w:val="22"/>
        </w:rPr>
      </w:pPr>
      <w:hyperlink w:anchor="_Toc256000041" w:history="1">
        <w:r>
          <w:rPr>
            <w:rStyle w:val="Hyperlink"/>
            <w:rFonts w:ascii="仿宋_GB2312" w:eastAsia="仿宋_GB2312" w:hAnsi="仿宋_GB2312" w:cs="仿宋_GB2312"/>
          </w:rPr>
          <w:t>8.4其他要求</w:t>
        </w:r>
        <w:r>
          <w:tab/>
        </w:r>
        <w:r>
          <w:fldChar w:fldCharType="begin"/>
        </w:r>
        <w:r>
          <w:instrText xml:space="preserve"> PAGEREF _Toc256000041 \h </w:instrText>
        </w:r>
        <w:r>
          <w:fldChar w:fldCharType="separate"/>
        </w:r>
        <w:r>
          <w:t>18</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2" w:history="1">
        <w:r>
          <w:rPr>
            <w:rStyle w:val="Hyperlink"/>
            <w:rFonts w:ascii="仿宋_GB2312" w:eastAsia="仿宋_GB2312" w:hAnsi="仿宋_GB2312" w:cs="仿宋_GB2312"/>
          </w:rPr>
          <w:t>8.4.1保密要求</w:t>
        </w:r>
        <w:r>
          <w:tab/>
        </w:r>
        <w:r>
          <w:fldChar w:fldCharType="begin"/>
        </w:r>
        <w:r>
          <w:instrText xml:space="preserve"> PAGEREF _Toc256000042 \h </w:instrText>
        </w:r>
        <w:r>
          <w:fldChar w:fldCharType="separate"/>
        </w:r>
        <w:r>
          <w:t>18</w:t>
        </w:r>
        <w:r>
          <w:fldChar w:fldCharType="end"/>
        </w:r>
      </w:hyperlink>
    </w:p>
    <w:p>
      <w:pPr>
        <w:pStyle w:val="TOC3"/>
        <w:tabs>
          <w:tab w:val="right" w:leader="dot" w:pos="9016"/>
        </w:tabs>
        <w:spacing w:before="0" w:after="0" w:line="360" w:lineRule="auto"/>
        <w:rPr>
          <w:rFonts w:asciiTheme="minorHAnsi" w:hAnsiTheme="minorHAnsi"/>
          <w:noProof/>
          <w:sz w:val="22"/>
        </w:rPr>
      </w:pPr>
      <w:hyperlink w:anchor="_Toc256000043" w:history="1">
        <w:r>
          <w:rPr>
            <w:rStyle w:val="Hyperlink"/>
            <w:rFonts w:ascii="仿宋_GB2312" w:eastAsia="仿宋_GB2312" w:hAnsi="仿宋_GB2312" w:cs="仿宋_GB2312"/>
          </w:rPr>
          <w:t>8.4.2知识产权要求</w:t>
        </w:r>
        <w:r>
          <w:tab/>
        </w:r>
        <w:r>
          <w:fldChar w:fldCharType="begin"/>
        </w:r>
        <w:r>
          <w:instrText xml:space="preserve"> PAGEREF _Toc256000043 \h </w:instrText>
        </w:r>
        <w:r>
          <w:fldChar w:fldCharType="separate"/>
        </w:r>
        <w:r>
          <w:t>18</w:t>
        </w:r>
        <w:r>
          <w:fldChar w:fldCharType="end"/>
        </w:r>
      </w:hyperlink>
    </w:p>
    <w:p>
      <w:pPr>
        <w:spacing w:before="0" w:after="0" w:line="360" w:lineRule="auto"/>
        <w:jc w:val="left"/>
      </w:pPr>
      <w:r w:rsidR="00A77B3E">
        <w:rPr>
          <w:rFonts w:ascii="SimSun" w:eastAsia="SimSun" w:hAnsi="SimSun" w:cs="SimSun"/>
          <w:sz w:val="32"/>
        </w:rPr>
        <w:fldChar w:fldCharType="end"/>
      </w:r>
      <w:r>
        <w:br w:type="page"/>
      </w:r>
    </w:p>
    <w:p>
      <w:pPr>
        <w:pStyle w:val="Heading1"/>
        <w:keepNext w:val="0"/>
        <w:spacing w:before="0" w:after="0" w:line="360" w:lineRule="auto"/>
        <w:jc w:val="center"/>
        <w:rPr>
          <w:rFonts w:ascii="仿宋_GB2312" w:eastAsia="仿宋_GB2312" w:hAnsi="仿宋_GB2312" w:cs="仿宋_GB2312"/>
          <w:b/>
          <w:bCs/>
          <w:sz w:val="32"/>
          <w:szCs w:val="32"/>
        </w:rPr>
      </w:pPr>
      <w:bookmarkStart w:id="3" w:name="_Toc256000000"/>
      <w:r>
        <w:rPr>
          <w:rFonts w:ascii="仿宋_GB2312" w:eastAsia="仿宋_GB2312" w:hAnsi="仿宋_GB2312" w:cs="仿宋_GB2312"/>
          <w:kern w:val="36"/>
        </w:rPr>
        <w:t>1项目概述</w:t>
      </w:r>
      <w:bookmarkEnd w:id="3"/>
    </w:p>
    <w:p>
      <w:pPr>
        <w:pStyle w:val="Heading2"/>
        <w:keepNext w:val="0"/>
        <w:spacing w:before="0" w:after="0" w:line="360" w:lineRule="auto"/>
        <w:rPr>
          <w:rFonts w:ascii="仿宋_GB2312" w:eastAsia="仿宋_GB2312" w:hAnsi="仿宋_GB2312" w:cs="仿宋_GB2312"/>
          <w:b/>
          <w:bCs/>
          <w:sz w:val="28"/>
          <w:szCs w:val="28"/>
        </w:rPr>
      </w:pPr>
      <w:bookmarkStart w:id="4" w:name="_Toc256000001"/>
      <w:r>
        <w:rPr>
          <w:rFonts w:ascii="仿宋_GB2312" w:eastAsia="仿宋_GB2312" w:hAnsi="仿宋_GB2312" w:cs="仿宋_GB2312"/>
          <w:i w:val="0"/>
          <w:iCs w:val="0"/>
        </w:rPr>
        <w:t>1.1项目背景</w:t>
      </w:r>
      <w:bookmarkEnd w:id="4"/>
    </w:p>
    <w:p>
      <w:pPr>
        <w:pStyle w:val="Heading3"/>
        <w:keepNext w:val="0"/>
        <w:spacing w:before="0" w:after="0" w:line="360" w:lineRule="auto"/>
        <w:rPr>
          <w:rFonts w:ascii="仿宋_GB2312" w:eastAsia="仿宋_GB2312" w:hAnsi="仿宋_GB2312" w:cs="仿宋_GB2312"/>
          <w:b/>
          <w:bCs/>
          <w:sz w:val="28"/>
          <w:szCs w:val="28"/>
        </w:rPr>
      </w:pPr>
      <w:bookmarkStart w:id="5" w:name="_Toc256000002"/>
      <w:r>
        <w:rPr>
          <w:rFonts w:ascii="仿宋_GB2312" w:eastAsia="仿宋_GB2312" w:hAnsi="仿宋_GB2312" w:cs="仿宋_GB2312"/>
          <w:sz w:val="28"/>
          <w:szCs w:val="28"/>
        </w:rPr>
        <w:t>1.1.1项目目的、意义及背景</w:t>
      </w:r>
      <w:bookmarkEnd w:id="5"/>
    </w:p>
    <w:p>
      <w:pPr>
        <w:pStyle w:val="MsoNormal"/>
        <w:spacing w:before="0" w:after="0" w:line="360" w:lineRule="auto"/>
        <w:ind w:firstLine="560"/>
        <w:jc w:val="both"/>
        <w:rPr>
          <w:rFonts w:ascii="Times New Roman" w:eastAsia="Times New Roman" w:hAnsi="Times New Roman" w:cs="Times New Roman"/>
        </w:rPr>
      </w:pPr>
      <w:r>
        <w:rPr>
          <w:rFonts w:ascii="仿宋_GB2312" w:eastAsia="仿宋_GB2312" w:hAnsi="仿宋_GB2312" w:cs="仿宋_GB2312"/>
          <w:sz w:val="28"/>
          <w:szCs w:val="28"/>
        </w:rPr>
        <w:t>2025年</w:t>
      </w:r>
      <w:r>
        <w:rPr>
          <w:rFonts w:ascii="仿宋_GB2312" w:eastAsia="仿宋_GB2312" w:hAnsi="仿宋_GB2312" w:cs="仿宋_GB2312"/>
          <w:sz w:val="28"/>
          <w:szCs w:val="28"/>
        </w:rPr>
        <w:t>河东区税务局</w:t>
      </w:r>
      <w:r>
        <w:rPr>
          <w:rFonts w:ascii="仿宋_GB2312" w:eastAsia="仿宋_GB2312" w:hAnsi="仿宋_GB2312" w:cs="仿宋_GB2312"/>
          <w:sz w:val="28"/>
          <w:szCs w:val="28"/>
        </w:rPr>
        <w:t>食堂食材采购项目（主副食调料奶制品类等），包</w:t>
      </w:r>
      <w:r>
        <w:rPr>
          <w:rFonts w:ascii="仿宋_GB2312" w:eastAsia="仿宋_GB2312" w:hAnsi="仿宋_GB2312" w:cs="仿宋_GB2312"/>
          <w:sz w:val="28"/>
          <w:szCs w:val="28"/>
        </w:rPr>
        <w:t>含米、面、油、杂粮、鸡蛋及调料</w:t>
      </w:r>
      <w:r>
        <w:rPr>
          <w:rFonts w:ascii="仿宋_GB2312" w:eastAsia="仿宋_GB2312" w:hAnsi="仿宋_GB2312" w:cs="仿宋_GB2312"/>
          <w:sz w:val="28"/>
          <w:szCs w:val="28"/>
        </w:rPr>
        <w:t>、鲜奶及奶制品</w:t>
      </w:r>
      <w:r>
        <w:rPr>
          <w:rFonts w:ascii="仿宋_GB2312" w:eastAsia="仿宋_GB2312" w:hAnsi="仿宋_GB2312" w:cs="仿宋_GB2312"/>
          <w:sz w:val="28"/>
          <w:szCs w:val="28"/>
        </w:rPr>
        <w:t>等，</w:t>
      </w:r>
      <w:r>
        <w:rPr>
          <w:rFonts w:ascii="仿宋_GB2312" w:eastAsia="仿宋_GB2312" w:hAnsi="仿宋_GB2312" w:cs="仿宋_GB2312"/>
          <w:sz w:val="28"/>
          <w:szCs w:val="28"/>
        </w:rPr>
        <w:t>采购预算为人民币</w:t>
      </w:r>
      <w:r>
        <w:rPr>
          <w:rFonts w:ascii="仿宋_GB2312" w:eastAsia="仿宋_GB2312" w:hAnsi="仿宋_GB2312" w:cs="仿宋_GB2312"/>
          <w:sz w:val="28"/>
          <w:szCs w:val="28"/>
        </w:rPr>
        <w:t>1</w:t>
      </w:r>
      <w:r>
        <w:rPr>
          <w:rFonts w:ascii="仿宋_GB2312" w:eastAsia="仿宋_GB2312" w:hAnsi="仿宋_GB2312" w:cs="仿宋_GB2312"/>
          <w:sz w:val="28"/>
          <w:szCs w:val="28"/>
        </w:rPr>
        <w:t>35</w:t>
      </w:r>
      <w:r>
        <w:rPr>
          <w:rFonts w:ascii="仿宋_GB2312" w:eastAsia="仿宋_GB2312" w:hAnsi="仿宋_GB2312" w:cs="仿宋_GB2312"/>
          <w:sz w:val="28"/>
          <w:szCs w:val="28"/>
        </w:rPr>
        <w:t>.00万元</w:t>
      </w:r>
      <w:r>
        <w:rPr>
          <w:rFonts w:ascii="仿宋_GB2312" w:eastAsia="仿宋_GB2312" w:hAnsi="仿宋_GB2312" w:cs="仿宋_GB2312"/>
          <w:sz w:val="28"/>
          <w:szCs w:val="28"/>
        </w:rPr>
        <w:t>，其中包含必需在</w:t>
      </w:r>
      <w:r>
        <w:rPr>
          <w:rFonts w:ascii="仿宋_GB2312" w:eastAsia="仿宋_GB2312" w:hAnsi="仿宋_GB2312" w:cs="仿宋_GB2312"/>
          <w:sz w:val="28"/>
          <w:szCs w:val="28"/>
        </w:rPr>
        <w:t>“832平台”采购的</w:t>
      </w:r>
      <w:r>
        <w:rPr>
          <w:rFonts w:ascii="仿宋_GB2312" w:eastAsia="仿宋_GB2312" w:hAnsi="仿宋_GB2312" w:cs="仿宋_GB2312"/>
          <w:sz w:val="28"/>
          <w:szCs w:val="28"/>
        </w:rPr>
        <w:t>2</w:t>
      </w:r>
      <w:r>
        <w:rPr>
          <w:rFonts w:ascii="仿宋_GB2312" w:eastAsia="仿宋_GB2312" w:hAnsi="仿宋_GB2312" w:cs="仿宋_GB2312"/>
          <w:sz w:val="28"/>
          <w:szCs w:val="28"/>
        </w:rPr>
        <w:t>8</w:t>
      </w:r>
      <w:r>
        <w:rPr>
          <w:rFonts w:ascii="仿宋_GB2312" w:eastAsia="仿宋_GB2312" w:hAnsi="仿宋_GB2312" w:cs="仿宋_GB2312"/>
          <w:sz w:val="28"/>
          <w:szCs w:val="28"/>
        </w:rPr>
        <w:t>万元</w:t>
      </w:r>
      <w:r>
        <w:rPr>
          <w:rFonts w:ascii="仿宋_GB2312" w:eastAsia="仿宋_GB2312" w:hAnsi="仿宋_GB2312" w:cs="仿宋_GB2312"/>
          <w:sz w:val="28"/>
          <w:szCs w:val="28"/>
        </w:rPr>
        <w:t>。</w:t>
      </w:r>
      <w:r>
        <w:rPr>
          <w:rFonts w:ascii="仿宋_GB2312" w:eastAsia="仿宋_GB2312" w:hAnsi="仿宋_GB2312" w:cs="仿宋_GB2312"/>
          <w:sz w:val="28"/>
          <w:szCs w:val="28"/>
        </w:rPr>
        <w:t>供应商按照本包金额进行投标报价，投标价格不得超过预算。投标价格不作为最终合同金额，采购食材按实际采购量进行结算，总结算金额不超过采购预算。</w:t>
      </w:r>
    </w:p>
    <w:p>
      <w:pPr>
        <w:pStyle w:val="Heading2"/>
        <w:keepNext w:val="0"/>
        <w:spacing w:before="0" w:after="0" w:line="360" w:lineRule="auto"/>
        <w:rPr>
          <w:rFonts w:ascii="仿宋_GB2312" w:eastAsia="仿宋_GB2312" w:hAnsi="仿宋_GB2312" w:cs="仿宋_GB2312"/>
          <w:b/>
          <w:bCs/>
          <w:sz w:val="28"/>
          <w:szCs w:val="28"/>
        </w:rPr>
      </w:pPr>
      <w:bookmarkStart w:id="6" w:name="_Toc256000003"/>
      <w:r>
        <w:rPr>
          <w:rFonts w:ascii="仿宋_GB2312" w:eastAsia="仿宋_GB2312" w:hAnsi="仿宋_GB2312" w:cs="仿宋_GB2312"/>
          <w:i w:val="0"/>
          <w:iCs w:val="0"/>
        </w:rPr>
        <w:t>1.2项目内容</w:t>
      </w:r>
      <w:bookmarkEnd w:id="6"/>
    </w:p>
    <w:p>
      <w:pPr>
        <w:pStyle w:val="Heading3"/>
        <w:keepNext w:val="0"/>
        <w:spacing w:before="0" w:after="0" w:line="360" w:lineRule="auto"/>
        <w:rPr>
          <w:rFonts w:ascii="仿宋_GB2312" w:eastAsia="仿宋_GB2312" w:hAnsi="仿宋_GB2312" w:cs="仿宋_GB2312"/>
          <w:b/>
          <w:bCs/>
          <w:sz w:val="28"/>
          <w:szCs w:val="28"/>
        </w:rPr>
      </w:pPr>
      <w:bookmarkStart w:id="7" w:name="_Toc256000004"/>
      <w:r>
        <w:rPr>
          <w:rFonts w:ascii="仿宋_GB2312" w:eastAsia="仿宋_GB2312" w:hAnsi="仿宋_GB2312" w:cs="仿宋_GB2312"/>
          <w:sz w:val="28"/>
          <w:szCs w:val="28"/>
        </w:rPr>
        <w:t>1.2.1项目建设思路</w:t>
      </w:r>
      <w:bookmarkEnd w:id="7"/>
    </w:p>
    <w:p>
      <w:pPr>
        <w:pStyle w:val="MsoNormal"/>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本项目旨在为</w:t>
      </w:r>
      <w:r>
        <w:rPr>
          <w:rFonts w:ascii="仿宋_GB2312" w:eastAsia="仿宋_GB2312" w:hAnsi="仿宋_GB2312" w:cs="仿宋_GB2312"/>
          <w:sz w:val="28"/>
          <w:szCs w:val="28"/>
        </w:rPr>
        <w:t>河东区税务局</w:t>
      </w:r>
      <w:r>
        <w:rPr>
          <w:rFonts w:ascii="仿宋_GB2312" w:eastAsia="仿宋_GB2312" w:hAnsi="仿宋_GB2312" w:cs="仿宋_GB2312"/>
          <w:sz w:val="28"/>
          <w:szCs w:val="28"/>
        </w:rPr>
        <w:t>食堂提供质优价廉的</w:t>
      </w:r>
      <w:r>
        <w:rPr>
          <w:rFonts w:ascii="仿宋_GB2312" w:eastAsia="仿宋_GB2312" w:hAnsi="仿宋_GB2312" w:cs="仿宋_GB2312"/>
          <w:sz w:val="28"/>
          <w:szCs w:val="28"/>
        </w:rPr>
        <w:t>米、面、油、杂粮、鸡蛋及调料</w:t>
      </w:r>
      <w:r>
        <w:rPr>
          <w:rFonts w:ascii="仿宋_GB2312" w:eastAsia="仿宋_GB2312" w:hAnsi="仿宋_GB2312" w:cs="仿宋_GB2312"/>
          <w:sz w:val="28"/>
          <w:szCs w:val="28"/>
        </w:rPr>
        <w:t>、鲜奶及奶制品等食材，在确保</w:t>
      </w:r>
      <w:r>
        <w:rPr>
          <w:rFonts w:ascii="仿宋_GB2312" w:eastAsia="仿宋_GB2312" w:hAnsi="仿宋_GB2312" w:cs="仿宋_GB2312"/>
          <w:sz w:val="28"/>
          <w:szCs w:val="28"/>
        </w:rPr>
        <w:t>国</w:t>
      </w:r>
      <w:r>
        <w:rPr>
          <w:rFonts w:ascii="仿宋_GB2312" w:eastAsia="仿宋_GB2312" w:hAnsi="仿宋_GB2312" w:cs="仿宋_GB2312"/>
          <w:sz w:val="28"/>
          <w:szCs w:val="28"/>
        </w:rPr>
        <w:t>家</w:t>
      </w:r>
      <w:r>
        <w:rPr>
          <w:rFonts w:ascii="仿宋_GB2312" w:eastAsia="仿宋_GB2312" w:hAnsi="仿宋_GB2312" w:cs="仿宋_GB2312"/>
          <w:sz w:val="28"/>
          <w:szCs w:val="28"/>
        </w:rPr>
        <w:t>税务</w:t>
      </w:r>
      <w:r>
        <w:rPr>
          <w:rFonts w:ascii="仿宋_GB2312" w:eastAsia="仿宋_GB2312" w:hAnsi="仿宋_GB2312" w:cs="仿宋_GB2312"/>
          <w:sz w:val="28"/>
          <w:szCs w:val="28"/>
        </w:rPr>
        <w:t>总局</w:t>
      </w:r>
      <w:r>
        <w:rPr>
          <w:rFonts w:ascii="仿宋_GB2312" w:eastAsia="仿宋_GB2312" w:hAnsi="仿宋_GB2312" w:cs="仿宋_GB2312"/>
          <w:sz w:val="28"/>
          <w:szCs w:val="28"/>
        </w:rPr>
        <w:t>天津</w:t>
      </w:r>
      <w:r>
        <w:rPr>
          <w:rFonts w:ascii="仿宋_GB2312" w:eastAsia="仿宋_GB2312" w:hAnsi="仿宋_GB2312" w:cs="仿宋_GB2312"/>
          <w:sz w:val="28"/>
          <w:szCs w:val="28"/>
        </w:rPr>
        <w:t>市</w:t>
      </w:r>
      <w:r>
        <w:rPr>
          <w:rFonts w:ascii="仿宋_GB2312" w:eastAsia="仿宋_GB2312" w:hAnsi="仿宋_GB2312" w:cs="仿宋_GB2312"/>
          <w:sz w:val="28"/>
          <w:szCs w:val="28"/>
        </w:rPr>
        <w:t>河东</w:t>
      </w:r>
      <w:r>
        <w:rPr>
          <w:rFonts w:ascii="仿宋_GB2312" w:eastAsia="仿宋_GB2312" w:hAnsi="仿宋_GB2312" w:cs="仿宋_GB2312"/>
          <w:sz w:val="28"/>
          <w:szCs w:val="28"/>
        </w:rPr>
        <w:t>区</w:t>
      </w:r>
      <w:r>
        <w:rPr>
          <w:rFonts w:ascii="仿宋_GB2312" w:eastAsia="仿宋_GB2312" w:hAnsi="仿宋_GB2312" w:cs="仿宋_GB2312"/>
          <w:sz w:val="28"/>
          <w:szCs w:val="28"/>
        </w:rPr>
        <w:t>税务</w:t>
      </w:r>
      <w:r>
        <w:rPr>
          <w:rFonts w:ascii="仿宋_GB2312" w:eastAsia="仿宋_GB2312" w:hAnsi="仿宋_GB2312" w:cs="仿宋_GB2312"/>
          <w:sz w:val="28"/>
          <w:szCs w:val="28"/>
        </w:rPr>
        <w:t>局</w:t>
      </w:r>
      <w:r>
        <w:rPr>
          <w:rFonts w:ascii="仿宋_GB2312" w:eastAsia="仿宋_GB2312" w:hAnsi="仿宋_GB2312" w:cs="仿宋_GB2312"/>
          <w:sz w:val="28"/>
          <w:szCs w:val="28"/>
        </w:rPr>
        <w:t>食品安全的基础上，提供高效便捷的服务。</w:t>
      </w:r>
    </w:p>
    <w:p>
      <w:pPr>
        <w:pStyle w:val="Heading3"/>
        <w:keepNext w:val="0"/>
        <w:spacing w:before="0" w:after="0" w:line="360" w:lineRule="auto"/>
        <w:rPr>
          <w:rFonts w:ascii="仿宋_GB2312" w:eastAsia="仿宋_GB2312" w:hAnsi="仿宋_GB2312" w:cs="仿宋_GB2312"/>
          <w:b/>
          <w:bCs/>
          <w:sz w:val="28"/>
          <w:szCs w:val="28"/>
        </w:rPr>
      </w:pPr>
      <w:bookmarkStart w:id="8" w:name="_Toc256000005"/>
      <w:r>
        <w:rPr>
          <w:rFonts w:ascii="仿宋_GB2312" w:eastAsia="仿宋_GB2312" w:hAnsi="仿宋_GB2312" w:cs="仿宋_GB2312"/>
          <w:sz w:val="28"/>
          <w:szCs w:val="28"/>
        </w:rPr>
        <w:t>1.2.2采购内容</w:t>
      </w:r>
      <w:bookmarkEnd w:id="8"/>
    </w:p>
    <w:p>
      <w:pPr>
        <w:pStyle w:val="MsoNormal"/>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25年</w:t>
      </w:r>
      <w:r>
        <w:rPr>
          <w:rFonts w:ascii="仿宋_GB2312" w:eastAsia="仿宋_GB2312" w:hAnsi="仿宋_GB2312" w:cs="仿宋_GB2312"/>
          <w:sz w:val="28"/>
          <w:szCs w:val="28"/>
        </w:rPr>
        <w:t>国家税务总局天津市河东区税务局</w:t>
      </w:r>
      <w:r>
        <w:rPr>
          <w:rFonts w:ascii="仿宋_GB2312" w:eastAsia="仿宋_GB2312" w:hAnsi="仿宋_GB2312" w:cs="仿宋_GB2312"/>
          <w:sz w:val="28"/>
          <w:szCs w:val="28"/>
        </w:rPr>
        <w:t>食堂主副食调料奶制品类等食材采购</w:t>
      </w:r>
      <w:r>
        <w:rPr>
          <w:rFonts w:ascii="仿宋_GB2312" w:eastAsia="仿宋_GB2312" w:hAnsi="仿宋_GB2312" w:cs="仿宋_GB2312"/>
          <w:sz w:val="28"/>
          <w:szCs w:val="28"/>
        </w:rPr>
        <w:t>配送</w:t>
      </w:r>
      <w:r>
        <w:rPr>
          <w:rFonts w:ascii="仿宋_GB2312" w:eastAsia="仿宋_GB2312" w:hAnsi="仿宋_GB2312" w:cs="仿宋_GB2312"/>
          <w:sz w:val="28"/>
          <w:szCs w:val="28"/>
        </w:rPr>
        <w:t>项目。</w:t>
      </w:r>
    </w:p>
    <w:p>
      <w:pPr>
        <w:pStyle w:val="Heading3"/>
        <w:keepNext w:val="0"/>
        <w:spacing w:before="0" w:after="0" w:line="360" w:lineRule="auto"/>
        <w:rPr>
          <w:rFonts w:ascii="仿宋_GB2312" w:eastAsia="仿宋_GB2312" w:hAnsi="仿宋_GB2312" w:cs="仿宋_GB2312"/>
          <w:b/>
          <w:bCs/>
          <w:sz w:val="28"/>
          <w:szCs w:val="28"/>
        </w:rPr>
      </w:pPr>
      <w:bookmarkStart w:id="9" w:name="_Toc256000006"/>
      <w:r>
        <w:rPr>
          <w:rFonts w:ascii="仿宋_GB2312" w:eastAsia="仿宋_GB2312" w:hAnsi="仿宋_GB2312" w:cs="仿宋_GB2312"/>
          <w:sz w:val="28"/>
          <w:szCs w:val="28"/>
        </w:rPr>
        <w:t>1.2.3项目实施要求</w:t>
      </w:r>
      <w:bookmarkEnd w:id="9"/>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1.2.3.1实施范围要求</w:t>
      </w:r>
    </w:p>
    <w:p>
      <w:pPr>
        <w:pStyle w:val="MsoNormal"/>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按照采购人需求，为</w:t>
      </w:r>
      <w:r>
        <w:rPr>
          <w:rFonts w:ascii="仿宋_GB2312" w:eastAsia="仿宋_GB2312" w:hAnsi="仿宋_GB2312" w:cs="仿宋_GB2312"/>
          <w:sz w:val="28"/>
          <w:szCs w:val="28"/>
        </w:rPr>
        <w:t>国家税务总局天津市河东区税务局</w:t>
      </w:r>
      <w:r>
        <w:rPr>
          <w:rFonts w:ascii="仿宋_GB2312" w:eastAsia="仿宋_GB2312" w:hAnsi="仿宋_GB2312" w:cs="仿宋_GB2312"/>
          <w:sz w:val="28"/>
          <w:szCs w:val="28"/>
        </w:rPr>
        <w:t>提供</w:t>
      </w:r>
      <w:r>
        <w:rPr>
          <w:rFonts w:ascii="仿宋_GB2312" w:eastAsia="仿宋_GB2312" w:hAnsi="仿宋_GB2312" w:cs="仿宋_GB2312"/>
          <w:sz w:val="28"/>
          <w:szCs w:val="28"/>
        </w:rPr>
        <w:t>2025年度主副食调料等其他类食材，并提供相应简单加工及配送服务。</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1.2.3.2实施时间要求</w:t>
      </w:r>
    </w:p>
    <w:p>
      <w:pPr>
        <w:pStyle w:val="MsoNormal"/>
        <w:spacing w:before="0" w:after="0" w:line="360" w:lineRule="auto"/>
        <w:rPr>
          <w:rFonts w:ascii="Times New Roman" w:eastAsia="Times New Roman" w:hAnsi="Times New Roman" w:cs="Times New Roman"/>
        </w:rPr>
      </w:pPr>
      <w:r>
        <w:rPr>
          <w:rFonts w:ascii="FangSong_GB2312" w:eastAsia="FangSong_GB2312" w:hAnsi="FangSong_GB2312" w:cs="FangSong_GB2312"/>
          <w:sz w:val="28"/>
          <w:szCs w:val="28"/>
        </w:rPr>
        <w:t>    合同规定的服务起始之日起一年的服务期，签订合同之日起</w:t>
      </w:r>
      <w:r>
        <w:rPr>
          <w:rFonts w:ascii="Times New Roman" w:eastAsia="Times New Roman" w:hAnsi="Times New Roman" w:cs="Times New Roman"/>
          <w:sz w:val="28"/>
          <w:szCs w:val="28"/>
        </w:rPr>
        <w:t>10日内开启食材配送服务。若在服务期内，预算执行完毕，则服务期提前结束（特殊情况以合同为准）。</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1.2.3.3实施地点要求</w:t>
      </w:r>
    </w:p>
    <w:p>
      <w:pPr>
        <w:pStyle w:val="MsoNormal"/>
        <w:spacing w:before="0" w:after="0" w:line="360" w:lineRule="auto"/>
        <w:rPr>
          <w:rFonts w:ascii="Times New Roman" w:eastAsia="Times New Roman" w:hAnsi="Times New Roman" w:cs="Times New Roman"/>
        </w:rPr>
      </w:pPr>
      <w:r>
        <w:rPr>
          <w:rFonts w:ascii="仿宋_GB2312" w:eastAsia="仿宋_GB2312" w:hAnsi="仿宋_GB2312" w:cs="仿宋_GB2312"/>
          <w:sz w:val="28"/>
          <w:szCs w:val="28"/>
        </w:rPr>
        <w:t>    国家税务总局天津市</w:t>
      </w:r>
      <w:r>
        <w:rPr>
          <w:rFonts w:ascii="仿宋_GB2312" w:eastAsia="仿宋_GB2312" w:hAnsi="仿宋_GB2312" w:cs="仿宋_GB2312"/>
          <w:sz w:val="28"/>
          <w:szCs w:val="28"/>
        </w:rPr>
        <w:t>河东区</w:t>
      </w:r>
      <w:r>
        <w:rPr>
          <w:rFonts w:ascii="仿宋_GB2312" w:eastAsia="仿宋_GB2312" w:hAnsi="仿宋_GB2312" w:cs="仿宋_GB2312"/>
          <w:sz w:val="28"/>
          <w:szCs w:val="28"/>
        </w:rPr>
        <w:t>税务局</w:t>
      </w:r>
      <w:r>
        <w:rPr>
          <w:rFonts w:ascii="仿宋_GB2312" w:eastAsia="仿宋_GB2312" w:hAnsi="仿宋_GB2312" w:cs="仿宋_GB2312"/>
          <w:sz w:val="28"/>
          <w:szCs w:val="28"/>
        </w:rPr>
        <w:t>六纬路办公区</w:t>
      </w:r>
      <w:r>
        <w:rPr>
          <w:rFonts w:ascii="仿宋_GB2312" w:eastAsia="仿宋_GB2312" w:hAnsi="仿宋_GB2312" w:cs="仿宋_GB2312"/>
          <w:sz w:val="28"/>
          <w:szCs w:val="28"/>
        </w:rPr>
        <w:t>食堂（</w:t>
      </w:r>
      <w:r>
        <w:rPr>
          <w:rFonts w:ascii="仿宋_GB2312" w:eastAsia="仿宋_GB2312" w:hAnsi="仿宋_GB2312" w:cs="仿宋_GB2312"/>
          <w:sz w:val="28"/>
          <w:szCs w:val="28"/>
        </w:rPr>
        <w:t>河东区六纬路</w:t>
      </w:r>
      <w:r>
        <w:rPr>
          <w:rFonts w:ascii="仿宋_GB2312" w:eastAsia="仿宋_GB2312" w:hAnsi="仿宋_GB2312" w:cs="仿宋_GB2312"/>
          <w:sz w:val="28"/>
          <w:szCs w:val="28"/>
        </w:rPr>
        <w:t>151号），</w:t>
      </w:r>
      <w:r>
        <w:rPr>
          <w:rFonts w:ascii="仿宋_GB2312" w:eastAsia="仿宋_GB2312" w:hAnsi="仿宋_GB2312" w:cs="仿宋_GB2312"/>
          <w:sz w:val="28"/>
          <w:szCs w:val="28"/>
        </w:rPr>
        <w:t>国家税务总局天津市</w:t>
      </w:r>
      <w:r>
        <w:rPr>
          <w:rFonts w:ascii="仿宋_GB2312" w:eastAsia="仿宋_GB2312" w:hAnsi="仿宋_GB2312" w:cs="仿宋_GB2312"/>
          <w:sz w:val="28"/>
          <w:szCs w:val="28"/>
        </w:rPr>
        <w:t>河东区</w:t>
      </w:r>
      <w:r>
        <w:rPr>
          <w:rFonts w:ascii="仿宋_GB2312" w:eastAsia="仿宋_GB2312" w:hAnsi="仿宋_GB2312" w:cs="仿宋_GB2312"/>
          <w:sz w:val="28"/>
          <w:szCs w:val="28"/>
        </w:rPr>
        <w:t>税务局</w:t>
      </w:r>
      <w:r>
        <w:rPr>
          <w:rFonts w:ascii="仿宋_GB2312" w:eastAsia="仿宋_GB2312" w:hAnsi="仿宋_GB2312" w:cs="仿宋_GB2312"/>
          <w:sz w:val="28"/>
          <w:szCs w:val="28"/>
        </w:rPr>
        <w:t>七纬路办公区</w:t>
      </w:r>
      <w:r>
        <w:rPr>
          <w:rFonts w:ascii="仿宋_GB2312" w:eastAsia="仿宋_GB2312" w:hAnsi="仿宋_GB2312" w:cs="仿宋_GB2312"/>
          <w:sz w:val="28"/>
          <w:szCs w:val="28"/>
        </w:rPr>
        <w:t>食堂（</w:t>
      </w:r>
      <w:r>
        <w:rPr>
          <w:rFonts w:ascii="仿宋_GB2312" w:eastAsia="仿宋_GB2312" w:hAnsi="仿宋_GB2312" w:cs="仿宋_GB2312"/>
          <w:sz w:val="28"/>
          <w:szCs w:val="28"/>
        </w:rPr>
        <w:t>河东区七纬路</w:t>
      </w:r>
      <w:r>
        <w:rPr>
          <w:rFonts w:ascii="仿宋_GB2312" w:eastAsia="仿宋_GB2312" w:hAnsi="仿宋_GB2312" w:cs="仿宋_GB2312"/>
          <w:sz w:val="28"/>
          <w:szCs w:val="28"/>
        </w:rPr>
        <w:t>99号）</w:t>
      </w:r>
      <w:r>
        <w:rPr>
          <w:rFonts w:ascii="仿宋_GB2312" w:eastAsia="仿宋_GB2312" w:hAnsi="仿宋_GB2312" w:cs="仿宋_GB2312"/>
          <w:sz w:val="28"/>
          <w:szCs w:val="28"/>
        </w:rPr>
        <w:t>。</w:t>
      </w:r>
    </w:p>
    <w:p>
      <w:pPr>
        <w:pStyle w:val="Heading2"/>
        <w:keepNext w:val="0"/>
        <w:spacing w:before="0" w:after="0" w:line="360" w:lineRule="auto"/>
        <w:rPr>
          <w:rFonts w:ascii="仿宋_GB2312" w:eastAsia="仿宋_GB2312" w:hAnsi="仿宋_GB2312" w:cs="仿宋_GB2312"/>
          <w:b/>
          <w:bCs/>
          <w:sz w:val="28"/>
          <w:szCs w:val="28"/>
        </w:rPr>
      </w:pPr>
      <w:bookmarkStart w:id="10" w:name="_Toc256000007"/>
      <w:r>
        <w:rPr>
          <w:rFonts w:ascii="仿宋_GB2312" w:eastAsia="仿宋_GB2312" w:hAnsi="仿宋_GB2312" w:cs="仿宋_GB2312"/>
          <w:i w:val="0"/>
          <w:iCs w:val="0"/>
        </w:rPr>
        <w:t>1.3其他要求</w:t>
      </w:r>
      <w:bookmarkEnd w:id="10"/>
    </w:p>
    <w:p>
      <w:pPr>
        <w:pStyle w:val="Heading3"/>
        <w:keepNext w:val="0"/>
        <w:spacing w:before="0" w:after="0" w:line="360" w:lineRule="auto"/>
        <w:rPr>
          <w:rFonts w:ascii="仿宋_GB2312" w:eastAsia="仿宋_GB2312" w:hAnsi="仿宋_GB2312" w:cs="仿宋_GB2312"/>
          <w:b/>
          <w:bCs/>
          <w:sz w:val="28"/>
          <w:szCs w:val="28"/>
        </w:rPr>
      </w:pPr>
      <w:bookmarkStart w:id="11" w:name="_Toc256000008"/>
      <w:r>
        <w:rPr>
          <w:rFonts w:ascii="仿宋_GB2312" w:eastAsia="仿宋_GB2312" w:hAnsi="仿宋_GB2312" w:cs="仿宋_GB2312"/>
          <w:sz w:val="28"/>
          <w:szCs w:val="28"/>
        </w:rPr>
        <w:t>1.3.1采购标的需执行的相关标准规范</w:t>
      </w:r>
      <w:bookmarkEnd w:id="11"/>
    </w:p>
    <w:p>
      <w:pPr>
        <w:pStyle w:val="15"/>
        <w:spacing w:before="0" w:after="0" w:line="360" w:lineRule="auto"/>
        <w:ind w:left="0" w:right="0"/>
        <w:rPr>
          <w:rFonts w:ascii="Times New Roman" w:eastAsia="Times New Roman" w:hAnsi="Times New Roman" w:cs="Times New Roman"/>
        </w:rPr>
      </w:pPr>
      <w:r>
        <w:rPr>
          <w:rFonts w:ascii="仿宋_GB2312" w:eastAsia="仿宋_GB2312" w:hAnsi="仿宋_GB2312" w:cs="仿宋_GB2312"/>
          <w:sz w:val="28"/>
          <w:szCs w:val="28"/>
        </w:rPr>
        <w:t>    投标人应遵守有关国家法律、法规和条例</w:t>
      </w:r>
      <w:r>
        <w:rPr>
          <w:rFonts w:ascii="仿宋_GB2312" w:eastAsia="仿宋_GB2312" w:hAnsi="仿宋_GB2312" w:cs="仿宋_GB2312"/>
          <w:sz w:val="28"/>
          <w:szCs w:val="28"/>
        </w:rPr>
        <w:t>,具备《中华人民共和国政府采购法》第二十二条的规定和本文件中规定的条件。</w:t>
      </w:r>
    </w:p>
    <w:p>
      <w:pPr>
        <w:pStyle w:val="Heading1"/>
        <w:keepNext w:val="0"/>
        <w:spacing w:before="0" w:after="0" w:line="360" w:lineRule="auto"/>
        <w:jc w:val="center"/>
        <w:rPr>
          <w:rFonts w:ascii="仿宋_GB2312" w:eastAsia="仿宋_GB2312" w:hAnsi="仿宋_GB2312" w:cs="仿宋_GB2312"/>
          <w:b/>
          <w:bCs/>
          <w:sz w:val="32"/>
          <w:szCs w:val="32"/>
        </w:rPr>
      </w:pPr>
      <w:bookmarkStart w:id="12" w:name="_Toc256000009"/>
      <w:r>
        <w:rPr>
          <w:rFonts w:ascii="仿宋_GB2312" w:eastAsia="仿宋_GB2312" w:hAnsi="仿宋_GB2312" w:cs="仿宋_GB2312"/>
          <w:kern w:val="36"/>
        </w:rPr>
        <w:t>2投标/响应要求</w:t>
      </w:r>
      <w:bookmarkEnd w:id="12"/>
    </w:p>
    <w:p>
      <w:pPr>
        <w:pStyle w:val="Heading2"/>
        <w:keepNext w:val="0"/>
        <w:spacing w:before="0" w:after="0" w:line="360" w:lineRule="auto"/>
        <w:rPr>
          <w:rFonts w:ascii="仿宋_GB2312" w:eastAsia="仿宋_GB2312" w:hAnsi="仿宋_GB2312" w:cs="仿宋_GB2312"/>
          <w:b/>
          <w:bCs/>
          <w:sz w:val="28"/>
          <w:szCs w:val="28"/>
        </w:rPr>
      </w:pPr>
      <w:bookmarkStart w:id="13" w:name="_Toc256000010"/>
      <w:r>
        <w:rPr>
          <w:rFonts w:ascii="仿宋_GB2312" w:eastAsia="仿宋_GB2312" w:hAnsi="仿宋_GB2312" w:cs="仿宋_GB2312"/>
          <w:i w:val="0"/>
          <w:iCs w:val="0"/>
        </w:rPr>
        <w:t>2.1对供应商的要求</w:t>
      </w:r>
      <w:bookmarkEnd w:id="13"/>
    </w:p>
    <w:p>
      <w:pPr>
        <w:pStyle w:val="Heading3"/>
        <w:keepNext w:val="0"/>
        <w:spacing w:before="0" w:after="0" w:line="360" w:lineRule="auto"/>
        <w:rPr>
          <w:rFonts w:ascii="仿宋_GB2312" w:eastAsia="仿宋_GB2312" w:hAnsi="仿宋_GB2312" w:cs="仿宋_GB2312"/>
          <w:b/>
          <w:bCs/>
          <w:sz w:val="28"/>
          <w:szCs w:val="28"/>
        </w:rPr>
      </w:pPr>
      <w:bookmarkStart w:id="14" w:name="_Toc256000011"/>
      <w:r>
        <w:rPr>
          <w:rFonts w:ascii="仿宋_GB2312" w:eastAsia="仿宋_GB2312" w:hAnsi="仿宋_GB2312" w:cs="仿宋_GB2312"/>
          <w:sz w:val="28"/>
          <w:szCs w:val="28"/>
        </w:rPr>
        <w:t>2.1.1必备资质</w:t>
      </w:r>
      <w:bookmarkEnd w:id="14"/>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2.1.1.1投标人应遵守有关国家法律、法规和条例,具备《中华人民共和国政府采购法》第二十二条的规定和本文件中规定的条件。</w:t>
      </w:r>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2.1.1.2本项目的特定资格要求</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投标人具有《食品经营许可证》，主体业态至少包含食品销售经营者，提供证书扫描件。</w:t>
      </w:r>
    </w:p>
    <w:p>
      <w:pPr>
        <w:pStyle w:val="Heading3"/>
        <w:keepNext w:val="0"/>
        <w:spacing w:before="0" w:after="0" w:line="360" w:lineRule="auto"/>
        <w:rPr>
          <w:rFonts w:ascii="仿宋_GB2312" w:eastAsia="仿宋_GB2312" w:hAnsi="仿宋_GB2312" w:cs="仿宋_GB2312"/>
          <w:b/>
          <w:bCs/>
          <w:sz w:val="28"/>
          <w:szCs w:val="28"/>
        </w:rPr>
      </w:pPr>
      <w:bookmarkStart w:id="15" w:name="_Toc256000012"/>
      <w:r>
        <w:rPr>
          <w:rFonts w:ascii="仿宋_GB2312" w:eastAsia="仿宋_GB2312" w:hAnsi="仿宋_GB2312" w:cs="仿宋_GB2312"/>
          <w:sz w:val="28"/>
          <w:szCs w:val="28"/>
        </w:rPr>
        <w:t>2.1.2优选资质/优选指标</w:t>
      </w:r>
      <w:bookmarkEnd w:id="15"/>
    </w:p>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2.1.2.1相关证书</w:t>
      </w:r>
    </w:p>
    <w:tbl>
      <w:tblPr>
        <w:tblW w:w="5000" w:type="pct"/>
        <w:tblInd w:w="30" w:type="dxa"/>
        <w:tblCellMar>
          <w:top w:w="15" w:type="dxa"/>
          <w:left w:w="15" w:type="dxa"/>
          <w:bottom w:w="15" w:type="dxa"/>
          <w:right w:w="15" w:type="dxa"/>
        </w:tblCellMar>
      </w:tblPr>
      <w:tblGrid>
        <w:gridCol w:w="779"/>
        <w:gridCol w:w="4274"/>
        <w:gridCol w:w="2138"/>
        <w:gridCol w:w="2138"/>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1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证书名称</w:t>
            </w:r>
          </w:p>
        </w:tc>
        <w:tc>
          <w:tcPr>
            <w:tcW w:w="1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颁发部门</w:t>
            </w:r>
          </w:p>
        </w:tc>
        <w:tc>
          <w:tcPr>
            <w:tcW w:w="1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相关要求</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质量管理体系认证证书(ISO9001)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食品安全管理体系认证证书（ISO 22000）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职业健康安全管理体系认证证书（ISO45001）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bl>
    <w:p>
      <w:pPr>
        <w:pStyle w:val="Heading4"/>
        <w:keepNext w:val="0"/>
        <w:spacing w:before="0" w:after="0" w:line="360" w:lineRule="auto"/>
        <w:rPr>
          <w:rFonts w:ascii="仿宋_GB2312" w:eastAsia="仿宋_GB2312" w:hAnsi="仿宋_GB2312" w:cs="仿宋_GB2312"/>
          <w:b/>
          <w:bCs/>
          <w:sz w:val="28"/>
          <w:szCs w:val="28"/>
        </w:rPr>
      </w:pPr>
      <w:r>
        <w:rPr>
          <w:rFonts w:ascii="仿宋_GB2312" w:eastAsia="仿宋_GB2312" w:hAnsi="仿宋_GB2312" w:cs="仿宋_GB2312"/>
        </w:rPr>
        <w:t>2.1.2.2成功案例</w:t>
      </w:r>
    </w:p>
    <w:p>
      <w:pPr>
        <w:pStyle w:val="MsoNormal"/>
        <w:spacing w:before="0" w:after="0" w:line="360" w:lineRule="auto"/>
        <w:ind w:firstLine="480"/>
        <w:rPr>
          <w:rFonts w:ascii="Times New Roman" w:eastAsia="Times New Roman" w:hAnsi="Times New Roman" w:cs="Times New Roman"/>
        </w:rPr>
      </w:pPr>
      <w:r>
        <w:rPr>
          <w:rFonts w:ascii="仿宋_GB2312" w:eastAsia="仿宋_GB2312" w:hAnsi="仿宋_GB2312" w:cs="仿宋_GB2312"/>
          <w:sz w:val="28"/>
          <w:szCs w:val="28"/>
        </w:rPr>
        <w:t>有效案例为</w:t>
      </w:r>
      <w:r>
        <w:rPr>
          <w:rFonts w:ascii="仿宋_GB2312" w:eastAsia="仿宋_GB2312" w:hAnsi="仿宋_GB2312" w:cs="仿宋_GB2312"/>
          <w:sz w:val="28"/>
          <w:szCs w:val="28"/>
        </w:rPr>
        <w:t>2021年1月1日以来（以合同签订日期为准），供应商独立承担的食材供应项目案例（必须包含主副食调料、奶制品等食材），予以加分考虑。</w:t>
      </w:r>
    </w:p>
    <w:p>
      <w:pPr>
        <w:pStyle w:val="Heading3"/>
        <w:keepNext w:val="0"/>
        <w:spacing w:before="0" w:after="0" w:line="360" w:lineRule="auto"/>
        <w:rPr>
          <w:rFonts w:ascii="仿宋_GB2312" w:eastAsia="仿宋_GB2312" w:hAnsi="仿宋_GB2312" w:cs="仿宋_GB2312"/>
          <w:b/>
          <w:bCs/>
          <w:sz w:val="28"/>
          <w:szCs w:val="28"/>
        </w:rPr>
      </w:pPr>
      <w:bookmarkStart w:id="16" w:name="_Toc256000013"/>
      <w:r>
        <w:rPr>
          <w:rFonts w:ascii="仿宋_GB2312" w:eastAsia="仿宋_GB2312" w:hAnsi="仿宋_GB2312" w:cs="仿宋_GB2312"/>
          <w:sz w:val="28"/>
          <w:szCs w:val="28"/>
        </w:rPr>
        <w:t>2.1.3是否允许联合体</w:t>
      </w:r>
      <w:bookmarkEnd w:id="16"/>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否</w:t>
      </w:r>
    </w:p>
    <w:p>
      <w:pPr>
        <w:pStyle w:val="Heading3"/>
        <w:keepNext w:val="0"/>
        <w:spacing w:before="0" w:after="0" w:line="360" w:lineRule="auto"/>
        <w:rPr>
          <w:rFonts w:ascii="仿宋_GB2312" w:eastAsia="仿宋_GB2312" w:hAnsi="仿宋_GB2312" w:cs="仿宋_GB2312"/>
          <w:b/>
          <w:bCs/>
          <w:sz w:val="28"/>
          <w:szCs w:val="28"/>
        </w:rPr>
      </w:pPr>
      <w:bookmarkStart w:id="17" w:name="_Toc256000014"/>
      <w:r>
        <w:rPr>
          <w:rFonts w:ascii="仿宋_GB2312" w:eastAsia="仿宋_GB2312" w:hAnsi="仿宋_GB2312" w:cs="仿宋_GB2312"/>
          <w:sz w:val="28"/>
          <w:szCs w:val="28"/>
        </w:rPr>
        <w:t>2.1.4是否专门面向中小企业</w:t>
      </w:r>
      <w:bookmarkEnd w:id="17"/>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本项目不专门面向中小企业采购项目</w:t>
      </w:r>
    </w:p>
    <w:p>
      <w:pPr>
        <w:pStyle w:val="Heading3"/>
        <w:keepNext w:val="0"/>
        <w:spacing w:before="0" w:after="0" w:line="360" w:lineRule="auto"/>
        <w:rPr>
          <w:rFonts w:ascii="仿宋_GB2312" w:eastAsia="仿宋_GB2312" w:hAnsi="仿宋_GB2312" w:cs="仿宋_GB2312"/>
          <w:b/>
          <w:bCs/>
          <w:sz w:val="28"/>
          <w:szCs w:val="28"/>
        </w:rPr>
      </w:pPr>
      <w:bookmarkStart w:id="18" w:name="_Toc256000015"/>
      <w:r>
        <w:rPr>
          <w:rFonts w:ascii="仿宋_GB2312" w:eastAsia="仿宋_GB2312" w:hAnsi="仿宋_GB2312" w:cs="仿宋_GB2312"/>
          <w:sz w:val="28"/>
          <w:szCs w:val="28"/>
        </w:rPr>
        <w:t>2.1.5其他要求</w:t>
      </w:r>
      <w:bookmarkEnd w:id="18"/>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符合和满足本项目技术要求和其他有关要求。</w:t>
      </w:r>
    </w:p>
    <w:p>
      <w:pPr>
        <w:pStyle w:val="Heading2"/>
        <w:keepNext w:val="0"/>
        <w:spacing w:before="0" w:after="0" w:line="360" w:lineRule="auto"/>
        <w:rPr>
          <w:rFonts w:ascii="仿宋_GB2312" w:eastAsia="仿宋_GB2312" w:hAnsi="仿宋_GB2312" w:cs="仿宋_GB2312"/>
          <w:b/>
          <w:bCs/>
          <w:sz w:val="28"/>
          <w:szCs w:val="28"/>
        </w:rPr>
      </w:pPr>
      <w:bookmarkStart w:id="19" w:name="_Toc256000016"/>
      <w:r>
        <w:rPr>
          <w:rFonts w:ascii="仿宋_GB2312" w:eastAsia="仿宋_GB2312" w:hAnsi="仿宋_GB2312" w:cs="仿宋_GB2312"/>
          <w:i w:val="0"/>
          <w:iCs w:val="0"/>
        </w:rPr>
        <w:t>2.2技术部分投标/响应内容</w:t>
      </w:r>
      <w:bookmarkEnd w:id="19"/>
    </w:p>
    <w:p>
      <w:pPr>
        <w:pStyle w:val="Heading3"/>
        <w:keepNext w:val="0"/>
        <w:spacing w:before="0" w:after="0" w:line="360" w:lineRule="auto"/>
        <w:rPr>
          <w:rFonts w:ascii="仿宋_GB2312" w:eastAsia="仿宋_GB2312" w:hAnsi="仿宋_GB2312" w:cs="仿宋_GB2312"/>
          <w:b/>
          <w:bCs/>
          <w:sz w:val="28"/>
          <w:szCs w:val="28"/>
        </w:rPr>
      </w:pPr>
      <w:bookmarkStart w:id="20" w:name="_Toc256000017"/>
      <w:r>
        <w:rPr>
          <w:rFonts w:ascii="仿宋_GB2312" w:eastAsia="仿宋_GB2312" w:hAnsi="仿宋_GB2312" w:cs="仿宋_GB2312"/>
          <w:sz w:val="28"/>
          <w:szCs w:val="28"/>
        </w:rPr>
        <w:t>2.2.1技术投标/响应总要求</w:t>
      </w:r>
      <w:bookmarkEnd w:id="20"/>
    </w:p>
    <w:p>
      <w:pPr>
        <w:pStyle w:val="15"/>
        <w:spacing w:before="0" w:after="0" w:line="360" w:lineRule="auto"/>
        <w:ind w:firstLine="480"/>
        <w:jc w:val="both"/>
        <w:rPr>
          <w:rFonts w:ascii="Times New Roman" w:eastAsia="Times New Roman" w:hAnsi="Times New Roman" w:cs="Times New Roman"/>
        </w:rPr>
      </w:pPr>
      <w:r>
        <w:rPr>
          <w:rFonts w:ascii="Times New Roman" w:eastAsia="Times New Roman" w:hAnsi="Times New Roman" w:cs="Times New Roman"/>
          <w:sz w:val="28"/>
          <w:szCs w:val="28"/>
        </w:rPr>
        <w:t>供应商须承诺所提供的</w:t>
      </w:r>
      <w:r>
        <w:rPr>
          <w:sz w:val="28"/>
          <w:szCs w:val="28"/>
        </w:rPr>
        <w:t>货物</w:t>
      </w:r>
      <w:r>
        <w:rPr>
          <w:rFonts w:ascii="Times New Roman" w:eastAsia="Times New Roman" w:hAnsi="Times New Roman" w:cs="Times New Roman"/>
          <w:sz w:val="28"/>
          <w:szCs w:val="28"/>
        </w:rPr>
        <w:t>、人员符合相关国家强制性规定。具体需求详见项目需求、人员要求、管理实施要求、风险管控要求、履约验收要求及其他要求。</w:t>
      </w:r>
    </w:p>
    <w:p>
      <w:pPr>
        <w:pStyle w:val="Heading3"/>
        <w:keepNext w:val="0"/>
        <w:spacing w:before="0" w:after="0" w:line="360" w:lineRule="auto"/>
        <w:rPr>
          <w:rFonts w:ascii="仿宋_GB2312" w:eastAsia="仿宋_GB2312" w:hAnsi="仿宋_GB2312" w:cs="仿宋_GB2312"/>
          <w:b/>
          <w:bCs/>
          <w:sz w:val="28"/>
          <w:szCs w:val="28"/>
        </w:rPr>
      </w:pPr>
      <w:bookmarkStart w:id="21" w:name="_Toc256000018"/>
      <w:r>
        <w:rPr>
          <w:rFonts w:ascii="仿宋_GB2312" w:eastAsia="仿宋_GB2312" w:hAnsi="仿宋_GB2312" w:cs="仿宋_GB2312"/>
          <w:sz w:val="28"/>
          <w:szCs w:val="28"/>
        </w:rPr>
        <w:t>2.2.2投标/响应方案要求</w:t>
      </w:r>
      <w:bookmarkEnd w:id="21"/>
    </w:p>
    <w:p>
      <w:pPr>
        <w:spacing w:before="0" w:after="0" w:line="360" w:lineRule="auto"/>
        <w:ind w:firstLine="560"/>
        <w:rPr>
          <w:rFonts w:ascii="FangSong_GB2312" w:eastAsia="FangSong_GB2312" w:hAnsi="FangSong_GB2312" w:cs="FangSong_GB2312"/>
          <w:sz w:val="28"/>
          <w:szCs w:val="28"/>
        </w:rPr>
      </w:pPr>
      <w:r>
        <w:rPr>
          <w:rFonts w:ascii="FangSong_GB2312" w:eastAsia="FangSong_GB2312" w:hAnsi="FangSong_GB2312" w:cs="FangSong_GB2312"/>
          <w:sz w:val="28"/>
          <w:szCs w:val="28"/>
        </w:rPr>
        <w:t>无</w:t>
      </w:r>
    </w:p>
    <w:p>
      <w:pPr>
        <w:pStyle w:val="Heading1"/>
        <w:keepNext w:val="0"/>
        <w:spacing w:before="0" w:after="0" w:line="360" w:lineRule="auto"/>
        <w:jc w:val="center"/>
        <w:rPr>
          <w:rFonts w:ascii="仿宋_GB2312" w:eastAsia="仿宋_GB2312" w:hAnsi="仿宋_GB2312" w:cs="仿宋_GB2312"/>
          <w:b/>
          <w:bCs/>
          <w:sz w:val="32"/>
          <w:szCs w:val="32"/>
        </w:rPr>
      </w:pPr>
      <w:bookmarkStart w:id="22" w:name="_Toc256000019"/>
      <w:r>
        <w:rPr>
          <w:rFonts w:ascii="仿宋_GB2312" w:eastAsia="仿宋_GB2312" w:hAnsi="仿宋_GB2312" w:cs="仿宋_GB2312"/>
          <w:kern w:val="36"/>
        </w:rPr>
        <w:t>3项目需求</w:t>
      </w:r>
      <w:bookmarkEnd w:id="22"/>
    </w:p>
    <w:p>
      <w:pPr>
        <w:pStyle w:val="Heading2"/>
        <w:keepNext w:val="0"/>
        <w:spacing w:before="0" w:after="0" w:line="360" w:lineRule="auto"/>
        <w:rPr>
          <w:rFonts w:ascii="仿宋_GB2312" w:eastAsia="仿宋_GB2312" w:hAnsi="仿宋_GB2312" w:cs="仿宋_GB2312"/>
          <w:b/>
          <w:bCs/>
          <w:sz w:val="28"/>
          <w:szCs w:val="28"/>
        </w:rPr>
      </w:pPr>
      <w:bookmarkStart w:id="23" w:name="_Toc256000020"/>
      <w:r>
        <w:rPr>
          <w:rFonts w:ascii="仿宋_GB2312" w:eastAsia="仿宋_GB2312" w:hAnsi="仿宋_GB2312" w:cs="仿宋_GB2312"/>
          <w:i w:val="0"/>
          <w:iCs w:val="0"/>
        </w:rPr>
        <w:t>3.1总体要求</w:t>
      </w:r>
      <w:bookmarkEnd w:id="23"/>
    </w:p>
    <w:p>
      <w:pPr>
        <w:pStyle w:val="MsoNormal"/>
        <w:spacing w:before="0" w:after="0" w:line="360" w:lineRule="auto"/>
        <w:ind w:firstLine="560"/>
        <w:rPr>
          <w:rFonts w:ascii="Times New Roman" w:eastAsia="Times New Roman" w:hAnsi="Times New Roman" w:cs="Times New Roman"/>
        </w:rPr>
      </w:pPr>
      <w:r>
        <w:rPr>
          <w:rFonts w:ascii="Times New Roman" w:eastAsia="Times New Roman" w:hAnsi="Times New Roman" w:cs="Times New Roman"/>
          <w:sz w:val="28"/>
          <w:szCs w:val="28"/>
        </w:rPr>
        <w:t>投标</w:t>
      </w:r>
      <w:r>
        <w:rPr>
          <w:rFonts w:ascii="Times New Roman" w:eastAsia="Times New Roman" w:hAnsi="Times New Roman" w:cs="Times New Roman"/>
          <w:sz w:val="28"/>
          <w:szCs w:val="28"/>
        </w:rPr>
        <w:t>人应严格按照《中华人民共和国食品安全法》、《中华人民共和国产品质量法》、《食品安全国家标准》</w:t>
      </w:r>
      <w:r>
        <w:rPr>
          <w:rFonts w:ascii="Times New Roman" w:eastAsia="Times New Roman" w:hAnsi="Times New Roman" w:cs="Times New Roman"/>
          <w:sz w:val="28"/>
          <w:szCs w:val="28"/>
        </w:rPr>
        <w:t>、</w:t>
      </w:r>
      <w:r>
        <w:rPr>
          <w:rFonts w:ascii="Times New Roman" w:eastAsia="Times New Roman" w:hAnsi="Times New Roman" w:cs="Times New Roman"/>
          <w:sz w:val="28"/>
          <w:szCs w:val="28"/>
        </w:rPr>
        <w:t>《餐饮服务食品安全操作规范》、《餐饮服务食品安全监督管理办法》、《动物检疫法》、《食品安全国家标准食品添加剂使用标准》等法律法规和相关规范性文件的要求，认真履行各项法定义务，建立健全各项规章制度和岗位责任制，确保配送食材的卫生与安全。在中标后如出现因食用其提供的食品导致食物中毒事故发生，投标人应对此承担一切法律责任。</w:t>
      </w:r>
    </w:p>
    <w:p>
      <w:pPr>
        <w:pStyle w:val="Heading2"/>
        <w:keepNext w:val="0"/>
        <w:spacing w:before="0" w:after="0" w:line="360" w:lineRule="auto"/>
        <w:rPr>
          <w:rFonts w:ascii="仿宋_GB2312" w:eastAsia="仿宋_GB2312" w:hAnsi="仿宋_GB2312" w:cs="仿宋_GB2312"/>
          <w:b/>
          <w:bCs/>
          <w:sz w:val="28"/>
          <w:szCs w:val="28"/>
        </w:rPr>
      </w:pPr>
      <w:bookmarkStart w:id="24" w:name="_Toc256000021"/>
      <w:r>
        <w:rPr>
          <w:rFonts w:ascii="仿宋_GB2312" w:eastAsia="仿宋_GB2312" w:hAnsi="仿宋_GB2312" w:cs="仿宋_GB2312"/>
          <w:i w:val="0"/>
          <w:iCs w:val="0"/>
        </w:rPr>
        <w:t>3.2采购产品一览表</w:t>
      </w:r>
      <w:bookmarkEnd w:id="24"/>
    </w:p>
    <w:tbl>
      <w:tblPr>
        <w:tblW w:w="5000" w:type="pct"/>
        <w:tblInd w:w="30" w:type="dxa"/>
        <w:tblCellMar>
          <w:top w:w="15" w:type="dxa"/>
          <w:left w:w="15" w:type="dxa"/>
          <w:bottom w:w="15" w:type="dxa"/>
          <w:right w:w="15" w:type="dxa"/>
        </w:tblCellMar>
      </w:tblPr>
      <w:tblGrid>
        <w:gridCol w:w="922"/>
        <w:gridCol w:w="1666"/>
        <w:gridCol w:w="1676"/>
        <w:gridCol w:w="1658"/>
        <w:gridCol w:w="1653"/>
        <w:gridCol w:w="1754"/>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产品类别</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产品名称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数量</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单位</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备注</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紫中筋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绿豆面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糯米粉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六星小麦粉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小麦粉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米粉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澄面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新玉米面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紫米面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小米面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其他面类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年采购量低于20</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黑芝麻粉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黑芝麻粉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果仁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去皮果仁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熟白芝麻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黑米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生白芝麻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红小豆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白芝麻仁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谷物杂粮类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其他杂粮</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1612.0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花生油、调和油等</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香油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酱油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碱面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淀粉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独流老醋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面点用品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309.5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豆馅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火锅小料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十三香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料酒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番茄沙司</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枣花蜂蜜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菠萝罐头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白胡椒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味精</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生粉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红果酱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酸梅汤汤料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饮料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黄油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块</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冬菜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桂花酱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炼乳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小番茄酱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白醋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苹果醋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蚝油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老醋瓶装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麻辣香锅底料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芥菜丝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酵母</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红糖</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藤椒油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烧烤酱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栗子罐头</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海鲜酱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麻酱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55.0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沙拉酱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美极鲜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野山椒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苏打粉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调料类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其他调料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2497.0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年采购量低于20</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33160.0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咸鸭蛋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松花蛋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195.9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熏鹌鹑蛋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酸奶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63774.0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40560.0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个</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奶及奶制品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鲜奶</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2913.0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方便面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火锅面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箱</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其他半成品面类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14306.0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小枣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893.0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紫菜托</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327.0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散木耳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262.0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去核枣</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240.0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粉丝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圆粉条</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188.0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冰栗子</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167.0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海带丝</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宽粉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120.0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腐竹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袋</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辣椒面</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93.0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花椒</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散花菜</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孜然粉</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56.0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其他干货类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718.8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年采购量低于50</w:t>
            </w:r>
          </w:p>
        </w:tc>
      </w:tr>
    </w:tbl>
    <w:p>
      <w:pPr>
        <w:pStyle w:val="Heading2"/>
        <w:keepNext w:val="0"/>
        <w:spacing w:before="0" w:after="0" w:line="360" w:lineRule="auto"/>
        <w:rPr>
          <w:rFonts w:ascii="仿宋_GB2312" w:eastAsia="仿宋_GB2312" w:hAnsi="仿宋_GB2312" w:cs="仿宋_GB2312"/>
          <w:b/>
          <w:bCs/>
          <w:sz w:val="28"/>
          <w:szCs w:val="28"/>
        </w:rPr>
      </w:pPr>
      <w:bookmarkStart w:id="25" w:name="_Toc256000022"/>
      <w:r>
        <w:rPr>
          <w:rFonts w:ascii="仿宋_GB2312" w:eastAsia="仿宋_GB2312" w:hAnsi="仿宋_GB2312" w:cs="仿宋_GB2312"/>
          <w:i w:val="0"/>
          <w:iCs w:val="0"/>
        </w:rPr>
        <w:t>3.3采购产品详细清单及技术指标</w:t>
      </w:r>
      <w:bookmarkEnd w:id="25"/>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采购文件（技术部分）中有标注★号的，为必备服务要求，必须满足，如未作出响应，将导致响应无效；#为重要服务内容、△为一般服务内容。</w:t>
      </w:r>
    </w:p>
    <w:tbl>
      <w:tblPr>
        <w:tblW w:w="5000" w:type="pct"/>
        <w:tblInd w:w="30" w:type="dxa"/>
        <w:tblCellMar>
          <w:top w:w="15" w:type="dxa"/>
          <w:left w:w="15" w:type="dxa"/>
          <w:bottom w:w="15" w:type="dxa"/>
          <w:right w:w="15" w:type="dxa"/>
        </w:tblCellMar>
      </w:tblPr>
      <w:tblGrid>
        <w:gridCol w:w="410"/>
        <w:gridCol w:w="757"/>
        <w:gridCol w:w="2315"/>
        <w:gridCol w:w="26160"/>
        <w:gridCol w:w="584"/>
        <w:gridCol w:w="1454"/>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（1）食品必须符合国家饮食卫生标准，同时保证食品新鲜，不得出现腐烂、变质，以次充好等情况；</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（2）食品的质量与包装应符合国家相关法律法规的规定，符合行业主管部门发布的规定、标准、规范；</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 按规定必须经由法定食品检验机构检测的食品，投标人应在交货时向采购人提供同批次食品检验报告或合格证（复印件加盖公章）。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总体质量要求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（4）配送食材送达时不超过食材生产日期至保质期限日的 1/3（例如：食材保质期限为 10 天以内的，送达时间不能超过3天；食材保质期为6个月以内的，送达时间不能超过2个月，其他同理以此类推）。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鸡蛋质量要求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禽蛋类产品无变质、变味情况，保质期自供货之日起不得少于原有保质期的1/3。一级清洁鸡蛋，蛋壳清洁完整，呈规则卵圆形，具有蛋壳固有的色泽，表面无肉眼可见污物，鸡蛋新鲜，蛋白浓稠、蛋黄圆润。所供鸡蛋是产出不超过一周的新鲜鸡蛋；质量符合国家有关规定,并执行国家鲜鸡蛋卫生标准要求，保证新鲜，食用安全；鸡蛋感官指标及标准：蛋壳外观清洁完整且色泽正常（具有禽蛋固有的色泽）、无破裂、无异味、无杂质、内容物不得有血块及其他鸡组织异物、并符合国家鲜鸡蛋卫生标准；每500 克鸡蛋平均控制在 8-9 颗；鸡蛋生产厂家应具有动物防疫条件合格证。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冻品外包装需密封、完整，无破损，商品合格证齐全。冻品在解冻后，发现质量问题承诺退货。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符合GB/T 1354-2018中关于一级米的标准，加工精度为精碾，小碎米含量≤1.0%，不完善粒≤3.0%，带壳稗粒≤3粒/公斤，带谷粒≤4粒/公斤。</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(1)通用面粉达GB/T 1355-2021国家标准。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面粉（含面粉配料）质量标准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(2)高筋面粉达GB/T 8607-1988国家标准，质量等级一级；低筋面粉达GB8608-1988标准，质量等级一级。色泽正常，干爽无异味。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食用油通用标准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供应非转基因食用油。外观的色泽、透明度、气味滋味等无异常，定型包装。包装应符合国家相关规定和卫生要求，包装袋应坚固结实，封口或缝口应严密，无破损。且包装标识必须符合国家法定标准并有质量安全标识。包装袋应有产品名称、注册商标、 QS 标识及编号、净含量、执行标准、质量等级、厂名厂址、生产日期、保质期标志。不得掺有其他食用油和非食用油，不得添加任何香精和香料。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大豆油质量标准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符合质量标准GB/T1535-2017，质量等级一级，色泽为淡黄至浅黄色，冷冻实验澄清、透明，无异味、口感好，水分及挥发物质含量≤0.10%，不溶性杂质含量≤0.05%，酸价≤0.50ng/g，过氧化值≤5.0mmol/kg,烟点≥190℃。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米线质量要求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不含非食品用化学物质、无杂质。米线颜色呈白色、乳白色、奶黄色，色亮不发灰发暗。表面结构细密、光滑。软硬适中，爽口不粘牙，口感光滑，具有清香，无异味。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奶制品为品牌产品。外包装干净整洁，没有破碎。要求产品外包装应标明生产厂家、生产日期、保质期、规格。</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杂粮类质量要求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要求产品外包装应标明生产厂家、生产日期、保质期、规格。另豆类要求豆粒饱满，完整有光泽，无受潮、虫洞、软烂、变色发黑、豆粒瘪而小有异味。</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干货类质量要求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产品应无变质、腐败及过期现象。不得违规使用防腐、保鲜类的食品添加剂。产品应干净无异味。包装类产品应做到包装干净整洁，无破损。要求产品外包装应标明生产厂家、生产日期、保质期、规格，且包装标识必须符合国家法定标准并有质量安全标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调味品质量要求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为正规厂家生产，不得使用三无产品。产品来源可控，杜绝假冒伪劣产品混入。包装整洁，无破损。保质期自供货之日起不得少于原有保质期的2/3。不得使用含食品添加剂超标的违规产品。要求：（1）产品符合国家质量及食品安全要求标准，具有“QS”认证，质量等级：一级，证照齐全。（2）定型包装要求：包装标识按规定标明品名、产地、厂名、生产日期、批号或者代号、规格、配方或者主要成分、保质期限、食用或使用方法等；食品添加剂标识有“食品添加剂”字样。（3）散装食品：检查标签按规定标明食品名称、配料表、生产者和地址、生产日期、保质期、保存条件、食用方法等。包装及标志：包装应符合国家相关规定和卫生要求；采用包装袋，包装袋应坚固结实，封口或缝口应严密，无破损。包装袋应有产品名称、注册商标、QS标识及编号、净含量、执行标准、质量等级、厂名厂址、生产日期、保质期标志。酱油产品应符合或高于国家强制性技术标准《酿造酱油》（GB/T 18186-2000）和《酱油卫生标准》（GB 2717-2003）。食醋产品应符合或高于国家强制性技术标准《酿造食醋》（GB/T 18187-2000）和《食醋卫生标准》（GB 2719-2003）。食盐符合GB2721的标准。食糖符合GB13104的标准。发酵酒符合GB2758的标准。淀粉符合GB/T 8884的标准。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咸菜类质量要求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产品要求无异味，无变质、腐败情况。应为正规生产厂家，杜绝使用三无产品。各种化验指标不超标，菌群不超标，不得使用超标增色、防腐类的任何食品添加剂。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面制品质量要求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要求使用正规厂家面粉制作，并使用合格的食品包装袋包装，同时与其他产品不得同筐混装。外观要求符合面制品本来色泽，不得添加增白的化学制剂。无变味、变质。</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其他食材质量标准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以上未详细列明的商品须符合国家食品安全卫生相关质量标准。</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技术指标</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特殊准入认证要求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对实行食品质量（SC）安全市场准入制的食品，须在验收时提供 SC 认证的相关证明资料。</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6" w:name="_Toc256000023"/>
      <w:r>
        <w:rPr>
          <w:rFonts w:ascii="仿宋_GB2312" w:eastAsia="仿宋_GB2312" w:hAnsi="仿宋_GB2312" w:cs="仿宋_GB2312"/>
          <w:i w:val="0"/>
          <w:iCs w:val="0"/>
        </w:rPr>
        <w:t>3.4服务要求</w:t>
      </w:r>
      <w:bookmarkEnd w:id="26"/>
    </w:p>
    <w:tbl>
      <w:tblPr>
        <w:tblW w:w="5000" w:type="pct"/>
        <w:tblInd w:w="30" w:type="dxa"/>
        <w:tblCellMar>
          <w:top w:w="15" w:type="dxa"/>
          <w:left w:w="15" w:type="dxa"/>
          <w:bottom w:w="15" w:type="dxa"/>
          <w:right w:w="15" w:type="dxa"/>
        </w:tblCellMar>
      </w:tblPr>
      <w:tblGrid>
        <w:gridCol w:w="407"/>
        <w:gridCol w:w="1441"/>
        <w:gridCol w:w="1786"/>
        <w:gridCol w:w="26019"/>
        <w:gridCol w:w="581"/>
        <w:gridCol w:w="1446"/>
      </w:tblGrid>
      <w:tr>
        <w:tblPrEx>
          <w:tblW w:w="5000" w:type="pct"/>
          <w:tblInd w:w="30" w:type="dxa"/>
          <w:tblCellMar>
            <w:top w:w="15" w:type="dxa"/>
            <w:left w:w="15" w:type="dxa"/>
            <w:bottom w:w="15" w:type="dxa"/>
            <w:right w:w="15" w:type="dxa"/>
          </w:tblCellMar>
        </w:tblPrEx>
        <w:tc>
          <w:tcPr>
            <w:tcW w:w="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序号</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指标种类</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指标名称</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指标内容</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重要性</w:t>
            </w:r>
          </w:p>
        </w:tc>
        <w:tc>
          <w:tcPr>
            <w:tcW w:w="9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是否需要证明材料</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仓储物流设施要求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投标人需在本地有所供食材的仓储能力，有独立的库房，食材分类存放，不交叉。库房面积不小于300平米；能够满足按采购人需求完成配送任务，确保二个办公区同时送货。</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2</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硬件设施要求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配送车辆要求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自有或固定租赁2台以上冷藏车辆，确保24小时响应，按采购人需求完成配送任务，确保二个办公区同时送货。投标文件中须同时提供以下证明材料：提供货物运输车及冷藏车车辆照片（车牌号码须清晰可见）、车辆相对应的行驶证复印件（行驶证所有人须与投标人名称一致；若非自有车辆还须提供有效期内的车辆租赁协议，承租方名称须与投标人名称一致）及车辆年检合格的证明材料并加盖公章。</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3</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运输卫生要求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根据配送食材的类别按需使用冷藏车、运输车并采用符合卫生要求的外包装配送相关产品。投标人配送车辆要封闭，车辆内外要保持清洁卫生，避免运输途中的食材污染。食材运输专车管理，严禁混装。严禁一车多用或与非食材混运，运输中使用的容器、工具专用，由专人负责运输工具的每日清洗、消毒等。车厢内无不良气味、异味，确保运输过程安全卫生。冷冻制品、冷冻家禽、鲜猪肉、等冷链食品必须使用符合规范标准的冷藏车进行运输。投标人在送货运输过程中要保护好食材，不能造成损坏和二次污染，对损坏和污染食材无条件退回，同时要爱护环境卫生，对运输中造成的垃圾要及时清理，保持卸货区干净整洁，否则追缴清理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4</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运输工具管理要求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投标人运输工具进入采购人管理范围，必须接受采购人统一管理，发生任何人员与设施损伤，均由投标人承担责任。</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规范包装要求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包装产品交付时，必须保证原包装完好无损。不得使用有色、有毒塑料制品包装食材，否则采购人有权拒收。凡投标人所供应货物应为原箱包装，拆包或重组包装的应提前向采购人说明，定量包装批量误差不应超过实际标示的5%。</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否</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6</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一般配送要求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采购人按期（周）向投标人发布采购内容，投标人应在送货前一个工作日与采购人核对确认采购内容无误后，在约定时间前配送至采购人指定验收地点。</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7</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应急配送要求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投标人应能按采购人要求及时补货，具备应急采购、储备、运输等能力，通讯工具24小时保持畅通，全天候备勤。在收到采购人布置的临时需求后 1 个小时内响应，2 个小时内完成配送。</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主食供应链能力要求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具有自有、签约的大米、面粉生产基地、加工厂或者直销、代理、经销商资格之一。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9</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牛奶供应链能力要求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具有自有或签约的牛奶生产工厂或者直销、代理、经销商资格之一。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10</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食用油供应链能力要求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具有自有或签约的食用油加工厂或者直销、代理、经销商资格之一。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r>
        <w:tblPrEx>
          <w:tblW w:w="5000" w:type="pct"/>
          <w:tblInd w:w="30" w:type="dxa"/>
          <w:tblCellMar>
            <w:top w:w="15" w:type="dxa"/>
            <w:left w:w="15" w:type="dxa"/>
            <w:bottom w:w="15" w:type="dxa"/>
            <w:right w:w="15" w:type="dxa"/>
          </w:tblCellMar>
        </w:tblPrEx>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center"/>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11</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综合供应能力要求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蛋类供应链能力要求</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具有自有或签约的蛋类生产工厂或者直销、代理、经销商资格之一。</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w:t>
            </w:r>
          </w:p>
        </w:tc>
        <w:tc>
          <w:tcPr>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是</w:t>
            </w:r>
          </w:p>
        </w:tc>
      </w:tr>
    </w:tbl>
    <w:p>
      <w:pPr>
        <w:pStyle w:val="Heading2"/>
        <w:keepNext w:val="0"/>
        <w:spacing w:before="0" w:after="0" w:line="360" w:lineRule="auto"/>
        <w:rPr>
          <w:rFonts w:ascii="仿宋_GB2312" w:eastAsia="仿宋_GB2312" w:hAnsi="仿宋_GB2312" w:cs="仿宋_GB2312"/>
          <w:b/>
          <w:bCs/>
          <w:sz w:val="28"/>
          <w:szCs w:val="28"/>
        </w:rPr>
      </w:pPr>
      <w:bookmarkStart w:id="27" w:name="_Toc256000024"/>
      <w:r>
        <w:rPr>
          <w:rFonts w:ascii="仿宋_GB2312" w:eastAsia="仿宋_GB2312" w:hAnsi="仿宋_GB2312" w:cs="仿宋_GB2312"/>
          <w:i w:val="0"/>
          <w:iCs w:val="0"/>
        </w:rPr>
        <w:t>3.5其他要求</w:t>
      </w:r>
      <w:bookmarkEnd w:id="27"/>
    </w:p>
    <w:p>
      <w:pPr>
        <w:pStyle w:val="15"/>
        <w:spacing w:before="0" w:after="0" w:line="360" w:lineRule="auto"/>
        <w:ind w:firstLine="640"/>
        <w:textAlignment w:val="baseline"/>
        <w:rPr>
          <w:rFonts w:ascii="Times New Roman" w:eastAsia="Times New Roman" w:hAnsi="Times New Roman" w:cs="Times New Roman"/>
        </w:rPr>
      </w:pPr>
      <w:r>
        <w:rPr>
          <w:rFonts w:ascii="STKaiti" w:eastAsia="STKaiti" w:hAnsi="STKaiti" w:cs="STKaiti"/>
          <w:sz w:val="28"/>
          <w:szCs w:val="28"/>
        </w:rPr>
        <w:t>根据《政府采购货物和服务招标投标管理办法》（财政部令第87号）第六十条的规定，评标委员会认为投标人的报价明显低于其他通过符合性审查投标人的报价，有可能影响产品质量或者不能诚信履约的，应当启动异常低价投标（响应）审查程序，要求该投标人在评标现场合理的时间内提供书面说明，必要时提交相关证明材料；投标人不能证明其报价合理性的，评标委员会应当将其作为无效投标处理。</w:t>
      </w:r>
    </w:p>
    <w:p>
      <w:pPr>
        <w:pStyle w:val="Heading3"/>
        <w:keepNext w:val="0"/>
        <w:spacing w:before="0" w:after="0" w:line="360" w:lineRule="auto"/>
        <w:rPr>
          <w:rFonts w:ascii="仿宋_GB2312" w:eastAsia="仿宋_GB2312" w:hAnsi="仿宋_GB2312" w:cs="仿宋_GB2312"/>
          <w:b/>
          <w:bCs/>
          <w:sz w:val="28"/>
          <w:szCs w:val="28"/>
        </w:rPr>
      </w:pPr>
      <w:bookmarkStart w:id="28" w:name="_Toc256000025"/>
      <w:r>
        <w:rPr>
          <w:rFonts w:ascii="仿宋_GB2312" w:eastAsia="仿宋_GB2312" w:hAnsi="仿宋_GB2312" w:cs="仿宋_GB2312"/>
          <w:sz w:val="28"/>
          <w:szCs w:val="28"/>
        </w:rPr>
        <w:t>3.5.1质量安全把控服务要求</w:t>
      </w:r>
      <w:bookmarkEnd w:id="28"/>
    </w:p>
    <w:p>
      <w:pPr>
        <w:pStyle w:val="17"/>
        <w:spacing w:before="0" w:after="0" w:line="360" w:lineRule="auto"/>
        <w:ind w:firstLine="642"/>
        <w:rPr>
          <w:rFonts w:ascii="Times New Roman" w:eastAsia="Times New Roman" w:hAnsi="Times New Roman" w:cs="Times New Roman"/>
        </w:rPr>
      </w:pPr>
      <w:r>
        <w:rPr>
          <w:rFonts w:ascii="仿宋_GB2312" w:eastAsia="仿宋_GB2312" w:hAnsi="仿宋_GB2312" w:cs="仿宋_GB2312"/>
          <w:b/>
          <w:bCs/>
          <w:sz w:val="28"/>
          <w:szCs w:val="28"/>
        </w:rPr>
        <w:t>1.投标人应提供质量安全把控方案。</w:t>
      </w:r>
      <w:r>
        <w:rPr>
          <w:rFonts w:ascii="仿宋_GB2312" w:eastAsia="仿宋_GB2312" w:hAnsi="仿宋_GB2312" w:cs="仿宋_GB2312"/>
          <w:sz w:val="28"/>
          <w:szCs w:val="28"/>
        </w:rPr>
        <w:t>方案内容详细描述供应货物质量把控措施、检验检疫关键环节把控、不符合质量标准货品处置等内容，确保提供食材安全可靠。</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2.投标人供应以下食品的，采购人全部退货，投标人承担由此造成的一切经济责任和法律责任：</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1）腐败变质、油脂酸败、霉变、生虫、污秽不洁、混有异物或者其他感官性状异常，对人体健康有害的；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2）含有毒、有害物质或者被有毒、有害物质污染，对人体健康有害的；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3）含有致病性寄生虫、微生物或者微生物含量超过国家限定标准的；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4）掺假、掺杂、伪造，影响营养、卫生的；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5）用非食品原料加工的，加入非食品用化学物质或者将非食品当作食品的；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6）超过保质期限的；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7）使用有色、有毒塑料制品、包装食材的；</w:t>
      </w:r>
    </w:p>
    <w:p>
      <w:pPr>
        <w:pStyle w:val="16"/>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8）其他不符合《食品安全法》和《产品质量法》等相关规定的。</w:t>
      </w:r>
    </w:p>
    <w:p>
      <w:pPr>
        <w:pStyle w:val="15"/>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3.凡投标人所供应货物应为原箱包装，拆包或重组包装的应提前向采购人说明，定量包装批量误差不应超过实际标示的5%。</w:t>
      </w:r>
    </w:p>
    <w:p>
      <w:pPr>
        <w:pStyle w:val="Heading3"/>
        <w:keepNext w:val="0"/>
        <w:spacing w:before="0" w:after="0" w:line="360" w:lineRule="auto"/>
        <w:rPr>
          <w:rFonts w:ascii="仿宋_GB2312" w:eastAsia="仿宋_GB2312" w:hAnsi="仿宋_GB2312" w:cs="仿宋_GB2312"/>
          <w:b/>
          <w:bCs/>
          <w:sz w:val="28"/>
          <w:szCs w:val="28"/>
        </w:rPr>
      </w:pPr>
      <w:bookmarkStart w:id="29" w:name="_Toc256000026"/>
      <w:r>
        <w:rPr>
          <w:rFonts w:ascii="仿宋_GB2312" w:eastAsia="仿宋_GB2312" w:hAnsi="仿宋_GB2312" w:cs="仿宋_GB2312"/>
          <w:sz w:val="28"/>
          <w:szCs w:val="28"/>
        </w:rPr>
        <w:t>3.5.2供应方案要求</w:t>
      </w:r>
      <w:bookmarkEnd w:id="29"/>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投标人应提交科学合理的供应方案。方案应包含服务团队管理措施、内部采购管理措施、储存分拣管理措施、科学合理运输措施等。</w:t>
      </w:r>
    </w:p>
    <w:p>
      <w:pPr>
        <w:pStyle w:val="Heading1"/>
        <w:keepNext w:val="0"/>
        <w:spacing w:before="0" w:after="0" w:line="360" w:lineRule="auto"/>
        <w:jc w:val="center"/>
        <w:rPr>
          <w:rFonts w:ascii="仿宋_GB2312" w:eastAsia="仿宋_GB2312" w:hAnsi="仿宋_GB2312" w:cs="仿宋_GB2312"/>
          <w:b/>
          <w:bCs/>
          <w:sz w:val="32"/>
          <w:szCs w:val="32"/>
        </w:rPr>
      </w:pPr>
      <w:bookmarkStart w:id="30" w:name="_Toc256000027"/>
      <w:r>
        <w:rPr>
          <w:rFonts w:ascii="仿宋_GB2312" w:eastAsia="仿宋_GB2312" w:hAnsi="仿宋_GB2312" w:cs="仿宋_GB2312"/>
          <w:kern w:val="36"/>
        </w:rPr>
        <w:t>4人员要求</w:t>
      </w:r>
      <w:bookmarkEnd w:id="30"/>
    </w:p>
    <w:p>
      <w:pPr>
        <w:pStyle w:val="Heading2"/>
        <w:keepNext w:val="0"/>
        <w:spacing w:before="0" w:after="0" w:line="360" w:lineRule="auto"/>
        <w:rPr>
          <w:rFonts w:ascii="仿宋_GB2312" w:eastAsia="仿宋_GB2312" w:hAnsi="仿宋_GB2312" w:cs="仿宋_GB2312"/>
          <w:b/>
          <w:bCs/>
          <w:sz w:val="28"/>
          <w:szCs w:val="28"/>
        </w:rPr>
      </w:pPr>
      <w:bookmarkStart w:id="31" w:name="_Toc256000028"/>
      <w:r>
        <w:rPr>
          <w:rFonts w:ascii="仿宋_GB2312" w:eastAsia="仿宋_GB2312" w:hAnsi="仿宋_GB2312" w:cs="仿宋_GB2312"/>
          <w:i w:val="0"/>
          <w:iCs w:val="0"/>
        </w:rPr>
        <w:t>4.1团队要求</w:t>
      </w:r>
      <w:bookmarkEnd w:id="31"/>
    </w:p>
    <w:p>
      <w:pPr>
        <w:pStyle w:val="Heading3"/>
        <w:keepNext w:val="0"/>
        <w:spacing w:before="0" w:after="0" w:line="360" w:lineRule="auto"/>
        <w:rPr>
          <w:rFonts w:ascii="仿宋_GB2312" w:eastAsia="仿宋_GB2312" w:hAnsi="仿宋_GB2312" w:cs="仿宋_GB2312"/>
          <w:b/>
          <w:bCs/>
          <w:sz w:val="28"/>
          <w:szCs w:val="28"/>
        </w:rPr>
      </w:pPr>
      <w:bookmarkStart w:id="32" w:name="_Toc256000029"/>
      <w:r>
        <w:rPr>
          <w:rFonts w:ascii="仿宋_GB2312" w:eastAsia="仿宋_GB2312" w:hAnsi="仿宋_GB2312" w:cs="仿宋_GB2312"/>
          <w:sz w:val="28"/>
          <w:szCs w:val="28"/>
        </w:rPr>
        <w:t>4.1.1基本要求</w:t>
      </w:r>
      <w:bookmarkEnd w:id="32"/>
    </w:p>
    <w:p>
      <w:pPr>
        <w:pStyle w:val="16"/>
        <w:spacing w:before="0" w:after="0" w:line="360" w:lineRule="auto"/>
        <w:ind w:left="0" w:firstLine="480"/>
        <w:jc w:val="both"/>
        <w:rPr>
          <w:rFonts w:ascii="Times New Roman" w:eastAsia="Times New Roman" w:hAnsi="Times New Roman" w:cs="Times New Roman"/>
        </w:rPr>
      </w:pPr>
      <w:r>
        <w:rPr>
          <w:rFonts w:ascii="仿宋_GB2312" w:eastAsia="仿宋_GB2312" w:hAnsi="仿宋_GB2312" w:cs="仿宋_GB2312"/>
          <w:sz w:val="28"/>
          <w:szCs w:val="28"/>
        </w:rPr>
        <w:t>1.投标人应提供专业的管理和采购团队，团队编制和人员资质务必保证运营服务质量。提供的服务团队应保持稳定，承诺项目执行期间人员变动不超过20%。</w:t>
      </w:r>
    </w:p>
    <w:p>
      <w:pPr>
        <w:pStyle w:val="17"/>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2. 投标人服务团队须配有以下人员，出具盖有投标人公章的服务团队人员名单。</w:t>
      </w:r>
    </w:p>
    <w:p>
      <w:pPr>
        <w:pStyle w:val="17"/>
        <w:spacing w:before="0" w:after="0" w:line="360" w:lineRule="auto"/>
        <w:ind w:firstLine="480"/>
        <w:jc w:val="both"/>
        <w:rPr>
          <w:rFonts w:ascii="Times New Roman" w:eastAsia="Times New Roman" w:hAnsi="Times New Roman" w:cs="Times New Roman"/>
        </w:rPr>
      </w:pPr>
      <w:r>
        <w:rPr>
          <w:rFonts w:ascii="仿宋_GB2312" w:eastAsia="仿宋_GB2312" w:hAnsi="仿宋_GB2312" w:cs="仿宋_GB2312"/>
          <w:sz w:val="28"/>
          <w:szCs w:val="28"/>
        </w:rPr>
        <w:t>为本项目提供的服务团队中所有人员必须提供缴纳社保证明材料，</w:t>
      </w:r>
      <w:r>
        <w:rPr>
          <w:rStyle w:val="15Character"/>
          <w:rFonts w:ascii="仿宋_GB2312" w:eastAsia="仿宋_GB2312" w:hAnsi="仿宋_GB2312" w:cs="仿宋_GB2312"/>
          <w:spacing w:val="0"/>
          <w:sz w:val="28"/>
          <w:szCs w:val="28"/>
        </w:rPr>
        <w:t>具有从业人员健康证明，</w:t>
      </w:r>
      <w:r>
        <w:rPr>
          <w:rFonts w:ascii="仿宋_GB2312" w:eastAsia="仿宋_GB2312" w:hAnsi="仿宋_GB2312" w:cs="仿宋_GB2312"/>
          <w:sz w:val="28"/>
          <w:szCs w:val="28"/>
        </w:rPr>
        <w:t>否则不予认可。</w:t>
      </w:r>
      <w:r>
        <w:rPr>
          <w:rFonts w:ascii="Calibri" w:eastAsia="Calibri" w:hAnsi="Calibri" w:cs="Calibri"/>
          <w:sz w:val="21"/>
          <w:szCs w:val="21"/>
        </w:rPr>
        <w:t> </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符合以下工作经验要求的应出具工作简历，予以加分考虑。</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1）经理1人，具有5年及以上食材供应项目管理工作经验。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2）供应业务员2人，具有3年及以上食材供应项目工作经验。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3）食品安全管理员1人，具有3年及以上食品安全管理工作经验。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4）采购员2人，具有3年及以上食材采购工作经验。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5）配送司机2名，具有3年及以上相关工作经验。</w:t>
      </w:r>
    </w:p>
    <w:p>
      <w:pPr>
        <w:pStyle w:val="17"/>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以上人员在服务过程中应热情服务、遵规守法，具备较强的沟通能力和临时紧急配送调换的处置能力</w:t>
      </w:r>
      <w:r>
        <w:rPr>
          <w:rFonts w:ascii="仿宋_GB2312" w:eastAsia="仿宋_GB2312" w:hAnsi="仿宋_GB2312" w:cs="仿宋_GB2312"/>
          <w:sz w:val="28"/>
          <w:szCs w:val="28"/>
        </w:rPr>
        <w:t>，</w:t>
      </w:r>
      <w:r>
        <w:rPr>
          <w:rFonts w:ascii="仿宋_GB2312" w:eastAsia="仿宋_GB2312" w:hAnsi="仿宋_GB2312" w:cs="仿宋_GB2312"/>
          <w:sz w:val="28"/>
          <w:szCs w:val="28"/>
        </w:rPr>
        <w:t>具备卫生防疫部门或医疗机构颁发的健康证</w:t>
      </w:r>
      <w:r>
        <w:rPr>
          <w:rFonts w:ascii="仿宋_GB2312" w:eastAsia="仿宋_GB2312" w:hAnsi="仿宋_GB2312" w:cs="仿宋_GB2312"/>
          <w:sz w:val="28"/>
          <w:szCs w:val="28"/>
        </w:rPr>
        <w:t>，</w:t>
      </w:r>
      <w:r>
        <w:rPr>
          <w:rFonts w:ascii="仿宋_GB2312" w:eastAsia="仿宋_GB2312" w:hAnsi="仿宋_GB2312" w:cs="仿宋_GB2312"/>
          <w:sz w:val="28"/>
          <w:szCs w:val="28"/>
        </w:rPr>
        <w:t>无犯罪记录。</w:t>
      </w:r>
    </w:p>
    <w:p>
      <w:pPr>
        <w:pStyle w:val="Heading3"/>
        <w:keepNext w:val="0"/>
        <w:spacing w:before="0" w:after="0" w:line="360" w:lineRule="auto"/>
        <w:rPr>
          <w:rFonts w:ascii="仿宋_GB2312" w:eastAsia="仿宋_GB2312" w:hAnsi="仿宋_GB2312" w:cs="仿宋_GB2312"/>
          <w:b/>
          <w:bCs/>
          <w:sz w:val="28"/>
          <w:szCs w:val="28"/>
        </w:rPr>
      </w:pPr>
      <w:bookmarkStart w:id="33" w:name="_Toc256000030"/>
      <w:r>
        <w:rPr>
          <w:rFonts w:ascii="仿宋_GB2312" w:eastAsia="仿宋_GB2312" w:hAnsi="仿宋_GB2312" w:cs="仿宋_GB2312"/>
          <w:sz w:val="28"/>
          <w:szCs w:val="28"/>
        </w:rPr>
        <w:t>4.1.2优选资质/优选指标</w:t>
      </w:r>
      <w:bookmarkEnd w:id="33"/>
    </w:p>
    <w:p>
      <w:pPr>
        <w:pStyle w:val="Heading1"/>
        <w:keepNext w:val="0"/>
        <w:spacing w:before="0" w:after="0" w:line="360" w:lineRule="auto"/>
        <w:jc w:val="center"/>
        <w:rPr>
          <w:rFonts w:ascii="仿宋_GB2312" w:eastAsia="仿宋_GB2312" w:hAnsi="仿宋_GB2312" w:cs="仿宋_GB2312"/>
          <w:b/>
          <w:bCs/>
          <w:sz w:val="32"/>
          <w:szCs w:val="32"/>
        </w:rPr>
      </w:pPr>
      <w:bookmarkStart w:id="34" w:name="_Toc256000031"/>
      <w:r>
        <w:rPr>
          <w:rFonts w:ascii="仿宋_GB2312" w:eastAsia="仿宋_GB2312" w:hAnsi="仿宋_GB2312" w:cs="仿宋_GB2312"/>
          <w:kern w:val="36"/>
        </w:rPr>
        <w:t>5管理实施要求</w:t>
      </w:r>
      <w:bookmarkEnd w:id="34"/>
    </w:p>
    <w:p>
      <w:pPr>
        <w:pStyle w:val="15"/>
        <w:spacing w:before="0" w:after="0" w:line="360" w:lineRule="auto"/>
        <w:ind w:left="0" w:right="0" w:firstLine="480"/>
        <w:rPr>
          <w:rFonts w:ascii="Times New Roman" w:eastAsia="Times New Roman" w:hAnsi="Times New Roman" w:cs="Times New Roman"/>
        </w:rPr>
      </w:pPr>
      <w:r>
        <w:rPr>
          <w:rFonts w:ascii="仿宋_GB2312" w:eastAsia="仿宋_GB2312" w:hAnsi="仿宋_GB2312" w:cs="仿宋_GB2312"/>
          <w:sz w:val="28"/>
          <w:szCs w:val="28"/>
        </w:rPr>
        <w:t>建立成熟完善的透明化责任体系</w:t>
      </w:r>
      <w:r>
        <w:rPr>
          <w:rFonts w:ascii="仿宋_GB2312" w:eastAsia="仿宋_GB2312" w:hAnsi="仿宋_GB2312" w:cs="仿宋_GB2312"/>
          <w:sz w:val="28"/>
          <w:szCs w:val="28"/>
        </w:rPr>
        <w:t>,明确经理、供应业务员、食品安全管理员、采购员、司机等各岗位工作职责，制定岗位工作说明，确保制度能有效运转。</w:t>
      </w:r>
    </w:p>
    <w:p>
      <w:pPr>
        <w:pStyle w:val="Heading1"/>
        <w:keepNext w:val="0"/>
        <w:spacing w:before="0" w:after="0" w:line="360" w:lineRule="auto"/>
        <w:jc w:val="center"/>
        <w:rPr>
          <w:rFonts w:ascii="仿宋_GB2312" w:eastAsia="仿宋_GB2312" w:hAnsi="仿宋_GB2312" w:cs="仿宋_GB2312"/>
          <w:b/>
          <w:bCs/>
          <w:sz w:val="32"/>
          <w:szCs w:val="32"/>
        </w:rPr>
      </w:pPr>
      <w:bookmarkStart w:id="35" w:name="_Toc256000032"/>
      <w:r>
        <w:rPr>
          <w:rFonts w:ascii="仿宋_GB2312" w:eastAsia="仿宋_GB2312" w:hAnsi="仿宋_GB2312" w:cs="仿宋_GB2312"/>
          <w:kern w:val="36"/>
        </w:rPr>
        <w:t>6风险管控要求</w:t>
      </w:r>
      <w:bookmarkEnd w:id="35"/>
    </w:p>
    <w:p>
      <w:pPr>
        <w:pStyle w:val="15"/>
        <w:spacing w:before="0" w:after="0" w:line="360" w:lineRule="auto"/>
        <w:ind w:firstLine="642"/>
        <w:rPr>
          <w:rFonts w:ascii="Times New Roman" w:eastAsia="Times New Roman" w:hAnsi="Times New Roman" w:cs="Times New Roman"/>
        </w:rPr>
      </w:pPr>
      <w:r>
        <w:rPr>
          <w:rFonts w:ascii="仿宋" w:eastAsia="仿宋" w:hAnsi="仿宋" w:cs="仿宋"/>
          <w:b/>
          <w:bCs/>
          <w:sz w:val="28"/>
          <w:szCs w:val="28"/>
        </w:rPr>
        <w:t>（一）应急保障方案要求</w:t>
      </w:r>
    </w:p>
    <w:p>
      <w:pPr>
        <w:pStyle w:val="15"/>
        <w:spacing w:before="0" w:after="0" w:line="360" w:lineRule="auto"/>
        <w:ind w:firstLine="640"/>
        <w:rPr>
          <w:rFonts w:ascii="Times New Roman" w:eastAsia="Times New Roman" w:hAnsi="Times New Roman" w:cs="Times New Roman"/>
        </w:rPr>
      </w:pPr>
      <w:r>
        <w:rPr>
          <w:rFonts w:ascii="仿宋" w:eastAsia="仿宋" w:hAnsi="仿宋" w:cs="仿宋"/>
          <w:sz w:val="28"/>
          <w:szCs w:val="28"/>
        </w:rPr>
        <w:t>投标人应提供在自然灾害、极端事件、市场关闭、物资紧缺等突发紧急情况下拟采取的应急保障方案，包括充分供应、按时保障、质量管控等措施，确保采购人食材及时供应不间断。</w:t>
      </w:r>
    </w:p>
    <w:p>
      <w:pPr>
        <w:pStyle w:val="16"/>
        <w:spacing w:before="0" w:after="0" w:line="360" w:lineRule="auto"/>
        <w:rPr>
          <w:rFonts w:ascii="Times New Roman" w:eastAsia="Times New Roman" w:hAnsi="Times New Roman" w:cs="Times New Roman"/>
        </w:rPr>
      </w:pPr>
      <w:r>
        <w:rPr>
          <w:rFonts w:ascii="仿宋" w:eastAsia="仿宋" w:hAnsi="仿宋" w:cs="仿宋"/>
          <w:b/>
          <w:bCs/>
          <w:sz w:val="28"/>
          <w:szCs w:val="28"/>
        </w:rPr>
        <w:t>（二）违约风险管控要求</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1.投标人中标后采用先送货后结账的模式，</w:t>
      </w:r>
      <w:r>
        <w:rPr>
          <w:rFonts w:ascii="仿宋" w:eastAsia="仿宋" w:hAnsi="仿宋" w:cs="仿宋"/>
          <w:sz w:val="28"/>
          <w:szCs w:val="28"/>
        </w:rPr>
        <w:t>不收取履约保证金。有下列情形之一的，采购人有权按照以下约定及合同违约相关条款处理：</w:t>
      </w:r>
    </w:p>
    <w:p>
      <w:pPr>
        <w:pStyle w:val="MsoNormal"/>
        <w:spacing w:before="0" w:after="0" w:line="360" w:lineRule="auto"/>
        <w:ind w:firstLine="560"/>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1）</w:t>
      </w:r>
      <w:r>
        <w:rPr>
          <w:rFonts w:ascii="仿宋" w:eastAsia="仿宋" w:hAnsi="仿宋" w:cs="仿宋"/>
          <w:sz w:val="28"/>
          <w:szCs w:val="28"/>
        </w:rPr>
        <w:t>因投标人配送不及时导致采购人供餐延误并造成重大影</w:t>
      </w:r>
      <w:r>
        <w:rPr>
          <w:rFonts w:ascii="仿宋_GB2312" w:eastAsia="仿宋_GB2312" w:hAnsi="仿宋_GB2312" w:cs="仿宋_GB2312"/>
          <w:sz w:val="28"/>
          <w:szCs w:val="28"/>
        </w:rPr>
        <w:t>响的</w:t>
      </w:r>
      <w:r>
        <w:rPr>
          <w:rFonts w:ascii="仿宋_GB2312" w:eastAsia="仿宋_GB2312" w:hAnsi="仿宋_GB2312" w:cs="仿宋_GB2312"/>
          <w:sz w:val="28"/>
          <w:szCs w:val="28"/>
        </w:rPr>
        <w:t>，由中标供应商承担全部责任，按合同约定自愿接受处罚。</w:t>
      </w:r>
    </w:p>
    <w:p>
      <w:pPr>
        <w:pStyle w:val="19"/>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2）凡经相关部门认定，因投标人所提供的原料原因造成采购人食堂出现食物中毒等卫生安全事故的，投标人除必须承担全部的法律责任外，还要全额承担因食物中毒发生所造成后果的一切费用</w:t>
      </w:r>
      <w:r>
        <w:rPr>
          <w:rFonts w:ascii="仿宋_GB2312" w:eastAsia="仿宋_GB2312" w:hAnsi="仿宋_GB2312" w:cs="仿宋_GB2312"/>
          <w:sz w:val="28"/>
          <w:szCs w:val="28"/>
        </w:rPr>
        <w:t>，并按合同约定自愿接受处罚。</w:t>
      </w:r>
    </w:p>
    <w:p>
      <w:pPr>
        <w:pStyle w:val="19"/>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w:t>
      </w:r>
      <w:r>
        <w:rPr>
          <w:rFonts w:ascii="仿宋_GB2312" w:eastAsia="仿宋_GB2312" w:hAnsi="仿宋_GB2312" w:cs="仿宋_GB2312"/>
          <w:sz w:val="28"/>
          <w:szCs w:val="28"/>
        </w:rPr>
        <w:t>3）除不可抗力及采购人原因外，因投标人配送不及时导致采购人</w:t>
      </w:r>
      <w:r>
        <w:rPr>
          <w:rFonts w:ascii="仿宋" w:eastAsia="仿宋" w:hAnsi="仿宋" w:cs="仿宋"/>
          <w:sz w:val="28"/>
          <w:szCs w:val="28"/>
        </w:rPr>
        <w:t>伙食供应延时，但经投标人采取补救措施未造成采购人不良影响的，出现三次终止供货合同；</w:t>
      </w:r>
    </w:p>
    <w:p>
      <w:pPr>
        <w:pStyle w:val="19"/>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4）</w:t>
      </w:r>
      <w:r>
        <w:rPr>
          <w:rFonts w:ascii="仿宋" w:eastAsia="仿宋" w:hAnsi="仿宋" w:cs="仿宋"/>
          <w:sz w:val="28"/>
          <w:szCs w:val="28"/>
        </w:rPr>
        <w:t>凡投标人向采购人提供产品发生质量问题影响食用，并拒绝退换的；</w:t>
      </w:r>
    </w:p>
    <w:p>
      <w:pPr>
        <w:pStyle w:val="19"/>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5）</w:t>
      </w:r>
      <w:r>
        <w:rPr>
          <w:rFonts w:ascii="仿宋" w:eastAsia="仿宋" w:hAnsi="仿宋" w:cs="仿宋"/>
          <w:sz w:val="28"/>
          <w:szCs w:val="28"/>
        </w:rPr>
        <w:t>采购人将不定期组织专人对食材进行抽检，若发现质量不符，采购人有权要求予以退换货。</w:t>
      </w:r>
    </w:p>
    <w:p>
      <w:pPr>
        <w:pStyle w:val="18"/>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仿宋" w:eastAsia="仿宋" w:hAnsi="仿宋" w:cs="仿宋"/>
          <w:sz w:val="28"/>
          <w:szCs w:val="28"/>
        </w:rPr>
        <w:t>投标人有下列情形之一的，采购人有权解除合同，由投标人承担全部经济损失和相关责任：</w:t>
      </w:r>
    </w:p>
    <w:p>
      <w:pPr>
        <w:pStyle w:val="18"/>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1）</w:t>
      </w:r>
      <w:r>
        <w:rPr>
          <w:rFonts w:ascii="仿宋" w:eastAsia="仿宋" w:hAnsi="仿宋" w:cs="仿宋"/>
          <w:sz w:val="28"/>
          <w:szCs w:val="28"/>
        </w:rPr>
        <w:t>投标人以书面、微信、短信等方式通知采购人不再供货，包括对部分食材不再供货；</w:t>
      </w:r>
    </w:p>
    <w:p>
      <w:pPr>
        <w:pStyle w:val="18"/>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2）</w:t>
      </w:r>
      <w:r>
        <w:rPr>
          <w:rFonts w:ascii="仿宋" w:eastAsia="仿宋" w:hAnsi="仿宋" w:cs="仿宋"/>
          <w:sz w:val="28"/>
          <w:szCs w:val="28"/>
        </w:rPr>
        <w:t>投标人虽未通知采购人不再供货，但</w:t>
      </w:r>
      <w:r>
        <w:rPr>
          <w:rFonts w:ascii="仿宋" w:eastAsia="仿宋" w:hAnsi="仿宋" w:cs="仿宋"/>
          <w:sz w:val="28"/>
          <w:szCs w:val="28"/>
        </w:rPr>
        <w:t>1天没有供应采购人采购的货物，包括对部分食材没有供货；</w:t>
      </w:r>
    </w:p>
    <w:p>
      <w:pPr>
        <w:pStyle w:val="17"/>
        <w:spacing w:before="0" w:after="0" w:line="360" w:lineRule="auto"/>
        <w:ind w:firstLine="48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3）</w:t>
      </w:r>
      <w:r>
        <w:rPr>
          <w:rFonts w:ascii="仿宋" w:eastAsia="仿宋" w:hAnsi="仿宋" w:cs="仿宋"/>
          <w:sz w:val="28"/>
          <w:szCs w:val="28"/>
        </w:rPr>
        <w:t>投标人未经采购人同意单方面提价的。</w:t>
      </w:r>
    </w:p>
    <w:p>
      <w:pPr>
        <w:pStyle w:val="Heading1"/>
        <w:keepNext w:val="0"/>
        <w:spacing w:before="0" w:after="0" w:line="360" w:lineRule="auto"/>
        <w:jc w:val="center"/>
        <w:rPr>
          <w:rFonts w:ascii="仿宋_GB2312" w:eastAsia="仿宋_GB2312" w:hAnsi="仿宋_GB2312" w:cs="仿宋_GB2312"/>
          <w:b/>
          <w:bCs/>
          <w:sz w:val="32"/>
          <w:szCs w:val="32"/>
        </w:rPr>
      </w:pPr>
      <w:bookmarkStart w:id="36" w:name="_Toc256000033"/>
      <w:r>
        <w:rPr>
          <w:rFonts w:ascii="仿宋_GB2312" w:eastAsia="仿宋_GB2312" w:hAnsi="仿宋_GB2312" w:cs="仿宋_GB2312"/>
          <w:kern w:val="36"/>
        </w:rPr>
        <w:t>7履约验收要求</w:t>
      </w:r>
      <w:bookmarkEnd w:id="36"/>
    </w:p>
    <w:p>
      <w:pPr>
        <w:pStyle w:val="Heading2"/>
        <w:keepNext w:val="0"/>
        <w:spacing w:before="0" w:after="0" w:line="360" w:lineRule="auto"/>
        <w:rPr>
          <w:rFonts w:ascii="仿宋_GB2312" w:eastAsia="仿宋_GB2312" w:hAnsi="仿宋_GB2312" w:cs="仿宋_GB2312"/>
          <w:b/>
          <w:bCs/>
          <w:sz w:val="28"/>
          <w:szCs w:val="28"/>
        </w:rPr>
      </w:pPr>
      <w:bookmarkStart w:id="37" w:name="_Toc256000034"/>
      <w:r>
        <w:rPr>
          <w:rFonts w:ascii="仿宋_GB2312" w:eastAsia="仿宋_GB2312" w:hAnsi="仿宋_GB2312" w:cs="仿宋_GB2312"/>
          <w:i w:val="0"/>
          <w:iCs w:val="0"/>
        </w:rPr>
        <w:t>7.1总体要求</w:t>
      </w:r>
      <w:bookmarkEnd w:id="37"/>
    </w:p>
    <w:tbl>
      <w:tblPr>
        <w:tblW w:w="5000" w:type="pct"/>
        <w:tblInd w:w="30" w:type="dxa"/>
        <w:tblCellMar>
          <w:top w:w="15" w:type="dxa"/>
          <w:left w:w="15" w:type="dxa"/>
          <w:bottom w:w="15" w:type="dxa"/>
          <w:right w:w="15" w:type="dxa"/>
        </w:tblCellMar>
      </w:tblPr>
      <w:tblGrid>
        <w:gridCol w:w="917"/>
        <w:gridCol w:w="16034"/>
      </w:tblGrid>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验收名称</w:t>
            </w:r>
          </w:p>
        </w:tc>
        <w:tc>
          <w:tcPr>
            <w:tcW w:w="25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验收要求</w:t>
            </w:r>
          </w:p>
        </w:tc>
      </w:tr>
      <w:tr>
        <w:tblPrEx>
          <w:tblW w:w="5000" w:type="pct"/>
          <w:tblInd w:w="30" w:type="dxa"/>
          <w:tblCellMar>
            <w:top w:w="15" w:type="dxa"/>
            <w:left w:w="15" w:type="dxa"/>
            <w:bottom w:w="15" w:type="dxa"/>
            <w:right w:w="15" w:type="dxa"/>
          </w:tblCellMar>
        </w:tblPrEx>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按月验收</w:t>
            </w:r>
          </w:p>
        </w:tc>
        <w:tc>
          <w:tcPr>
            <w:tcW w:w="2500" w:type="pct"/>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1.验收人员：由采购人食堂管理人员、库房管理人员组成验收小组，投标人送货人员应积极配合验收。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2.验收时间和地点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（1）验收时间：到货当天。</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（2）验收地点：国家税务总局天津市河东区税务局六纬路办公区食堂（河东区六纬路151号），国家税务总局天津市河东区税务局七纬路办公区食堂（河东区七纬路99号）。</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（3）验收组织形式：采购人组织验收。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（4）验收方式：现场验收。</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（5）验收内容</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（a）质量是否符合约定标准；</w:t>
            </w:r>
            <w:r>
              <w:rPr>
                <w:rFonts w:ascii="仿宋_GB2312" w:eastAsia="仿宋_GB2312" w:hAnsi="仿宋_GB2312" w:cs="仿宋_GB2312"/>
                <w:b w:val="0"/>
                <w:bCs w:val="0"/>
                <w:i w:val="0"/>
                <w:iCs w:val="0"/>
                <w:smallCaps w:val="0"/>
                <w:color w:val="000000"/>
                <w:sz w:val="21"/>
                <w:szCs w:val="21"/>
              </w:rPr>
              <w:br/>
            </w:r>
            <w:r>
              <w:rPr>
                <w:rFonts w:ascii="仿宋_GB2312" w:eastAsia="仿宋_GB2312" w:hAnsi="仿宋_GB2312" w:cs="仿宋_GB2312"/>
                <w:b w:val="0"/>
                <w:bCs w:val="0"/>
                <w:i w:val="0"/>
                <w:iCs w:val="0"/>
                <w:smallCaps w:val="0"/>
                <w:color w:val="000000"/>
                <w:sz w:val="21"/>
                <w:szCs w:val="21"/>
              </w:rPr>
              <w:t>（b）重量、数量、价格是否与采购人的预定量一致。</w:t>
            </w:r>
          </w:p>
        </w:tc>
      </w:tr>
    </w:tbl>
    <w:p>
      <w:pPr>
        <w:pStyle w:val="Heading2"/>
        <w:keepNext w:val="0"/>
        <w:spacing w:before="0" w:after="0" w:line="360" w:lineRule="auto"/>
        <w:rPr>
          <w:rFonts w:ascii="仿宋_GB2312" w:eastAsia="仿宋_GB2312" w:hAnsi="仿宋_GB2312" w:cs="仿宋_GB2312"/>
          <w:b/>
          <w:bCs/>
          <w:sz w:val="28"/>
          <w:szCs w:val="28"/>
        </w:rPr>
      </w:pPr>
      <w:bookmarkStart w:id="38" w:name="_Toc256000035"/>
      <w:r>
        <w:rPr>
          <w:rFonts w:ascii="仿宋_GB2312" w:eastAsia="仿宋_GB2312" w:hAnsi="仿宋_GB2312" w:cs="仿宋_GB2312"/>
          <w:i w:val="0"/>
          <w:iCs w:val="0"/>
        </w:rPr>
        <w:t>7.2具体要求</w:t>
      </w:r>
      <w:bookmarkEnd w:id="38"/>
    </w:p>
    <w:p>
      <w:pPr>
        <w:pStyle w:val="15"/>
        <w:spacing w:before="0" w:after="0" w:line="360" w:lineRule="auto"/>
        <w:ind w:firstLine="640"/>
        <w:jc w:val="both"/>
        <w:rPr>
          <w:rFonts w:ascii="Times New Roman" w:eastAsia="Times New Roman" w:hAnsi="Times New Roman" w:cs="Times New Roman"/>
        </w:rPr>
      </w:pPr>
      <w:r>
        <w:rPr>
          <w:rFonts w:ascii="仿宋_GB2312" w:eastAsia="仿宋_GB2312" w:hAnsi="仿宋_GB2312" w:cs="仿宋_GB2312"/>
          <w:sz w:val="28"/>
          <w:szCs w:val="28"/>
        </w:rPr>
        <w:t>1.</w:t>
      </w:r>
      <w:r>
        <w:rPr>
          <w:rFonts w:ascii="仿宋" w:eastAsia="仿宋" w:hAnsi="仿宋" w:cs="仿宋"/>
          <w:sz w:val="28"/>
          <w:szCs w:val="28"/>
        </w:rPr>
        <w:t>验收场所的准备</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应当在固定的场所进行验收，采购人定期清扫消毒，保持清洁，保证无积尘、无食品残渣，无霉斑、鼠迹、苍蝇、蟑螂，验收场所不准存放有毒、有害物品及个人生活用品。</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2.</w:t>
      </w:r>
      <w:r>
        <w:rPr>
          <w:rFonts w:ascii="仿宋" w:eastAsia="仿宋" w:hAnsi="仿宋" w:cs="仿宋"/>
          <w:sz w:val="28"/>
          <w:szCs w:val="28"/>
        </w:rPr>
        <w:t>验收小组按订单对采购货物的品种、质量、数量进行检查验收，对货不对版、质量不好、价格明显过于偏高的食材不予验收，对于数量不足的食材，按照实际数量入账，填制验收记录和验收单。</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3.</w:t>
      </w:r>
      <w:r>
        <w:rPr>
          <w:rFonts w:ascii="仿宋" w:eastAsia="仿宋" w:hAnsi="仿宋" w:cs="仿宋"/>
          <w:sz w:val="28"/>
          <w:szCs w:val="28"/>
        </w:rPr>
        <w:t>验收流程</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1</w:t>
      </w:r>
      <w:r>
        <w:rPr>
          <w:rFonts w:ascii="仿宋" w:eastAsia="仿宋" w:hAnsi="仿宋" w:cs="仿宋"/>
          <w:sz w:val="28"/>
          <w:szCs w:val="28"/>
        </w:rPr>
        <w:t>）投标人应在验收时提供与送货内容一致的送货单，并加盖公章。</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2）</w:t>
      </w:r>
      <w:r>
        <w:rPr>
          <w:rFonts w:ascii="仿宋" w:eastAsia="仿宋" w:hAnsi="仿宋" w:cs="仿宋"/>
          <w:sz w:val="28"/>
          <w:szCs w:val="28"/>
        </w:rPr>
        <w:t>卸货前的检查。验收人员卸货前应对货物的外观质量进行初步了解。</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食材运输必须采用符合卫生要求的外包装和运输工具，车厢内保持清洁和定期消毒，无异味。冷藏、冷冻食品必须用专用冷藏、冷冻载具运输，在运输过程中保持安全的冷藏、冷冻温度，冷冻食品没有曾经解冻痕迹或软化现象，包装呈干爽状态。食材应清洁，无损伤、腐烂现象，外包装完整，无寄生虫或已受虫害现象。</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3）</w:t>
      </w:r>
      <w:r>
        <w:rPr>
          <w:rFonts w:ascii="仿宋" w:eastAsia="仿宋" w:hAnsi="仿宋" w:cs="仿宋"/>
          <w:sz w:val="28"/>
          <w:szCs w:val="28"/>
        </w:rPr>
        <w:t>采取当场验收的方式，验收人认真检查货物，按核对品种</w:t>
      </w:r>
      <w:r>
        <w:rPr>
          <w:rFonts w:ascii="仿宋" w:eastAsia="仿宋" w:hAnsi="仿宋" w:cs="仿宋"/>
          <w:sz w:val="28"/>
          <w:szCs w:val="28"/>
        </w:rPr>
        <w:t>→索证→抽查(检测）→数量、重量、质量、价格验收→签名确认→入库的程序完成验收。</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所有食材都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要求投标人提供产品质量检测报告及卫生合格报告书，证明内容与产品内容要一致。投标人以提供原件为主，不能留原件的提供复印件。</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w:t>
      </w:r>
      <w:r>
        <w:rPr>
          <w:rFonts w:ascii="仿宋_GB2312" w:eastAsia="仿宋_GB2312" w:hAnsi="仿宋_GB2312" w:cs="仿宋_GB2312"/>
          <w:sz w:val="28"/>
          <w:szCs w:val="28"/>
        </w:rPr>
        <w:t>4）</w:t>
      </w:r>
      <w:r>
        <w:rPr>
          <w:rFonts w:ascii="仿宋" w:eastAsia="仿宋" w:hAnsi="仿宋" w:cs="仿宋"/>
          <w:sz w:val="28"/>
          <w:szCs w:val="28"/>
        </w:rPr>
        <w:t>发现食品质量安全问题的处理：</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抽查时发现食品质量不过关或影响食用安全的，对当日所送同批次产品全部退货。</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若抽查未发现问题，按储藏要求储藏后在加工食用前发现产品质量问题的，投标人必须退货或更换。</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4.</w:t>
      </w:r>
      <w:r>
        <w:rPr>
          <w:rFonts w:ascii="仿宋" w:eastAsia="仿宋" w:hAnsi="仿宋" w:cs="仿宋"/>
          <w:sz w:val="28"/>
          <w:szCs w:val="28"/>
        </w:rPr>
        <w:t>退（补）货流程</w:t>
      </w:r>
    </w:p>
    <w:p>
      <w:pPr>
        <w:pStyle w:val="15"/>
        <w:spacing w:before="0" w:after="0" w:line="360" w:lineRule="auto"/>
        <w:ind w:left="0" w:firstLine="640"/>
        <w:jc w:val="both"/>
        <w:rPr>
          <w:rFonts w:ascii="Times New Roman" w:eastAsia="Times New Roman" w:hAnsi="Times New Roman" w:cs="Times New Roman"/>
        </w:rPr>
      </w:pPr>
      <w:r>
        <w:rPr>
          <w:rFonts w:ascii="仿宋" w:eastAsia="仿宋" w:hAnsi="仿宋" w:cs="仿宋"/>
          <w:sz w:val="28"/>
          <w:szCs w:val="28"/>
        </w:rPr>
        <w:t>对不符合采购要求的货物，由验收人员直接向投标人提出退（补）货申请，投标人按照申请内容给予退（补）货。发现质量隐患，但双方对质量或重量有争议的可送具有检验资质的部门检测，检测费用由投标人承担。对数量不足或退货的，投标人必须</w:t>
      </w:r>
      <w:r>
        <w:rPr>
          <w:rFonts w:ascii="仿宋" w:eastAsia="仿宋" w:hAnsi="仿宋" w:cs="仿宋"/>
          <w:sz w:val="28"/>
          <w:szCs w:val="28"/>
        </w:rPr>
        <w:t>1小时内补送订单品种。</w:t>
      </w:r>
    </w:p>
    <w:p>
      <w:pPr>
        <w:pStyle w:val="15"/>
        <w:spacing w:before="0" w:after="0" w:line="360" w:lineRule="auto"/>
        <w:ind w:left="0" w:firstLine="640"/>
        <w:jc w:val="both"/>
        <w:rPr>
          <w:rFonts w:ascii="Times New Roman" w:eastAsia="Times New Roman" w:hAnsi="Times New Roman" w:cs="Times New Roman"/>
        </w:rPr>
      </w:pPr>
      <w:r>
        <w:rPr>
          <w:rFonts w:ascii="仿宋_GB2312" w:eastAsia="仿宋_GB2312" w:hAnsi="仿宋_GB2312" w:cs="仿宋_GB2312"/>
          <w:sz w:val="28"/>
          <w:szCs w:val="28"/>
        </w:rPr>
        <w:t>5.</w:t>
      </w:r>
      <w:r>
        <w:rPr>
          <w:rFonts w:ascii="仿宋" w:eastAsia="仿宋" w:hAnsi="仿宋" w:cs="仿宋"/>
          <w:sz w:val="28"/>
          <w:szCs w:val="28"/>
        </w:rPr>
        <w:t>包装带箱、筐的食材按照去除箱、筐后的重量计算。投标人需配合采购人库管人员进行倒筐称重，共同签字确认。</w:t>
      </w:r>
    </w:p>
    <w:p>
      <w:pPr>
        <w:pStyle w:val="Heading1"/>
        <w:keepNext w:val="0"/>
        <w:spacing w:before="0" w:after="0" w:line="360" w:lineRule="auto"/>
        <w:jc w:val="center"/>
        <w:rPr>
          <w:rFonts w:ascii="仿宋_GB2312" w:eastAsia="仿宋_GB2312" w:hAnsi="仿宋_GB2312" w:cs="仿宋_GB2312"/>
          <w:b/>
          <w:bCs/>
          <w:sz w:val="32"/>
          <w:szCs w:val="32"/>
        </w:rPr>
      </w:pPr>
      <w:bookmarkStart w:id="39" w:name="_Toc256000036"/>
      <w:r>
        <w:rPr>
          <w:rFonts w:ascii="仿宋_GB2312" w:eastAsia="仿宋_GB2312" w:hAnsi="仿宋_GB2312" w:cs="仿宋_GB2312"/>
          <w:kern w:val="36"/>
        </w:rPr>
        <w:t>8其他要求</w:t>
      </w:r>
      <w:bookmarkEnd w:id="39"/>
    </w:p>
    <w:p>
      <w:pPr>
        <w:pStyle w:val="Heading2"/>
        <w:keepNext w:val="0"/>
        <w:spacing w:before="0" w:after="0" w:line="360" w:lineRule="auto"/>
        <w:rPr>
          <w:rFonts w:ascii="仿宋_GB2312" w:eastAsia="仿宋_GB2312" w:hAnsi="仿宋_GB2312" w:cs="仿宋_GB2312"/>
          <w:b/>
          <w:bCs/>
          <w:sz w:val="28"/>
          <w:szCs w:val="28"/>
        </w:rPr>
      </w:pPr>
      <w:bookmarkStart w:id="40" w:name="_Toc256000037"/>
      <w:r>
        <w:rPr>
          <w:rFonts w:ascii="仿宋_GB2312" w:eastAsia="仿宋_GB2312" w:hAnsi="仿宋_GB2312" w:cs="仿宋_GB2312"/>
          <w:i w:val="0"/>
          <w:iCs w:val="0"/>
        </w:rPr>
        <w:t>8.1定价和结算要求</w:t>
      </w:r>
      <w:bookmarkEnd w:id="40"/>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28"/>
          <w:szCs w:val="28"/>
        </w:rPr>
        <w:t>1. 投标价格应包括：人员费用、食材费用、配送费用、运输保险费用、装卸费用、管理费、利润税金等为完成招标文件规定的一切工作所需的全部费用。</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28"/>
          <w:szCs w:val="28"/>
        </w:rPr>
        <w:t>2. 投标报价规则：</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28"/>
          <w:szCs w:val="28"/>
        </w:rPr>
        <w:t>（1）投标报价以费率填列。</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28"/>
          <w:szCs w:val="28"/>
        </w:rPr>
        <w:t>（2）在服务期内，采购人有权在不超过采购预算的前提下，向中标供应商下达每日具体采购订单。</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28"/>
          <w:szCs w:val="28"/>
        </w:rPr>
        <w:t>（3）按以下原则确定结算价格</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28"/>
          <w:szCs w:val="28"/>
        </w:rPr>
        <w:t>结算价格=中标供应商所报费率×基础价格A×1.1。</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sz w:val="28"/>
          <w:szCs w:val="28"/>
        </w:rPr>
        <w:t>结算价格=中标供应商所报费率×基础价格B×1.0。</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rPr>
        <w:t xml:space="preserve">A. </w:t>
      </w:r>
      <w:r>
        <w:rPr>
          <w:rFonts w:ascii="FangSong_GB2312" w:eastAsia="FangSong_GB2312" w:hAnsi="FangSong_GB2312" w:cs="FangSong_GB2312"/>
        </w:rPr>
        <w:t>基础价格</w:t>
      </w:r>
      <w:r>
        <w:rPr>
          <w:rFonts w:ascii="FangSong_GB2312" w:eastAsia="FangSong_GB2312" w:hAnsi="FangSong_GB2312" w:cs="FangSong_GB2312"/>
        </w:rPr>
        <w:t>A</w:t>
      </w:r>
      <w:r>
        <w:rPr>
          <w:rFonts w:ascii="FangSong_GB2312" w:eastAsia="FangSong_GB2312" w:hAnsi="FangSong_GB2312" w:cs="FangSong_GB2312"/>
        </w:rPr>
        <w:t>：依次参照</w:t>
      </w:r>
      <w:r>
        <w:rPr>
          <w:rFonts w:ascii="FangSong_GB2312" w:eastAsia="FangSong_GB2312" w:hAnsi="FangSong_GB2312" w:cs="FangSong_GB2312"/>
        </w:rPr>
        <w:t>“全国农产品批发市场价格信息系统（</w:t>
      </w:r>
      <w:r>
        <w:rPr>
          <w:rFonts w:ascii="FangSong_GB2312" w:eastAsia="FangSong_GB2312" w:hAnsi="FangSong_GB2312" w:cs="FangSong_GB2312"/>
        </w:rPr>
        <w:t>https://pfsc.argi.cn/portal-app/#/indexpage</w:t>
      </w:r>
      <w:r>
        <w:rPr>
          <w:rFonts w:ascii="FangSong_GB2312" w:eastAsia="FangSong_GB2312" w:hAnsi="FangSong_GB2312" w:cs="FangSong_GB2312"/>
        </w:rPr>
        <w:t>）</w:t>
      </w:r>
      <w:r>
        <w:rPr>
          <w:rFonts w:ascii="FangSong_GB2312" w:eastAsia="FangSong_GB2312" w:hAnsi="FangSong_GB2312" w:cs="FangSong_GB2312"/>
        </w:rPr>
        <w:t>”食材配送当日发布的天津市金钟河蔬菜贸易中心、天津韩家墅海吉星农产品批发市场、天津何庄子农产品批发市场同等食材的“大宗价”确定为“基础价格</w:t>
      </w:r>
      <w:r>
        <w:rPr>
          <w:rFonts w:ascii="FangSong_GB2312" w:eastAsia="FangSong_GB2312" w:hAnsi="FangSong_GB2312" w:cs="FangSong_GB2312"/>
        </w:rPr>
        <w:t>A</w:t>
      </w:r>
      <w:r>
        <w:rPr>
          <w:rFonts w:ascii="FangSong_GB2312" w:eastAsia="FangSong_GB2312" w:hAnsi="FangSong_GB2312" w:cs="FangSong_GB2312"/>
        </w:rPr>
        <w:t>”，定价单位为</w:t>
      </w:r>
      <w:r>
        <w:rPr>
          <w:rFonts w:ascii="FangSong_GB2312" w:eastAsia="FangSong_GB2312" w:hAnsi="FangSong_GB2312" w:cs="FangSong_GB2312"/>
        </w:rPr>
        <w:t>500</w:t>
      </w:r>
      <w:r>
        <w:rPr>
          <w:rFonts w:ascii="FangSong_GB2312" w:eastAsia="FangSong_GB2312" w:hAnsi="FangSong_GB2312" w:cs="FangSong_GB2312"/>
        </w:rPr>
        <w:t>克。</w:t>
      </w:r>
    </w:p>
    <w:p>
      <w:pPr>
        <w:pStyle w:val="15"/>
        <w:spacing w:before="0" w:after="0" w:line="360" w:lineRule="auto"/>
        <w:ind w:left="0" w:right="0" w:firstLine="480"/>
        <w:jc w:val="both"/>
        <w:rPr>
          <w:rFonts w:ascii="Times New Roman" w:eastAsia="Times New Roman" w:hAnsi="Times New Roman" w:cs="Times New Roman"/>
        </w:rPr>
      </w:pPr>
      <w:r>
        <w:rPr>
          <w:rFonts w:ascii="FangSong_GB2312" w:eastAsia="FangSong_GB2312" w:hAnsi="FangSong_GB2312" w:cs="FangSong_GB2312"/>
        </w:rPr>
        <w:t xml:space="preserve">B. </w:t>
      </w:r>
      <w:r>
        <w:rPr>
          <w:rFonts w:ascii="FangSong_GB2312" w:eastAsia="FangSong_GB2312" w:hAnsi="FangSong_GB2312" w:cs="FangSong_GB2312"/>
        </w:rPr>
        <w:t>基础价格</w:t>
      </w:r>
      <w:r>
        <w:rPr>
          <w:rFonts w:ascii="FangSong_GB2312" w:eastAsia="FangSong_GB2312" w:hAnsi="FangSong_GB2312" w:cs="FangSong_GB2312"/>
        </w:rPr>
        <w:t>B</w:t>
      </w:r>
      <w:r>
        <w:rPr>
          <w:rFonts w:ascii="FangSong_GB2312" w:eastAsia="FangSong_GB2312" w:hAnsi="FangSong_GB2312" w:cs="FangSong_GB2312"/>
        </w:rPr>
        <w:t>：当</w:t>
      </w:r>
      <w:r>
        <w:rPr>
          <w:rFonts w:ascii="FangSong_GB2312" w:eastAsia="FangSong_GB2312" w:hAnsi="FangSong_GB2312" w:cs="FangSong_GB2312"/>
        </w:rPr>
        <w:t>“全国农产品批发市场价格信息系统”上述</w:t>
      </w:r>
      <w:r>
        <w:rPr>
          <w:rFonts w:ascii="FangSong_GB2312" w:eastAsia="FangSong_GB2312" w:hAnsi="FangSong_GB2312" w:cs="FangSong_GB2312"/>
        </w:rPr>
        <w:t>3</w:t>
      </w:r>
      <w:r>
        <w:rPr>
          <w:rFonts w:ascii="FangSong_GB2312" w:eastAsia="FangSong_GB2312" w:hAnsi="FangSong_GB2312" w:cs="FangSong_GB2312"/>
        </w:rPr>
        <w:t>个市场中没有列明所采购食材的大宗价格时，依次参照食材配送当日的多点</w:t>
      </w:r>
      <w:r>
        <w:rPr>
          <w:rFonts w:ascii="FangSong_GB2312" w:eastAsia="FangSong_GB2312" w:hAnsi="FangSong_GB2312" w:cs="FangSong_GB2312"/>
        </w:rPr>
        <w:t>APP</w:t>
      </w:r>
      <w:r>
        <w:rPr>
          <w:rFonts w:ascii="FangSong_GB2312" w:eastAsia="FangSong_GB2312" w:hAnsi="FangSong_GB2312" w:cs="FangSong_GB2312"/>
        </w:rPr>
        <w:t>、七鲜</w:t>
      </w:r>
      <w:r>
        <w:rPr>
          <w:rFonts w:ascii="FangSong_GB2312" w:eastAsia="FangSong_GB2312" w:hAnsi="FangSong_GB2312" w:cs="FangSong_GB2312"/>
        </w:rPr>
        <w:t>APP</w:t>
      </w:r>
      <w:r>
        <w:rPr>
          <w:rFonts w:ascii="FangSong_GB2312" w:eastAsia="FangSong_GB2312" w:hAnsi="FangSong_GB2312" w:cs="FangSong_GB2312"/>
        </w:rPr>
        <w:t>、华润万家超市的同等食材价格确定为</w:t>
      </w:r>
      <w:r>
        <w:rPr>
          <w:rFonts w:ascii="FangSong_GB2312" w:eastAsia="FangSong_GB2312" w:hAnsi="FangSong_GB2312" w:cs="FangSong_GB2312"/>
        </w:rPr>
        <w:t>“基础价格</w:t>
      </w:r>
      <w:r>
        <w:rPr>
          <w:rFonts w:ascii="FangSong_GB2312" w:eastAsia="FangSong_GB2312" w:hAnsi="FangSong_GB2312" w:cs="FangSong_GB2312"/>
        </w:rPr>
        <w:t>B</w:t>
      </w:r>
      <w:r>
        <w:rPr>
          <w:rFonts w:ascii="FangSong_GB2312" w:eastAsia="FangSong_GB2312" w:hAnsi="FangSong_GB2312" w:cs="FangSong_GB2312"/>
        </w:rPr>
        <w:t>”，定价单位为</w:t>
      </w:r>
      <w:r>
        <w:rPr>
          <w:rFonts w:ascii="FangSong_GB2312" w:eastAsia="FangSong_GB2312" w:hAnsi="FangSong_GB2312" w:cs="FangSong_GB2312"/>
        </w:rPr>
        <w:t>500</w:t>
      </w:r>
      <w:r>
        <w:rPr>
          <w:rFonts w:ascii="FangSong_GB2312" w:eastAsia="FangSong_GB2312" w:hAnsi="FangSong_GB2312" w:cs="FangSong_GB2312"/>
        </w:rPr>
        <w:t>克。零售商品有多个规格的，以最大规格的每</w:t>
      </w:r>
      <w:r>
        <w:rPr>
          <w:rFonts w:ascii="FangSong_GB2312" w:eastAsia="FangSong_GB2312" w:hAnsi="FangSong_GB2312" w:cs="FangSong_GB2312"/>
        </w:rPr>
        <w:t>500</w:t>
      </w:r>
      <w:r>
        <w:rPr>
          <w:rFonts w:ascii="FangSong_GB2312" w:eastAsia="FangSong_GB2312" w:hAnsi="FangSong_GB2312" w:cs="FangSong_GB2312"/>
        </w:rPr>
        <w:t>克价格为定价依据。</w:t>
      </w:r>
    </w:p>
    <w:p>
      <w:pPr>
        <w:pStyle w:val="15"/>
        <w:spacing w:before="0" w:after="0" w:line="360" w:lineRule="auto"/>
        <w:ind w:left="0" w:right="0" w:firstLine="480"/>
        <w:jc w:val="both"/>
        <w:rPr>
          <w:rFonts w:ascii="Times New Roman" w:eastAsia="Times New Roman" w:hAnsi="Times New Roman" w:cs="Times New Roman"/>
        </w:rPr>
      </w:pPr>
      <w:r>
        <w:rPr>
          <w:rFonts w:ascii="仿宋" w:eastAsia="仿宋" w:hAnsi="仿宋" w:cs="仿宋"/>
          <w:sz w:val="28"/>
          <w:szCs w:val="28"/>
        </w:rPr>
        <w:t>所报费率＞</w:t>
      </w:r>
      <w:r>
        <w:rPr>
          <w:rFonts w:ascii="仿宋" w:eastAsia="仿宋" w:hAnsi="仿宋" w:cs="仿宋"/>
          <w:sz w:val="28"/>
          <w:szCs w:val="28"/>
        </w:rPr>
        <w:t>100%的，视为无效投标。</w:t>
      </w:r>
    </w:p>
    <w:p>
      <w:pPr>
        <w:pStyle w:val="15"/>
        <w:spacing w:before="0" w:after="0" w:line="360" w:lineRule="auto"/>
        <w:ind w:left="0" w:right="0" w:firstLine="480"/>
        <w:jc w:val="both"/>
        <w:rPr>
          <w:rFonts w:ascii="Times New Roman" w:eastAsia="Times New Roman" w:hAnsi="Times New Roman" w:cs="Times New Roman"/>
        </w:rPr>
      </w:pPr>
      <w:r>
        <w:rPr>
          <w:rFonts w:ascii="仿宋" w:eastAsia="仿宋" w:hAnsi="仿宋" w:cs="仿宋"/>
          <w:sz w:val="28"/>
          <w:szCs w:val="28"/>
        </w:rPr>
        <w:t>注：网上应答报价仅填写费率</w:t>
      </w:r>
      <w:r>
        <w:rPr>
          <w:rFonts w:ascii="仿宋" w:eastAsia="仿宋" w:hAnsi="仿宋" w:cs="仿宋"/>
          <w:sz w:val="28"/>
          <w:szCs w:val="28"/>
        </w:rPr>
        <w:t>%左侧数字，如所报费率为95%，网上应答仅填写“95”。</w:t>
      </w:r>
    </w:p>
    <w:p>
      <w:pPr>
        <w:pStyle w:val="15"/>
        <w:spacing w:before="0" w:after="0" w:line="360" w:lineRule="auto"/>
        <w:ind w:left="0" w:right="0" w:firstLine="480"/>
        <w:jc w:val="both"/>
        <w:rPr>
          <w:rFonts w:ascii="Times New Roman" w:eastAsia="Times New Roman" w:hAnsi="Times New Roman" w:cs="Times New Roman"/>
        </w:rPr>
      </w:pPr>
      <w:r>
        <w:rPr>
          <w:rFonts w:ascii="仿宋" w:eastAsia="仿宋" w:hAnsi="仿宋" w:cs="仿宋"/>
          <w:sz w:val="28"/>
          <w:szCs w:val="28"/>
        </w:rPr>
        <w:t>（</w:t>
      </w:r>
      <w:r>
        <w:rPr>
          <w:rFonts w:ascii="仿宋" w:eastAsia="仿宋" w:hAnsi="仿宋" w:cs="仿宋"/>
          <w:sz w:val="28"/>
          <w:szCs w:val="28"/>
        </w:rPr>
        <w:t>4）投标人提供书面承诺，承诺使用采购人指定账号通过“脱贫地区农副产品网络销售平台（832平台）”采购并向采购人提供脱贫地区农副产品。脱贫地区农副产品按平台实际销售价据实结算，不适用于以上费率。</w:t>
      </w:r>
    </w:p>
    <w:p>
      <w:pPr>
        <w:pStyle w:val="Heading2"/>
        <w:keepNext w:val="0"/>
        <w:spacing w:before="0" w:after="0" w:line="360" w:lineRule="auto"/>
        <w:rPr>
          <w:rFonts w:ascii="仿宋_GB2312" w:eastAsia="仿宋_GB2312" w:hAnsi="仿宋_GB2312" w:cs="仿宋_GB2312"/>
          <w:b/>
          <w:bCs/>
          <w:sz w:val="28"/>
          <w:szCs w:val="28"/>
        </w:rPr>
      </w:pPr>
      <w:bookmarkStart w:id="41" w:name="_Toc256000038"/>
      <w:r>
        <w:rPr>
          <w:rFonts w:ascii="仿宋_GB2312" w:eastAsia="仿宋_GB2312" w:hAnsi="仿宋_GB2312" w:cs="仿宋_GB2312"/>
          <w:i w:val="0"/>
          <w:iCs w:val="0"/>
        </w:rPr>
        <w:t>8.2必备要求</w:t>
      </w:r>
      <w:bookmarkEnd w:id="41"/>
    </w:p>
    <w:p>
      <w:pPr>
        <w:pStyle w:val="Heading3"/>
        <w:keepNext w:val="0"/>
        <w:spacing w:before="0" w:after="0" w:line="360" w:lineRule="auto"/>
        <w:rPr>
          <w:rFonts w:ascii="仿宋_GB2312" w:eastAsia="仿宋_GB2312" w:hAnsi="仿宋_GB2312" w:cs="仿宋_GB2312"/>
          <w:b/>
          <w:bCs/>
          <w:sz w:val="28"/>
          <w:szCs w:val="28"/>
        </w:rPr>
      </w:pPr>
      <w:bookmarkStart w:id="42" w:name="_Toc256000039"/>
      <w:r>
        <w:rPr>
          <w:rFonts w:ascii="仿宋_GB2312" w:eastAsia="仿宋_GB2312" w:hAnsi="仿宋_GB2312" w:cs="仿宋_GB2312"/>
          <w:sz w:val="28"/>
          <w:szCs w:val="28"/>
        </w:rPr>
        <w:t>8.2.1通用必备要求</w:t>
      </w:r>
      <w:bookmarkEnd w:id="42"/>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 xml:space="preserve">3.本项目中如涉及国家强制性产品认证证书（CCC 认证证书）、电信设备进网许可证、无线电发射设备核准证等市场准入类资质的，应严格执行国家相关法律法规的要求。 </w:t>
      </w:r>
    </w:p>
    <w:p>
      <w:pPr>
        <w:spacing w:before="0" w:after="0" w:line="360" w:lineRule="auto"/>
        <w:ind w:firstLine="561"/>
        <w:rPr>
          <w:rFonts w:ascii="仿宋_GB2312" w:eastAsia="仿宋_GB2312" w:hAnsi="仿宋_GB2312" w:cs="仿宋_GB2312"/>
          <w:sz w:val="28"/>
          <w:szCs w:val="28"/>
        </w:rPr>
      </w:pPr>
      <w:r>
        <w:rPr>
          <w:rFonts w:ascii="仿宋_GB2312" w:eastAsia="仿宋_GB2312" w:hAnsi="仿宋_GB2312" w:cs="仿宋_GB2312"/>
          <w:sz w:val="28"/>
          <w:szCs w:val="28"/>
        </w:rPr>
        <w:t>以上相关要求，由供应商在响应时应答，在履约验收中，采购人将按照采购文件、中标/成交供应商响应文件、采购合同等对中标/成交供应商提供的货物和服务进行验收，必要时依法依规开展相应检测、认证。</w:t>
      </w:r>
    </w:p>
    <w:p>
      <w:pPr>
        <w:pStyle w:val="Heading2"/>
        <w:keepNext w:val="0"/>
        <w:spacing w:before="0" w:after="0" w:line="360" w:lineRule="auto"/>
        <w:rPr>
          <w:rFonts w:ascii="仿宋_GB2312" w:eastAsia="仿宋_GB2312" w:hAnsi="仿宋_GB2312" w:cs="仿宋_GB2312"/>
          <w:b/>
          <w:bCs/>
          <w:sz w:val="28"/>
          <w:szCs w:val="28"/>
        </w:rPr>
      </w:pPr>
      <w:bookmarkStart w:id="43" w:name="_Toc256000040"/>
      <w:r>
        <w:rPr>
          <w:rFonts w:ascii="仿宋_GB2312" w:eastAsia="仿宋_GB2312" w:hAnsi="仿宋_GB2312" w:cs="仿宋_GB2312"/>
          <w:i w:val="0"/>
          <w:iCs w:val="0"/>
        </w:rPr>
        <w:t>8.3付款安排建议</w:t>
      </w:r>
      <w:bookmarkEnd w:id="43"/>
    </w:p>
    <w:tbl>
      <w:tblPr>
        <w:tblW w:w="5000" w:type="pct"/>
        <w:tblInd w:w="30" w:type="dxa"/>
        <w:tblCellMar>
          <w:top w:w="15" w:type="dxa"/>
          <w:left w:w="15" w:type="dxa"/>
          <w:bottom w:w="15" w:type="dxa"/>
          <w:right w:w="15" w:type="dxa"/>
        </w:tblCellMar>
      </w:tblPr>
      <w:tblGrid>
        <w:gridCol w:w="1124"/>
        <w:gridCol w:w="13514"/>
        <w:gridCol w:w="1235"/>
      </w:tblGrid>
      <w:tr>
        <w:tblPrEx>
          <w:tblW w:w="5000" w:type="pct"/>
          <w:tblInd w:w="30" w:type="dxa"/>
          <w:tblCellMar>
            <w:top w:w="15" w:type="dxa"/>
            <w:left w:w="15" w:type="dxa"/>
            <w:bottom w:w="15" w:type="dxa"/>
            <w:right w:w="15" w:type="dxa"/>
          </w:tblCellMar>
        </w:tblPrEx>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付款名称</w:t>
            </w:r>
          </w:p>
        </w:tc>
        <w:tc>
          <w:tcPr>
            <w:tcW w:w="3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付款要求</w:t>
            </w:r>
          </w:p>
        </w:tc>
        <w:tc>
          <w:tcPr>
            <w:tcW w:w="1000" w:type="pct"/>
            <w:tcBorders>
              <w:top w:val="single" w:sz="6" w:space="0" w:color="000000"/>
              <w:left w:val="single" w:sz="6" w:space="0" w:color="000000"/>
              <w:bottom w:val="single" w:sz="6" w:space="0" w:color="000000"/>
              <w:right w:val="single" w:sz="6" w:space="0" w:color="000000"/>
            </w:tcBorders>
            <w:shd w:val="clear" w:color="auto" w:fill="D3D3D3"/>
            <w:noWrap w:val="0"/>
            <w:tcMar>
              <w:top w:w="22" w:type="dxa"/>
              <w:left w:w="22" w:type="dxa"/>
              <w:bottom w:w="22" w:type="dxa"/>
              <w:right w:w="22" w:type="dxa"/>
            </w:tcMar>
            <w:vAlign w:val="center"/>
            <w:hideMark/>
          </w:tcPr>
          <w:p>
            <w:pPr>
              <w:jc w:val="center"/>
              <w:rPr>
                <w:rFonts w:ascii="仿宋_GB2312" w:eastAsia="仿宋_GB2312" w:hAnsi="仿宋_GB2312" w:cs="仿宋_GB2312"/>
                <w:b/>
                <w:bCs/>
                <w:i w:val="0"/>
                <w:iCs w:val="0"/>
                <w:smallCaps w:val="0"/>
                <w:color w:val="000000"/>
                <w:sz w:val="21"/>
                <w:szCs w:val="21"/>
              </w:rPr>
            </w:pPr>
            <w:r>
              <w:rPr>
                <w:rFonts w:ascii="仿宋_GB2312" w:eastAsia="仿宋_GB2312" w:hAnsi="仿宋_GB2312" w:cs="仿宋_GB2312"/>
                <w:b/>
                <w:bCs/>
                <w:i w:val="0"/>
                <w:iCs w:val="0"/>
                <w:smallCaps w:val="0"/>
                <w:color w:val="000000"/>
                <w:sz w:val="21"/>
                <w:szCs w:val="21"/>
              </w:rPr>
              <w:t>付款比例(%)</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第3次付款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第4次付款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第5次付款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第6次付款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第7次付款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第8次付款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第9次付款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第10次付款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第11次付款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8.33</w:t>
            </w:r>
          </w:p>
        </w:tc>
      </w:tr>
      <w:tr>
        <w:tblPrEx>
          <w:tblW w:w="5000" w:type="pct"/>
          <w:tblInd w:w="30" w:type="dxa"/>
          <w:tblCellMar>
            <w:top w:w="15" w:type="dxa"/>
            <w:left w:w="15" w:type="dxa"/>
            <w:bottom w:w="15" w:type="dxa"/>
            <w:right w:w="15" w:type="dxa"/>
          </w:tblCellMar>
        </w:tblPrEx>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第12次付款</w:t>
            </w:r>
          </w:p>
        </w:tc>
        <w:tc>
          <w:tcPr>
            <w:tcW w:w="22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每月结算时，成交供应商及时与采购人核对金额，对账无误后，及时开具发票，随发票附带当月送货明细单并且盖有发票专用章，否则不予结算。</w:t>
            </w:r>
          </w:p>
        </w:tc>
        <w:tc>
          <w:tcPr>
            <w:tcW w:w="795" w:type="dxa"/>
            <w:tcBorders>
              <w:top w:val="single" w:sz="6" w:space="0" w:color="000000"/>
              <w:left w:val="single" w:sz="6" w:space="0" w:color="000000"/>
              <w:bottom w:val="single" w:sz="6" w:space="0" w:color="000000"/>
              <w:right w:val="single" w:sz="6" w:space="0" w:color="000000"/>
            </w:tcBorders>
            <w:noWrap w:val="0"/>
            <w:tcMar>
              <w:top w:w="22" w:type="dxa"/>
              <w:left w:w="22" w:type="dxa"/>
              <w:bottom w:w="22" w:type="dxa"/>
              <w:right w:w="22" w:type="dxa"/>
            </w:tcMar>
            <w:vAlign w:val="center"/>
            <w:hideMark/>
          </w:tcPr>
          <w:p>
            <w:pPr>
              <w:jc w:val="left"/>
              <w:rPr>
                <w:rFonts w:ascii="仿宋_GB2312" w:eastAsia="仿宋_GB2312" w:hAnsi="仿宋_GB2312" w:cs="仿宋_GB2312"/>
                <w:b w:val="0"/>
                <w:bCs w:val="0"/>
                <w:i w:val="0"/>
                <w:iCs w:val="0"/>
                <w:smallCaps w:val="0"/>
                <w:color w:val="000000"/>
                <w:sz w:val="21"/>
                <w:szCs w:val="21"/>
              </w:rPr>
            </w:pPr>
            <w:r>
              <w:rPr>
                <w:rFonts w:ascii="仿宋_GB2312" w:eastAsia="仿宋_GB2312" w:hAnsi="仿宋_GB2312" w:cs="仿宋_GB2312"/>
                <w:b w:val="0"/>
                <w:bCs w:val="0"/>
                <w:i w:val="0"/>
                <w:iCs w:val="0"/>
                <w:smallCaps w:val="0"/>
                <w:color w:val="000000"/>
                <w:sz w:val="21"/>
                <w:szCs w:val="21"/>
              </w:rPr>
              <w:t>8.37</w:t>
            </w:r>
          </w:p>
        </w:tc>
      </w:tr>
    </w:tbl>
    <w:p>
      <w:pPr>
        <w:pStyle w:val="Heading2"/>
        <w:keepNext w:val="0"/>
        <w:spacing w:before="0" w:after="0" w:line="360" w:lineRule="auto"/>
        <w:rPr>
          <w:rFonts w:ascii="仿宋_GB2312" w:eastAsia="仿宋_GB2312" w:hAnsi="仿宋_GB2312" w:cs="仿宋_GB2312"/>
          <w:b/>
          <w:bCs/>
          <w:sz w:val="28"/>
          <w:szCs w:val="28"/>
        </w:rPr>
      </w:pPr>
      <w:bookmarkStart w:id="44" w:name="_Toc256000041"/>
      <w:r>
        <w:rPr>
          <w:rFonts w:ascii="仿宋_GB2312" w:eastAsia="仿宋_GB2312" w:hAnsi="仿宋_GB2312" w:cs="仿宋_GB2312"/>
          <w:i w:val="0"/>
          <w:iCs w:val="0"/>
        </w:rPr>
        <w:t>8.4其他要求</w:t>
      </w:r>
      <w:bookmarkEnd w:id="44"/>
    </w:p>
    <w:p>
      <w:pPr>
        <w:pStyle w:val="Heading3"/>
        <w:keepNext w:val="0"/>
        <w:spacing w:before="0" w:after="0" w:line="360" w:lineRule="auto"/>
        <w:rPr>
          <w:rFonts w:ascii="仿宋_GB2312" w:eastAsia="仿宋_GB2312" w:hAnsi="仿宋_GB2312" w:cs="仿宋_GB2312"/>
          <w:b/>
          <w:bCs/>
          <w:sz w:val="28"/>
          <w:szCs w:val="28"/>
        </w:rPr>
      </w:pPr>
      <w:bookmarkStart w:id="45" w:name="_Toc256000042"/>
      <w:r>
        <w:rPr>
          <w:rFonts w:ascii="仿宋_GB2312" w:eastAsia="仿宋_GB2312" w:hAnsi="仿宋_GB2312" w:cs="仿宋_GB2312"/>
          <w:sz w:val="28"/>
          <w:szCs w:val="28"/>
        </w:rPr>
        <w:t>8.4.1保密要求</w:t>
      </w:r>
      <w:bookmarkEnd w:id="45"/>
    </w:p>
    <w:p>
      <w:pPr>
        <w:pStyle w:val="15"/>
        <w:spacing w:before="0" w:after="0" w:line="360" w:lineRule="auto"/>
        <w:ind w:firstLine="480"/>
        <w:jc w:val="both"/>
        <w:textAlignment w:val="baseline"/>
        <w:rPr>
          <w:rFonts w:ascii="Times New Roman" w:eastAsia="Times New Roman" w:hAnsi="Times New Roman" w:cs="Times New Roman"/>
        </w:rPr>
      </w:pPr>
      <w:r>
        <w:rPr>
          <w:rFonts w:ascii="仿宋_GB2312" w:eastAsia="仿宋_GB2312" w:hAnsi="仿宋_GB2312" w:cs="仿宋_GB2312"/>
          <w:sz w:val="28"/>
          <w:szCs w:val="28"/>
        </w:rPr>
        <w:t>中标供应商应提供遵守国家税务总局天津市</w:t>
      </w:r>
      <w:r>
        <w:rPr>
          <w:rFonts w:ascii="仿宋_GB2312" w:eastAsia="仿宋_GB2312" w:hAnsi="仿宋_GB2312" w:cs="仿宋_GB2312"/>
          <w:sz w:val="28"/>
          <w:szCs w:val="28"/>
        </w:rPr>
        <w:t>河东区</w:t>
      </w:r>
      <w:r>
        <w:rPr>
          <w:rFonts w:ascii="仿宋_GB2312" w:eastAsia="仿宋_GB2312" w:hAnsi="仿宋_GB2312" w:cs="仿宋_GB2312"/>
          <w:sz w:val="28"/>
          <w:szCs w:val="28"/>
        </w:rPr>
        <w:t>税务局相关安全保密制度规定的承诺函，并签订保密协议。</w:t>
      </w:r>
      <w:r>
        <w:rPr>
          <w:rFonts w:ascii="仿宋_GB2312" w:eastAsia="仿宋_GB2312" w:hAnsi="仿宋_GB2312" w:cs="仿宋_GB2312"/>
          <w:sz w:val="28"/>
          <w:szCs w:val="28"/>
        </w:rPr>
        <w:t>保证在供应保障全过程中，不得冠以或提及被采购方单位名称，不准向外泄露采购方单位供应保障情况，对外不得谈及采购方任何情况，投标文件中提供包含上述全部内容的书面承诺（格式自拟）并加盖公章，否则取消投标资格。</w:t>
      </w:r>
      <w:r>
        <w:rPr>
          <w:rFonts w:ascii="仿宋_GB2312" w:eastAsia="仿宋_GB2312" w:hAnsi="仿宋_GB2312" w:cs="仿宋_GB2312"/>
          <w:sz w:val="28"/>
          <w:szCs w:val="28"/>
        </w:rPr>
        <w:t>若中标供应商服务人员违反信息安全保密制度相关规定，对</w:t>
      </w:r>
      <w:r>
        <w:rPr>
          <w:rFonts w:ascii="仿宋_GB2312" w:eastAsia="仿宋_GB2312" w:hAnsi="仿宋_GB2312" w:cs="仿宋_GB2312"/>
          <w:sz w:val="28"/>
          <w:szCs w:val="28"/>
        </w:rPr>
        <w:t>国家税务总局天津市河东区税务局</w:t>
      </w:r>
      <w:r>
        <w:rPr>
          <w:rFonts w:ascii="仿宋_GB2312" w:eastAsia="仿宋_GB2312" w:hAnsi="仿宋_GB2312" w:cs="仿宋_GB2312"/>
          <w:sz w:val="28"/>
          <w:szCs w:val="28"/>
        </w:rPr>
        <w:t>造成利益损害的，中标供应商应承担相关法律责任。</w:t>
      </w:r>
    </w:p>
    <w:p>
      <w:pPr>
        <w:pStyle w:val="Heading3"/>
        <w:keepNext w:val="0"/>
        <w:spacing w:before="0" w:after="0" w:line="360" w:lineRule="auto"/>
        <w:rPr>
          <w:rFonts w:ascii="仿宋_GB2312" w:eastAsia="仿宋_GB2312" w:hAnsi="仿宋_GB2312" w:cs="仿宋_GB2312"/>
          <w:b/>
          <w:bCs/>
          <w:sz w:val="28"/>
          <w:szCs w:val="28"/>
        </w:rPr>
      </w:pPr>
      <w:bookmarkStart w:id="46" w:name="_Toc256000043"/>
      <w:r>
        <w:rPr>
          <w:rFonts w:ascii="仿宋_GB2312" w:eastAsia="仿宋_GB2312" w:hAnsi="仿宋_GB2312" w:cs="仿宋_GB2312"/>
          <w:sz w:val="28"/>
          <w:szCs w:val="28"/>
        </w:rPr>
        <w:t>8.4.2知识产权要求</w:t>
      </w:r>
      <w:bookmarkEnd w:id="46"/>
    </w:p>
    <w:p>
      <w:pPr>
        <w:spacing w:before="0" w:after="0" w:line="360" w:lineRule="auto"/>
        <w:ind w:firstLine="560"/>
        <w:rPr>
          <w:rFonts w:ascii="FangSong_GB2312" w:eastAsia="FangSong_GB2312" w:hAnsi="FangSong_GB2312" w:cs="FangSong_GB2312"/>
          <w:sz w:val="28"/>
          <w:szCs w:val="28"/>
        </w:rPr>
      </w:pPr>
      <w:r>
        <w:rPr>
          <w:rFonts w:ascii="FangSong_GB2312" w:eastAsia="FangSong_GB2312" w:hAnsi="FangSong_GB2312" w:cs="FangSong_GB2312"/>
          <w:sz w:val="28"/>
          <w:szCs w:val="28"/>
        </w:rPr>
        <w:t>无</w:t>
      </w:r>
    </w:p>
    <w:p>
      <w:pPr>
        <w:spacing w:before="0" w:after="0" w:line="360" w:lineRule="auto"/>
        <w:ind w:firstLine="561"/>
        <w:rPr>
          <w:rFonts w:ascii="仿宋_GB2312" w:eastAsia="仿宋_GB2312" w:hAnsi="仿宋_GB2312" w:cs="仿宋_GB2312"/>
          <w:sz w:val="28"/>
          <w:szCs w:val="28"/>
        </w:rPr>
      </w:pPr>
    </w:p>
    <w:sectPr>
      <w:footerReference w:type="default" r:id="rI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spacing w:before="0" w:after="0" w:line="360" w:lineRule="auto"/>
      <w:jc w:val="center"/>
    </w:pPr>
    <w:r>
      <w:fldChar w:fldCharType="begin"/>
    </w:r>
    <w:r>
      <w:instrText xml:space="preserve"> PAGE </w:instrText>
    </w:r>
    <w:r>
      <w:fldChar w:fldCharType="separate"/>
    </w:r>
    <w:r>
      <w:t>19</w:t>
    </w:r>
    <w:r>
      <w:fldChar w:fldCharType="end"/>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F7B9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hAnsi="Arial" w:cs="Arial"/>
      <w:b/>
      <w:bCs/>
      <w:sz w:val="26"/>
      <w:szCs w:val="26"/>
    </w:rPr>
  </w:style>
  <w:style w:type="paragraph" w:styleId="Heading4">
    <w:name w:val="heading 4"/>
    <w:basedOn w:val="Normal"/>
    <w:next w:val="Normal"/>
    <w:qFormat/>
    <w:rsid w:val="00EF7B96"/>
    <w:pPr>
      <w:keepNext/>
      <w:spacing w:before="240" w:after="60"/>
      <w:outlineLvl w:val="3"/>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soNormal">
    <w:name w:val="MsoNormal"/>
    <w:basedOn w:val="Normal"/>
  </w:style>
  <w:style w:type="paragraph" w:customStyle="1" w:styleId="15">
    <w:name w:val="15"/>
    <w:basedOn w:val="Normal"/>
  </w:style>
  <w:style w:type="paragraph" w:customStyle="1" w:styleId="17">
    <w:name w:val="17"/>
    <w:basedOn w:val="Normal"/>
  </w:style>
  <w:style w:type="paragraph" w:customStyle="1" w:styleId="16">
    <w:name w:val="16"/>
    <w:basedOn w:val="Normal"/>
  </w:style>
  <w:style w:type="character" w:customStyle="1" w:styleId="15Character">
    <w:name w:val="15 Character"/>
    <w:basedOn w:val="DefaultParagraphFont"/>
  </w:style>
  <w:style w:type="paragraph" w:customStyle="1" w:styleId="18">
    <w:name w:val="18"/>
    <w:basedOn w:val="Normal"/>
  </w:style>
  <w:style w:type="paragraph" w:customStyle="1" w:styleId="19">
    <w:name w:val="19"/>
    <w:basedOn w:val="Normal"/>
  </w:style>
  <w:style w:type="paragraph" w:styleId="TOC1">
    <w:name w:val="toc 1"/>
    <w:basedOn w:val="Normal"/>
    <w:next w:val="Normal"/>
    <w:autoRedefine/>
    <w:rsid w:val="00805BCE"/>
  </w:style>
  <w:style w:type="character" w:styleId="Hyperlink">
    <w:name w:val="Hyperlink"/>
    <w:basedOn w:val="DefaultParagraphFont"/>
    <w:rsid w:val="00EF7B96"/>
    <w:rPr>
      <w:color w:val="0000FF"/>
      <w:u w:val="single"/>
    </w:rPr>
  </w:style>
  <w:style w:type="paragraph" w:styleId="TOC2">
    <w:name w:val="toc 2"/>
    <w:basedOn w:val="Normal"/>
    <w:next w:val="Normal"/>
    <w:autoRedefine/>
    <w:rsid w:val="00805BCE"/>
    <w:pPr>
      <w:ind w:left="240"/>
    </w:pPr>
  </w:style>
  <w:style w:type="paragraph" w:styleId="TOC3">
    <w:name w:val="toc 3"/>
    <w:basedOn w:val="Normal"/>
    <w:next w:val="Normal"/>
    <w:autoRedefine/>
    <w:rsid w:val="00805BCE"/>
    <w:pPr>
      <w:ind w:left="48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TotalTime>0</TotalTime>
  <Pages>19</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