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国家税务总局天津市税务局</w:t>
      </w:r>
    </w:p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阻止出境决定书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津税 阻 [2025] 369 号</w:t>
      </w:r>
    </w:p>
    <w:p>
      <w:pP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天津市蓟县印象农业旅游信息咨询有限公司：（纳税人识别号：911202250759089534）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鉴于你（单位）未按规定结清应纳税款、滞纳金，又不提供纳税担保，根据《中华人民共和国税收征收管理法》第四十四条规定：“欠缴税款的纳税人或者他的法定代表人需要出境的，应当在出境前向税务机关结清应纳税款、滞纳金或者提供担保。未结清税款、滞纳金，又不提供担保的，税务机关可以通知出境管理机关阻止其出境”，决定并通知出入境管理机关于2025年6月25日起阻止你（单位）朱文生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出境。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如对本决定不服，可自收到本决定之日起六十日内依法向国家税务总局申请行政复议，或者自收到本决定之日起六个月内依法向人民法院起诉。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jc w:val="right"/>
        <w:rPr>
          <w:rFonts w:hint="default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二0二五年六月十九日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27EDF"/>
    <w:rsid w:val="09630DB5"/>
    <w:rsid w:val="12427EDF"/>
    <w:rsid w:val="40514FAA"/>
    <w:rsid w:val="4A562F0D"/>
    <w:rsid w:val="5566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2025-03-24T07:09:00Z</dcterms:created>
  <dc:creator>李奥</dc:creator>
  <cp:lastModifiedBy>孟祥林</cp:lastModifiedBy>
  <cp:lastPrinted>2025-07-01T07:06:15Z</cp:lastPrinted>
  <dcterms:modified xsi:type="dcterms:W3CDTF">2025-07-01T07:49:32Z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