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bidi w:val="0"/>
        <w:adjustRightInd w:val="0"/>
        <w:snapToGrid w:val="0"/>
        <w:jc w:val="left"/>
        <w:textAlignment w:val="bottom"/>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rPr>
      </w:pPr>
      <w:r>
        <w:rPr>
          <w:rFonts w:hint="eastAsia" w:ascii="方正小标宋简体" w:hAnsi="方正小标宋简体" w:eastAsia="方正小标宋简体" w:cs="方正小标宋简体"/>
          <w:b w:val="0"/>
          <w:bCs/>
          <w:spacing w:val="0"/>
          <w:w w:val="100"/>
          <w:position w:val="0"/>
          <w:sz w:val="36"/>
          <w:szCs w:val="36"/>
        </w:rPr>
        <w:t>国家税务总局天津市税务局</w:t>
      </w:r>
      <w:r>
        <w:rPr>
          <w:rFonts w:hint="eastAsia" w:ascii="方正小标宋简体" w:hAnsi="方正小标宋简体" w:eastAsia="方正小标宋简体" w:cs="方正小标宋简体"/>
          <w:b w:val="0"/>
          <w:bCs/>
          <w:spacing w:val="0"/>
          <w:w w:val="100"/>
          <w:position w:val="0"/>
          <w:sz w:val="36"/>
          <w:szCs w:val="36"/>
          <w:lang w:val="en-US" w:eastAsia="zh-CN"/>
        </w:rPr>
        <w:t>2025年家具维修服务</w:t>
      </w:r>
      <w:r>
        <w:rPr>
          <w:rFonts w:hint="eastAsia" w:ascii="方正小标宋简体" w:hAnsi="方正小标宋简体" w:eastAsia="方正小标宋简体" w:cs="方正小标宋简体"/>
          <w:b w:val="0"/>
          <w:bCs/>
          <w:spacing w:val="0"/>
          <w:w w:val="100"/>
          <w:position w:val="0"/>
          <w:sz w:val="36"/>
          <w:szCs w:val="36"/>
        </w:rPr>
        <w:t>项目采购文件</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rPr>
        <w:t>一、项目概况及采购范围</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highlight w:val="none"/>
        </w:rPr>
      </w:pPr>
      <w:r>
        <w:rPr>
          <w:rFonts w:hint="eastAsia" w:ascii="仿宋_GB2312" w:hAnsi="仿宋_GB2312" w:eastAsia="仿宋_GB2312" w:cs="仿宋_GB2312"/>
          <w:b w:val="0"/>
          <w:spacing w:val="0"/>
          <w:w w:val="100"/>
          <w:position w:val="0"/>
          <w:sz w:val="30"/>
          <w:szCs w:val="30"/>
          <w:highlight w:val="none"/>
        </w:rPr>
        <w:t>负责</w:t>
      </w:r>
      <w:r>
        <w:rPr>
          <w:rFonts w:hint="eastAsia" w:ascii="仿宋_GB2312" w:hAnsi="仿宋_GB2312" w:eastAsia="仿宋_GB2312" w:cs="仿宋_GB2312"/>
          <w:b w:val="0"/>
          <w:bCs/>
          <w:spacing w:val="0"/>
          <w:w w:val="100"/>
          <w:position w:val="0"/>
          <w:sz w:val="30"/>
          <w:szCs w:val="30"/>
          <w:highlight w:val="none"/>
        </w:rPr>
        <w:t>国家税务总局天津市税务局</w:t>
      </w:r>
      <w:r>
        <w:rPr>
          <w:rFonts w:hint="eastAsia" w:ascii="仿宋_GB2312" w:hAnsi="仿宋_GB2312" w:eastAsia="仿宋_GB2312" w:cs="仿宋_GB2312"/>
          <w:b w:val="0"/>
          <w:bCs/>
          <w:spacing w:val="0"/>
          <w:w w:val="100"/>
          <w:position w:val="0"/>
          <w:sz w:val="30"/>
          <w:szCs w:val="30"/>
          <w:highlight w:val="none"/>
          <w:lang w:eastAsia="zh-CN"/>
        </w:rPr>
        <w:t>家具维修，</w:t>
      </w:r>
      <w:r>
        <w:rPr>
          <w:rFonts w:hint="eastAsia" w:ascii="仿宋_GB2312" w:hAnsi="仿宋_GB2312" w:eastAsia="仿宋_GB2312" w:cs="仿宋_GB2312"/>
          <w:b w:val="0"/>
          <w:spacing w:val="0"/>
          <w:w w:val="100"/>
          <w:position w:val="0"/>
          <w:sz w:val="30"/>
          <w:szCs w:val="30"/>
          <w:highlight w:val="none"/>
        </w:rPr>
        <w:t>详细服务项目见</w:t>
      </w:r>
      <w:bookmarkStart w:id="7" w:name="_GoBack"/>
      <w:bookmarkEnd w:id="7"/>
      <w:r>
        <w:rPr>
          <w:rFonts w:hint="eastAsia" w:ascii="仿宋_GB2312" w:hAnsi="仿宋_GB2312" w:eastAsia="仿宋_GB2312" w:cs="仿宋_GB2312"/>
          <w:b w:val="0"/>
          <w:spacing w:val="0"/>
          <w:w w:val="100"/>
          <w:position w:val="0"/>
          <w:sz w:val="30"/>
          <w:szCs w:val="30"/>
          <w:highlight w:val="none"/>
          <w:lang w:eastAsia="zh-CN"/>
        </w:rPr>
        <w:t>《</w:t>
      </w:r>
      <w:r>
        <w:rPr>
          <w:rFonts w:hint="eastAsia" w:ascii="仿宋_GB2312" w:hAnsi="仿宋_GB2312" w:eastAsia="仿宋_GB2312" w:cs="仿宋_GB2312"/>
          <w:b w:val="0"/>
          <w:spacing w:val="0"/>
          <w:w w:val="100"/>
          <w:position w:val="0"/>
          <w:sz w:val="30"/>
          <w:szCs w:val="30"/>
          <w:highlight w:val="none"/>
        </w:rPr>
        <w:t>服务项目清单</w:t>
      </w:r>
      <w:r>
        <w:rPr>
          <w:rFonts w:hint="eastAsia" w:ascii="仿宋_GB2312" w:hAnsi="仿宋_GB2312" w:eastAsia="仿宋_GB2312" w:cs="仿宋_GB2312"/>
          <w:b w:val="0"/>
          <w:spacing w:val="0"/>
          <w:w w:val="100"/>
          <w:position w:val="0"/>
          <w:sz w:val="30"/>
          <w:szCs w:val="30"/>
          <w:highlight w:val="none"/>
          <w:lang w:eastAsia="zh-CN"/>
        </w:rPr>
        <w:t>》</w:t>
      </w:r>
      <w:r>
        <w:rPr>
          <w:rFonts w:hint="eastAsia" w:ascii="仿宋_GB2312" w:hAnsi="仿宋_GB2312" w:eastAsia="仿宋_GB2312" w:cs="仿宋_GB2312"/>
          <w:b w:val="0"/>
          <w:spacing w:val="0"/>
          <w:w w:val="100"/>
          <w:position w:val="0"/>
          <w:sz w:val="30"/>
          <w:szCs w:val="30"/>
          <w:highlight w:val="none"/>
        </w:rPr>
        <w:t>。</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预算金额：</w:t>
      </w:r>
      <w:r>
        <w:rPr>
          <w:rFonts w:hint="eastAsia" w:ascii="仿宋_GB2312" w:hAnsi="仿宋_GB2312" w:eastAsia="仿宋_GB2312" w:cs="仿宋_GB2312"/>
          <w:b w:val="0"/>
          <w:spacing w:val="0"/>
          <w:w w:val="100"/>
          <w:position w:val="0"/>
          <w:sz w:val="30"/>
          <w:szCs w:val="30"/>
          <w:lang w:val="en-US" w:eastAsia="zh-CN"/>
        </w:rPr>
        <w:t>6万</w:t>
      </w:r>
      <w:r>
        <w:rPr>
          <w:rFonts w:hint="eastAsia" w:ascii="仿宋_GB2312" w:hAnsi="仿宋_GB2312" w:eastAsia="仿宋_GB2312" w:cs="仿宋_GB2312"/>
          <w:b w:val="0"/>
          <w:spacing w:val="0"/>
          <w:w w:val="100"/>
          <w:position w:val="0"/>
          <w:sz w:val="30"/>
          <w:szCs w:val="30"/>
        </w:rPr>
        <w:t>元</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rPr>
      </w:pPr>
      <w:r>
        <w:rPr>
          <w:rFonts w:hint="eastAsia" w:ascii="仿宋_GB2312" w:hAnsi="仿宋_GB2312" w:eastAsia="仿宋_GB2312" w:cs="仿宋_GB2312"/>
          <w:b w:val="0"/>
          <w:spacing w:val="0"/>
          <w:w w:val="100"/>
          <w:position w:val="0"/>
          <w:sz w:val="30"/>
          <w:szCs w:val="30"/>
          <w:lang w:val="en-US" w:eastAsia="zh-CN"/>
        </w:rPr>
        <w:t>合同履行期限：自合同签订之日起至12个月</w:t>
      </w:r>
    </w:p>
    <w:p>
      <w:pPr>
        <w:keepNext w:val="0"/>
        <w:keepLines w:val="0"/>
        <w:pageBreakBefore w:val="0"/>
        <w:numPr>
          <w:ilvl w:val="0"/>
          <w:numId w:val="2"/>
        </w:numPr>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资格要求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1</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营业执照副本或事业单位法人证书或民办非企业单位登记证书或社会团体法人登记证书或基金会法人登记证书扫描件或自然人的身份证明扫描件；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val="en-US" w:eastAsia="zh-CN"/>
        </w:rPr>
        <w:t>2</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财务状况报告等相关材料：</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A.经第三方会计师事务所审计的2023年度或2024年度财务报告扫描件。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B.具有良好的商业信誉和健全的财务会计制度的书面声明。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注：A、B两项提供任意一项均可。</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3</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依法缴纳税收和社会保障资金的书面声明；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4</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投标截止日前3年在经营活动中没有重大违法记录的书面声明（截至开标日成立不足3年的供应商可提供自成立以来无重大违法记录的书面声明）；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lang w:eastAsia="zh-CN"/>
        </w:rPr>
      </w:pPr>
      <w:r>
        <w:rPr>
          <w:rFonts w:hint="eastAsia" w:ascii="仿宋_GB2312" w:hAnsi="仿宋_GB2312" w:eastAsia="仿宋_GB2312" w:cs="仿宋_GB2312"/>
          <w:b w:val="0"/>
          <w:spacing w:val="0"/>
          <w:w w:val="100"/>
          <w:position w:val="0"/>
          <w:sz w:val="30"/>
          <w:szCs w:val="30"/>
          <w:lang w:val="en-US" w:eastAsia="zh-CN"/>
        </w:rPr>
        <w:t>5</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val="en-US" w:eastAsia="zh-CN"/>
        </w:rPr>
        <w:t>服务商家具维修包括但不限于木质家具维修、皮质家具维修、玻璃家具维修等。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三、</w:t>
      </w:r>
      <w:r>
        <w:rPr>
          <w:rFonts w:hint="eastAsia" w:ascii="黑体" w:hAnsi="黑体" w:eastAsia="黑体" w:cs="黑体"/>
          <w:b w:val="0"/>
          <w:bCs/>
          <w:spacing w:val="0"/>
          <w:w w:val="100"/>
          <w:position w:val="0"/>
          <w:sz w:val="30"/>
          <w:szCs w:val="30"/>
        </w:rPr>
        <w:t>报价要求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highlight w:val="none"/>
          <w:lang w:eastAsia="zh-CN"/>
        </w:rPr>
      </w:pPr>
      <w:r>
        <w:rPr>
          <w:rFonts w:hint="eastAsia" w:ascii="仿宋_GB2312" w:hAnsi="仿宋_GB2312" w:eastAsia="仿宋_GB2312" w:cs="仿宋_GB2312"/>
          <w:b w:val="0"/>
          <w:color w:val="auto"/>
          <w:spacing w:val="0"/>
          <w:w w:val="100"/>
          <w:position w:val="0"/>
          <w:sz w:val="30"/>
          <w:szCs w:val="30"/>
        </w:rPr>
        <w:t>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highlight w:val="none"/>
        </w:rPr>
        <w:t>服务项目清单所给出的工程量是依据</w:t>
      </w:r>
      <w:r>
        <w:rPr>
          <w:rFonts w:hint="eastAsia" w:ascii="仿宋_GB2312" w:hAnsi="仿宋_GB2312" w:eastAsia="仿宋_GB2312" w:cs="仿宋_GB2312"/>
          <w:b w:val="0"/>
          <w:color w:val="auto"/>
          <w:spacing w:val="0"/>
          <w:w w:val="100"/>
          <w:position w:val="0"/>
          <w:sz w:val="30"/>
          <w:szCs w:val="30"/>
          <w:highlight w:val="none"/>
          <w:lang w:eastAsia="zh-CN"/>
        </w:rPr>
        <w:t>天津市税务局</w:t>
      </w:r>
      <w:r>
        <w:rPr>
          <w:rFonts w:hint="eastAsia" w:ascii="仿宋_GB2312" w:hAnsi="仿宋_GB2312" w:eastAsia="仿宋_GB2312" w:cs="仿宋_GB2312"/>
          <w:b w:val="0"/>
          <w:color w:val="auto"/>
          <w:spacing w:val="0"/>
          <w:w w:val="100"/>
          <w:position w:val="0"/>
          <w:sz w:val="30"/>
          <w:szCs w:val="30"/>
          <w:highlight w:val="none"/>
        </w:rPr>
        <w:t>零修量估算，供应商按此工程量结合企业自身技术管理水平，给出合理报价</w:t>
      </w:r>
      <w:r>
        <w:rPr>
          <w:rFonts w:hint="eastAsia" w:ascii="仿宋_GB2312" w:hAnsi="仿宋_GB2312" w:eastAsia="仿宋_GB2312" w:cs="仿宋_GB2312"/>
          <w:b w:val="0"/>
          <w:color w:val="auto"/>
          <w:spacing w:val="0"/>
          <w:w w:val="100"/>
          <w:position w:val="0"/>
          <w:sz w:val="30"/>
          <w:szCs w:val="30"/>
          <w:highlight w:val="none"/>
          <w:lang w:eastAsia="zh-CN"/>
        </w:rPr>
        <w:t>。</w:t>
      </w:r>
      <w:r>
        <w:rPr>
          <w:rFonts w:hint="eastAsia" w:ascii="仿宋_GB2312" w:hAnsi="仿宋_GB2312" w:eastAsia="仿宋_GB2312" w:cs="仿宋_GB2312"/>
          <w:b w:val="0"/>
          <w:color w:val="auto"/>
          <w:spacing w:val="0"/>
          <w:w w:val="100"/>
          <w:position w:val="0"/>
          <w:sz w:val="30"/>
          <w:szCs w:val="30"/>
        </w:rPr>
        <w:t>服务项目清单</w:t>
      </w:r>
      <w:r>
        <w:rPr>
          <w:rFonts w:hint="eastAsia" w:ascii="仿宋_GB2312" w:hAnsi="仿宋_GB2312" w:eastAsia="仿宋_GB2312" w:cs="仿宋_GB2312"/>
          <w:b w:val="0"/>
          <w:color w:val="auto"/>
          <w:spacing w:val="0"/>
          <w:w w:val="100"/>
          <w:position w:val="0"/>
          <w:sz w:val="30"/>
          <w:szCs w:val="30"/>
          <w:lang w:eastAsia="zh-CN"/>
        </w:rPr>
        <w:t>外的项目，由双方协商或由第三方评审机构评审报价。</w:t>
      </w:r>
      <w:r>
        <w:rPr>
          <w:rFonts w:hint="eastAsia" w:ascii="仿宋_GB2312" w:hAnsi="仿宋_GB2312" w:eastAsia="仿宋_GB2312" w:cs="仿宋_GB2312"/>
          <w:b w:val="0"/>
          <w:color w:val="auto"/>
          <w:spacing w:val="0"/>
          <w:w w:val="100"/>
          <w:position w:val="0"/>
          <w:sz w:val="30"/>
          <w:szCs w:val="30"/>
          <w:highlight w:val="none"/>
          <w:lang w:eastAsia="zh-CN"/>
        </w:rPr>
        <w:t>所有项目</w:t>
      </w:r>
      <w:r>
        <w:rPr>
          <w:rFonts w:hint="eastAsia" w:ascii="仿宋_GB2312" w:hAnsi="仿宋_GB2312" w:eastAsia="仿宋_GB2312" w:cs="仿宋_GB2312"/>
          <w:b w:val="0"/>
          <w:color w:val="auto"/>
          <w:spacing w:val="0"/>
          <w:w w:val="100"/>
          <w:position w:val="0"/>
          <w:sz w:val="30"/>
          <w:szCs w:val="30"/>
          <w:highlight w:val="none"/>
        </w:rPr>
        <w:t>结算以实际发生工程量为准。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报价中需包含人工费、材料费、设备设施费、措施费、清场费用、管理费等各种完 成维修项目的全部费用，供应商要全面考虑所有满足合同文件要求的责任、义务及风险的费用，包括合同期内税收、市场价格波动、政策性工资调整（例如，</w:t>
      </w:r>
      <w:r>
        <w:rPr>
          <w:rFonts w:hint="eastAsia" w:ascii="仿宋_GB2312" w:hAnsi="仿宋_GB2312" w:eastAsia="仿宋_GB2312" w:cs="仿宋_GB2312"/>
          <w:b w:val="0"/>
          <w:spacing w:val="0"/>
          <w:w w:val="100"/>
          <w:position w:val="0"/>
          <w:sz w:val="30"/>
          <w:szCs w:val="30"/>
          <w:lang w:eastAsia="zh-CN"/>
        </w:rPr>
        <w:t>天津</w:t>
      </w:r>
      <w:r>
        <w:rPr>
          <w:rFonts w:hint="eastAsia" w:ascii="仿宋_GB2312" w:hAnsi="仿宋_GB2312" w:eastAsia="仿宋_GB2312" w:cs="仿宋_GB2312"/>
          <w:b w:val="0"/>
          <w:spacing w:val="0"/>
          <w:w w:val="100"/>
          <w:position w:val="0"/>
          <w:sz w:val="30"/>
          <w:szCs w:val="30"/>
        </w:rPr>
        <w:t>市最低工资标准的调整，保险政策的调整）等变化的影响，要考虑与该项目有关的所有费用以及材料价格上涨等风险。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报价要求是在保证设备材料各项技术指标的前提下，产品定位为中上等档次的前提下的市场报价，任何有意压低设备、材料的单价而达到降低总价的情况将不被接受，并影响其的成交能性。</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当采购人增加维修服务项目内容时，原报价中有相同项目或类似项目时，执行原报价时的费用价格；报价文件中不含的项目，供应商需与采购人协商确认价格后进行施工。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rPr>
        <w:t>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若供应商在最终报价时进行优惠，则实际结算时也按最终报价对应优惠率结算</w:t>
      </w:r>
      <w:r>
        <w:rPr>
          <w:rFonts w:hint="eastAsia" w:ascii="仿宋_GB2312" w:hAnsi="仿宋_GB2312" w:eastAsia="仿宋_GB2312" w:cs="仿宋_GB2312"/>
          <w:b w:val="0"/>
          <w:spacing w:val="0"/>
          <w:w w:val="100"/>
          <w:position w:val="0"/>
          <w:sz w:val="30"/>
          <w:szCs w:val="30"/>
          <w:lang w:eastAsia="zh-CN"/>
        </w:rPr>
        <w:t>。</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spacing w:val="0"/>
          <w:w w:val="100"/>
          <w:position w:val="0"/>
          <w:sz w:val="30"/>
          <w:szCs w:val="30"/>
          <w:lang w:val="en-US" w:eastAsia="zh-CN"/>
        </w:rPr>
        <w:t>6</w:t>
      </w:r>
      <w:r>
        <w:rPr>
          <w:rFonts w:hint="default" w:ascii="仿宋_GB2312" w:hAnsi="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lang w:eastAsia="zh-CN"/>
        </w:rPr>
        <w:t>采购不提供食宿，</w:t>
      </w:r>
      <w:r>
        <w:rPr>
          <w:rFonts w:hint="eastAsia" w:ascii="仿宋_GB2312" w:hAnsi="仿宋_GB2312" w:eastAsia="仿宋_GB2312" w:cs="仿宋_GB2312"/>
          <w:b w:val="0"/>
          <w:spacing w:val="0"/>
          <w:w w:val="100"/>
          <w:position w:val="0"/>
          <w:sz w:val="30"/>
          <w:szCs w:val="30"/>
        </w:rPr>
        <w:t>所有费用由供应商自行承担。</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四</w:t>
      </w:r>
      <w:r>
        <w:rPr>
          <w:rFonts w:hint="eastAsia" w:ascii="黑体" w:hAnsi="黑体" w:eastAsia="黑体" w:cs="黑体"/>
          <w:b w:val="0"/>
          <w:bCs/>
          <w:spacing w:val="0"/>
          <w:w w:val="100"/>
          <w:position w:val="0"/>
          <w:sz w:val="30"/>
          <w:szCs w:val="30"/>
        </w:rPr>
        <w:t>、服务质量标准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供应商应根据采购人的要求，包工包料，提供优质的服务。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供应商提供的服务材料的品牌、规格、外型、尺寸、颜色应与实际需求一致，如有不符，采购人有权拒绝，如造成损失则由供应商负责。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供应商严格遵守国家（地方）、法规、规范、行业标准等，服从学校及相关部门的管理，严格遵守学校的各项规章制度。</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供应商应根据采购人的要求，做到服务及时、服务质量合格。</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供应商接到采购人急修电话后 15 分钟内赶到现场。</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6</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供应商在服务过程中造成隐蔽或牵连工程破坏的由供应商负责恢复至原始状态。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7</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供应商定期给人员实行技能培训和思想教育，更好地提高服务人员的综合素质。</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8</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供应商指定专职人员为现场负责人，协调负责合同履行，对服务质量、进度考核，办理考核手续及其他事宜。</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9</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服从采购人的管理和监督，每天专人领取工单，完成派单。紧急工单优先派单，服务工单当日接单上门，一般简单工单24小时内开始维修服务，2日内完成。根据工单具体情况完成服务内容。工艺复杂工单应在5日内完成。需要材料订购加工等特殊因素除外。工单完成后当日及时进行消单。</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10</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根据服务楼宇总体情况，供应商应满足一线工单服务人员5人以上的配置，根据工单情况经采购人同意可以调整，满足服务需求。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11</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供应商应建立完善的安全、质量保证体系，并设立安全及质检人员，负责服务过程中的管理和检查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对已完成的服务工单由</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管理员及时确认签字，供应商进楼服务应配合</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管理员的管理，</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管理员有权对服务质量进行监督。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为防止服务过程发生的各种不可预见的损失，供应商应该对服务人员及所使用的设备和服务现场提供并采取必要的保护性措施。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供应商应按国家规定为其所属的服务人员缴纳各项保险。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对于服务过程中发生的各种伤害事故，造成供应商人员伤亡的由供应商自行负责。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16</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供应商服务人员应身体健康、品德良好、语言文明和气、统一着装，佩戴胸卡。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17</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服务中产生的垃圾及时清运，现场保持清洁。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18</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当供应商无法满足采购人维修服务需求时，采购人有权将部分维修服务项目委托其它单位实施。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sectPr>
          <w:footerReference r:id="rId5" w:type="default"/>
          <w:pgSz w:w="11907" w:h="16839"/>
          <w:pgMar w:top="1431" w:right="1785" w:bottom="1141" w:left="1785" w:header="0" w:footer="953" w:gutter="0"/>
          <w:pgBorders>
            <w:top w:val="none" w:sz="0" w:space="0"/>
            <w:left w:val="none" w:sz="0" w:space="0"/>
            <w:bottom w:val="none" w:sz="0" w:space="0"/>
            <w:right w:val="none" w:sz="0" w:space="0"/>
          </w:pgBorders>
          <w:pgNumType w:fmt="decimal" w:start="1"/>
          <w:cols w:space="720" w:num="1"/>
        </w:sectPr>
      </w:pPr>
      <w:r>
        <w:rPr>
          <w:rFonts w:hint="eastAsia" w:ascii="仿宋_GB2312" w:hAnsi="仿宋_GB2312" w:eastAsia="仿宋_GB2312" w:cs="仿宋_GB2312"/>
          <w:b w:val="0"/>
          <w:spacing w:val="0"/>
          <w:w w:val="100"/>
          <w:position w:val="0"/>
          <w:sz w:val="30"/>
          <w:szCs w:val="30"/>
        </w:rPr>
        <w:t>19</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所有涉及维修的项目，保修期不少于1年。</w:t>
      </w:r>
      <w:r>
        <w:rPr>
          <w:rFonts w:hint="eastAsia" w:ascii="仿宋_GB2312" w:hAnsi="仿宋_GB2312" w:eastAsia="仿宋_GB2312" w:cs="仿宋_GB2312"/>
          <w:b w:val="0"/>
          <w:spacing w:val="0"/>
          <w:w w:val="100"/>
          <w:position w:val="0"/>
          <w:sz w:val="30"/>
          <w:szCs w:val="30"/>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五</w:t>
      </w:r>
      <w:r>
        <w:rPr>
          <w:rFonts w:hint="eastAsia" w:ascii="黑体" w:hAnsi="黑体" w:eastAsia="黑体" w:cs="黑体"/>
          <w:b w:val="0"/>
          <w:bCs/>
          <w:spacing w:val="0"/>
          <w:w w:val="100"/>
          <w:position w:val="0"/>
          <w:sz w:val="30"/>
          <w:szCs w:val="30"/>
        </w:rPr>
        <w:t>、考核要求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每季度对供应商服务过程进行考核1次，包括安全、服务质量、结算等环节，当出安全事故造成重大财产损失或人身伤害、工单严重积压、出现投诉3次经查属供应商服务问题，出现以上情况之一即为考核为不合格。两次考核不合格采购人有权终止服务合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六、</w:t>
      </w:r>
      <w:r>
        <w:rPr>
          <w:rFonts w:hint="eastAsia" w:ascii="黑体" w:hAnsi="黑体" w:eastAsia="黑体" w:cs="黑体"/>
          <w:b w:val="0"/>
          <w:bCs/>
          <w:spacing w:val="0"/>
          <w:w w:val="100"/>
          <w:position w:val="0"/>
          <w:sz w:val="30"/>
          <w:szCs w:val="30"/>
        </w:rPr>
        <w:t>评审</w:t>
      </w:r>
      <w:r>
        <w:rPr>
          <w:rFonts w:hint="eastAsia" w:ascii="黑体" w:hAnsi="黑体" w:eastAsia="黑体" w:cs="黑体"/>
          <w:b w:val="0"/>
          <w:bCs/>
          <w:spacing w:val="0"/>
          <w:w w:val="100"/>
          <w:position w:val="0"/>
          <w:sz w:val="30"/>
          <w:szCs w:val="30"/>
          <w:lang w:eastAsia="zh-CN"/>
        </w:rPr>
        <w:t>方法</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rPr>
        <w:t>评审概述</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采购人将组建</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小组将按照</w:t>
      </w:r>
      <w:r>
        <w:rPr>
          <w:rFonts w:hint="eastAsia" w:ascii="仿宋_GB2312" w:hAnsi="仿宋_GB2312" w:eastAsia="仿宋_GB2312" w:cs="仿宋_GB2312"/>
          <w:sz w:val="30"/>
          <w:szCs w:val="30"/>
          <w:lang w:eastAsia="zh-CN"/>
        </w:rPr>
        <w:t>采购文件要求对供应商应答</w:t>
      </w:r>
      <w:r>
        <w:rPr>
          <w:rFonts w:hint="eastAsia" w:ascii="仿宋_GB2312" w:hAnsi="仿宋_GB2312" w:eastAsia="仿宋_GB2312" w:cs="仿宋_GB2312"/>
          <w:sz w:val="30"/>
          <w:szCs w:val="30"/>
        </w:rPr>
        <w:t>文件进行评审。</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kern w:val="2"/>
          <w:sz w:val="30"/>
          <w:szCs w:val="30"/>
          <w:lang w:eastAsia="zh-CN"/>
        </w:rPr>
        <w:t>应答</w:t>
      </w:r>
      <w:r>
        <w:rPr>
          <w:rFonts w:hint="eastAsia" w:ascii="仿宋_GB2312" w:hAnsi="仿宋_GB2312" w:eastAsia="仿宋_GB2312" w:cs="仿宋_GB2312"/>
          <w:kern w:val="2"/>
          <w:sz w:val="30"/>
          <w:szCs w:val="30"/>
        </w:rPr>
        <w:t>文件的有效性、完整性和响应程度审查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Cs/>
          <w:sz w:val="30"/>
          <w:szCs w:val="30"/>
          <w:lang w:eastAsia="zh-CN"/>
        </w:rPr>
      </w:pPr>
      <w:r>
        <w:rPr>
          <w:rFonts w:hint="eastAsia" w:ascii="仿宋_GB2312" w:hAnsi="仿宋_GB2312" w:eastAsia="仿宋_GB2312" w:cs="仿宋_GB2312"/>
          <w:bCs/>
          <w:sz w:val="30"/>
          <w:szCs w:val="30"/>
          <w:lang w:eastAsia="zh-CN"/>
        </w:rPr>
        <w:t>评审</w:t>
      </w:r>
      <w:r>
        <w:rPr>
          <w:rFonts w:hint="eastAsia" w:ascii="仿宋_GB2312" w:hAnsi="仿宋_GB2312" w:eastAsia="仿宋_GB2312" w:cs="仿宋_GB2312"/>
          <w:bCs/>
          <w:sz w:val="30"/>
          <w:szCs w:val="30"/>
        </w:rPr>
        <w:t>小组将审查应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文件是否实质上响应了</w:t>
      </w:r>
      <w:r>
        <w:rPr>
          <w:rFonts w:hint="eastAsia" w:ascii="仿宋_GB2312" w:hAnsi="仿宋_GB2312" w:eastAsia="仿宋_GB2312" w:cs="仿宋_GB2312"/>
          <w:bCs/>
          <w:sz w:val="30"/>
          <w:szCs w:val="30"/>
          <w:lang w:eastAsia="zh-CN"/>
        </w:rPr>
        <w:t>采购</w:t>
      </w:r>
      <w:r>
        <w:rPr>
          <w:rFonts w:hint="eastAsia" w:ascii="仿宋_GB2312" w:hAnsi="仿宋_GB2312" w:eastAsia="仿宋_GB2312" w:cs="仿宋_GB2312"/>
          <w:bCs/>
          <w:sz w:val="30"/>
          <w:szCs w:val="30"/>
        </w:rPr>
        <w:t>文件的要求，如果有效性、完整性和响应程度任何一项不合格，按无效应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文件处理</w:t>
      </w:r>
      <w:r>
        <w:rPr>
          <w:rFonts w:hint="eastAsia" w:ascii="仿宋_GB2312" w:hAnsi="仿宋_GB2312" w:eastAsia="仿宋_GB2312" w:cs="仿宋_GB2312"/>
          <w:bCs/>
          <w:sz w:val="30"/>
          <w:szCs w:val="30"/>
          <w:lang w:eastAsia="zh-CN"/>
        </w:rPr>
        <w:t>。</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highlight w:val="yellow"/>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sz w:val="30"/>
          <w:szCs w:val="30"/>
        </w:rPr>
        <w:t>确定成交供应商</w:t>
      </w:r>
    </w:p>
    <w:p>
      <w:pPr>
        <w:pageBreakBefore w:val="0"/>
        <w:widowControl/>
        <w:numPr>
          <w:ilvl w:val="0"/>
          <w:numId w:val="0"/>
        </w:numPr>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highlight w:val="none"/>
          <w:lang w:eastAsia="zh-CN"/>
        </w:rPr>
        <w:t>评审</w:t>
      </w:r>
      <w:r>
        <w:rPr>
          <w:rFonts w:hint="eastAsia" w:ascii="仿宋_GB2312" w:hAnsi="仿宋_GB2312" w:eastAsia="仿宋_GB2312" w:cs="仿宋_GB2312"/>
          <w:sz w:val="30"/>
          <w:szCs w:val="30"/>
          <w:highlight w:val="none"/>
        </w:rPr>
        <w:t>小组</w:t>
      </w:r>
      <w:r>
        <w:rPr>
          <w:rFonts w:hint="eastAsia" w:ascii="仿宋_GB2312" w:hAnsi="仿宋_GB2312" w:eastAsia="仿宋_GB2312" w:cs="仿宋_GB2312"/>
          <w:sz w:val="30"/>
          <w:szCs w:val="30"/>
          <w:highlight w:val="none"/>
          <w:lang w:eastAsia="zh-CN"/>
        </w:rPr>
        <w:t>在符合条件的供应商中</w:t>
      </w:r>
      <w:r>
        <w:rPr>
          <w:rFonts w:hint="eastAsia" w:ascii="仿宋_GB2312" w:hAnsi="仿宋_GB2312" w:eastAsia="仿宋_GB2312" w:cs="仿宋_GB2312"/>
          <w:sz w:val="30"/>
          <w:szCs w:val="30"/>
          <w:highlight w:val="none"/>
        </w:rPr>
        <w:t>根据综合评分情况，按照评审得分由高到低顺序</w:t>
      </w:r>
      <w:r>
        <w:rPr>
          <w:rFonts w:hint="eastAsia" w:ascii="仿宋_GB2312" w:hAnsi="仿宋_GB2312" w:eastAsia="仿宋_GB2312" w:cs="仿宋_GB2312"/>
          <w:sz w:val="30"/>
          <w:szCs w:val="30"/>
          <w:highlight w:val="none"/>
          <w:lang w:eastAsia="zh-CN"/>
        </w:rPr>
        <w:t>确定成交供应商</w:t>
      </w:r>
      <w:r>
        <w:rPr>
          <w:rFonts w:hint="eastAsia" w:ascii="仿宋_GB2312" w:hAnsi="仿宋_GB2312" w:eastAsia="仿宋_GB2312" w:cs="仿宋_GB2312"/>
          <w:sz w:val="30"/>
          <w:szCs w:val="30"/>
          <w:highlight w:val="none"/>
        </w:rPr>
        <w:t>。评审得分相同的，按照最后报价由低到高的顺序推荐。</w:t>
      </w: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sz w:val="30"/>
          <w:szCs w:val="30"/>
          <w:lang w:eastAsia="zh-CN"/>
        </w:rPr>
      </w:pP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lang w:eastAsia="zh-CN"/>
        </w:rPr>
      </w:pPr>
      <w:r>
        <w:rPr>
          <w:rFonts w:hint="eastAsia" w:ascii="仿宋_GB2312" w:hAnsi="仿宋_GB2312" w:cs="仿宋_GB2312"/>
          <w:sz w:val="30"/>
          <w:szCs w:val="30"/>
          <w:lang w:eastAsia="zh-CN"/>
        </w:rPr>
        <w:t>综合评审细则：</w:t>
      </w: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2"/>
        <w:gridCol w:w="1955"/>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132"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评审项目</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评审内容</w:t>
            </w:r>
          </w:p>
        </w:tc>
        <w:tc>
          <w:tcPr>
            <w:tcW w:w="5029"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评审标准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商务部分   （18分）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类似项目业绩</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每提供一个类似业绩得2分，最高得10分。注：每个有效类似业绩须包含以下内容：提供类似项目合同关键页复印件（需包括项目名称、主要内容、合同金额、盖章页）</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trPr>
        <w:tc>
          <w:tcPr>
            <w:tcW w:w="1132"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eastAsia="zh-CN"/>
              </w:rPr>
            </w:pPr>
            <w:r>
              <w:rPr>
                <w:rFonts w:hint="eastAsia" w:ascii="仿宋_GB2312" w:hAnsi="仿宋_GB2312" w:eastAsia="仿宋_GB2312" w:cs="仿宋_GB2312"/>
                <w:b w:val="0"/>
                <w:spacing w:val="0"/>
                <w:w w:val="100"/>
                <w:position w:val="0"/>
                <w:sz w:val="28"/>
                <w:szCs w:val="28"/>
              </w:rPr>
              <w:t>企业内部管理制度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具有完善的管理体系和健全的内部管理规章制度，得4 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具有较完善的管理体系和健全的内部管理规章制度，得3分；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管理体系不完善和内部管理规章制度不健全，得2分；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人员证书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项目经理具有中级及以上职称得2分；项目经理每具有一个类似业绩得1分（提供合同复印件），最高得2分；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技术部分   （52分）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维修服务方案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根据响应文件中维修服务方案的详细程度、合理可行性等进行评审：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方案内容齐全、结构完整、表述清楚准确、条理清晰，得20分；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方案内容较齐全、结构较完整、表述基本准确、条理较为清晰，得15分；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方案内容不够齐全、结构相对完整、表述相对准确、条理不够清晰，得10分；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综合考虑响应文件中维修方案的详细程度、合理可行性等。方案内容不够齐全、没有针对性，得5分； 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根据响应文件中技术进度保障措施内容、方案、针对性进行评审：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技术进度保障措施内容全面、方案科学、针对性强，得8分；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技术进度保障措施内容较全面、方案较科学、针对性较强，得6分；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技术进度保障措施内容基本全面、方案基本科学、针对性一般，得4分；技术进度保障措施内容不科学、方案不合理、无针 对性，得2分；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bl>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sectPr>
          <w:footerReference r:id="rId6"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安全和绿色施工保 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安全防护用品配备齐全，考虑实际现场情况措施合 理可行、有针对性，文明施工措施得当，设置专职 安全员，采取有效措施保证绿色施工，得8分；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安全防护用品配备较全，措施合理可行、细节待完善，文明施工措施较得当，设置专职安全员，采取有效措施保证绿色施工，得6分；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安全防护用品配备一般、措施一般，文明施工措施 可操作性一般，可采取相关措施保证绿色施工，基 本满足项目需要，得4分；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无安全防护用品配备、措施不合理，绿色文明施工措施不可行，勉强满足项目需要，得2分；不提供得0分。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应急方案细致合理、针对性强，出现问题时响应时 间迅速，得8分；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根据人员配备计划及主要施工机械配备、针对性综合打分：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人员配备计划及主要施工机械配备较科学、针对性较强，得5分；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人员配备计划及主要施工机械配备一般科学、针对性一般，得2分；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1408"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报价部分   （30分）</w:t>
            </w:r>
          </w:p>
        </w:tc>
        <w:tc>
          <w:tcPr>
            <w:tcW w:w="7636" w:type="dxa"/>
            <w:gridSpan w:val="4"/>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即满足</w:t>
            </w:r>
            <w:r>
              <w:rPr>
                <w:rFonts w:hint="eastAsia" w:ascii="仿宋_GB2312" w:hAnsi="仿宋_GB2312" w:eastAsia="仿宋_GB2312" w:cs="仿宋_GB2312"/>
                <w:b w:val="0"/>
                <w:spacing w:val="0"/>
                <w:w w:val="100"/>
                <w:position w:val="0"/>
                <w:sz w:val="28"/>
                <w:szCs w:val="28"/>
                <w:lang w:eastAsia="zh-CN"/>
              </w:rPr>
              <w:t>采购需求</w:t>
            </w:r>
            <w:r>
              <w:rPr>
                <w:rFonts w:hint="eastAsia" w:ascii="仿宋_GB2312" w:hAnsi="仿宋_GB2312" w:eastAsia="仿宋_GB2312" w:cs="仿宋_GB2312"/>
                <w:b w:val="0"/>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spacing w:val="0"/>
                <w:w w:val="100"/>
                <w:position w:val="0"/>
                <w:sz w:val="28"/>
                <w:szCs w:val="28"/>
                <w:lang w:eastAsia="zh-CN"/>
              </w:rPr>
              <w:t>供应商</w:t>
            </w:r>
            <w:r>
              <w:rPr>
                <w:rFonts w:hint="eastAsia" w:ascii="仿宋_GB2312" w:hAnsi="仿宋_GB2312" w:eastAsia="仿宋_GB2312" w:cs="仿宋_GB2312"/>
                <w:b w:val="0"/>
                <w:spacing w:val="0"/>
                <w:w w:val="100"/>
                <w:position w:val="0"/>
                <w:sz w:val="28"/>
                <w:szCs w:val="28"/>
              </w:rPr>
              <w:t>报价）×30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646" w:type="dxa"/>
            <w:gridSpan w:val="2"/>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合计</w:t>
            </w:r>
          </w:p>
        </w:tc>
        <w:tc>
          <w:tcPr>
            <w:tcW w:w="6398" w:type="dxa"/>
            <w:gridSpan w:val="3"/>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满分100分</w:t>
            </w:r>
          </w:p>
        </w:tc>
      </w:tr>
    </w:tbl>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sz w:val="30"/>
          <w:szCs w:val="30"/>
        </w:rPr>
        <w:t>评审过程的保密</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无论何时，凡与审查、澄清、评价、比较和应</w:t>
      </w:r>
      <w:r>
        <w:rPr>
          <w:rFonts w:hint="eastAsia" w:ascii="仿宋_GB2312" w:hAnsi="仿宋_GB2312" w:eastAsia="仿宋_GB2312" w:cs="仿宋_GB2312"/>
          <w:sz w:val="30"/>
          <w:szCs w:val="30"/>
          <w:lang w:eastAsia="zh-CN"/>
        </w:rPr>
        <w:t>答</w:t>
      </w:r>
      <w:r>
        <w:rPr>
          <w:rFonts w:hint="eastAsia" w:ascii="仿宋_GB2312" w:hAnsi="仿宋_GB2312" w:eastAsia="仿宋_GB2312" w:cs="仿宋_GB2312"/>
          <w:sz w:val="30"/>
          <w:szCs w:val="30"/>
        </w:rPr>
        <w:t>文件有关的资料以及授予合同的意向等，任何人均不得向供应商及其他人员透露。</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（五）</w:t>
      </w:r>
      <w:r>
        <w:rPr>
          <w:rFonts w:hint="eastAsia" w:ascii="仿宋_GB2312" w:hAnsi="仿宋_GB2312" w:eastAsia="仿宋_GB2312" w:cs="仿宋_GB2312"/>
          <w:sz w:val="30"/>
          <w:szCs w:val="30"/>
        </w:rPr>
        <w:t>成交通知</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采购人确定成交供应商后，在</w:t>
      </w:r>
      <w:r>
        <w:rPr>
          <w:rFonts w:hint="eastAsia" w:ascii="仿宋_GB2312" w:hAnsi="仿宋_GB2312" w:eastAsia="仿宋_GB2312" w:cs="仿宋_GB2312"/>
          <w:sz w:val="30"/>
          <w:szCs w:val="30"/>
          <w:highlight w:val="none"/>
          <w:lang w:val="en-US" w:eastAsia="zh-CN"/>
        </w:rPr>
        <w:t>天津市税务局官网“信息公开”栏“通知公告”</w:t>
      </w:r>
      <w:r>
        <w:rPr>
          <w:rFonts w:hint="eastAsia" w:ascii="仿宋_GB2312" w:hAnsi="仿宋_GB2312" w:eastAsia="仿宋_GB2312" w:cs="仿宋_GB2312"/>
          <w:sz w:val="30"/>
          <w:szCs w:val="30"/>
        </w:rPr>
        <w:t>上公告成交结果，同时将以书面形式向成交供应商发出成交通知书。</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（六）</w:t>
      </w:r>
      <w:r>
        <w:rPr>
          <w:rFonts w:hint="eastAsia" w:ascii="仿宋_GB2312" w:hAnsi="仿宋_GB2312" w:eastAsia="仿宋_GB2312" w:cs="仿宋_GB2312"/>
          <w:sz w:val="30"/>
          <w:szCs w:val="30"/>
        </w:rPr>
        <w:t>签署合同</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采购人依法与成交供应商签署合同。</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sectPr>
          <w:footerReference r:id="rId7"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服务项目清单</w:t>
      </w:r>
    </w:p>
    <w:tbl>
      <w:tblPr>
        <w:tblStyle w:val="11"/>
        <w:tblW w:w="94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397"/>
        <w:gridCol w:w="1575"/>
        <w:gridCol w:w="1691"/>
        <w:gridCol w:w="750"/>
        <w:gridCol w:w="1021"/>
        <w:gridCol w:w="1142"/>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编号</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项目名称</w:t>
            </w:r>
          </w:p>
        </w:tc>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要求</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说明</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单位</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维修量</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单价</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办公桌</w:t>
            </w:r>
          </w:p>
        </w:tc>
        <w:tc>
          <w:tcPr>
            <w:tcW w:w="1575"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会议桌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color w:val="000000"/>
                <w:sz w:val="24"/>
                <w:szCs w:val="24"/>
                <w:u w:val="none"/>
                <w:lang w:val="en-US"/>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电脑桌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长条桌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方桌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把</w:t>
            </w:r>
          </w:p>
          <w:p>
            <w:pPr>
              <w:jc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val="en-US" w:eastAsia="zh-CN"/>
              </w:rPr>
              <w:t>50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折叠椅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餐椅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转椅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弓形椅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会议木门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8</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办公室木门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防火门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000000"/>
                <w:spacing w:val="0"/>
                <w:w w:val="100"/>
                <w:kern w:val="0"/>
                <w:position w:val="0"/>
                <w:sz w:val="24"/>
                <w:szCs w:val="24"/>
                <w:lang w:val="en-US" w:eastAsia="en-US" w:bidi="ar-SA"/>
              </w:rPr>
            </w:pPr>
            <w:r>
              <w:rPr>
                <w:rFonts w:hint="eastAsia" w:ascii="仿宋_GB2312" w:hAnsi="仿宋_GB2312" w:eastAsia="仿宋_GB2312" w:cs="仿宋_GB2312"/>
                <w:b w:val="0"/>
                <w:spacing w:val="0"/>
                <w:w w:val="100"/>
                <w:position w:val="0"/>
                <w:sz w:val="24"/>
                <w:szCs w:val="24"/>
              </w:rPr>
              <w:t>修补结实牢固 无裂缝</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门框墙体掉角裂缝， 挂铁丝网抹抗裂砂</w:t>
            </w:r>
          </w:p>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000000"/>
                <w:spacing w:val="0"/>
                <w:w w:val="100"/>
                <w:kern w:val="0"/>
                <w:position w:val="0"/>
                <w:sz w:val="24"/>
                <w:szCs w:val="24"/>
                <w:lang w:val="en-US" w:eastAsia="zh-CN" w:bidi="ar-SA"/>
              </w:rPr>
            </w:pPr>
            <w:r>
              <w:rPr>
                <w:rFonts w:hint="eastAsia" w:ascii="仿宋_GB2312" w:hAnsi="仿宋_GB2312" w:eastAsia="仿宋_GB2312" w:cs="仿宋_GB2312"/>
                <w:b w:val="0"/>
                <w:spacing w:val="0"/>
                <w:w w:val="100"/>
                <w:position w:val="0"/>
                <w:sz w:val="24"/>
                <w:szCs w:val="24"/>
              </w:rPr>
              <w:t>浆、刮腻子、刷涂料</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沙发</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i w:val="0"/>
                <w:color w:val="000000"/>
                <w:kern w:val="2"/>
                <w:sz w:val="24"/>
                <w:szCs w:val="24"/>
                <w:u w:val="none"/>
                <w:lang w:val="en-US" w:eastAsia="zh-CN" w:bidi="ar-SA"/>
              </w:rPr>
              <w:t>沙发面老化修复，翻新换皮</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lang w:eastAsia="zh-CN"/>
              </w:rPr>
            </w:pPr>
            <w:r>
              <w:rPr>
                <w:rFonts w:hint="eastAsia" w:ascii="仿宋_GB2312" w:hAnsi="仿宋_GB2312" w:eastAsia="仿宋_GB2312" w:cs="仿宋_GB2312"/>
                <w:b w:val="0"/>
                <w:spacing w:val="0"/>
                <w:w w:val="100"/>
                <w:position w:val="0"/>
                <w:sz w:val="24"/>
                <w:szCs w:val="24"/>
                <w:lang w:eastAsia="zh-CN"/>
              </w:rPr>
              <w:t>组</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bl>
    <w:p>
      <w:pPr>
        <w:pStyle w:val="4"/>
        <w:pageBreakBefore w:val="0"/>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b w:val="0"/>
          <w:spacing w:val="0"/>
          <w:w w:val="100"/>
          <w:position w:val="0"/>
          <w:sz w:val="30"/>
          <w:szCs w:val="30"/>
        </w:rPr>
      </w:pP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pStyle w:val="8"/>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8"/>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rFonts w:hint="eastAsia" w:eastAsia="SimSun"/>
          <w:b/>
          <w:color w:val="000000"/>
          <w:sz w:val="34"/>
          <w:szCs w:val="34"/>
          <w:lang w:val="en-US" w:eastAsia="zh-CN"/>
        </w:rPr>
      </w:pPr>
      <w:r>
        <w:rPr>
          <w:b/>
          <w:color w:val="000000"/>
          <w:sz w:val="34"/>
          <w:szCs w:val="34"/>
        </w:rPr>
        <w:t>项目编号：</w:t>
      </w:r>
      <w:r>
        <w:rPr>
          <w:rFonts w:hint="eastAsia" w:eastAsia="SimSun"/>
          <w:b/>
          <w:color w:val="000000"/>
          <w:sz w:val="34"/>
          <w:szCs w:val="34"/>
          <w:lang w:val="en-US" w:eastAsia="zh-CN"/>
        </w:rPr>
        <w:t>/</w:t>
      </w:r>
    </w:p>
    <w:p>
      <w:pPr>
        <w:spacing w:before="93" w:beforeLines="30" w:after="218" w:afterLines="70" w:line="540" w:lineRule="exact"/>
        <w:ind w:left="2147" w:leftChars="300" w:hanging="1517"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8"/>
        <w:bidi w:val="0"/>
        <w:rPr>
          <w:rFonts w:hint="default"/>
          <w:lang w:val="en-US" w:eastAsia="zh-CN"/>
        </w:rPr>
      </w:pPr>
    </w:p>
    <w:p>
      <w:pPr>
        <w:rPr>
          <w:rFonts w:hint="eastAsia" w:ascii="仿宋_GB2312" w:eastAsia="仿宋_GB2312"/>
          <w:color w:val="333333"/>
          <w:sz w:val="32"/>
          <w:szCs w:val="32"/>
          <w:highlight w:val="yellow"/>
          <w:shd w:val="clear" w:color="auto" w:fill="FFFFFF"/>
        </w:rPr>
      </w:pPr>
      <w:r>
        <w:rPr>
          <w:rFonts w:hint="eastAsia" w:ascii="仿宋_GB2312" w:eastAsia="仿宋_GB2312"/>
          <w:color w:val="333333"/>
          <w:sz w:val="32"/>
          <w:szCs w:val="32"/>
          <w:highlight w:val="yellow"/>
          <w:shd w:val="clear" w:color="auto" w:fill="FFFFFF"/>
        </w:rPr>
        <w:br w:type="page"/>
      </w: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一、报价响应声明</w:t>
      </w:r>
    </w:p>
    <w:p>
      <w:pPr>
        <w:spacing w:line="360" w:lineRule="auto"/>
        <w:rPr>
          <w:rFonts w:hint="eastAsia" w:ascii="宋体" w:hAnsi="宋体" w:eastAsia="宋体" w:cs="宋体"/>
          <w:sz w:val="28"/>
          <w:szCs w:val="28"/>
        </w:rPr>
      </w:pPr>
      <w:r>
        <w:rPr>
          <w:rFonts w:hint="eastAsia" w:ascii="宋体" w:hAnsi="宋体" w:eastAsia="宋体" w:cs="宋体"/>
          <w:sz w:val="28"/>
          <w:szCs w:val="28"/>
        </w:rPr>
        <w:t>致国家税务总局天津市税务局：</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default" w:ascii="宋体" w:hAnsi="宋体" w:eastAsia="宋体" w:cs="宋体"/>
          <w:sz w:val="28"/>
          <w:szCs w:val="28"/>
          <w:u w:val="single"/>
          <w:lang w:val="en"/>
        </w:rPr>
        <w:t xml:space="preserve"> </w:t>
      </w:r>
      <w:r>
        <w:rPr>
          <w:rFonts w:hint="eastAsia" w:ascii="宋体" w:hAnsi="宋体" w:eastAsia="宋体" w:cs="宋体"/>
          <w:sz w:val="28"/>
          <w:szCs w:val="28"/>
          <w:u w:val="single"/>
        </w:rPr>
        <w:t>国家税务总局天津市税务局</w:t>
      </w:r>
      <w:r>
        <w:rPr>
          <w:rFonts w:hint="eastAsia" w:ascii="宋体" w:hAnsi="宋体" w:eastAsia="宋体" w:cs="宋体"/>
          <w:b w:val="0"/>
          <w:spacing w:val="0"/>
          <w:w w:val="100"/>
          <w:position w:val="0"/>
          <w:sz w:val="28"/>
          <w:szCs w:val="28"/>
          <w:u w:val="single"/>
          <w:lang w:eastAsia="zh-CN"/>
        </w:rPr>
        <w:t>2025年家具维修服务项目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eastAsia="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default" w:ascii="宋体" w:hAnsi="宋体" w:eastAsia="宋体" w:cs="宋体"/>
          <w:sz w:val="28"/>
          <w:szCs w:val="28"/>
          <w:u w:val="single"/>
          <w:lang w:val="e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eastAsia="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（一）</w:t>
      </w:r>
      <w:r>
        <w:rPr>
          <w:rFonts w:hint="eastAsia" w:ascii="宋体" w:hAnsi="宋体" w:eastAsia="宋体" w:cs="宋体"/>
          <w:sz w:val="28"/>
          <w:szCs w:val="28"/>
        </w:rPr>
        <w:t>我方同意在本项目采购文件中规定的递交应答</w:t>
      </w:r>
      <w:r>
        <w:rPr>
          <w:rFonts w:hint="eastAsia" w:ascii="宋体" w:hAnsi="宋体" w:eastAsia="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（二）</w:t>
      </w:r>
      <w:r>
        <w:rPr>
          <w:rFonts w:hint="eastAsia" w:ascii="宋体" w:hAnsi="宋体" w:eastAsia="宋体" w:cs="宋体"/>
          <w:sz w:val="28"/>
          <w:szCs w:val="28"/>
        </w:rPr>
        <w:t>我方承诺提交应答报告书截止时间前三年内；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我方依法缴纳了各项税费及各项社会保障资金，没有偷税、漏税及欠缴行为。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我方在经营活动中没有存在因违法经营受到刑事处罚或者责令停产停业、吊销许可证或者执照、较大数额罚款等行政处罚。</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（三）</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（四）</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（五）</w:t>
      </w:r>
      <w:r>
        <w:rPr>
          <w:rFonts w:hint="eastAsia" w:ascii="宋体" w:hAnsi="宋体" w:eastAsia="宋体" w:cs="宋体"/>
          <w:sz w:val="28"/>
          <w:szCs w:val="28"/>
        </w:rPr>
        <w:t>我方承诺遵守《中华人民共和国</w:t>
      </w:r>
      <w:r>
        <w:rPr>
          <w:rFonts w:hint="eastAsia" w:ascii="宋体" w:hAnsi="宋体" w:eastAsia="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rPr>
          <w:rFonts w:hint="eastAsia" w:ascii="黑体" w:hAnsi="黑体" w:eastAsia="黑体" w:cs="黑体"/>
          <w:b w:val="0"/>
          <w:bCs w:val="0"/>
          <w:kern w:val="44"/>
          <w:sz w:val="28"/>
          <w:szCs w:val="28"/>
          <w:lang w:val="zh-CN" w:eastAsia="zh-CN" w:bidi="ar-SA"/>
        </w:rPr>
      </w:pPr>
      <w:bookmarkStart w:id="0" w:name="_Toc3960"/>
      <w:bookmarkStart w:id="1" w:name="_Toc421267961"/>
      <w:r>
        <w:rPr>
          <w:rFonts w:hint="eastAsia" w:ascii="黑体" w:hAnsi="黑体" w:eastAsia="黑体" w:cs="黑体"/>
          <w:b w:val="0"/>
          <w:bCs w:val="0"/>
          <w:kern w:val="44"/>
          <w:sz w:val="28"/>
          <w:szCs w:val="28"/>
          <w:lang w:val="zh-CN" w:eastAsia="zh-CN" w:bidi="ar-SA"/>
        </w:rPr>
        <w:t>二、法定代表人身份证明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eastAsia="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hint="eastAsia" w:ascii="黑体" w:hAnsi="黑体" w:eastAsia="黑体" w:cs="黑体"/>
          <w:b w:val="0"/>
          <w:bCs w:val="0"/>
          <w:kern w:val="44"/>
          <w:sz w:val="28"/>
          <w:szCs w:val="28"/>
          <w:lang w:val="zh-CN" w:eastAsia="zh-CN" w:bidi="ar-SA"/>
        </w:rPr>
      </w:pPr>
      <w:r>
        <w:rPr>
          <w:rFonts w:hint="eastAsia" w:ascii="宋体" w:hAnsi="宋体" w:eastAsia="宋体" w:cs="宋体"/>
          <w:sz w:val="28"/>
          <w:szCs w:val="28"/>
        </w:rPr>
        <w:br w:type="page"/>
      </w:r>
      <w:bookmarkStart w:id="2" w:name="_Toc9835"/>
      <w:r>
        <w:rPr>
          <w:rFonts w:hint="eastAsia" w:ascii="黑体" w:hAnsi="黑体" w:eastAsia="黑体" w:cs="黑体"/>
          <w:b w:val="0"/>
          <w:bCs w:val="0"/>
          <w:kern w:val="44"/>
          <w:sz w:val="28"/>
          <w:szCs w:val="28"/>
          <w:lang w:val="zh-CN" w:eastAsia="zh-CN" w:bidi="ar-SA"/>
        </w:rPr>
        <w:t>三、法定代表人授权委托书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w:t>
      </w:r>
      <w:r>
        <w:rPr>
          <w:rFonts w:hint="eastAsia" w:ascii="宋体" w:hAnsi="宋体" w:cs="宋体"/>
          <w:sz w:val="28"/>
          <w:szCs w:val="28"/>
          <w:u w:val="single"/>
          <w:lang w:val="en-US" w:eastAsia="zh-CN"/>
        </w:rPr>
        <w:t>5</w:t>
      </w:r>
      <w:r>
        <w:rPr>
          <w:rFonts w:ascii="宋体" w:hAnsi="宋体" w:eastAsia="宋体" w:cs="宋体"/>
          <w:sz w:val="28"/>
          <w:szCs w:val="28"/>
          <w:u w:val="single"/>
        </w:rPr>
        <w:t>年</w:t>
      </w:r>
      <w:r>
        <w:rPr>
          <w:rFonts w:hint="eastAsia" w:ascii="宋体" w:hAnsi="宋体" w:eastAsia="宋体" w:cs="宋体"/>
          <w:sz w:val="28"/>
          <w:szCs w:val="28"/>
          <w:highlight w:val="none"/>
          <w:u w:val="single"/>
          <w:lang w:eastAsia="zh-CN"/>
        </w:rPr>
        <w:t>家具维修服务</w:t>
      </w:r>
      <w:r>
        <w:rPr>
          <w:rFonts w:hint="eastAsia" w:ascii="宋体" w:hAnsi="宋体" w:cs="宋体"/>
          <w:sz w:val="28"/>
          <w:szCs w:val="28"/>
          <w:highlight w:val="none"/>
          <w:u w:val="single"/>
          <w:lang w:eastAsia="zh-CN"/>
        </w:rPr>
        <w:t>采购</w:t>
      </w:r>
      <w:r>
        <w:rPr>
          <w:rFonts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四、参加人的资格证明材料</w:t>
      </w:r>
      <w:bookmarkEnd w:id="3"/>
    </w:p>
    <w:p>
      <w:pPr>
        <w:keepNext/>
        <w:keepLines/>
        <w:widowControl w:val="0"/>
        <w:spacing w:before="260" w:after="260" w:line="360" w:lineRule="auto"/>
        <w:jc w:val="center"/>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rPr>
          <w:rFonts w:hint="eastAsia" w:ascii="黑体" w:hAnsi="黑体" w:eastAsia="黑体" w:cs="黑体"/>
          <w:b w:val="0"/>
          <w:bCs w:val="0"/>
          <w:kern w:val="44"/>
          <w:sz w:val="28"/>
          <w:szCs w:val="28"/>
          <w:lang w:val="en-US" w:eastAsia="zh-CN" w:bidi="ar-SA"/>
        </w:rPr>
      </w:pPr>
      <w:bookmarkStart w:id="6" w:name="_Toc31545"/>
      <w:r>
        <w:rPr>
          <w:rFonts w:hint="eastAsia" w:ascii="黑体" w:hAnsi="黑体" w:eastAsia="黑体" w:cs="黑体"/>
          <w:b w:val="0"/>
          <w:bCs w:val="0"/>
          <w:kern w:val="44"/>
          <w:sz w:val="28"/>
          <w:szCs w:val="28"/>
          <w:lang w:val="en-US" w:eastAsia="zh-CN" w:bidi="ar-SA"/>
        </w:rPr>
        <w:t>五、报价</w:t>
      </w:r>
      <w:bookmarkEnd w:id="6"/>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开标一览表</w:t>
      </w:r>
    </w:p>
    <w:tbl>
      <w:tblPr>
        <w:tblStyle w:val="12"/>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序号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服务名称</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服务内容</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投标总价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服务期</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合计</w:t>
            </w: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小写：</w:t>
            </w:r>
          </w:p>
        </w:tc>
      </w:tr>
    </w:tbl>
    <w:p>
      <w:pPr>
        <w:rPr>
          <w:rFonts w:hint="eastAsia" w:eastAsia="SimSun"/>
          <w:lang w:eastAsia="zh-CN"/>
        </w:rPr>
      </w:pPr>
    </w:p>
    <w:p>
      <w:pPr>
        <w:pStyle w:val="16"/>
        <w:spacing w:line="360" w:lineRule="auto"/>
        <w:ind w:firstLine="562" w:firstLineChars="200"/>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br w:type="page"/>
      </w:r>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分项报价表</w:t>
      </w:r>
    </w:p>
    <w:tbl>
      <w:tblPr>
        <w:tblStyle w:val="11"/>
        <w:tblW w:w="94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397"/>
        <w:gridCol w:w="1575"/>
        <w:gridCol w:w="1691"/>
        <w:gridCol w:w="750"/>
        <w:gridCol w:w="1021"/>
        <w:gridCol w:w="1142"/>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编号</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项目名称</w:t>
            </w:r>
          </w:p>
        </w:tc>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要求</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说明</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单位</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维修量</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单价</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办公桌</w:t>
            </w:r>
          </w:p>
        </w:tc>
        <w:tc>
          <w:tcPr>
            <w:tcW w:w="1575"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会议桌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i w:val="0"/>
                <w:color w:val="000000"/>
                <w:sz w:val="24"/>
                <w:szCs w:val="24"/>
                <w:u w:val="none"/>
                <w:lang w:val="en-US"/>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 xml:space="preserve">电脑桌 </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长条桌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方桌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 xml:space="preserve"> 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把</w:t>
            </w:r>
          </w:p>
          <w:p>
            <w:pPr>
              <w:jc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val="en-US" w:eastAsia="zh-CN"/>
              </w:rPr>
              <w:t>50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折叠椅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餐椅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转椅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弓形椅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会议木门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8</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办公室木门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防火门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napToGrid w:val="0"/>
                <w:color w:val="000000"/>
                <w:spacing w:val="0"/>
                <w:w w:val="100"/>
                <w:kern w:val="0"/>
                <w:position w:val="0"/>
                <w:sz w:val="24"/>
                <w:szCs w:val="24"/>
                <w:lang w:val="en-US" w:eastAsia="en-US" w:bidi="ar-SA"/>
              </w:rPr>
            </w:pPr>
            <w:r>
              <w:rPr>
                <w:rFonts w:hint="eastAsia" w:ascii="仿宋_GB2312" w:hAnsi="仿宋_GB2312" w:eastAsia="仿宋_GB2312" w:cs="仿宋_GB2312"/>
                <w:b w:val="0"/>
                <w:spacing w:val="0"/>
                <w:w w:val="100"/>
                <w:position w:val="0"/>
                <w:sz w:val="24"/>
                <w:szCs w:val="24"/>
              </w:rPr>
              <w:t>修补结实牢固 无裂缝</w:t>
            </w:r>
          </w:p>
        </w:tc>
        <w:tc>
          <w:tcPr>
            <w:tcW w:w="1691" w:type="dxa"/>
            <w:tcBorders>
              <w:top w:val="single" w:color="000000" w:sz="4" w:space="0"/>
              <w:left w:val="single" w:color="000000" w:sz="4" w:space="0"/>
              <w:bottom w:val="single" w:color="000000"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门框墙体掉角裂缝， 挂铁丝网抹抗裂砂</w:t>
            </w:r>
          </w:p>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napToGrid w:val="0"/>
                <w:color w:val="000000"/>
                <w:spacing w:val="0"/>
                <w:w w:val="100"/>
                <w:kern w:val="0"/>
                <w:position w:val="0"/>
                <w:sz w:val="24"/>
                <w:szCs w:val="24"/>
                <w:lang w:val="en-US" w:eastAsia="zh-CN" w:bidi="ar-SA"/>
              </w:rPr>
            </w:pPr>
            <w:r>
              <w:rPr>
                <w:rFonts w:hint="eastAsia" w:ascii="仿宋_GB2312" w:hAnsi="仿宋_GB2312" w:eastAsia="仿宋_GB2312" w:cs="仿宋_GB2312"/>
                <w:b w:val="0"/>
                <w:spacing w:val="0"/>
                <w:w w:val="100"/>
                <w:position w:val="0"/>
                <w:sz w:val="24"/>
                <w:szCs w:val="24"/>
              </w:rPr>
              <w:t>浆、刮腻子、刷涂料</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沙发</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i w:val="0"/>
                <w:color w:val="000000"/>
                <w:kern w:val="2"/>
                <w:sz w:val="24"/>
                <w:szCs w:val="24"/>
                <w:u w:val="none"/>
                <w:lang w:val="en-US" w:eastAsia="zh-CN" w:bidi="ar-SA"/>
              </w:rPr>
              <w:t>沙发面老化修复，翻新换皮</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lang w:eastAsia="zh-CN"/>
              </w:rPr>
            </w:pPr>
            <w:r>
              <w:rPr>
                <w:rFonts w:hint="eastAsia" w:ascii="仿宋_GB2312" w:hAnsi="仿宋_GB2312" w:eastAsia="仿宋_GB2312" w:cs="仿宋_GB2312"/>
                <w:b w:val="0"/>
                <w:spacing w:val="0"/>
                <w:w w:val="100"/>
                <w:position w:val="0"/>
                <w:sz w:val="24"/>
                <w:szCs w:val="24"/>
                <w:lang w:eastAsia="zh-CN"/>
              </w:rPr>
              <w:t>组</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831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合计</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bl>
    <w:p>
      <w:pPr>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br w:type="page"/>
      </w:r>
    </w:p>
    <w:p>
      <w:pPr>
        <w:rPr>
          <w:rFonts w:hint="eastAsia"/>
          <w:lang w:val="en-US" w:eastAsia="zh-CN"/>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六、服务方案及履约能力要求</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sz w:val="28"/>
          <w:szCs w:val="28"/>
          <w:highlight w:val="none"/>
          <w:lang w:eastAsia="zh-CN"/>
        </w:rPr>
        <w:t>（一）</w:t>
      </w:r>
      <w:r>
        <w:rPr>
          <w:rFonts w:hint="eastAsia" w:ascii="仿宋_GB2312" w:hAnsi="仿宋_GB2312" w:eastAsia="仿宋_GB2312" w:cs="仿宋_GB2312"/>
          <w:sz w:val="28"/>
          <w:szCs w:val="28"/>
          <w:lang w:val="en-US" w:eastAsia="zh-CN"/>
        </w:rPr>
        <w:t>供应商</w:t>
      </w:r>
      <w:r>
        <w:rPr>
          <w:rFonts w:hint="eastAsia" w:ascii="仿宋_GB2312" w:hAnsi="仿宋_GB2312" w:eastAsia="仿宋_GB2312" w:cs="仿宋_GB2312"/>
          <w:color w:val="auto"/>
          <w:sz w:val="28"/>
          <w:szCs w:val="28"/>
          <w:highlight w:val="none"/>
          <w:lang w:val="en-US" w:eastAsia="zh-CN" w:bidi="ar-SA"/>
        </w:rPr>
        <w:t>针对本项目提供的整体服务方案，内容包括但不限于：1、现场日常管理；2、人员计划组织安排；3、保密管理制度；4、完成全部服务内容的保障措施。</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sz w:val="28"/>
          <w:szCs w:val="28"/>
          <w:highlight w:val="none"/>
          <w:lang w:eastAsia="zh-CN"/>
        </w:rPr>
        <w:t>（二）</w:t>
      </w:r>
      <w:r>
        <w:rPr>
          <w:rFonts w:hint="eastAsia" w:ascii="仿宋_GB2312" w:hAnsi="仿宋_GB2312" w:eastAsia="仿宋_GB2312" w:cs="仿宋_GB2312"/>
          <w:color w:val="auto"/>
          <w:sz w:val="28"/>
          <w:szCs w:val="28"/>
          <w:highlight w:val="none"/>
          <w:lang w:val="en-US" w:eastAsia="zh-CN" w:bidi="ar-SA"/>
        </w:rPr>
        <w:t>供应商针对本项目提供的应急预案，内容包括但不限于：1、应急响应时间；2、应急人员安排；3、突发事件处理方案。</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val="0"/>
          <w:bCs w:val="0"/>
          <w:sz w:val="28"/>
          <w:szCs w:val="28"/>
          <w:highlight w:val="none"/>
          <w:lang w:eastAsia="zh-CN"/>
        </w:rPr>
        <w:t>（三）</w:t>
      </w:r>
      <w:r>
        <w:rPr>
          <w:rFonts w:hint="eastAsia" w:ascii="仿宋_GB2312" w:hAnsi="仿宋_GB2312" w:eastAsia="仿宋_GB2312" w:cs="仿宋_GB2312"/>
          <w:color w:val="auto"/>
          <w:sz w:val="28"/>
          <w:szCs w:val="28"/>
          <w:highlight w:val="none"/>
          <w:lang w:val="en-US" w:eastAsia="zh-CN"/>
        </w:rPr>
        <w:t>供应商的类似项目业绩。</w:t>
      </w:r>
    </w:p>
    <w:p>
      <w:pPr>
        <w:keepNext w:val="0"/>
        <w:keepLines w:val="0"/>
        <w:pageBreakBefore w:val="0"/>
        <w:widowControl w:val="0"/>
        <w:kinsoku/>
        <w:wordWrap/>
        <w:overflowPunct/>
        <w:topLinePunct w:val="0"/>
        <w:autoSpaceDE/>
        <w:autoSpaceDN/>
        <w:bidi w:val="0"/>
        <w:adjustRightInd/>
        <w:snapToGrid/>
        <w:spacing w:line="400" w:lineRule="exact"/>
        <w:ind w:leftChars="0" w:firstLine="560" w:firstLineChars="20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highlight w:val="none"/>
          <w:lang w:eastAsia="zh-CN"/>
        </w:rPr>
        <w:t>（四）</w:t>
      </w:r>
      <w:r>
        <w:rPr>
          <w:rFonts w:hint="eastAsia" w:ascii="仿宋_GB2312" w:hAnsi="仿宋_GB2312" w:eastAsia="仿宋_GB2312" w:cs="仿宋_GB2312"/>
          <w:color w:val="auto"/>
          <w:sz w:val="28"/>
          <w:szCs w:val="28"/>
          <w:highlight w:val="none"/>
          <w:lang w:val="en-US" w:eastAsia="zh-CN"/>
        </w:rPr>
        <w:t>供应商认为的其他内容。</w:t>
      </w:r>
    </w:p>
    <w:p>
      <w:pPr>
        <w:keepNext w:val="0"/>
        <w:keepLines w:val="0"/>
        <w:pageBreakBefore w:val="0"/>
        <w:numPr>
          <w:ilvl w:val="0"/>
          <w:numId w:val="0"/>
        </w:numPr>
        <w:kinsoku/>
        <w:wordWrap/>
        <w:overflowPunct/>
        <w:topLinePunct w:val="0"/>
        <w:bidi w:val="0"/>
        <w:spacing w:before="0" w:after="0" w:line="240" w:lineRule="exact"/>
        <w:ind w:leftChars="0" w:firstLine="560" w:firstLineChars="200"/>
        <w:jc w:val="left"/>
        <w:outlineLvl w:val="9"/>
        <w:rPr>
          <w:rFonts w:hint="eastAsia" w:ascii="仿宋_GB2312" w:hAnsi="仿宋_GB2312" w:eastAsia="仿宋_GB2312" w:cs="仿宋_GB2312"/>
          <w:sz w:val="28"/>
          <w:szCs w:val="28"/>
          <w:lang w:eastAsia="zh-CN"/>
        </w:rPr>
      </w:pPr>
    </w:p>
    <w:sectPr>
      <w:headerReference r:id="rId8" w:type="default"/>
      <w:footerReference r:id="rId9" w:type="default"/>
      <w:pgSz w:w="11907" w:h="16839"/>
      <w:pgMar w:top="400"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SimSun">
    <w:panose1 w:val="02010600030101010101"/>
    <w:charset w:val="86"/>
    <w:family w:val="auto"/>
    <w:pitch w:val="default"/>
    <w:sig w:usb0="00000003" w:usb1="288F0000" w:usb2="0000000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1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7D5E4912"/>
    <w:multiLevelType w:val="singleLevel"/>
    <w:tmpl w:val="7D5E491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0DFF679B"/>
    <w:rsid w:val="23EF67E1"/>
    <w:rsid w:val="27BF3616"/>
    <w:rsid w:val="2A8FC2AD"/>
    <w:rsid w:val="2E775750"/>
    <w:rsid w:val="2FEE6DA6"/>
    <w:rsid w:val="31FF0823"/>
    <w:rsid w:val="32F38BF7"/>
    <w:rsid w:val="33E31F71"/>
    <w:rsid w:val="33FCE356"/>
    <w:rsid w:val="37F79D4E"/>
    <w:rsid w:val="3BF51B24"/>
    <w:rsid w:val="3CBCE9C2"/>
    <w:rsid w:val="3D1C0228"/>
    <w:rsid w:val="3EBF70C7"/>
    <w:rsid w:val="3F376253"/>
    <w:rsid w:val="3F77ACA7"/>
    <w:rsid w:val="3F7F00DE"/>
    <w:rsid w:val="3F7FE6D2"/>
    <w:rsid w:val="3FDF3953"/>
    <w:rsid w:val="3FEF6DF3"/>
    <w:rsid w:val="3FFF1478"/>
    <w:rsid w:val="3FFF571B"/>
    <w:rsid w:val="47BE6E1F"/>
    <w:rsid w:val="49EFBBFA"/>
    <w:rsid w:val="4F67B5E0"/>
    <w:rsid w:val="56FA1444"/>
    <w:rsid w:val="577F8938"/>
    <w:rsid w:val="585DFF34"/>
    <w:rsid w:val="5AFA9C2A"/>
    <w:rsid w:val="5CC51395"/>
    <w:rsid w:val="5CFF58A6"/>
    <w:rsid w:val="5FF233FD"/>
    <w:rsid w:val="5FFAEB78"/>
    <w:rsid w:val="633BA827"/>
    <w:rsid w:val="63FB665A"/>
    <w:rsid w:val="677FAB2F"/>
    <w:rsid w:val="679C6AC7"/>
    <w:rsid w:val="67CCC211"/>
    <w:rsid w:val="67DFC609"/>
    <w:rsid w:val="6B13CB9A"/>
    <w:rsid w:val="6B159210"/>
    <w:rsid w:val="6CFC3E6E"/>
    <w:rsid w:val="6D742189"/>
    <w:rsid w:val="6DABDE3A"/>
    <w:rsid w:val="6DFF71A4"/>
    <w:rsid w:val="6F567206"/>
    <w:rsid w:val="6FA5AA7B"/>
    <w:rsid w:val="6FEF4C19"/>
    <w:rsid w:val="7077BE37"/>
    <w:rsid w:val="70B730E4"/>
    <w:rsid w:val="72FF54A4"/>
    <w:rsid w:val="7377CE21"/>
    <w:rsid w:val="7393A17B"/>
    <w:rsid w:val="73DE97D1"/>
    <w:rsid w:val="7547DDD9"/>
    <w:rsid w:val="76ED55F6"/>
    <w:rsid w:val="777F6453"/>
    <w:rsid w:val="77A7CABD"/>
    <w:rsid w:val="77B5D36D"/>
    <w:rsid w:val="77FF98B8"/>
    <w:rsid w:val="77FFA1EC"/>
    <w:rsid w:val="7BBE4322"/>
    <w:rsid w:val="7BEF59B0"/>
    <w:rsid w:val="7BEFA82F"/>
    <w:rsid w:val="7CEBFEC6"/>
    <w:rsid w:val="7CFD0F65"/>
    <w:rsid w:val="7DA92AD5"/>
    <w:rsid w:val="7DBD2E5B"/>
    <w:rsid w:val="7DBFC800"/>
    <w:rsid w:val="7DDFC22C"/>
    <w:rsid w:val="7DEF9697"/>
    <w:rsid w:val="7DFB3FDE"/>
    <w:rsid w:val="7DFBB29E"/>
    <w:rsid w:val="7E7E9164"/>
    <w:rsid w:val="7E7F222F"/>
    <w:rsid w:val="7EEF5315"/>
    <w:rsid w:val="7EFB4E82"/>
    <w:rsid w:val="7EFDF15D"/>
    <w:rsid w:val="7F66C1C4"/>
    <w:rsid w:val="7F6F5764"/>
    <w:rsid w:val="7F9774CA"/>
    <w:rsid w:val="7FC3D45A"/>
    <w:rsid w:val="7FDDEF13"/>
    <w:rsid w:val="7FE79E52"/>
    <w:rsid w:val="7FF6C47F"/>
    <w:rsid w:val="7FF77B29"/>
    <w:rsid w:val="7FF7C9C1"/>
    <w:rsid w:val="7FFFD6F4"/>
    <w:rsid w:val="87FDE6CF"/>
    <w:rsid w:val="8D7CE30B"/>
    <w:rsid w:val="9B5EF189"/>
    <w:rsid w:val="9D1F4ADD"/>
    <w:rsid w:val="9EFFEC10"/>
    <w:rsid w:val="9F7B5E7C"/>
    <w:rsid w:val="9F7E5C39"/>
    <w:rsid w:val="9FFEA4C4"/>
    <w:rsid w:val="A6792DF8"/>
    <w:rsid w:val="AAFF0214"/>
    <w:rsid w:val="ABFCFCE1"/>
    <w:rsid w:val="ADB15D3E"/>
    <w:rsid w:val="ADFD36A5"/>
    <w:rsid w:val="AE7A3B4A"/>
    <w:rsid w:val="AF37E076"/>
    <w:rsid w:val="AFBFE78C"/>
    <w:rsid w:val="AFDF458A"/>
    <w:rsid w:val="AFF91B0D"/>
    <w:rsid w:val="B3FAE6B4"/>
    <w:rsid w:val="B5D79EF0"/>
    <w:rsid w:val="B7DD66C2"/>
    <w:rsid w:val="B9FFA20C"/>
    <w:rsid w:val="BDF5C0AB"/>
    <w:rsid w:val="BF7F82DA"/>
    <w:rsid w:val="BFDA61A6"/>
    <w:rsid w:val="BFE7B91C"/>
    <w:rsid w:val="BFF4A757"/>
    <w:rsid w:val="BFFA8B7C"/>
    <w:rsid w:val="CBDD91FC"/>
    <w:rsid w:val="CFDF836D"/>
    <w:rsid w:val="CFEBB016"/>
    <w:rsid w:val="CFF77925"/>
    <w:rsid w:val="D37F8304"/>
    <w:rsid w:val="D5DBBDCC"/>
    <w:rsid w:val="D7BF0E69"/>
    <w:rsid w:val="D7FB91A2"/>
    <w:rsid w:val="DB5EFB9D"/>
    <w:rsid w:val="DBFED149"/>
    <w:rsid w:val="DEF9670A"/>
    <w:rsid w:val="DFBE8F12"/>
    <w:rsid w:val="DFCC763D"/>
    <w:rsid w:val="DFF7F1A3"/>
    <w:rsid w:val="DFFD6650"/>
    <w:rsid w:val="E72D2979"/>
    <w:rsid w:val="E9FF314D"/>
    <w:rsid w:val="EC99ECEC"/>
    <w:rsid w:val="ECB7C726"/>
    <w:rsid w:val="EDBFA0E5"/>
    <w:rsid w:val="EE7F386E"/>
    <w:rsid w:val="EF531DED"/>
    <w:rsid w:val="EFFDCA8F"/>
    <w:rsid w:val="F3A90364"/>
    <w:rsid w:val="F3ADE8B1"/>
    <w:rsid w:val="F4FF348C"/>
    <w:rsid w:val="F5BF0C62"/>
    <w:rsid w:val="F5F52A38"/>
    <w:rsid w:val="F722A4E8"/>
    <w:rsid w:val="F7776EFB"/>
    <w:rsid w:val="F7FD2D2F"/>
    <w:rsid w:val="F7FF5ED9"/>
    <w:rsid w:val="F98FBBA6"/>
    <w:rsid w:val="FAAB72E1"/>
    <w:rsid w:val="FADE02D8"/>
    <w:rsid w:val="FBF6D122"/>
    <w:rsid w:val="FCFC8E8F"/>
    <w:rsid w:val="FD969950"/>
    <w:rsid w:val="FDFF3548"/>
    <w:rsid w:val="FDFF64C7"/>
    <w:rsid w:val="FEA76C71"/>
    <w:rsid w:val="FEEF0857"/>
    <w:rsid w:val="FEFFB4EA"/>
    <w:rsid w:val="FF6998E3"/>
    <w:rsid w:val="FF7F3A56"/>
    <w:rsid w:val="FFBF5828"/>
    <w:rsid w:val="FFD2C1B2"/>
    <w:rsid w:val="FFF312D3"/>
    <w:rsid w:val="FFFE2D33"/>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SimSun" w:hAnsi="SimSun" w:eastAsia="SimSun" w:cs="SimSun"/>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2025-04-06T10:19:00Z</dcterms:created>
  <dc:creator>dell</dc:creator>
  <cp:lastModifiedBy>user</cp:lastModifiedBy>
  <cp:lastPrinted>2025-07-04T15:20:00Z</cp:lastPrinted>
  <dcterms:modified xsi:type="dcterms:W3CDTF">2025-07-28T16:19:19Z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2052-11.8.2.10183</vt:lpwstr>
  </property>
</Properties>
</file>