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bookmarkStart w:id="0" w:name="_GoBack"/>
      <w:bookmarkEnd w:id="0"/>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1" w:name="项目名称_projectName"/>
      <w:r>
        <w:rPr>
          <w:rFonts w:ascii="宋体" w:eastAsia="宋体" w:hAnsi="宋体" w:cs="宋体" w:hint="eastAsia"/>
          <w:b/>
          <w:sz w:val="30"/>
          <w:szCs w:val="30"/>
          <w:lang w:eastAsia="zh-CN"/>
        </w:rPr>
        <w:t>国家税务总局天津市滨海新区税务局2025年度食堂食材采购项目</w:t>
      </w:r>
      <w:bookmarkEnd w:id="1"/>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2" w:name="生成日期_currentDateTime_ym"/>
      <w:r>
        <w:rPr>
          <w:rFonts w:ascii="宋体" w:eastAsia="宋体" w:hAnsi="宋体" w:cs="宋体" w:hint="eastAsia"/>
          <w:sz w:val="36"/>
          <w:szCs w:val="36"/>
          <w:lang w:eastAsia="zh-CN"/>
        </w:rPr>
        <w:t>2025年09月</w:t>
      </w:r>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14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3.5.1质量安全把控服务要求</w:t>
        </w:r>
        <w:r>
          <w:tab/>
        </w:r>
        <w:r>
          <w:fldChar w:fldCharType="begin"/>
        </w:r>
        <w:r>
          <w:instrText xml:space="preserve"> PAGEREF _Toc256000025 \h </w:instrText>
        </w:r>
        <w:r>
          <w:fldChar w:fldCharType="separate"/>
        </w:r>
        <w:r>
          <w:t>14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3.5.2供应方案要求</w:t>
        </w:r>
        <w:r>
          <w:tab/>
        </w:r>
        <w:r>
          <w:fldChar w:fldCharType="begin"/>
        </w:r>
        <w:r>
          <w:instrText xml:space="preserve"> PAGEREF _Toc256000026 \h </w:instrText>
        </w:r>
        <w:r>
          <w:fldChar w:fldCharType="separate"/>
        </w:r>
        <w:r>
          <w:t>15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kern w:val="36"/>
          </w:rPr>
          <w:t>4人员要求</w:t>
        </w:r>
        <w:r>
          <w:tab/>
        </w:r>
        <w:r>
          <w:fldChar w:fldCharType="begin"/>
        </w:r>
        <w:r>
          <w:instrText xml:space="preserve"> PAGEREF _Toc256000027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4.1团队要求</w:t>
        </w:r>
        <w:r>
          <w:tab/>
        </w:r>
        <w:r>
          <w:fldChar w:fldCharType="begin"/>
        </w:r>
        <w:r>
          <w:instrText xml:space="preserve"> PAGEREF _Toc256000028 \h </w:instrText>
        </w:r>
        <w:r>
          <w:fldChar w:fldCharType="separate"/>
        </w:r>
        <w:r>
          <w:t>15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4.1.1基本要求</w:t>
        </w:r>
        <w:r>
          <w:tab/>
        </w:r>
        <w:r>
          <w:fldChar w:fldCharType="begin"/>
        </w:r>
        <w:r>
          <w:instrText xml:space="preserve"> PAGEREF _Toc256000029 \h </w:instrText>
        </w:r>
        <w:r>
          <w:fldChar w:fldCharType="separate"/>
        </w:r>
        <w:r>
          <w:t>15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kern w:val="36"/>
          </w:rPr>
          <w:t>5管理实施要求</w:t>
        </w:r>
        <w:r>
          <w:tab/>
        </w:r>
        <w:r>
          <w:fldChar w:fldCharType="begin"/>
        </w:r>
        <w:r>
          <w:instrText xml:space="preserve"> PAGEREF _Toc256000030 \h </w:instrText>
        </w:r>
        <w:r>
          <w:fldChar w:fldCharType="separate"/>
        </w:r>
        <w:r>
          <w:t>16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6风险管控要求</w:t>
        </w:r>
        <w:r>
          <w:tab/>
        </w:r>
        <w:r>
          <w:fldChar w:fldCharType="begin"/>
        </w:r>
        <w:r>
          <w:instrText xml:space="preserve"> PAGEREF _Toc256000031 \h </w:instrText>
        </w:r>
        <w:r>
          <w:fldChar w:fldCharType="separate"/>
        </w:r>
        <w:r>
          <w:t>16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7履约验收要求</w:t>
        </w:r>
        <w:r>
          <w:tab/>
        </w:r>
        <w:r>
          <w:fldChar w:fldCharType="begin"/>
        </w:r>
        <w:r>
          <w:instrText xml:space="preserve"> PAGEREF _Toc256000032 \h </w:instrText>
        </w:r>
        <w:r>
          <w:fldChar w:fldCharType="separate"/>
        </w:r>
        <w:r>
          <w:t>17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7.1总体要求</w:t>
        </w:r>
        <w:r>
          <w:tab/>
        </w:r>
        <w:r>
          <w:fldChar w:fldCharType="begin"/>
        </w:r>
        <w:r>
          <w:instrText xml:space="preserve"> PAGEREF _Toc256000033 \h </w:instrText>
        </w:r>
        <w:r>
          <w:fldChar w:fldCharType="separate"/>
        </w:r>
        <w:r>
          <w:t>17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7.2具体要求</w:t>
        </w:r>
        <w:r>
          <w:tab/>
        </w:r>
        <w:r>
          <w:fldChar w:fldCharType="begin"/>
        </w:r>
        <w:r>
          <w:instrText xml:space="preserve"> PAGEREF _Toc256000034 \h </w:instrText>
        </w:r>
        <w:r>
          <w:fldChar w:fldCharType="separate"/>
        </w:r>
        <w:r>
          <w:t>17</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kern w:val="36"/>
          </w:rPr>
          <w:t>8其他要求</w:t>
        </w:r>
        <w:r>
          <w:tab/>
        </w:r>
        <w:r>
          <w:fldChar w:fldCharType="begin"/>
        </w:r>
        <w:r>
          <w:instrText xml:space="preserve"> PAGEREF _Toc256000035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rPr>
          <w:t>8.1定价和结算要求</w:t>
        </w:r>
        <w:r>
          <w:tab/>
        </w:r>
        <w:r>
          <w:fldChar w:fldCharType="begin"/>
        </w:r>
        <w:r>
          <w:instrText xml:space="preserve"> PAGEREF _Toc256000036 \h </w:instrText>
        </w:r>
        <w:r>
          <w:fldChar w:fldCharType="separate"/>
        </w:r>
        <w:r>
          <w:t>19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8.2必备要求</w:t>
        </w:r>
        <w:r>
          <w:tab/>
        </w:r>
        <w:r>
          <w:fldChar w:fldCharType="begin"/>
        </w:r>
        <w:r>
          <w:instrText xml:space="preserve"> PAGEREF _Toc256000037 \h </w:instrText>
        </w:r>
        <w:r>
          <w:fldChar w:fldCharType="separate"/>
        </w:r>
        <w:r>
          <w:t>20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8.2.1通用必备要求</w:t>
        </w:r>
        <w:r>
          <w:tab/>
        </w:r>
        <w:r>
          <w:fldChar w:fldCharType="begin"/>
        </w:r>
        <w:r>
          <w:instrText xml:space="preserve"> PAGEREF _Toc256000038 \h </w:instrText>
        </w:r>
        <w:r>
          <w:fldChar w:fldCharType="separate"/>
        </w:r>
        <w:r>
          <w:t>20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8.3付款安排建议</w:t>
        </w:r>
        <w:r>
          <w:tab/>
        </w:r>
        <w:r>
          <w:fldChar w:fldCharType="begin"/>
        </w:r>
        <w:r>
          <w:instrText xml:space="preserve"> PAGEREF _Toc256000039 \h </w:instrText>
        </w:r>
        <w:r>
          <w:fldChar w:fldCharType="separate"/>
        </w:r>
        <w:r>
          <w:t>21</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8.4其他要求</w:t>
        </w:r>
        <w:r>
          <w:tab/>
        </w:r>
        <w:r>
          <w:fldChar w:fldCharType="begin"/>
        </w:r>
        <w:r>
          <w:instrText xml:space="preserve"> PAGEREF _Toc256000040 \h </w:instrText>
        </w:r>
        <w:r>
          <w:fldChar w:fldCharType="separate"/>
        </w:r>
        <w:r>
          <w:t>21</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8.4.1保密要求</w:t>
        </w:r>
        <w:r>
          <w:tab/>
        </w:r>
        <w:r>
          <w:fldChar w:fldCharType="begin"/>
        </w:r>
        <w:r>
          <w:instrText xml:space="preserve"> PAGEREF _Toc256000041 \h </w:instrText>
        </w:r>
        <w:r>
          <w:fldChar w:fldCharType="separate"/>
        </w:r>
        <w:r>
          <w:t>21</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8.4.2知识产权要求</w:t>
        </w:r>
        <w:r>
          <w:tab/>
        </w:r>
        <w:r>
          <w:fldChar w:fldCharType="begin"/>
        </w:r>
        <w:r>
          <w:instrText xml:space="preserve"> PAGEREF _Toc256000042 \h </w:instrText>
        </w:r>
        <w:r>
          <w:fldChar w:fldCharType="separate"/>
        </w:r>
        <w:r>
          <w:t>21</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5"/>
        <w:spacing w:before="0" w:after="0" w:line="360" w:lineRule="auto"/>
        <w:ind w:left="0" w:right="0" w:firstLine="480"/>
        <w:jc w:val="left"/>
        <w:rPr>
          <w:rFonts w:ascii="Times New Roman" w:eastAsia="Times New Roman" w:hAnsi="Times New Roman" w:cs="Times New Roman"/>
        </w:rPr>
      </w:pPr>
      <w:r>
        <w:rPr>
          <w:rFonts w:ascii="仿宋_GB2312" w:eastAsia="仿宋_GB2312" w:hAnsi="仿宋_GB2312" w:cs="仿宋_GB2312"/>
          <w:sz w:val="28"/>
          <w:szCs w:val="28"/>
        </w:rPr>
        <w:t>2025年滨海新区税务局食堂食材采购项目，为滨海新区税务局食堂提供果蔬水产奶制品类（包含蔬菜、水果、海鲜及海产品、鲜奶及奶制品、豆制品等）、鲜冻禽畜肉类（包含猪肉及副产品、牛羊肉及各部件、禽肉及各部件、肉制品及半成品等）、主副食调料等其他类（米、面、杂粮、油、鸡蛋及调料等）采购预算为人民币442.25万元，供应商按照本包金额进行投标报价，投标价格不得超过预算。投标价格不作为最终合同金额，采购食材按实际采购量进行结算，总结算金额不超过采购预算。</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15"/>
        <w:spacing w:before="0" w:after="0" w:line="360" w:lineRule="auto"/>
        <w:ind w:left="0" w:right="0" w:firstLine="480"/>
        <w:jc w:val="left"/>
        <w:rPr>
          <w:rFonts w:ascii="Times New Roman" w:eastAsia="Times New Roman" w:hAnsi="Times New Roman" w:cs="Times New Roman"/>
        </w:rPr>
      </w:pPr>
      <w:r>
        <w:rPr>
          <w:rFonts w:ascii="仿宋_GB2312" w:eastAsia="仿宋_GB2312" w:hAnsi="仿宋_GB2312" w:cs="仿宋_GB2312"/>
          <w:spacing w:val="0"/>
          <w:sz w:val="28"/>
          <w:szCs w:val="28"/>
        </w:rPr>
        <w:t>本项目旨在为</w:t>
      </w:r>
      <w:r>
        <w:rPr>
          <w:rFonts w:ascii="仿宋_GB2312" w:eastAsia="仿宋_GB2312" w:hAnsi="仿宋_GB2312" w:cs="仿宋_GB2312"/>
          <w:sz w:val="28"/>
          <w:szCs w:val="28"/>
        </w:rPr>
        <w:t>滨海新区税务局</w:t>
      </w:r>
      <w:r>
        <w:rPr>
          <w:rFonts w:ascii="仿宋_GB2312" w:eastAsia="仿宋_GB2312" w:hAnsi="仿宋_GB2312" w:cs="仿宋_GB2312"/>
          <w:spacing w:val="0"/>
          <w:sz w:val="28"/>
          <w:szCs w:val="28"/>
        </w:rPr>
        <w:t>食堂提供质优价廉的水果、蔬菜、水产品、鲜奶及奶制品、豆制品</w:t>
      </w:r>
      <w:r>
        <w:rPr>
          <w:rFonts w:ascii="仿宋_GB2312" w:eastAsia="仿宋_GB2312" w:hAnsi="仿宋_GB2312" w:cs="仿宋_GB2312"/>
          <w:spacing w:val="0"/>
          <w:sz w:val="28"/>
          <w:szCs w:val="28"/>
        </w:rPr>
        <w:t>、</w:t>
      </w:r>
      <w:r>
        <w:rPr>
          <w:rFonts w:ascii="仿宋_GB2312" w:eastAsia="仿宋_GB2312" w:hAnsi="仿宋_GB2312" w:cs="仿宋_GB2312"/>
          <w:sz w:val="28"/>
          <w:szCs w:val="28"/>
        </w:rPr>
        <w:t>猪肉及副产品、牛羊肉及各部件、禽肉及各部件、肉制品及半成品</w:t>
      </w:r>
      <w:r>
        <w:rPr>
          <w:rFonts w:ascii="仿宋_GB2312" w:eastAsia="仿宋_GB2312" w:hAnsi="仿宋_GB2312" w:cs="仿宋_GB2312"/>
          <w:sz w:val="28"/>
          <w:szCs w:val="28"/>
        </w:rPr>
        <w:t>，</w:t>
      </w:r>
      <w:r>
        <w:rPr>
          <w:rFonts w:ascii="仿宋_GB2312" w:eastAsia="仿宋_GB2312" w:hAnsi="仿宋_GB2312" w:cs="仿宋_GB2312"/>
          <w:sz w:val="28"/>
          <w:szCs w:val="28"/>
        </w:rPr>
        <w:t>米、面、杂粮、油、鸡蛋及调料</w:t>
      </w:r>
      <w:r>
        <w:rPr>
          <w:rFonts w:ascii="仿宋_GB2312" w:eastAsia="仿宋_GB2312" w:hAnsi="仿宋_GB2312" w:cs="仿宋_GB2312"/>
          <w:spacing w:val="0"/>
          <w:sz w:val="28"/>
          <w:szCs w:val="28"/>
        </w:rPr>
        <w:t>等食材</w:t>
      </w:r>
      <w:r>
        <w:rPr>
          <w:rFonts w:ascii="仿宋_GB2312" w:eastAsia="仿宋_GB2312" w:hAnsi="仿宋_GB2312" w:cs="仿宋_GB2312"/>
          <w:spacing w:val="0"/>
          <w:sz w:val="28"/>
          <w:szCs w:val="28"/>
        </w:rPr>
        <w:t>，</w:t>
      </w:r>
      <w:r>
        <w:rPr>
          <w:rFonts w:ascii="仿宋_GB2312" w:eastAsia="仿宋_GB2312" w:hAnsi="仿宋_GB2312" w:cs="仿宋_GB2312"/>
          <w:spacing w:val="0"/>
          <w:sz w:val="28"/>
          <w:szCs w:val="28"/>
        </w:rPr>
        <w:t>在确保区局食品安全的基础上，提供高效便捷的服务。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5"/>
        <w:spacing w:before="0" w:after="0" w:line="360" w:lineRule="auto"/>
        <w:ind w:firstLine="480"/>
        <w:jc w:val="left"/>
        <w:rPr>
          <w:rFonts w:ascii="Times New Roman" w:eastAsia="Times New Roman" w:hAnsi="Times New Roman" w:cs="Times New Roman"/>
        </w:rPr>
      </w:pPr>
      <w:r>
        <w:rPr>
          <w:rFonts w:ascii="仿宋_GB2312" w:eastAsia="仿宋_GB2312" w:hAnsi="仿宋_GB2312" w:cs="仿宋_GB2312"/>
          <w:sz w:val="28"/>
          <w:szCs w:val="28"/>
        </w:rPr>
        <w:t>本包采购内容为国家税务总局天津市</w:t>
      </w:r>
      <w:r>
        <w:rPr>
          <w:rFonts w:ascii="仿宋_GB2312" w:eastAsia="仿宋_GB2312" w:hAnsi="仿宋_GB2312" w:cs="仿宋_GB2312"/>
          <w:sz w:val="28"/>
          <w:szCs w:val="28"/>
        </w:rPr>
        <w:t>滨海新区</w:t>
      </w:r>
      <w:r>
        <w:rPr>
          <w:rFonts w:ascii="仿宋_GB2312" w:eastAsia="仿宋_GB2312" w:hAnsi="仿宋_GB2312" w:cs="仿宋_GB2312"/>
          <w:sz w:val="28"/>
          <w:szCs w:val="28"/>
        </w:rPr>
        <w:t>税务局食堂所需的蔬菜、水果、海鲜及海产品、鲜奶及奶制品、豆制品</w:t>
      </w:r>
      <w:r>
        <w:rPr>
          <w:rFonts w:ascii="仿宋_GB2312" w:eastAsia="仿宋_GB2312" w:hAnsi="仿宋_GB2312" w:cs="仿宋_GB2312"/>
          <w:sz w:val="28"/>
          <w:szCs w:val="28"/>
        </w:rPr>
        <w:t>、</w:t>
      </w:r>
      <w:r>
        <w:rPr>
          <w:rFonts w:ascii="仿宋_GB2312" w:eastAsia="仿宋_GB2312" w:hAnsi="仿宋_GB2312" w:cs="仿宋_GB2312"/>
          <w:sz w:val="28"/>
          <w:szCs w:val="28"/>
        </w:rPr>
        <w:t>鲜冻禽畜肉类</w:t>
      </w:r>
      <w:r>
        <w:rPr>
          <w:rFonts w:ascii="仿宋_GB2312" w:eastAsia="仿宋_GB2312" w:hAnsi="仿宋_GB2312" w:cs="仿宋_GB2312"/>
          <w:sz w:val="28"/>
          <w:szCs w:val="28"/>
        </w:rPr>
        <w:t>、</w:t>
      </w:r>
      <w:r>
        <w:rPr>
          <w:rFonts w:ascii="仿宋_GB2312" w:eastAsia="仿宋_GB2312" w:hAnsi="仿宋_GB2312" w:cs="仿宋_GB2312"/>
          <w:sz w:val="28"/>
          <w:szCs w:val="28"/>
        </w:rPr>
        <w:t>主副食调料等食材，含相应配送。</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5"/>
        <w:spacing w:before="0" w:after="0" w:line="360" w:lineRule="auto"/>
        <w:ind w:firstLine="482"/>
        <w:jc w:val="both"/>
        <w:textAlignment w:val="baseline"/>
        <w:rPr>
          <w:rFonts w:ascii="Times New Roman" w:eastAsia="Times New Roman" w:hAnsi="Times New Roman" w:cs="Times New Roman"/>
        </w:rPr>
      </w:pPr>
      <w:r>
        <w:rPr>
          <w:rFonts w:ascii="仿宋_GB2312" w:eastAsia="仿宋_GB2312" w:hAnsi="仿宋_GB2312" w:cs="仿宋_GB2312"/>
          <w:spacing w:val="0"/>
          <w:sz w:val="28"/>
          <w:szCs w:val="28"/>
        </w:rPr>
        <w:t>按照采购人需求，为</w:t>
      </w:r>
      <w:r>
        <w:rPr>
          <w:rFonts w:ascii="仿宋_GB2312" w:eastAsia="仿宋_GB2312" w:hAnsi="仿宋_GB2312" w:cs="仿宋_GB2312"/>
          <w:spacing w:val="0"/>
          <w:sz w:val="28"/>
          <w:szCs w:val="28"/>
        </w:rPr>
        <w:t>滨海新区税务局</w:t>
      </w:r>
      <w:r>
        <w:rPr>
          <w:rFonts w:ascii="仿宋_GB2312" w:eastAsia="仿宋_GB2312" w:hAnsi="仿宋_GB2312" w:cs="仿宋_GB2312"/>
          <w:spacing w:val="0"/>
          <w:sz w:val="28"/>
          <w:szCs w:val="28"/>
        </w:rPr>
        <w:t>提供</w:t>
      </w:r>
      <w:r>
        <w:rPr>
          <w:rFonts w:ascii="仿宋_GB2312" w:eastAsia="仿宋_GB2312" w:hAnsi="仿宋_GB2312" w:cs="仿宋_GB2312"/>
          <w:spacing w:val="0"/>
          <w:sz w:val="28"/>
          <w:szCs w:val="28"/>
        </w:rPr>
        <w:t>2025年度果蔬水产奶制品类</w:t>
      </w:r>
      <w:r>
        <w:rPr>
          <w:rFonts w:ascii="仿宋_GB2312" w:eastAsia="仿宋_GB2312" w:hAnsi="仿宋_GB2312" w:cs="仿宋_GB2312"/>
          <w:spacing w:val="0"/>
          <w:sz w:val="28"/>
          <w:szCs w:val="28"/>
        </w:rPr>
        <w:t>、</w:t>
      </w:r>
      <w:r>
        <w:rPr>
          <w:rFonts w:ascii="仿宋_GB2312" w:eastAsia="仿宋_GB2312" w:hAnsi="仿宋_GB2312" w:cs="仿宋_GB2312"/>
          <w:sz w:val="28"/>
          <w:szCs w:val="28"/>
        </w:rPr>
        <w:t>鲜冻禽畜肉</w:t>
      </w:r>
      <w:r>
        <w:rPr>
          <w:rFonts w:ascii="仿宋_GB2312" w:eastAsia="仿宋_GB2312" w:hAnsi="仿宋_GB2312" w:cs="仿宋_GB2312"/>
          <w:spacing w:val="0"/>
          <w:sz w:val="28"/>
          <w:szCs w:val="28"/>
        </w:rPr>
        <w:t>类</w:t>
      </w:r>
      <w:r>
        <w:rPr>
          <w:rFonts w:ascii="仿宋_GB2312" w:eastAsia="仿宋_GB2312" w:hAnsi="仿宋_GB2312" w:cs="仿宋_GB2312"/>
          <w:spacing w:val="0"/>
          <w:sz w:val="28"/>
          <w:szCs w:val="28"/>
        </w:rPr>
        <w:t>、</w:t>
      </w:r>
      <w:r>
        <w:rPr>
          <w:rFonts w:ascii="仿宋_GB2312" w:eastAsia="仿宋_GB2312" w:hAnsi="仿宋_GB2312" w:cs="仿宋_GB2312"/>
          <w:sz w:val="28"/>
          <w:szCs w:val="28"/>
        </w:rPr>
        <w:t>主副食调料等</w:t>
      </w:r>
      <w:r>
        <w:rPr>
          <w:rFonts w:ascii="仿宋_GB2312" w:eastAsia="仿宋_GB2312" w:hAnsi="仿宋_GB2312" w:cs="仿宋_GB2312"/>
          <w:spacing w:val="0"/>
          <w:sz w:val="28"/>
          <w:szCs w:val="28"/>
        </w:rPr>
        <w:t>食材，并提供相应简单加工及配送服务。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自签订合同之日起</w:t>
      </w:r>
      <w:r>
        <w:rPr>
          <w:rFonts w:ascii="仿宋_GB2312" w:eastAsia="仿宋_GB2312" w:hAnsi="仿宋_GB2312" w:cs="仿宋_GB2312"/>
          <w:sz w:val="28"/>
          <w:szCs w:val="28"/>
        </w:rPr>
        <w:t>1年。</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b w:val="0"/>
          <w:bCs w:val="0"/>
          <w:sz w:val="28"/>
          <w:szCs w:val="28"/>
        </w:rPr>
        <w:t>国家税务总局天津市</w:t>
      </w:r>
      <w:r>
        <w:rPr>
          <w:rFonts w:ascii="仿宋_GB2312" w:eastAsia="仿宋_GB2312" w:hAnsi="仿宋_GB2312" w:cs="仿宋_GB2312"/>
          <w:b w:val="0"/>
          <w:bCs w:val="0"/>
          <w:sz w:val="28"/>
          <w:szCs w:val="28"/>
        </w:rPr>
        <w:t>滨海新区税务局包含大连道办公区（滨海新区大连道</w:t>
      </w:r>
      <w:r>
        <w:rPr>
          <w:rFonts w:ascii="仿宋_GB2312" w:eastAsia="仿宋_GB2312" w:hAnsi="仿宋_GB2312" w:cs="仿宋_GB2312"/>
          <w:b w:val="0"/>
          <w:bCs w:val="0"/>
          <w:sz w:val="28"/>
          <w:szCs w:val="28"/>
        </w:rPr>
        <w:t>1428号）、一大街办公区（滨海新区一大街12号）、育梁街办公区（滨海新区大港街道学海路和育梁街交口）和海滨税务所（滨海新区海滨街道幸福路和开发道交口）</w:t>
      </w:r>
      <w:r>
        <w:rPr>
          <w:rFonts w:ascii="仿宋_GB2312" w:eastAsia="仿宋_GB2312" w:hAnsi="仿宋_GB2312" w:cs="仿宋_GB2312"/>
          <w:b w:val="0"/>
          <w:bCs w:val="0"/>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投标人应遵守有关国家法律、法规和条例</w:t>
      </w:r>
      <w:r>
        <w:rPr>
          <w:rFonts w:ascii="仿宋_GB2312" w:eastAsia="仿宋_GB2312" w:hAnsi="仿宋_GB2312" w:cs="仿宋_GB2312"/>
          <w:sz w:val="28"/>
          <w:szCs w:val="28"/>
        </w:rPr>
        <w:t>,具备《中华人民共和国政府采购法》第二十二条的规定和本文件中规定的条件。</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投标人具有《食品经营许可证》，主体业态至少包含食品销售经营者，提供证书扫描件。</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933"/>
        <w:gridCol w:w="4198"/>
        <w:gridCol w:w="419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225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225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食品安全管理体系认证证书（ISO 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职业健康安全管理体系认证证书（ISO45001 ）</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 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pStyle w:val="MsoNormal"/>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有效案例为</w:t>
      </w:r>
      <w:r>
        <w:rPr>
          <w:rFonts w:ascii="仿宋_GB2312" w:eastAsia="仿宋_GB2312" w:hAnsi="仿宋_GB2312" w:cs="仿宋_GB2312"/>
          <w:sz w:val="28"/>
          <w:szCs w:val="28"/>
        </w:rPr>
        <w:t>2022年1月1日以来（以合同签订日期为准），供应商独立承担的食材供应项目案例（必须包含本包采购的</w:t>
      </w:r>
      <w:r>
        <w:rPr>
          <w:rFonts w:ascii="仿宋_GB2312" w:eastAsia="仿宋_GB2312" w:hAnsi="仿宋_GB2312" w:cs="仿宋_GB2312"/>
          <w:spacing w:val="0"/>
          <w:sz w:val="28"/>
          <w:szCs w:val="28"/>
        </w:rPr>
        <w:t>水果、蔬菜、水产品、鲜奶及奶制品、豆制品</w:t>
      </w:r>
      <w:r>
        <w:rPr>
          <w:rFonts w:ascii="仿宋_GB2312" w:eastAsia="仿宋_GB2312" w:hAnsi="仿宋_GB2312" w:cs="仿宋_GB2312"/>
          <w:spacing w:val="0"/>
          <w:sz w:val="28"/>
          <w:szCs w:val="28"/>
        </w:rPr>
        <w:t>、</w:t>
      </w:r>
      <w:r>
        <w:rPr>
          <w:rFonts w:ascii="仿宋_GB2312" w:eastAsia="仿宋_GB2312" w:hAnsi="仿宋_GB2312" w:cs="仿宋_GB2312"/>
          <w:sz w:val="28"/>
          <w:szCs w:val="28"/>
        </w:rPr>
        <w:t>猪肉及副产品、牛羊肉及各部件、禽肉及各部件、肉制品及半成品</w:t>
      </w:r>
      <w:r>
        <w:rPr>
          <w:rFonts w:ascii="仿宋_GB2312" w:eastAsia="仿宋_GB2312" w:hAnsi="仿宋_GB2312" w:cs="仿宋_GB2312"/>
          <w:sz w:val="28"/>
          <w:szCs w:val="28"/>
        </w:rPr>
        <w:t>，</w:t>
      </w:r>
      <w:r>
        <w:rPr>
          <w:rFonts w:ascii="仿宋_GB2312" w:eastAsia="仿宋_GB2312" w:hAnsi="仿宋_GB2312" w:cs="仿宋_GB2312"/>
          <w:sz w:val="28"/>
          <w:szCs w:val="28"/>
        </w:rPr>
        <w:t>米、面、杂粮、油、鸡蛋及调料</w:t>
      </w:r>
      <w:r>
        <w:rPr>
          <w:rFonts w:ascii="仿宋_GB2312" w:eastAsia="仿宋_GB2312" w:hAnsi="仿宋_GB2312" w:cs="仿宋_GB2312"/>
          <w:spacing w:val="0"/>
          <w:sz w:val="28"/>
          <w:szCs w:val="28"/>
        </w:rPr>
        <w:t>等食材</w:t>
      </w:r>
      <w:r>
        <w:rPr>
          <w:rFonts w:ascii="仿宋_GB2312" w:eastAsia="仿宋_GB2312" w:hAnsi="仿宋_GB2312" w:cs="仿宋_GB2312"/>
          <w:sz w:val="28"/>
          <w:szCs w:val="28"/>
        </w:rPr>
        <w:t>），予以加分考虑。</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供应商须承诺所提供</w:t>
      </w:r>
      <w:r>
        <w:rPr>
          <w:rFonts w:ascii="FangSong_GB2312" w:eastAsia="FangSong_GB2312" w:hAnsi="FangSong_GB2312" w:cs="FangSong_GB2312"/>
          <w:sz w:val="28"/>
          <w:szCs w:val="28"/>
        </w:rPr>
        <w:t>的</w:t>
      </w:r>
      <w:r>
        <w:rPr>
          <w:rFonts w:ascii="FangSong_GB2312" w:eastAsia="FangSong_GB2312" w:hAnsi="FangSong_GB2312" w:cs="FangSong_GB2312"/>
          <w:sz w:val="28"/>
          <w:szCs w:val="28"/>
        </w:rPr>
        <w:t>货物</w:t>
      </w:r>
      <w:r>
        <w:rPr>
          <w:rFonts w:ascii="FangSong_GB2312" w:eastAsia="FangSong_GB2312" w:hAnsi="FangSong_GB2312" w:cs="FangSong_GB2312"/>
          <w:sz w:val="28"/>
          <w:szCs w:val="28"/>
        </w:rPr>
        <w:t>、人</w:t>
      </w:r>
      <w:r>
        <w:rPr>
          <w:rFonts w:ascii="仿宋_GB2312" w:eastAsia="仿宋_GB2312" w:hAnsi="仿宋_GB2312" w:cs="仿宋_GB2312"/>
          <w:sz w:val="28"/>
          <w:szCs w:val="28"/>
        </w:rPr>
        <w:t>员符合相关国家强制性规定。具体需求详见项目需求、人员要求、管理实施要求、风险管控要求、履约验收要求及其他要求。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以下相关方案，若作为评审因素，则投标人应在满足★必备指标项要求的前提下，根据项目特点和采购需求，制定更为完整、详细、可操作性强的方案。</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（一）提供针对本项目特点的专业化服务方案：投标人应详细阐述对本项目整体需求内容的理解，包含符合本项目实际情况的食材配送等方案；</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（二）配送及时性准时性措施：投标人应详细阐述如何保证本项目准时送达的方案措施，包含日常食材准时送达的方案、采购人紧急采购的食材准时送达的方案，以及未按时送达时的挽回方案等内容；</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 xml:space="preserve">（三）质量安全把控措施：投标人应详细阐述如何保证食材质量安全把控的方案措施，包含检验检疫关键环节把控、不符合质量标准货品处置等方面内容； </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（四）供应措施：投标人应详细阐述如何保证食材供应的方案措施，包含服务团队管理措施、内部采购管理措施、储存分拣管理措施、科学合理运输措施等方面内容。</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765"/>
        <w:gridCol w:w="1964"/>
        <w:gridCol w:w="2804"/>
        <w:gridCol w:w="1306"/>
        <w:gridCol w:w="1265"/>
        <w:gridCol w:w="1226"/>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洋白菜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小白菜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菠菜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韭黄</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油麦菜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空心菜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娃娃菜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白萝卜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葱头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生姜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新鲜蔬菜类调味品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蒜苔</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芹菜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莴笋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芦笋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莲藕</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蒜薹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菜花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西红柿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西兰花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彩椒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茄子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西葫芦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冬瓜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南瓜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荷兰豆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四季豆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平菇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金针菇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杏鲍菇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虫草花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口蘑</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茼蒿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豆芽</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苦瓜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丝瓜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玉米棒子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芋头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山药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土豆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桃子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脐橙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橘子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柑橘</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李子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火龙果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西瓜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哈密瓜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菜瓜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羊角蜜瓜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柚子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苹果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小平鱼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目鱼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小黄鱼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鲈鱼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鲅鱼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梭鱼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黄姑鱼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蛤蜊</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蛏子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海带</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带鱼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鲽鱼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乖子鱼</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海米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牛奶（鲜牛奶及包装牛奶等）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奶及奶制品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酸奶及乳制品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杯</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豆制品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猪精瘦肉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猪排骨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猪肉馅（3:7）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猪五花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猪下水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猪蹄</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牛肋条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牛腱子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牛骨等各部位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羊肉卷</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羊肋排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羊杂等各部位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羊蝎子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鹅肉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骨肉相连</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毛肚</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熏酱卤烧烤肉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午餐肉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蚕豆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绿豆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红小豆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黑豆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青豆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芝麻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玉米粉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谷物杂粮类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混合杂粮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酱油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豆瓣酱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料酒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芝麻酱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花生酱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火锅底料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蚝油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蒸鱼豉油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胡椒粉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椒盐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孜然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花椒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八角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干辣椒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茴香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桂皮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辣椒酱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虾酱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榨菜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韭菜花酱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酸菜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各种腌制咸菜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其他干调料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味精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鸡精</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糖</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淀粉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腐乳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复合调味粉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酵母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黄油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奶油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小苏打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泡打粉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吉利丁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点心调味粉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酥油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调料类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速冻水饺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粉丝</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粉条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副食类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春卷皮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鹌鹑蛋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皮蛋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咸蛋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干木耳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干香菇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干茶树菇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银耳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竹荪</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干腐竹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紫菜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大枣</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芡实</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枸杞</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莲子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桂圆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蛋挞皮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披萨皮</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奥利奥碎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燕麦片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米线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面条、挂面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方便面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桶/袋</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汤圆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银丝卷</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糕点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饼干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糯米粉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1380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果子面</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瓜子仁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果干</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干果碎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蜂蜜</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番茄酱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采购文件（技术部分）中有标注★号的，为必备要求，必须满足，如未作出响应，将导致响应无效；#为重要内容、△为一般内容。</w:t>
      </w:r>
    </w:p>
    <w:tbl>
      <w:tblPr>
        <w:tblW w:w="5000" w:type="pct"/>
        <w:tblInd w:w="30" w:type="dxa"/>
        <w:tblCellMar>
          <w:top w:w="15" w:type="dxa"/>
          <w:left w:w="15" w:type="dxa"/>
          <w:bottom w:w="15" w:type="dxa"/>
          <w:right w:w="15" w:type="dxa"/>
        </w:tblCellMar>
      </w:tblPr>
      <w:tblGrid>
        <w:gridCol w:w="459"/>
        <w:gridCol w:w="848"/>
        <w:gridCol w:w="2592"/>
        <w:gridCol w:w="25500"/>
        <w:gridCol w:w="654"/>
        <w:gridCol w:w="1627"/>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食品必须符合国家饮食卫生标准，同时保证食品新鲜，不得出现腐烂、变质，以次充好等情况；</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食品的质量与包装应符合国家相关法律法规的规定，符合行业主管部门发布的规定、标准、规范；</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按规定必须经由法定食品检验机构检测的食品，投标人应在交货时向采购人提供同批次食品检验报告或合格证（复印件加盖公章）。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对于没有国家标准的应符合行业标准或企业标准，其中国家有强制性技术标准要求的产品，还应符合国家强制性技术标准，确保配送的货物安全、卫生。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蔬菜和水果化学药物不超标，保持较好的色泽及新鲜度，无黄叶、泥沙；包装食品标注生产厂家，生产日期，并在保质期范围内，保持较好的外观；水产品品质新鲜质量安全。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配送食材送达时不超过食材生产日期至保质期限日的 1/3（例如：食材保质期限为 10 天以内的，送达时间不能超过3天；食材保质期为6个月以内的，送达时间不能超过2个月，其他同理以此类推）。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所供生鲜肉确保为出厂后48小时内；冻肉确保为出厂后3个月内。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冻品外包装需密封、完整，无破损，商品合格证齐全。冻品在解冻后，发现质量问题承诺退货。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所有食材的来源清晰，蔬菜来源于受到地方政府部门监管的自有基地、商品菜基地或蔬菜专业流通市场，不供应散户溯源不清的蔬菜；肉类渠道来源正规可溯，参考正规市场品质及来源。（提供承诺函，格式自拟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鲜冻禽肉类通用质量要求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鲜猪肉通用质量要求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五花肉质量要求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一级五花肉，肥膘厚度≤2.0cm，肥瘦相间，肉质细腻，三层见花。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肋排去剔前排后11-13根肋骨，整块重量1.2KG-1.8KG，纹理清晰，边缘整齐。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心肝、腰子类：品质新鲜、外形完整、无异味、无病变、无凝血块、无血污、泥污、颜色正常。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肚：品质新鲜、外形完整、无溃疡面及其他病变现象、无内容物、无粘膜、无边油。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大肠、肥肠类：品质新鲜、无破损、无病变组织、无肠头细毛、无内容物、去净粘膜。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舌：品质新鲜、外形完整、无病变、无异物、无舌苔、附肉少、无血污、泥污。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耳：品质新鲜、外形完整、无溃烂、病斑、无破损。</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蹄爪类：品质新鲜、去蹄壳、不带蹄筋、刮除粗毛、细毛及趾间黑垢、无松香残留。</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蹄筋类：品质新鲜、无色透明、表面光亮、无油脂、无精肉、无充血现象、顺直、干燥。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猪口条：品质新鲜，外形完整，无根附着的肌肉、舌骨、舌苔、脂肪、无病伤，无异物。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猪尾：品质新鲜，去毛洁净，不带毛根或绒毛。</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鲜牛肉通用质量要求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牛柳（牛里脊肉）质量要求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精修牛里脊，圆形长条，形如黄瓜，肉质非常细嫩。</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精修牛腩肉，牛腹部及靠近牛肋处的松软肌肉，带有筋、肉、油花的肉块。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鲜羊肉质量要求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冻畜肉质量要求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外表：无杂质，无肌肉风干现象，无白、黄、绿斑、紫斑、污血、过多冰衣无白霜、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气味：化冻时，有肉的正常味，略潮，没有熟肉味。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包装：按标准部位分割外包装无破损有生产日期。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鲜鸡（鸭、鹅）类质量要求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眼球：无干缩凹陷或晶体状浑浊现象。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外表：具有其固有表皮颜色、肌肉切面有光泽、无绿、紫等异常颜色、无残羽（万其在脖、翅等处无较长细毛）、无破损、无残缺、新切面不发粘。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气味：具有其固有气味、无异味。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弹性：指压后凹陷、能恢复。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鲜鸡类各部件质量要求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鸡胸肉：品质新鲜、无残羽、无血水、血污、无残骨、无伤斑、溃烂、炎症，允许有少数红斑。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鸡肝：品质新鲜、外形完整、去胆、无寄生虫、炎症、水泡，无胆汁污染无血渍。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鸡胗：品质新鲜、外形完整无内容物、鸡内金、腺胃、肠管及脂肪，无出血、瘀血、病变。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鸡心：品质新鲜、褐红色，脂肪稍红，组织结实，有弹性，心房内无瘀血、病变，气味正常。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鸡脖：品质新鲜、去劲部皮、无羽毛、无血污。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鸡头：品质新鲜、外形完整、无伤斑、无溃烂、无血污。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蹄筋：品质新鲜，无色透明，表面光亮，无油脂，无精肉，无充血现顺直、干燥。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冻禽肉质量要求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色泽：外观滋润，呈乳白或微黄色。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外表：基本无血脉、风干现象，无白、黄绿、紫斑、无冰衣，解冻后与鲜禽特征相同。</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气味：无腐臭气味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包装：分割部件应符合标准，外包装完好、商标规格、产品说明清晰完整。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鲜冻鱼质量要求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供应当季各类新鲜蔬菜以及大棚种植蔬菜，蔬菜类无黄叶、枯死叶，无虫，无杂质，原菜菜面干净、无明显泥土、码放整齐、无破损、大小基本统一、不得过熟或欠熟.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蔬菜质量要求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净菜须保证菜面完全干净、无泥土、按统一标准加工、码放整齐、无须二次处理可以直接进行熟加工。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水果质量要求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供应当季各类水果，无虫、无杂质。果面干净，无明显泥土，码放整齐，无破损，大小基本统一，不过熟或欠熟。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面条米线质量要求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不含非食品用化学物质、无杂质。以小麦、大米为原料的面条、米线颜色呈白色、乳白色、奶黄色，色亮不发灰发暗。表面结构细密、光滑。软硬适中，爽口不粘牙，口感光滑，具有清香，无异味。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鸡蛋质量要求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一级清洁鸡蛋，蛋壳清洁完整，呈规则卵圆形，具有蛋壳固有的色泽，表面无肉眼可见污物，鸡蛋新鲜，蛋白浓稠、蛋黄圆润，单个鸡蛋重量58～68g。</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豆腐及豆制品质量要求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须保证食品干净，不含非食品用化学物质，按统一标准加工，码放整齐，无须二次处理可以直接进行熟加工。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符合GB/T 1354-2018中关于一级米的标准，加工精度为精碾，小碎米含量≤1.0%，不完善粒≤3.0%，带壳稗粒≤3粒/公斤，带谷粒≤4粒/公斤。</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通用面粉达GB/T 1355-2021国家标准。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面粉（含面粉配料）质量标准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高筋面粉达GB/T 8607-1988国家标准，质量等级一级；低筋面粉达GB8608-1988标准，质量等级一级。色泽正常，干爽无异味。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食用油通用标准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供应非转基因食用油。外观的色泽、透明度、气味滋味等无异常，定型包装。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大豆油质量标准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符合质量标准GB/T1535-2017，质量等级一级，色泽为淡黄至浅黄色，冷冻实验澄清、透明，无异味、口感好，水分及挥发物质含量≤0.10%，不溶性杂质含量≤0.05%，酸价≤0.50ng/g，过氧化值≤5.0mmol/kg,烟点≥190℃。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认证的相关证明资料。（提供承诺函，格式自拟并加盖公章。）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tbl>
      <w:tblPr>
        <w:tblW w:w="5000" w:type="pct"/>
        <w:tblInd w:w="30" w:type="dxa"/>
        <w:tblCellMar>
          <w:top w:w="15" w:type="dxa"/>
          <w:left w:w="15" w:type="dxa"/>
          <w:bottom w:w="15" w:type="dxa"/>
          <w:right w:w="15" w:type="dxa"/>
        </w:tblCellMar>
      </w:tblPr>
      <w:tblGrid>
        <w:gridCol w:w="496"/>
        <w:gridCol w:w="1754"/>
        <w:gridCol w:w="2174"/>
        <w:gridCol w:w="22544"/>
        <w:gridCol w:w="707"/>
        <w:gridCol w:w="1761"/>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9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库房，面积不小于300平米；投标人自有或租赁冷库，吨位不小于200吨（或冷库面积不小于80平米）。能够满足按采购人需求完成配送任务，确保4个办公区同时送货。（提供产权证明或租赁合同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投标人自有或固定租赁2台以上冷藏车辆，确保24小时响应，按采购人需求完成配送任务，确保4个办公区同时送货。（自有车辆提供自有证明材料，租赁车辆提供租赁合同复印件证明。）</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具有自有、签约的猪肉屠宰、加工厂或者直销、代理、经销商资格之一。（提供相应证明材料复印件）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具有自有、签约的牛肉屠宰、加工厂或者直销、代理、经销商资格之一。（提供相应证明材料复印件）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具有自有、签约的羊肉屠宰、加工厂或者直销、代理、经销商资格之一。（提供相应证明材料复印件）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具有自有、签约的禽肉屠宰、加工厂或者直销、代理、经销商资格之一。（提供相应证明材料复印件）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水产供应链能力要求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具有自有或签约供货的水产生产工厂或者直销、代理、经销商资格之一。（提供相应证明材料复印件）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果蔬供应链能力要求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具有自有或签约供货的蔬菜、水果基地之一。（提供相应证明材料复印件）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主食供应链能力要求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具有自有、签约的大米、面粉生产基地、加工厂或者直销、代理、经销商资格之一。（提供相应证明材料复印件）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食用油供应链能力要求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具有自有或签约的食用油加工厂或者直销、代理、经销商资格之一。（提供相应证明材料复印件）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牛奶供应链能力要求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具有自有或签约的牛奶生产工厂或者直销、代理、经销商资格之一。（提供相应证明材料复印件）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蛋类供应链能力要求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具有自有或签约的蛋类生产工厂或者直销、代理、经销商资格之一。（提供相应证明材料复印件）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2022年 1月1日以来具有本项目拟配送食材的进货内容。（提供2022年1月1日以来的从上游供货商进货单或双方的合作协议或交易发票。合作协议或交易发票中应体现投标人名称。）</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能够完成本项目采购食材的简易加工，如鲜冻禽畜肉切丝、丁、块、片；鱼类宰杀去鳃、去鳞、去内脏；蔬菜洗净削皮等。（提供承诺函，格式自拟，加盖公章。）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规范包装要求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采购人按期（日/周）向投标人发布采购内容，投标人应在送货前一个工作日与采购人核对确认采购内容无误后，在次日6点前配送至采购人指定验收地点。（提供承诺函，格式自拟，加盖公章。）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个小时内完成配送。（提供承诺函，格式自拟，加盖公章。）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根据《政府采购货物和服务招标投标管理办法》（财政部令第</w:t>
      </w:r>
      <w:r>
        <w:rPr>
          <w:rFonts w:ascii="仿宋_GB2312" w:eastAsia="仿宋_GB2312" w:hAnsi="仿宋_GB2312" w:cs="仿宋_GB2312"/>
          <w:sz w:val="28"/>
          <w:szCs w:val="28"/>
        </w:rPr>
        <w:t>87号）第六十条的规定，评标委员会认为投标人的报价明显低于其他通过符合性审查投标人的报价，有可能影响产品质量或者不能诚信履约的，应当启动异常低价投标（响应）审查程序，要求该投标人在评标现场合理的时间内提供书面说明，必要时提交相关证明材料；投标人不能证明其报价合理性的，评标委员会应当将其作为无效投标处理。</w:t>
      </w:r>
    </w:p>
    <w:p>
      <w:pPr>
        <w:pStyle w:val="MsoNormal"/>
        <w:spacing w:before="0" w:after="0" w:line="360" w:lineRule="auto"/>
        <w:ind w:firstLine="480"/>
        <w:rPr>
          <w:rFonts w:ascii="Times New Roman" w:eastAsia="Times New Roman" w:hAnsi="Times New Roman" w:cs="Times New Roman"/>
        </w:rPr>
      </w:pPr>
      <w:r>
        <w:rPr>
          <w:rFonts w:ascii="Times New Roman" w:eastAsia="Times New Roman" w:hAnsi="Times New Roman" w:cs="Times New Roman"/>
          <w:sz w:val="28"/>
          <w:szCs w:val="28"/>
        </w:rPr>
        <w:t>采购产品一览表中食材数量为预估数量，在服务期中，以采购人下达的订单数量为准。采购人有权在不超过采购预算的前提下，向中标供应商下达每日具体采购订单。</w:t>
      </w:r>
    </w:p>
    <w:p>
      <w:pPr>
        <w:pStyle w:val="Heading3"/>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sz w:val="28"/>
          <w:szCs w:val="28"/>
        </w:rPr>
        <w:t>3.5.1质量安全把控服务要求</w:t>
      </w:r>
      <w:bookmarkEnd w:id="28"/>
    </w:p>
    <w:p>
      <w:pPr>
        <w:pStyle w:val="19"/>
        <w:spacing w:before="0" w:after="0" w:line="360" w:lineRule="auto"/>
        <w:ind w:firstLine="642"/>
        <w:rPr>
          <w:rFonts w:ascii="Times New Roman" w:eastAsia="Times New Roman" w:hAnsi="Times New Roman" w:cs="Times New Roman"/>
        </w:rPr>
      </w:pPr>
      <w:r>
        <w:rPr>
          <w:rFonts w:ascii="仿宋_GB2312" w:eastAsia="仿宋_GB2312" w:hAnsi="仿宋_GB2312" w:cs="仿宋_GB2312"/>
          <w:sz w:val="28"/>
          <w:szCs w:val="28"/>
        </w:rPr>
        <w:t>1.投标人应提供质量安全把控方案。</w:t>
      </w:r>
      <w:r>
        <w:rPr>
          <w:rFonts w:ascii="仿宋_GB2312" w:eastAsia="仿宋_GB2312" w:hAnsi="仿宋_GB2312" w:cs="仿宋_GB2312"/>
          <w:sz w:val="28"/>
          <w:szCs w:val="28"/>
        </w:rPr>
        <w:t>方案内容详细描述供应货物质量把控措施、检验检疫关键环节把控、不符合质量标准货品处置等内容，确保提供食材安全可靠。</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2.投标人供应以下食品的，采购人全部退货，投标人承担由此造成的一切经济责任和法律责任：</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1）腐败变质、油脂酸败、霉变、生虫、污秽不洁、混有异物或者其他感官性状异常，对人体健康有害的；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2）含有毒、有害物质或者被有毒、有害物质污染，对人体健康有害的；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3）含有致病性寄生虫、微生物或者微生物含量超过国家限定标准的；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4）掺假、掺杂、伪造，影响营养、卫生的；</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w:t>
      </w:r>
      <w:r>
        <w:rPr>
          <w:rFonts w:ascii="仿宋_GB2312" w:eastAsia="仿宋_GB2312" w:hAnsi="仿宋_GB2312" w:cs="仿宋_GB2312"/>
          <w:sz w:val="28"/>
          <w:szCs w:val="28"/>
        </w:rPr>
        <w:t>）未经动物检疫部门检疫、检验或者检疫、检验不合格的肉类及其制品；</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6</w:t>
      </w:r>
      <w:r>
        <w:rPr>
          <w:rFonts w:ascii="仿宋_GB2312" w:eastAsia="仿宋_GB2312" w:hAnsi="仿宋_GB2312" w:cs="仿宋_GB2312"/>
          <w:sz w:val="28"/>
          <w:szCs w:val="28"/>
        </w:rPr>
        <w:t>）病死、毒死或者死因不明的禽、畜、兽等及其制品；</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7</w:t>
      </w:r>
      <w:r>
        <w:rPr>
          <w:rFonts w:ascii="仿宋_GB2312" w:eastAsia="仿宋_GB2312" w:hAnsi="仿宋_GB2312" w:cs="仿宋_GB2312"/>
          <w:sz w:val="28"/>
          <w:szCs w:val="28"/>
        </w:rPr>
        <w:t>）用非食品原料加工的，加入非食品用化学物质或者将非食品当作食品的；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8</w:t>
      </w:r>
      <w:r>
        <w:rPr>
          <w:rFonts w:ascii="仿宋_GB2312" w:eastAsia="仿宋_GB2312" w:hAnsi="仿宋_GB2312" w:cs="仿宋_GB2312"/>
          <w:sz w:val="28"/>
          <w:szCs w:val="28"/>
        </w:rPr>
        <w:t>）超过保质期限的；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9</w:t>
      </w:r>
      <w:r>
        <w:rPr>
          <w:rFonts w:ascii="仿宋_GB2312" w:eastAsia="仿宋_GB2312" w:hAnsi="仿宋_GB2312" w:cs="仿宋_GB2312"/>
          <w:sz w:val="28"/>
          <w:szCs w:val="28"/>
        </w:rPr>
        <w:t>）使用有色、有毒塑料制品、包装食材的；</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10</w:t>
      </w:r>
      <w:r>
        <w:rPr>
          <w:rFonts w:ascii="仿宋_GB2312" w:eastAsia="仿宋_GB2312" w:hAnsi="仿宋_GB2312" w:cs="仿宋_GB2312"/>
          <w:sz w:val="28"/>
          <w:szCs w:val="28"/>
        </w:rPr>
        <w:t>）其他不符合《食品安全法》、《和产品质量法》和《动物检疫管理办法》等相关规定的。</w:t>
      </w:r>
    </w:p>
    <w:p>
      <w:pPr>
        <w:pStyle w:val="15"/>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3.凡投标人所供应货物应为原箱包装，拆包或重组包装的应提前向采购人说明，定量包装批量误差不应超过实际标示的5%。</w:t>
      </w:r>
    </w:p>
    <w:p>
      <w:pPr>
        <w:pStyle w:val="Heading3"/>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sz w:val="28"/>
          <w:szCs w:val="28"/>
        </w:rPr>
        <w:t>3.5.2供应方案要求</w:t>
      </w:r>
      <w:bookmarkEnd w:id="29"/>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sz w:val="28"/>
          <w:szCs w:val="28"/>
        </w:rPr>
        <w:t>投标人应提交科学合理的供应方案。方案应包含服务团队管理措施、内部采购管理措施、储存分拣管理措施、科学合理运输措施等。</w:t>
      </w:r>
    </w:p>
    <w:p>
      <w:pPr>
        <w:pStyle w:val="Heading1"/>
        <w:keepNext w:val="0"/>
        <w:spacing w:before="0" w:after="0" w:line="360" w:lineRule="auto"/>
        <w:jc w:val="center"/>
        <w:rPr>
          <w:rFonts w:ascii="仿宋_GB2312" w:eastAsia="仿宋_GB2312" w:hAnsi="仿宋_GB2312" w:cs="仿宋_GB2312"/>
          <w:b/>
          <w:bCs/>
          <w:sz w:val="32"/>
          <w:szCs w:val="32"/>
        </w:rPr>
      </w:pPr>
      <w:bookmarkStart w:id="30" w:name="_Toc256000027"/>
      <w:r>
        <w:rPr>
          <w:rFonts w:ascii="仿宋_GB2312" w:eastAsia="仿宋_GB2312" w:hAnsi="仿宋_GB2312" w:cs="仿宋_GB2312"/>
          <w:kern w:val="36"/>
        </w:rPr>
        <w:t>4人员要求</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4.1团队要求</w:t>
      </w:r>
      <w:bookmarkEnd w:id="31"/>
    </w:p>
    <w:p>
      <w:pPr>
        <w:pStyle w:val="Heading3"/>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sz w:val="28"/>
          <w:szCs w:val="28"/>
        </w:rPr>
        <w:t>4.1.1基本要求</w:t>
      </w:r>
      <w:bookmarkEnd w:id="32"/>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1.投标人应提供专业的管理和采购团队，团队编制和人员资质务必保证运营服务质量。提供的服务团队应保持稳定，承诺项目执行期间人员变动不超过20%。</w:t>
      </w:r>
    </w:p>
    <w:p>
      <w:pPr>
        <w:pStyle w:val="17"/>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sz w:val="28"/>
          <w:szCs w:val="28"/>
        </w:rPr>
        <w:t>2. 投标人服务团队须配有以下人员，出具盖有投标人公章的服务团队人员名单。</w:t>
      </w:r>
    </w:p>
    <w:p>
      <w:pPr>
        <w:pStyle w:val="17"/>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sz w:val="28"/>
          <w:szCs w:val="28"/>
        </w:rPr>
        <w:t>为本项目提供的服务团队中所有人员必须提供缴纳社保证明材料，除会计外必须具有从业人员健康证明，否则</w:t>
      </w:r>
      <w:r>
        <w:rPr>
          <w:rFonts w:ascii="仿宋_GB2312" w:eastAsia="仿宋_GB2312" w:hAnsi="仿宋_GB2312" w:cs="仿宋_GB2312"/>
          <w:b/>
          <w:bCs/>
          <w:sz w:val="28"/>
          <w:szCs w:val="28"/>
        </w:rPr>
        <w:t>不予认可。</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1）经理1人，具有5年以上食材供应项目管理工作经验。</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2）供应业务员2人，具有3年及以上食材供应项目工作经验。</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3）食品安全管理员1人，具有3年及以上食品安全管理工作经验。</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4）采购员2人，具有3年及以上食材采购工作经验。</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w:t>
      </w:r>
      <w:r>
        <w:rPr>
          <w:rFonts w:ascii="仿宋_GB2312" w:eastAsia="仿宋_GB2312" w:hAnsi="仿宋_GB2312" w:cs="仿宋_GB2312"/>
          <w:sz w:val="28"/>
          <w:szCs w:val="28"/>
        </w:rPr>
        <w:t>）配送司机</w:t>
      </w:r>
      <w:r>
        <w:rPr>
          <w:rFonts w:ascii="仿宋_GB2312" w:eastAsia="仿宋_GB2312" w:hAnsi="仿宋_GB2312" w:cs="仿宋_GB2312"/>
          <w:sz w:val="28"/>
          <w:szCs w:val="28"/>
        </w:rPr>
        <w:t>2名，具有3年以上相关工作经验。</w:t>
      </w:r>
    </w:p>
    <w:p>
      <w:pPr>
        <w:pStyle w:val="17"/>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以上人员在服务过程中应热情服务、遵规守法，具备较强的沟通能力和临时紧急配送调换的处置能力。</w:t>
      </w:r>
    </w:p>
    <w:p>
      <w:pPr>
        <w:pStyle w:val="Heading1"/>
        <w:keepNext w:val="0"/>
        <w:spacing w:before="0" w:after="0" w:line="360" w:lineRule="auto"/>
        <w:jc w:val="center"/>
        <w:rPr>
          <w:rFonts w:ascii="仿宋_GB2312" w:eastAsia="仿宋_GB2312" w:hAnsi="仿宋_GB2312" w:cs="仿宋_GB2312"/>
          <w:b/>
          <w:bCs/>
          <w:sz w:val="32"/>
          <w:szCs w:val="32"/>
        </w:rPr>
      </w:pPr>
      <w:bookmarkStart w:id="33" w:name="_Toc256000030"/>
      <w:r>
        <w:rPr>
          <w:rFonts w:ascii="仿宋_GB2312" w:eastAsia="仿宋_GB2312" w:hAnsi="仿宋_GB2312" w:cs="仿宋_GB2312"/>
          <w:kern w:val="36"/>
        </w:rPr>
        <w:t>5管理实施要求</w:t>
      </w:r>
      <w:bookmarkEnd w:id="33"/>
    </w:p>
    <w:p>
      <w:pPr>
        <w:pStyle w:val="15"/>
        <w:spacing w:before="0" w:after="0" w:line="360" w:lineRule="auto"/>
        <w:ind w:left="0" w:right="0" w:firstLine="560"/>
        <w:jc w:val="both"/>
        <w:rPr>
          <w:rFonts w:ascii="Times New Roman" w:eastAsia="Times New Roman" w:hAnsi="Times New Roman" w:cs="Times New Roman"/>
        </w:rPr>
      </w:pP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6风险管控要求</w:t>
      </w:r>
      <w:bookmarkEnd w:id="34"/>
    </w:p>
    <w:p>
      <w:pPr>
        <w:pStyle w:val="15"/>
        <w:spacing w:before="0" w:after="0" w:line="360" w:lineRule="auto"/>
        <w:ind w:firstLine="642"/>
        <w:rPr>
          <w:rFonts w:ascii="Times New Roman" w:eastAsia="Times New Roman" w:hAnsi="Times New Roman" w:cs="Times New Roman"/>
        </w:rPr>
      </w:pPr>
      <w:r>
        <w:rPr>
          <w:rFonts w:ascii="仿宋_GB2312" w:eastAsia="仿宋_GB2312" w:hAnsi="仿宋_GB2312" w:cs="仿宋_GB2312"/>
          <w:b/>
          <w:bCs/>
          <w:sz w:val="28"/>
          <w:szCs w:val="28"/>
        </w:rPr>
        <w:t>（一）应急保障方案要求</w:t>
      </w:r>
    </w:p>
    <w:p>
      <w:pPr>
        <w:pStyle w:val="15"/>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投标人应提供在自然灾害、极端事件、市场关闭、物资紧缺等突发紧急情况下拟采取的应急保障方案，包括充分供应、按时保障、质量管控等措施，确保采购人食材及时供应不间断。</w:t>
      </w:r>
    </w:p>
    <w:p>
      <w:pPr>
        <w:pStyle w:val="19"/>
        <w:spacing w:before="0" w:after="0" w:line="360" w:lineRule="auto"/>
        <w:ind w:firstLine="480"/>
        <w:rPr>
          <w:rFonts w:ascii="Times New Roman" w:eastAsia="Times New Roman" w:hAnsi="Times New Roman" w:cs="Times New Roman"/>
        </w:rPr>
      </w:pPr>
      <w:r>
        <w:rPr>
          <w:rFonts w:ascii="仿宋_GB2312" w:eastAsia="仿宋_GB2312" w:hAnsi="仿宋_GB2312" w:cs="仿宋_GB2312"/>
          <w:b/>
          <w:bCs/>
          <w:sz w:val="28"/>
          <w:szCs w:val="28"/>
        </w:rPr>
        <w:t>（二）违约风险管控要求</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1.投标人中标后采用先送货后结账的模式，不收取履约保证金。有下列情形之一的，采购人有权按照以下约定及合同违约相关条款处理：</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1）因投标人配送不及时导致采购人供餐延误并造成重大影响的；</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2）凡经相关部门认定，因投标人所提供的原料原因造成采购人食堂出现食物中毒等卫生安全事故的，投标人除必须承担全部的法律责任外，还要全额承担因食物中毒发生所造成后果的一切费用；</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3）除不可抗力及采购人原因外，因投标人配送不及时导致采购人伙食供应延时，但经投标人采取补救措施未造成采购人不良影响的，出现三次终止供货合同；</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4）凡投标人向采购人提供产品发生质量问题影响食用，并拒绝退换的；</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5）采购人将不定期组织专人对食材进行抽检，若发现质量不符，采购人有权要求予以退换货。</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2.投标人有下列情形之一的，采购人有权解除合同，由投标人承担全部经济损失和相关责任：</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1）投标人以书面、微信、短信等方式通知采购人不再供货，包括对部分食材不再供货；</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2）投标人虽未通知采购人不再供货，但1天没有供应采购人采购的货物，包括对部分食材没有供货；</w:t>
      </w:r>
    </w:p>
    <w:p>
      <w:pPr>
        <w:pStyle w:val="20"/>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3）投标人未经采购人同意单方面提价的</w:t>
      </w:r>
      <w:r>
        <w:rPr>
          <w:rFonts w:ascii="仿宋_GB2312" w:eastAsia="仿宋_GB2312" w:hAnsi="仿宋_GB2312" w:cs="仿宋_GB2312"/>
          <w:sz w:val="28"/>
          <w:szCs w:val="28"/>
        </w:rPr>
        <w:t>；</w:t>
      </w:r>
    </w:p>
    <w:p>
      <w:pPr>
        <w:pStyle w:val="20"/>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w:t>
      </w:r>
      <w:r>
        <w:rPr>
          <w:rFonts w:ascii="仿宋_GB2312" w:eastAsia="仿宋_GB2312" w:hAnsi="仿宋_GB2312" w:cs="仿宋_GB2312"/>
          <w:sz w:val="28"/>
          <w:szCs w:val="28"/>
        </w:rPr>
        <w:t>）数量不足、对货不对版、价格明显偏高，以上情况出现三次以上终止合同。</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7履约验收要求</w:t>
      </w:r>
      <w:bookmarkEnd w:id="35"/>
    </w:p>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7.1总体要求</w:t>
      </w:r>
      <w:bookmarkEnd w:id="36"/>
    </w:p>
    <w:tbl>
      <w:tblPr>
        <w:tblW w:w="5000" w:type="pct"/>
        <w:tblInd w:w="30" w:type="dxa"/>
        <w:tblCellMar>
          <w:top w:w="15" w:type="dxa"/>
          <w:left w:w="15" w:type="dxa"/>
          <w:bottom w:w="15" w:type="dxa"/>
          <w:right w:w="15" w:type="dxa"/>
        </w:tblCellMar>
      </w:tblPr>
      <w:tblGrid>
        <w:gridCol w:w="917"/>
        <w:gridCol w:w="23489"/>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按月验收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2.验收时间和地点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（1）验收时间：到货当天。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地点：国家税务总局天津市滨海新区税务局大连道办公区（滨海新区大连道1428号）、一大街办公区（滨海新区一大街12号）、育梁街办公区（滨海新区大港街道学海路和育梁街交口）和海滨税务所（滨海新区海滨街道幸福路和开发道交口）。</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（3）验收组织形式：采购人组织验收。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（4）验收方式：现场验收。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（5）验收内容: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（a）质量是否符合约定标准；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（b）重量、数量、价格是否与采购人的预定需求一致。</w:t>
            </w:r>
          </w:p>
        </w:tc>
      </w:tr>
    </w:tbl>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7.2具体要求</w:t>
      </w:r>
      <w:bookmarkEnd w:id="37"/>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1.验收场所的准备</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2.验收小组按订单对采购货物的品种、质量、数量进行检查验收，对货不对版、质量不好、价格明显过于偏高的食材不予验收，对于数量不足的食材，按照实际数量入账，填制验收记录和验收单。</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3.验收流程</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1）投标人应在验收时提供与送货内容一致的送货单，并加盖公章。</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2）卸货前的检查。验收人员卸货前应对货物的外观质量进行初步了解。</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3）采取当场验收的方式，验收人认真检查货物，按核对品种→索证→抽查(</w:t>
      </w:r>
      <w:r>
        <w:rPr>
          <w:rFonts w:ascii="仿宋_GB2312" w:eastAsia="仿宋_GB2312" w:hAnsi="仿宋_GB2312" w:cs="仿宋_GB2312"/>
          <w:sz w:val="28"/>
          <w:szCs w:val="28"/>
        </w:rPr>
        <w:t>如若产生</w:t>
      </w:r>
      <w:r>
        <w:rPr>
          <w:rFonts w:ascii="仿宋_GB2312" w:eastAsia="仿宋_GB2312" w:hAnsi="仿宋_GB2312" w:cs="仿宋_GB2312"/>
          <w:sz w:val="28"/>
          <w:szCs w:val="28"/>
        </w:rPr>
        <w:t>检测</w:t>
      </w:r>
      <w:r>
        <w:rPr>
          <w:rFonts w:ascii="仿宋_GB2312" w:eastAsia="仿宋_GB2312" w:hAnsi="仿宋_GB2312" w:cs="仿宋_GB2312"/>
          <w:sz w:val="28"/>
          <w:szCs w:val="28"/>
        </w:rPr>
        <w:t>费用由投标人承担</w:t>
      </w:r>
      <w:r>
        <w:rPr>
          <w:rFonts w:ascii="仿宋_GB2312" w:eastAsia="仿宋_GB2312" w:hAnsi="仿宋_GB2312" w:cs="仿宋_GB2312"/>
          <w:sz w:val="28"/>
          <w:szCs w:val="28"/>
        </w:rPr>
        <w:t>）</w:t>
      </w:r>
      <w:r>
        <w:rPr>
          <w:rFonts w:ascii="仿宋_GB2312" w:eastAsia="仿宋_GB2312" w:hAnsi="仿宋_GB2312" w:cs="仿宋_GB2312"/>
          <w:sz w:val="28"/>
          <w:szCs w:val="28"/>
        </w:rPr>
        <w:t>→数量、重量、质量、价格验收→签名确认→入库的程序完成验收。</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要求投标人提供产品质量检测报告及卫生合格报告书，蔬菜类应提供农药残留检测结果，肉类产品应提供当地卫生部门开具的动物检验检疫合格票、产品检疫合格证，证明内容与产品内容要一致。投标人以提供原件为主，不能留原件的提供复印件。</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4）发现食品质量安全问题的处理：</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抽查时发现食品质量不过关或影响食用安全的，对当日所送同批次产品全部退货。</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若抽查未发现问题，按储藏要求储藏后在加工食用前发现产品质量问题的，投标人必须退货或更换。</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4.退（补）货流程</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w:t>
      </w:r>
      <w:r>
        <w:rPr>
          <w:rFonts w:ascii="仿宋_GB2312" w:eastAsia="仿宋_GB2312" w:hAnsi="仿宋_GB2312" w:cs="仿宋_GB2312"/>
          <w:sz w:val="28"/>
          <w:szCs w:val="28"/>
        </w:rPr>
        <w:t>1小时内补送订单品种。</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5.鲜活鱼类需进行宰杀处理，如去麟去腮去内脏等，净膛的统一按0.8的出成率计算净膛价。</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6.部分蔬菜需进行简易处理，如去皮摘叶摘筋等，统一按0.85的出成率计算净菜价。</w:t>
      </w:r>
    </w:p>
    <w:p>
      <w:pPr>
        <w:pStyle w:val="15"/>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7.包装带箱、筐的食材按照去除箱、筐后的重量计算。投标人需配合采购人库管人员进行倒筐称重，共同签字确认。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8" w:name="_Toc256000035"/>
      <w:r>
        <w:rPr>
          <w:rFonts w:ascii="仿宋_GB2312" w:eastAsia="仿宋_GB2312" w:hAnsi="仿宋_GB2312" w:cs="仿宋_GB2312"/>
          <w:kern w:val="36"/>
        </w:rPr>
        <w:t>8其他要求</w:t>
      </w:r>
      <w:bookmarkEnd w:id="38"/>
    </w:p>
    <w:p>
      <w:pPr>
        <w:pStyle w:val="Heading2"/>
        <w:keepNext w:val="0"/>
        <w:spacing w:before="0" w:after="0" w:line="360" w:lineRule="auto"/>
        <w:rPr>
          <w:rFonts w:ascii="仿宋_GB2312" w:eastAsia="仿宋_GB2312" w:hAnsi="仿宋_GB2312" w:cs="仿宋_GB2312"/>
          <w:b/>
          <w:bCs/>
          <w:sz w:val="28"/>
          <w:szCs w:val="28"/>
        </w:rPr>
      </w:pPr>
      <w:bookmarkStart w:id="39" w:name="_Toc256000036"/>
      <w:r>
        <w:rPr>
          <w:rFonts w:ascii="仿宋_GB2312" w:eastAsia="仿宋_GB2312" w:hAnsi="仿宋_GB2312" w:cs="仿宋_GB2312"/>
          <w:i w:val="0"/>
          <w:iCs w:val="0"/>
        </w:rPr>
        <w:t>8.1定价和结算要求</w:t>
      </w:r>
      <w:bookmarkEnd w:id="39"/>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费率</w:t>
      </w:r>
      <w:r>
        <w:rPr>
          <w:rFonts w:ascii="仿宋_GB2312" w:eastAsia="仿宋_GB2312" w:hAnsi="仿宋_GB2312" w:cs="仿宋_GB2312"/>
          <w:sz w:val="28"/>
          <w:szCs w:val="28"/>
        </w:rPr>
        <w:t>=投标总价/预算金额，</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结算价格</w:t>
      </w:r>
      <w:r>
        <w:rPr>
          <w:rFonts w:ascii="仿宋_GB2312" w:eastAsia="仿宋_GB2312" w:hAnsi="仿宋_GB2312" w:cs="仿宋_GB2312"/>
          <w:sz w:val="28"/>
          <w:szCs w:val="28"/>
        </w:rPr>
        <w:t>=费率×基础价格A×1.1（或</w:t>
      </w:r>
      <w:r>
        <w:rPr>
          <w:rFonts w:ascii="仿宋_GB2312" w:eastAsia="仿宋_GB2312" w:hAnsi="仿宋_GB2312" w:cs="仿宋_GB2312"/>
        </w:rPr>
        <w:t>结算价格</w:t>
      </w:r>
      <w:r>
        <w:rPr>
          <w:rFonts w:ascii="仿宋_GB2312" w:eastAsia="仿宋_GB2312" w:hAnsi="仿宋_GB2312" w:cs="仿宋_GB2312"/>
          <w:sz w:val="28"/>
          <w:szCs w:val="28"/>
        </w:rPr>
        <w:t>=费率</w:t>
      </w:r>
      <w:r>
        <w:rPr>
          <w:rFonts w:ascii="仿宋_GB2312" w:eastAsia="仿宋_GB2312" w:hAnsi="仿宋_GB2312" w:cs="仿宋_GB2312"/>
          <w:sz w:val="28"/>
          <w:szCs w:val="28"/>
        </w:rPr>
        <w:t>×</w:t>
      </w:r>
      <w:r>
        <w:rPr>
          <w:rFonts w:ascii="仿宋_GB2312" w:eastAsia="仿宋_GB2312" w:hAnsi="仿宋_GB2312" w:cs="仿宋_GB2312"/>
          <w:sz w:val="28"/>
          <w:szCs w:val="28"/>
        </w:rPr>
        <w:t>基础价格B×1)。</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基础价格</w:t>
      </w:r>
      <w:r>
        <w:rPr>
          <w:rFonts w:ascii="仿宋_GB2312" w:eastAsia="仿宋_GB2312" w:hAnsi="仿宋_GB2312" w:cs="仿宋_GB2312"/>
          <w:sz w:val="28"/>
          <w:szCs w:val="28"/>
        </w:rPr>
        <w:t>A：依次参照“全国农产品批发市场价格信息系统（https://pfsc.argi.cn/portal-app/#/indexpage）”发布的天津何庄子农产品批发市场</w:t>
      </w:r>
      <w:r>
        <w:rPr>
          <w:rFonts w:ascii="仿宋_GB2312" w:eastAsia="仿宋_GB2312" w:hAnsi="仿宋_GB2312" w:cs="仿宋_GB2312"/>
          <w:sz w:val="28"/>
          <w:szCs w:val="28"/>
        </w:rPr>
        <w:t>、</w:t>
      </w:r>
      <w:r>
        <w:rPr>
          <w:rFonts w:ascii="仿宋_GB2312" w:eastAsia="仿宋_GB2312" w:hAnsi="仿宋_GB2312" w:cs="仿宋_GB2312"/>
          <w:sz w:val="28"/>
          <w:szCs w:val="28"/>
        </w:rPr>
        <w:t>天津市金钟河蔬菜贸易中心、天津韩家墅海吉星农产品批发市场同等食材的</w:t>
      </w:r>
      <w:r>
        <w:rPr>
          <w:rFonts w:ascii="仿宋_GB2312" w:eastAsia="仿宋_GB2312" w:hAnsi="仿宋_GB2312" w:cs="仿宋_GB2312"/>
          <w:sz w:val="28"/>
          <w:szCs w:val="28"/>
        </w:rPr>
        <w:t>“大</w:t>
      </w:r>
      <w:r>
        <w:rPr>
          <w:rFonts w:ascii="仿宋_GB2312" w:eastAsia="仿宋_GB2312" w:hAnsi="仿宋_GB2312" w:cs="仿宋_GB2312"/>
          <w:sz w:val="28"/>
          <w:szCs w:val="28"/>
        </w:rPr>
        <w:t>宗</w:t>
      </w:r>
      <w:r>
        <w:rPr>
          <w:rFonts w:ascii="仿宋_GB2312" w:eastAsia="仿宋_GB2312" w:hAnsi="仿宋_GB2312" w:cs="仿宋_GB2312"/>
          <w:sz w:val="28"/>
          <w:szCs w:val="28"/>
        </w:rPr>
        <w:t>价</w:t>
      </w:r>
      <w:r>
        <w:rPr>
          <w:rFonts w:ascii="仿宋_GB2312" w:eastAsia="仿宋_GB2312" w:hAnsi="仿宋_GB2312" w:cs="仿宋_GB2312"/>
          <w:sz w:val="28"/>
          <w:szCs w:val="28"/>
        </w:rPr>
        <w:t>”确定为“基础价格A”，定价单位为500克。基础价格为配送食材当日价格。</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基础价格</w:t>
      </w:r>
      <w:r>
        <w:rPr>
          <w:rFonts w:ascii="仿宋_GB2312" w:eastAsia="仿宋_GB2312" w:hAnsi="仿宋_GB2312" w:cs="仿宋_GB2312"/>
          <w:sz w:val="28"/>
          <w:szCs w:val="28"/>
        </w:rPr>
        <w:t>B：当</w:t>
      </w:r>
      <w:r>
        <w:rPr>
          <w:rFonts w:ascii="仿宋_GB2312" w:eastAsia="仿宋_GB2312" w:hAnsi="仿宋_GB2312" w:cs="仿宋_GB2312"/>
        </w:rPr>
        <w:t>“</w:t>
      </w:r>
      <w:r>
        <w:rPr>
          <w:rFonts w:ascii="仿宋_GB2312" w:eastAsia="仿宋_GB2312" w:hAnsi="仿宋_GB2312" w:cs="仿宋_GB2312"/>
          <w:sz w:val="28"/>
          <w:szCs w:val="28"/>
        </w:rPr>
        <w:t>全国农产品批发市场价格信息系统</w:t>
      </w:r>
      <w:r>
        <w:rPr>
          <w:rFonts w:ascii="仿宋_GB2312" w:eastAsia="仿宋_GB2312" w:hAnsi="仿宋_GB2312" w:cs="仿宋_GB2312"/>
          <w:sz w:val="28"/>
          <w:szCs w:val="28"/>
        </w:rPr>
        <w:t>”上述3个市场中没有列明所采购食材的大宗价格时，依次参照</w:t>
      </w:r>
      <w:r>
        <w:rPr>
          <w:rFonts w:ascii="仿宋_GB2312" w:eastAsia="仿宋_GB2312" w:hAnsi="仿宋_GB2312" w:cs="仿宋_GB2312"/>
          <w:sz w:val="28"/>
          <w:szCs w:val="28"/>
        </w:rPr>
        <w:t>多点</w:t>
      </w:r>
      <w:r>
        <w:rPr>
          <w:rFonts w:ascii="仿宋_GB2312" w:eastAsia="仿宋_GB2312" w:hAnsi="仿宋_GB2312" w:cs="仿宋_GB2312"/>
          <w:sz w:val="28"/>
          <w:szCs w:val="28"/>
        </w:rPr>
        <w:t>APP、七鲜APP、</w:t>
      </w:r>
      <w:r>
        <w:rPr>
          <w:rFonts w:ascii="仿宋_GB2312" w:eastAsia="仿宋_GB2312" w:hAnsi="仿宋_GB2312" w:cs="仿宋_GB2312"/>
          <w:sz w:val="28"/>
          <w:szCs w:val="28"/>
        </w:rPr>
        <w:t>华润万家进行定价，定价单位为</w:t>
      </w:r>
      <w:r>
        <w:rPr>
          <w:rFonts w:ascii="仿宋_GB2312" w:eastAsia="仿宋_GB2312" w:hAnsi="仿宋_GB2312" w:cs="仿宋_GB2312"/>
          <w:sz w:val="28"/>
          <w:szCs w:val="28"/>
        </w:rPr>
        <w:t>500克，零售商品有多个规格的，以最大规格的每500克价格为定价依据，确定具体的“基础价格B”。基础价格为配送食材当日价格。</w:t>
      </w:r>
    </w:p>
    <w:p>
      <w:pPr>
        <w:pStyle w:val="15"/>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费率＞</w:t>
      </w:r>
      <w:r>
        <w:rPr>
          <w:rFonts w:ascii="仿宋_GB2312" w:eastAsia="仿宋_GB2312" w:hAnsi="仿宋_GB2312" w:cs="仿宋_GB2312"/>
          <w:sz w:val="28"/>
          <w:szCs w:val="28"/>
        </w:rPr>
        <w:t>100%，视为无效投标。</w:t>
      </w:r>
    </w:p>
    <w:p>
      <w:pPr>
        <w:pStyle w:val="Heading2"/>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i w:val="0"/>
          <w:iCs w:val="0"/>
        </w:rPr>
        <w:t>8.2必备要求</w:t>
      </w:r>
      <w:bookmarkEnd w:id="40"/>
    </w:p>
    <w:p>
      <w:pPr>
        <w:pStyle w:val="Heading3"/>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sz w:val="28"/>
          <w:szCs w:val="28"/>
        </w:rPr>
        <w:t>8.2.1通用必备要求</w:t>
      </w:r>
      <w:bookmarkEnd w:id="4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8.3付款安排建议</w:t>
      </w:r>
      <w:bookmarkEnd w:id="42"/>
    </w:p>
    <w:tbl>
      <w:tblPr>
        <w:tblW w:w="5000" w:type="pct"/>
        <w:tblInd w:w="30" w:type="dxa"/>
        <w:tblCellMar>
          <w:top w:w="15" w:type="dxa"/>
          <w:left w:w="15" w:type="dxa"/>
          <w:bottom w:w="15" w:type="dxa"/>
          <w:right w:w="15" w:type="dxa"/>
        </w:tblCellMar>
      </w:tblPr>
      <w:tblGrid>
        <w:gridCol w:w="1046"/>
        <w:gridCol w:w="29484"/>
        <w:gridCol w:w="1150"/>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8.34</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8.34</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8.34</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遇不可抗力因素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8.34</w:t>
            </w:r>
          </w:p>
        </w:tc>
      </w:tr>
    </w:tbl>
    <w:p>
      <w:pPr>
        <w:pStyle w:val="Heading2"/>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i w:val="0"/>
          <w:iCs w:val="0"/>
        </w:rPr>
        <w:t>8.4其他要求</w:t>
      </w:r>
      <w:bookmarkEnd w:id="43"/>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8.4.1保密要求</w:t>
      </w:r>
      <w:bookmarkEnd w:id="44"/>
    </w:p>
    <w:p>
      <w:pPr>
        <w:pStyle w:val="15"/>
        <w:spacing w:before="0" w:after="0" w:line="360" w:lineRule="auto"/>
        <w:ind w:firstLine="513"/>
        <w:jc w:val="both"/>
        <w:rPr>
          <w:rFonts w:ascii="Times New Roman" w:eastAsia="Times New Roman" w:hAnsi="Times New Roman" w:cs="Times New Roman"/>
        </w:rPr>
      </w:pPr>
      <w:r>
        <w:rPr>
          <w:rFonts w:ascii="仿宋_GB2312" w:eastAsia="仿宋_GB2312" w:hAnsi="仿宋_GB2312" w:cs="仿宋_GB2312"/>
          <w:sz w:val="28"/>
          <w:szCs w:val="28"/>
        </w:rPr>
        <w:t>中标供应商应提供遵守国家税务总局天津市滨海新区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8.4.2知识产权要求</w:t>
      </w:r>
      <w:bookmarkEnd w:id="45"/>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22</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5">
    <w:name w:val="15"/>
    <w:basedOn w:val="Normal"/>
  </w:style>
  <w:style w:type="paragraph" w:customStyle="1" w:styleId="MsoNormal">
    <w:name w:val="MsoNormal"/>
    <w:basedOn w:val="Normal"/>
  </w:style>
  <w:style w:type="paragraph" w:customStyle="1" w:styleId="19">
    <w:name w:val="19"/>
    <w:basedOn w:val="Normal"/>
  </w:style>
  <w:style w:type="paragraph" w:customStyle="1" w:styleId="18">
    <w:name w:val="18"/>
    <w:basedOn w:val="Normal"/>
  </w:style>
  <w:style w:type="paragraph" w:customStyle="1" w:styleId="16">
    <w:name w:val="16"/>
    <w:basedOn w:val="Normal"/>
  </w:style>
  <w:style w:type="paragraph" w:customStyle="1" w:styleId="17">
    <w:name w:val="17"/>
    <w:basedOn w:val="Normal"/>
  </w:style>
  <w:style w:type="paragraph" w:customStyle="1" w:styleId="20">
    <w:name w:val="20"/>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22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