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p>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r>
        <w:rPr>
          <w:rFonts w:hint="eastAsia" w:ascii="宋体" w:hAnsi="宋体" w:eastAsia="宋体" w:cs="宋体"/>
          <w:b/>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项目名称：</w:t>
      </w:r>
      <w:bookmarkStart w:id="0" w:name="项目名称_projectName"/>
      <w:r>
        <w:rPr>
          <w:rFonts w:hint="eastAsia" w:ascii="宋体" w:hAnsi="宋体" w:eastAsia="宋体" w:cs="宋体"/>
          <w:b/>
          <w:sz w:val="30"/>
          <w:szCs w:val="30"/>
          <w:lang w:eastAsia="zh-CN"/>
        </w:rPr>
        <w:t>国家税务总局天津市武清区税务局2026年度12366纳税缴费服务热线远程座席服务项目</w:t>
      </w:r>
      <w:bookmarkEnd w:id="0"/>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sz w:val="32"/>
          <w:szCs w:val="32"/>
          <w:lang w:eastAsia="zh-CN"/>
        </w:rPr>
      </w:pPr>
    </w:p>
    <w:p>
      <w:pPr>
        <w:spacing w:before="0" w:after="0" w:line="360" w:lineRule="auto"/>
        <w:jc w:val="center"/>
        <w:rPr>
          <w:rFonts w:eastAsia="宋体"/>
        </w:rPr>
      </w:pPr>
      <w:bookmarkStart w:id="1" w:name="生成日期_currentDateTime_ym"/>
      <w:r>
        <w:rPr>
          <w:rFonts w:hint="eastAsia" w:ascii="宋体" w:hAnsi="宋体" w:eastAsia="宋体" w:cs="宋体"/>
          <w:sz w:val="36"/>
          <w:szCs w:val="36"/>
          <w:lang w:eastAsia="zh-CN"/>
        </w:rPr>
        <w:t>2025年10月</w:t>
      </w:r>
      <w:bookmarkEnd w:id="1"/>
    </w:p>
    <w:p>
      <w:pPr>
        <w:spacing w:before="0" w:after="0" w:line="360" w:lineRule="auto"/>
        <w:jc w:val="center"/>
        <w:rPr>
          <w:rFonts w:ascii="宋体" w:hAnsi="宋体" w:eastAsia="宋体" w:cs="宋体"/>
          <w:sz w:val="32"/>
        </w:rPr>
      </w:pPr>
      <w:r>
        <w:br w:type="page"/>
      </w:r>
      <w:r>
        <w:rPr>
          <w:rFonts w:ascii="宋体" w:hAnsi="宋体" w:eastAsia="宋体" w:cs="宋体"/>
          <w:sz w:val="32"/>
        </w:rPr>
        <w:t>目 录</w:t>
      </w:r>
    </w:p>
    <w:p>
      <w:pPr>
        <w:pStyle w:val="7"/>
        <w:tabs>
          <w:tab w:val="right" w:leader="dot" w:pos="9016"/>
        </w:tabs>
        <w:spacing w:before="0" w:after="0" w:line="360" w:lineRule="auto"/>
        <w:rPr>
          <w:rFonts w:asciiTheme="minorHAnsi" w:hAnsiTheme="minorHAnsi"/>
          <w:sz w:val="22"/>
        </w:rPr>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"_Toc256000000" </w:instrText>
      </w:r>
      <w:r>
        <w:fldChar w:fldCharType="separate"/>
      </w:r>
      <w:r>
        <w:rPr>
          <w:rStyle w:val="11"/>
          <w:rFonts w:ascii="仿宋_GB2312" w:hAnsi="仿宋_GB2312" w:eastAsia="仿宋_GB2312" w:cs="仿宋_GB2312"/>
          <w:kern w:val="36"/>
        </w:rPr>
        <w:t>1项目概述</w:t>
      </w:r>
      <w:r>
        <w:tab/>
      </w:r>
      <w:r>
        <w:fldChar w:fldCharType="begin"/>
      </w:r>
      <w:r>
        <w:instrText xml:space="preserve"> PAGEREF _Toc256000000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"_Toc256000001" </w:instrText>
      </w:r>
      <w:r>
        <w:fldChar w:fldCharType="separate"/>
      </w:r>
      <w:r>
        <w:rPr>
          <w:rStyle w:val="11"/>
          <w:rFonts w:ascii="仿宋_GB2312" w:hAnsi="仿宋_GB2312" w:eastAsia="仿宋_GB2312" w:cs="仿宋_GB2312"/>
        </w:rPr>
        <w:t>1.1项目背景</w:t>
      </w:r>
      <w:r>
        <w:tab/>
      </w:r>
      <w:r>
        <w:fldChar w:fldCharType="begin"/>
      </w:r>
      <w:r>
        <w:instrText xml:space="preserve"> PAGEREF _Toc256000001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"_Toc256000002" </w:instrText>
      </w:r>
      <w:r>
        <w:fldChar w:fldCharType="separate"/>
      </w:r>
      <w:r>
        <w:rPr>
          <w:rStyle w:val="11"/>
          <w:rFonts w:ascii="仿宋_GB2312" w:hAnsi="仿宋_GB2312" w:eastAsia="仿宋_GB2312" w:cs="仿宋_GB2312"/>
        </w:rPr>
        <w:t>1.1.1项目目的、意义及背景</w:t>
      </w:r>
      <w:r>
        <w:tab/>
      </w:r>
      <w:r>
        <w:fldChar w:fldCharType="begin"/>
      </w:r>
      <w:r>
        <w:instrText xml:space="preserve"> PAGEREF _Toc256000002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"_Toc256000003" </w:instrText>
      </w:r>
      <w:r>
        <w:fldChar w:fldCharType="separate"/>
      </w:r>
      <w:r>
        <w:rPr>
          <w:rStyle w:val="11"/>
          <w:rFonts w:ascii="仿宋_GB2312" w:hAnsi="仿宋_GB2312" w:eastAsia="仿宋_GB2312" w:cs="仿宋_GB2312"/>
        </w:rPr>
        <w:t>1.2项目内容</w:t>
      </w:r>
      <w:r>
        <w:tab/>
      </w:r>
      <w:r>
        <w:fldChar w:fldCharType="begin"/>
      </w:r>
      <w:r>
        <w:instrText xml:space="preserve"> PAGEREF _Toc256000003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"_Toc256000004" </w:instrText>
      </w:r>
      <w:r>
        <w:fldChar w:fldCharType="separate"/>
      </w:r>
      <w:r>
        <w:rPr>
          <w:rStyle w:val="11"/>
          <w:rFonts w:ascii="仿宋_GB2312" w:hAnsi="仿宋_GB2312" w:eastAsia="仿宋_GB2312" w:cs="仿宋_GB2312"/>
        </w:rPr>
        <w:t>1.2.1项目建设思路</w:t>
      </w:r>
      <w:r>
        <w:tab/>
      </w:r>
      <w:r>
        <w:fldChar w:fldCharType="begin"/>
      </w:r>
      <w:r>
        <w:instrText xml:space="preserve"> PAGEREF _Toc256000004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"_Toc256000005" </w:instrText>
      </w:r>
      <w:r>
        <w:fldChar w:fldCharType="separate"/>
      </w:r>
      <w:r>
        <w:rPr>
          <w:rStyle w:val="11"/>
          <w:rFonts w:ascii="仿宋_GB2312" w:hAnsi="仿宋_GB2312" w:eastAsia="仿宋_GB2312" w:cs="仿宋_GB2312"/>
        </w:rPr>
        <w:t>1.2.2采购内容</w:t>
      </w:r>
      <w:r>
        <w:tab/>
      </w:r>
      <w:r>
        <w:fldChar w:fldCharType="begin"/>
      </w:r>
      <w:r>
        <w:instrText xml:space="preserve"> PAGEREF _Toc256000005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"_Toc256000006" </w:instrText>
      </w:r>
      <w:r>
        <w:fldChar w:fldCharType="separate"/>
      </w:r>
      <w:r>
        <w:rPr>
          <w:rStyle w:val="11"/>
          <w:rFonts w:ascii="仿宋_GB2312" w:hAnsi="仿宋_GB2312" w:eastAsia="仿宋_GB2312" w:cs="仿宋_GB2312"/>
        </w:rPr>
        <w:t>1.2.3项目实施要求</w:t>
      </w:r>
      <w:r>
        <w:tab/>
      </w:r>
      <w:r>
        <w:fldChar w:fldCharType="begin"/>
      </w:r>
      <w:r>
        <w:instrText xml:space="preserve"> PAGEREF _Toc256000006 \h </w:instrText>
      </w:r>
      <w:r>
        <w:fldChar w:fldCharType="separate"/>
      </w:r>
      <w:r>
        <w:t>4</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"_Toc256000007" </w:instrText>
      </w:r>
      <w:r>
        <w:fldChar w:fldCharType="separate"/>
      </w:r>
      <w:r>
        <w:rPr>
          <w:rStyle w:val="11"/>
          <w:rFonts w:ascii="仿宋_GB2312" w:hAnsi="仿宋_GB2312" w:eastAsia="仿宋_GB2312" w:cs="仿宋_GB2312"/>
          <w:kern w:val="36"/>
        </w:rPr>
        <w:t>2投标/响应要求</w:t>
      </w:r>
      <w:r>
        <w:tab/>
      </w:r>
      <w:r>
        <w:fldChar w:fldCharType="begin"/>
      </w:r>
      <w:r>
        <w:instrText xml:space="preserve"> PAGEREF _Toc256000007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"_Toc256000008" </w:instrText>
      </w:r>
      <w:r>
        <w:fldChar w:fldCharType="separate"/>
      </w:r>
      <w:r>
        <w:rPr>
          <w:rStyle w:val="11"/>
          <w:rFonts w:ascii="仿宋_GB2312" w:hAnsi="仿宋_GB2312" w:eastAsia="仿宋_GB2312" w:cs="仿宋_GB2312"/>
        </w:rPr>
        <w:t>2.1对供应商的要求</w:t>
      </w:r>
      <w:r>
        <w:tab/>
      </w:r>
      <w:r>
        <w:fldChar w:fldCharType="begin"/>
      </w:r>
      <w:r>
        <w:instrText xml:space="preserve"> PAGEREF _Toc256000008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"_Toc256000009" </w:instrText>
      </w:r>
      <w:r>
        <w:fldChar w:fldCharType="separate"/>
      </w:r>
      <w:r>
        <w:rPr>
          <w:rStyle w:val="11"/>
          <w:rFonts w:ascii="仿宋_GB2312" w:hAnsi="仿宋_GB2312" w:eastAsia="仿宋_GB2312" w:cs="仿宋_GB2312"/>
        </w:rPr>
        <w:t>2.1.1必备资质</w:t>
      </w:r>
      <w:r>
        <w:tab/>
      </w:r>
      <w:r>
        <w:fldChar w:fldCharType="begin"/>
      </w:r>
      <w:r>
        <w:instrText xml:space="preserve"> PAGEREF _Toc256000009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"_Toc256000010" </w:instrText>
      </w:r>
      <w:r>
        <w:fldChar w:fldCharType="separate"/>
      </w:r>
      <w:r>
        <w:rPr>
          <w:rStyle w:val="11"/>
          <w:rFonts w:ascii="仿宋_GB2312" w:hAnsi="仿宋_GB2312" w:eastAsia="仿宋_GB2312" w:cs="仿宋_GB2312"/>
        </w:rPr>
        <w:t>2.1.2优选资质/优选指标</w:t>
      </w:r>
      <w:r>
        <w:tab/>
      </w:r>
      <w:r>
        <w:fldChar w:fldCharType="begin"/>
      </w:r>
      <w:r>
        <w:instrText xml:space="preserve"> PAGEREF _Toc256000010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"_Toc256000011" </w:instrText>
      </w:r>
      <w:r>
        <w:fldChar w:fldCharType="separate"/>
      </w:r>
      <w:r>
        <w:rPr>
          <w:rStyle w:val="11"/>
          <w:rFonts w:ascii="仿宋_GB2312" w:hAnsi="仿宋_GB2312" w:eastAsia="仿宋_GB2312" w:cs="仿宋_GB2312"/>
        </w:rPr>
        <w:t>2.1.3是否允许联合体</w:t>
      </w:r>
      <w:r>
        <w:tab/>
      </w:r>
      <w:r>
        <w:fldChar w:fldCharType="begin"/>
      </w:r>
      <w:r>
        <w:instrText xml:space="preserve"> PAGEREF _Toc256000011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"_Toc256000012" </w:instrText>
      </w:r>
      <w:r>
        <w:fldChar w:fldCharType="separate"/>
      </w:r>
      <w:r>
        <w:rPr>
          <w:rStyle w:val="11"/>
          <w:rFonts w:ascii="仿宋_GB2312" w:hAnsi="仿宋_GB2312" w:eastAsia="仿宋_GB2312" w:cs="仿宋_GB2312"/>
        </w:rPr>
        <w:t>2.1.4是否专门面向中小企业</w:t>
      </w:r>
      <w:r>
        <w:tab/>
      </w:r>
      <w:r>
        <w:fldChar w:fldCharType="begin"/>
      </w:r>
      <w:r>
        <w:instrText xml:space="preserve"> PAGEREF _Toc256000012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"_Toc256000013" </w:instrText>
      </w:r>
      <w:r>
        <w:fldChar w:fldCharType="separate"/>
      </w:r>
      <w:r>
        <w:rPr>
          <w:rStyle w:val="11"/>
          <w:rFonts w:ascii="仿宋_GB2312" w:hAnsi="仿宋_GB2312" w:eastAsia="仿宋_GB2312" w:cs="仿宋_GB2312"/>
        </w:rPr>
        <w:t>2.1.5其他要求</w:t>
      </w:r>
      <w:r>
        <w:tab/>
      </w:r>
      <w:r>
        <w:fldChar w:fldCharType="begin"/>
      </w:r>
      <w:r>
        <w:instrText xml:space="preserve"> PAGEREF _Toc256000013 \h </w:instrText>
      </w:r>
      <w:r>
        <w:fldChar w:fldCharType="separate"/>
      </w:r>
      <w:r>
        <w:t>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"_Toc256000014" </w:instrText>
      </w:r>
      <w:r>
        <w:fldChar w:fldCharType="separate"/>
      </w:r>
      <w:r>
        <w:rPr>
          <w:rStyle w:val="11"/>
          <w:rFonts w:ascii="仿宋_GB2312" w:hAnsi="仿宋_GB2312" w:eastAsia="仿宋_GB2312" w:cs="仿宋_GB2312"/>
        </w:rPr>
        <w:t>2.2技术部分投标/响应内容</w:t>
      </w:r>
      <w:r>
        <w:tab/>
      </w:r>
      <w:r>
        <w:fldChar w:fldCharType="begin"/>
      </w:r>
      <w:r>
        <w:instrText xml:space="preserve"> PAGEREF _Toc256000014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"_Toc256000015" </w:instrText>
      </w:r>
      <w:r>
        <w:fldChar w:fldCharType="separate"/>
      </w:r>
      <w:r>
        <w:rPr>
          <w:rStyle w:val="11"/>
          <w:rFonts w:ascii="仿宋_GB2312" w:hAnsi="仿宋_GB2312" w:eastAsia="仿宋_GB2312" w:cs="仿宋_GB2312"/>
        </w:rPr>
        <w:t>2.2.1技术投标/响应总要求</w:t>
      </w:r>
      <w:r>
        <w:tab/>
      </w:r>
      <w:r>
        <w:fldChar w:fldCharType="begin"/>
      </w:r>
      <w:r>
        <w:instrText xml:space="preserve"> PAGEREF _Toc256000015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"_Toc256000016" </w:instrText>
      </w:r>
      <w:r>
        <w:fldChar w:fldCharType="separate"/>
      </w:r>
      <w:r>
        <w:rPr>
          <w:rStyle w:val="11"/>
          <w:rFonts w:ascii="仿宋_GB2312" w:hAnsi="仿宋_GB2312" w:eastAsia="仿宋_GB2312" w:cs="仿宋_GB2312"/>
        </w:rPr>
        <w:t>2.2.2投标/响应方案要求</w:t>
      </w:r>
      <w:r>
        <w:tab/>
      </w:r>
      <w:r>
        <w:fldChar w:fldCharType="begin"/>
      </w:r>
      <w:r>
        <w:instrText xml:space="preserve"> PAGEREF _Toc256000016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"_Toc256000017" </w:instrText>
      </w:r>
      <w:r>
        <w:fldChar w:fldCharType="separate"/>
      </w:r>
      <w:r>
        <w:rPr>
          <w:rStyle w:val="11"/>
          <w:rFonts w:ascii="仿宋_GB2312" w:hAnsi="仿宋_GB2312" w:eastAsia="仿宋_GB2312" w:cs="仿宋_GB2312"/>
          <w:kern w:val="36"/>
        </w:rPr>
        <w:t>3项目需求</w:t>
      </w:r>
      <w:r>
        <w:tab/>
      </w:r>
      <w:r>
        <w:fldChar w:fldCharType="begin"/>
      </w:r>
      <w:r>
        <w:instrText xml:space="preserve"> PAGEREF _Toc256000017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"_Toc256000018" </w:instrText>
      </w:r>
      <w:r>
        <w:fldChar w:fldCharType="separate"/>
      </w:r>
      <w:r>
        <w:rPr>
          <w:rStyle w:val="11"/>
          <w:rFonts w:ascii="仿宋_GB2312" w:hAnsi="仿宋_GB2312" w:eastAsia="仿宋_GB2312" w:cs="仿宋_GB2312"/>
        </w:rPr>
        <w:t>3.1总体要求</w:t>
      </w:r>
      <w:r>
        <w:tab/>
      </w:r>
      <w:r>
        <w:fldChar w:fldCharType="begin"/>
      </w:r>
      <w:r>
        <w:instrText xml:space="preserve"> PAGEREF _Toc256000018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"_Toc256000019" </w:instrText>
      </w:r>
      <w:r>
        <w:fldChar w:fldCharType="separate"/>
      </w:r>
      <w:r>
        <w:rPr>
          <w:rStyle w:val="11"/>
          <w:rFonts w:ascii="仿宋_GB2312" w:hAnsi="仿宋_GB2312" w:eastAsia="仿宋_GB2312" w:cs="仿宋_GB2312"/>
        </w:rPr>
        <w:t>3.2服务内容和要求</w:t>
      </w:r>
      <w:r>
        <w:tab/>
      </w:r>
      <w:r>
        <w:fldChar w:fldCharType="begin"/>
      </w:r>
      <w:r>
        <w:instrText xml:space="preserve"> PAGEREF _Toc256000019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"_Toc256000020" </w:instrText>
      </w:r>
      <w:r>
        <w:fldChar w:fldCharType="separate"/>
      </w:r>
      <w:r>
        <w:rPr>
          <w:rStyle w:val="11"/>
          <w:rFonts w:ascii="仿宋_GB2312" w:hAnsi="仿宋_GB2312" w:eastAsia="仿宋_GB2312" w:cs="仿宋_GB2312"/>
        </w:rPr>
        <w:t>3.2.1技术和服务客观指标</w:t>
      </w:r>
      <w:r>
        <w:tab/>
      </w:r>
      <w:r>
        <w:fldChar w:fldCharType="begin"/>
      </w:r>
      <w:r>
        <w:instrText xml:space="preserve"> PAGEREF _Toc256000020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"_Toc256000021" </w:instrText>
      </w:r>
      <w:r>
        <w:fldChar w:fldCharType="separate"/>
      </w:r>
      <w:r>
        <w:rPr>
          <w:rStyle w:val="11"/>
          <w:rFonts w:ascii="仿宋_GB2312" w:hAnsi="仿宋_GB2312" w:eastAsia="仿宋_GB2312" w:cs="仿宋_GB2312"/>
        </w:rPr>
        <w:t>3.2.2技术和服务其他要求</w:t>
      </w:r>
      <w:r>
        <w:tab/>
      </w:r>
      <w:r>
        <w:fldChar w:fldCharType="begin"/>
      </w:r>
      <w:r>
        <w:instrText xml:space="preserve"> PAGEREF _Toc256000021 \h </w:instrText>
      </w:r>
      <w:r>
        <w:fldChar w:fldCharType="separate"/>
      </w:r>
      <w:r>
        <w:t>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"_Toc256000022" </w:instrText>
      </w:r>
      <w:r>
        <w:fldChar w:fldCharType="separate"/>
      </w:r>
      <w:r>
        <w:rPr>
          <w:rStyle w:val="11"/>
          <w:rFonts w:ascii="仿宋_GB2312" w:hAnsi="仿宋_GB2312" w:eastAsia="仿宋_GB2312" w:cs="仿宋_GB2312"/>
          <w:kern w:val="36"/>
        </w:rPr>
        <w:t>4人员要求</w:t>
      </w:r>
      <w:r>
        <w:tab/>
      </w:r>
      <w:r>
        <w:fldChar w:fldCharType="begin"/>
      </w:r>
      <w:r>
        <w:instrText xml:space="preserve"> PAGEREF _Toc256000022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"_Toc256000023" </w:instrText>
      </w:r>
      <w:r>
        <w:fldChar w:fldCharType="separate"/>
      </w:r>
      <w:r>
        <w:rPr>
          <w:rStyle w:val="11"/>
          <w:rFonts w:ascii="仿宋_GB2312" w:hAnsi="仿宋_GB2312" w:eastAsia="仿宋_GB2312" w:cs="仿宋_GB2312"/>
        </w:rPr>
        <w:t>4.1总体要求</w:t>
      </w:r>
      <w:r>
        <w:tab/>
      </w:r>
      <w:r>
        <w:fldChar w:fldCharType="begin"/>
      </w:r>
      <w:r>
        <w:instrText xml:space="preserve"> PAGEREF _Toc256000023 \h </w:instrText>
      </w:r>
      <w:r>
        <w:fldChar w:fldCharType="separate"/>
      </w:r>
      <w:r>
        <w:t>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"_Toc256000024" </w:instrText>
      </w:r>
      <w:r>
        <w:fldChar w:fldCharType="separate"/>
      </w:r>
      <w:r>
        <w:rPr>
          <w:rStyle w:val="11"/>
          <w:rFonts w:ascii="仿宋_GB2312" w:hAnsi="仿宋_GB2312" w:eastAsia="仿宋_GB2312" w:cs="仿宋_GB2312"/>
        </w:rPr>
        <w:t>4.2管理团队</w:t>
      </w:r>
      <w:r>
        <w:tab/>
      </w:r>
      <w:r>
        <w:fldChar w:fldCharType="begin"/>
      </w:r>
      <w:r>
        <w:instrText xml:space="preserve"> PAGEREF _Toc256000024 \h </w:instrText>
      </w:r>
      <w:r>
        <w:fldChar w:fldCharType="separate"/>
      </w:r>
      <w:r>
        <w:t>8</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"_Toc256000025" </w:instrText>
      </w:r>
      <w:r>
        <w:fldChar w:fldCharType="separate"/>
      </w:r>
      <w:r>
        <w:rPr>
          <w:rStyle w:val="11"/>
          <w:rFonts w:ascii="仿宋_GB2312" w:hAnsi="仿宋_GB2312" w:eastAsia="仿宋_GB2312" w:cs="仿宋_GB2312"/>
        </w:rPr>
        <w:t>4.2.1项目经理</w:t>
      </w:r>
      <w:r>
        <w:tab/>
      </w:r>
      <w:r>
        <w:fldChar w:fldCharType="begin"/>
      </w:r>
      <w:r>
        <w:instrText xml:space="preserve"> PAGEREF _Toc256000025 \h </w:instrText>
      </w:r>
      <w:r>
        <w:fldChar w:fldCharType="separate"/>
      </w:r>
      <w:r>
        <w:t>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"_Toc256000026" </w:instrText>
      </w:r>
      <w:r>
        <w:fldChar w:fldCharType="separate"/>
      </w:r>
      <w:r>
        <w:rPr>
          <w:rStyle w:val="11"/>
          <w:rFonts w:ascii="仿宋_GB2312" w:hAnsi="仿宋_GB2312" w:eastAsia="仿宋_GB2312" w:cs="仿宋_GB2312"/>
        </w:rPr>
        <w:t>4.3技术团队</w:t>
      </w:r>
      <w:r>
        <w:tab/>
      </w:r>
      <w:r>
        <w:fldChar w:fldCharType="begin"/>
      </w:r>
      <w:r>
        <w:instrText xml:space="preserve"> PAGEREF _Toc256000026 \h </w:instrText>
      </w:r>
      <w:r>
        <w:fldChar w:fldCharType="separate"/>
      </w:r>
      <w:r>
        <w:t>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"_Toc256000027" </w:instrText>
      </w:r>
      <w:r>
        <w:fldChar w:fldCharType="separate"/>
      </w:r>
      <w:r>
        <w:rPr>
          <w:rStyle w:val="11"/>
          <w:rFonts w:ascii="仿宋_GB2312" w:hAnsi="仿宋_GB2312" w:eastAsia="仿宋_GB2312" w:cs="仿宋_GB2312"/>
        </w:rPr>
        <w:t>4.4优选资质/优选指标</w:t>
      </w:r>
      <w:r>
        <w:tab/>
      </w:r>
      <w:r>
        <w:fldChar w:fldCharType="begin"/>
      </w:r>
      <w:r>
        <w:instrText xml:space="preserve"> PAGEREF _Toc256000027 \h </w:instrText>
      </w:r>
      <w:r>
        <w:fldChar w:fldCharType="separate"/>
      </w:r>
      <w:r>
        <w:t>8</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"_Toc256000028" </w:instrText>
      </w:r>
      <w:r>
        <w:fldChar w:fldCharType="separate"/>
      </w:r>
      <w:r>
        <w:rPr>
          <w:rStyle w:val="11"/>
          <w:rFonts w:ascii="仿宋_GB2312" w:hAnsi="仿宋_GB2312" w:eastAsia="仿宋_GB2312" w:cs="仿宋_GB2312"/>
          <w:kern w:val="36"/>
        </w:rPr>
        <w:t>5管理实施要求</w:t>
      </w:r>
      <w:r>
        <w:tab/>
      </w:r>
      <w:r>
        <w:fldChar w:fldCharType="begin"/>
      </w:r>
      <w:r>
        <w:instrText xml:space="preserve"> PAGEREF _Toc256000028 \h </w:instrText>
      </w:r>
      <w:r>
        <w:fldChar w:fldCharType="separate"/>
      </w:r>
      <w:r>
        <w:t>8</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"_Toc256000029" </w:instrText>
      </w:r>
      <w:r>
        <w:fldChar w:fldCharType="separate"/>
      </w:r>
      <w:r>
        <w:rPr>
          <w:rStyle w:val="11"/>
          <w:rFonts w:ascii="仿宋_GB2312" w:hAnsi="仿宋_GB2312" w:eastAsia="仿宋_GB2312" w:cs="仿宋_GB2312"/>
          <w:kern w:val="36"/>
        </w:rPr>
        <w:t>6风险管控要求</w:t>
      </w:r>
      <w:r>
        <w:tab/>
      </w:r>
      <w:r>
        <w:fldChar w:fldCharType="begin"/>
      </w:r>
      <w:r>
        <w:instrText xml:space="preserve"> PAGEREF _Toc256000029 \h </w:instrText>
      </w:r>
      <w:r>
        <w:fldChar w:fldCharType="separate"/>
      </w:r>
      <w:r>
        <w:t>12</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"_Toc256000030" </w:instrText>
      </w:r>
      <w:r>
        <w:fldChar w:fldCharType="separate"/>
      </w:r>
      <w:r>
        <w:rPr>
          <w:rStyle w:val="11"/>
          <w:rFonts w:ascii="仿宋_GB2312" w:hAnsi="仿宋_GB2312" w:eastAsia="仿宋_GB2312" w:cs="仿宋_GB2312"/>
          <w:kern w:val="36"/>
        </w:rPr>
        <w:t>7履约验收要求</w:t>
      </w:r>
      <w:r>
        <w:tab/>
      </w:r>
      <w:r>
        <w:fldChar w:fldCharType="begin"/>
      </w:r>
      <w:r>
        <w:instrText xml:space="preserve"> PAGEREF _Toc256000030 \h </w:instrText>
      </w:r>
      <w:r>
        <w:fldChar w:fldCharType="separate"/>
      </w:r>
      <w:r>
        <w:t>12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"_Toc256000031" </w:instrText>
      </w:r>
      <w:r>
        <w:fldChar w:fldCharType="separate"/>
      </w:r>
      <w:r>
        <w:rPr>
          <w:rStyle w:val="11"/>
          <w:rFonts w:ascii="仿宋_GB2312" w:hAnsi="仿宋_GB2312" w:eastAsia="仿宋_GB2312" w:cs="仿宋_GB2312"/>
        </w:rPr>
        <w:t>7.1总体要求</w:t>
      </w:r>
      <w:r>
        <w:tab/>
      </w:r>
      <w:r>
        <w:fldChar w:fldCharType="begin"/>
      </w:r>
      <w:r>
        <w:instrText xml:space="preserve"> PAGEREF _Toc256000031 \h </w:instrText>
      </w:r>
      <w:r>
        <w:fldChar w:fldCharType="separate"/>
      </w:r>
      <w:r>
        <w:t>12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"_Toc256000032" </w:instrText>
      </w:r>
      <w:r>
        <w:fldChar w:fldCharType="separate"/>
      </w:r>
      <w:r>
        <w:rPr>
          <w:rStyle w:val="11"/>
          <w:rFonts w:ascii="仿宋_GB2312" w:hAnsi="仿宋_GB2312" w:eastAsia="仿宋_GB2312" w:cs="仿宋_GB2312"/>
        </w:rPr>
        <w:t>7.2具体要求</w:t>
      </w:r>
      <w:r>
        <w:tab/>
      </w:r>
      <w:r>
        <w:fldChar w:fldCharType="begin"/>
      </w:r>
      <w:r>
        <w:instrText xml:space="preserve"> PAGEREF _Toc256000032 \h </w:instrText>
      </w:r>
      <w:r>
        <w:fldChar w:fldCharType="separate"/>
      </w:r>
      <w:r>
        <w:t>12</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"_Toc256000033" </w:instrText>
      </w:r>
      <w:r>
        <w:fldChar w:fldCharType="separate"/>
      </w:r>
      <w:r>
        <w:rPr>
          <w:rStyle w:val="11"/>
          <w:rFonts w:ascii="仿宋_GB2312" w:hAnsi="仿宋_GB2312" w:eastAsia="仿宋_GB2312" w:cs="仿宋_GB2312"/>
          <w:kern w:val="36"/>
        </w:rPr>
        <w:t>8其他要求</w:t>
      </w:r>
      <w:r>
        <w:tab/>
      </w:r>
      <w:r>
        <w:fldChar w:fldCharType="begin"/>
      </w:r>
      <w:r>
        <w:instrText xml:space="preserve"> PAGEREF _Toc256000033 \h </w:instrText>
      </w:r>
      <w:r>
        <w:fldChar w:fldCharType="separate"/>
      </w:r>
      <w:r>
        <w:t>13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"_Toc256000034" </w:instrText>
      </w:r>
      <w:r>
        <w:fldChar w:fldCharType="separate"/>
      </w:r>
      <w:r>
        <w:rPr>
          <w:rStyle w:val="11"/>
          <w:rFonts w:ascii="仿宋_GB2312" w:hAnsi="仿宋_GB2312" w:eastAsia="仿宋_GB2312" w:cs="仿宋_GB2312"/>
        </w:rPr>
        <w:t>8.1必备要求</w:t>
      </w:r>
      <w:r>
        <w:tab/>
      </w:r>
      <w:r>
        <w:fldChar w:fldCharType="begin"/>
      </w:r>
      <w:r>
        <w:instrText xml:space="preserve"> PAGEREF _Toc256000034 \h </w:instrText>
      </w:r>
      <w:r>
        <w:fldChar w:fldCharType="separate"/>
      </w:r>
      <w:r>
        <w:t>13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"_Toc256000035" </w:instrText>
      </w:r>
      <w:r>
        <w:fldChar w:fldCharType="separate"/>
      </w:r>
      <w:r>
        <w:rPr>
          <w:rStyle w:val="11"/>
          <w:rFonts w:ascii="仿宋_GB2312" w:hAnsi="仿宋_GB2312" w:eastAsia="仿宋_GB2312" w:cs="仿宋_GB2312"/>
        </w:rPr>
        <w:t>8.1.1通用必备要求</w:t>
      </w:r>
      <w:r>
        <w:tab/>
      </w:r>
      <w:r>
        <w:fldChar w:fldCharType="begin"/>
      </w:r>
      <w:r>
        <w:instrText xml:space="preserve"> PAGEREF _Toc256000035 \h </w:instrText>
      </w:r>
      <w:r>
        <w:fldChar w:fldCharType="separate"/>
      </w:r>
      <w:r>
        <w:t>13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"_Toc256000036" </w:instrText>
      </w:r>
      <w:r>
        <w:fldChar w:fldCharType="separate"/>
      </w:r>
      <w:r>
        <w:rPr>
          <w:rStyle w:val="11"/>
          <w:rFonts w:ascii="仿宋_GB2312" w:hAnsi="仿宋_GB2312" w:eastAsia="仿宋_GB2312" w:cs="仿宋_GB2312"/>
        </w:rPr>
        <w:t>8.2付款安排建议</w:t>
      </w:r>
      <w:r>
        <w:tab/>
      </w:r>
      <w:r>
        <w:fldChar w:fldCharType="begin"/>
      </w:r>
      <w:r>
        <w:instrText xml:space="preserve"> PAGEREF _Toc256000036 \h </w:instrText>
      </w:r>
      <w:r>
        <w:fldChar w:fldCharType="separate"/>
      </w:r>
      <w:r>
        <w:t>13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"_Toc256000037" </w:instrText>
      </w:r>
      <w:r>
        <w:fldChar w:fldCharType="separate"/>
      </w:r>
      <w:r>
        <w:rPr>
          <w:rStyle w:val="11"/>
          <w:rFonts w:ascii="仿宋_GB2312" w:hAnsi="仿宋_GB2312" w:eastAsia="仿宋_GB2312" w:cs="仿宋_GB2312"/>
        </w:rPr>
        <w:t>8.3其他要求</w:t>
      </w:r>
      <w:r>
        <w:tab/>
      </w:r>
      <w:r>
        <w:fldChar w:fldCharType="begin"/>
      </w:r>
      <w:r>
        <w:instrText xml:space="preserve"> PAGEREF _Toc256000037 \h </w:instrText>
      </w:r>
      <w:r>
        <w:fldChar w:fldCharType="separate"/>
      </w:r>
      <w:r>
        <w:t>14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"_Toc256000038" </w:instrText>
      </w:r>
      <w:r>
        <w:fldChar w:fldCharType="separate"/>
      </w:r>
      <w:r>
        <w:rPr>
          <w:rStyle w:val="11"/>
          <w:rFonts w:ascii="仿宋_GB2312" w:hAnsi="仿宋_GB2312" w:eastAsia="仿宋_GB2312" w:cs="仿宋_GB2312"/>
        </w:rPr>
        <w:t>8.3.1保密要求</w:t>
      </w:r>
      <w:r>
        <w:tab/>
      </w:r>
      <w:r>
        <w:fldChar w:fldCharType="begin"/>
      </w:r>
      <w:r>
        <w:instrText xml:space="preserve"> PAGEREF _Toc256000038 \h </w:instrText>
      </w:r>
      <w:r>
        <w:fldChar w:fldCharType="separate"/>
      </w:r>
      <w:r>
        <w:t>14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"_Toc256000039" </w:instrText>
      </w:r>
      <w:r>
        <w:fldChar w:fldCharType="separate"/>
      </w:r>
      <w:r>
        <w:rPr>
          <w:rStyle w:val="11"/>
          <w:rFonts w:ascii="仿宋_GB2312" w:hAnsi="仿宋_GB2312" w:eastAsia="仿宋_GB2312" w:cs="仿宋_GB2312"/>
        </w:rPr>
        <w:t>8.3.2知识转移要求</w:t>
      </w:r>
      <w:r>
        <w:tab/>
      </w:r>
      <w:r>
        <w:fldChar w:fldCharType="begin"/>
      </w:r>
      <w:r>
        <w:instrText xml:space="preserve"> PAGEREF _Toc256000039 \h </w:instrText>
      </w:r>
      <w:r>
        <w:fldChar w:fldCharType="separate"/>
      </w:r>
      <w:r>
        <w:t>14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"_Toc256000040" </w:instrText>
      </w:r>
      <w:r>
        <w:fldChar w:fldCharType="separate"/>
      </w:r>
      <w:r>
        <w:rPr>
          <w:rStyle w:val="11"/>
          <w:rFonts w:ascii="仿宋_GB2312" w:hAnsi="仿宋_GB2312" w:eastAsia="仿宋_GB2312" w:cs="仿宋_GB2312"/>
        </w:rPr>
        <w:t>8.3.3知识产权要求</w:t>
      </w:r>
      <w:r>
        <w:tab/>
      </w:r>
      <w:r>
        <w:fldChar w:fldCharType="begin"/>
      </w:r>
      <w:r>
        <w:instrText xml:space="preserve"> PAGEREF _Toc256000040 \h </w:instrText>
      </w:r>
      <w:r>
        <w:fldChar w:fldCharType="separate"/>
      </w:r>
      <w:r>
        <w:t>14</w:t>
      </w:r>
      <w:r>
        <w:fldChar w:fldCharType="end"/>
      </w:r>
      <w:r>
        <w:fldChar w:fldCharType="end"/>
      </w:r>
    </w:p>
    <w:p>
      <w:pPr>
        <w:spacing w:before="0" w:after="0" w:line="360" w:lineRule="auto"/>
        <w:jc w:val="left"/>
      </w:pPr>
      <w:r>
        <w:rPr>
          <w:rFonts w:ascii="宋体" w:hAnsi="宋体" w:eastAsia="宋体" w:cs="宋体"/>
          <w:sz w:val="32"/>
        </w:rPr>
        <w:fldChar w:fldCharType="end"/>
      </w:r>
      <w:r>
        <w:br w:type="page"/>
      </w:r>
    </w:p>
    <w:p>
      <w:pPr>
        <w:pStyle w:val="2"/>
        <w:keepNext w:val="0"/>
        <w:spacing w:before="0" w:after="0" w:line="360" w:lineRule="auto"/>
        <w:jc w:val="center"/>
        <w:rPr>
          <w:rFonts w:ascii="仿宋_GB2312" w:hAnsi="仿宋_GB2312" w:eastAsia="仿宋_GB2312" w:cs="仿宋_GB2312"/>
          <w:b/>
          <w:bCs/>
          <w:sz w:val="32"/>
          <w:szCs w:val="32"/>
        </w:rPr>
      </w:pPr>
      <w:bookmarkStart w:id="2" w:name="_Toc256000000"/>
      <w:r>
        <w:rPr>
          <w:rFonts w:ascii="仿宋_GB2312" w:hAnsi="仿宋_GB2312" w:eastAsia="仿宋_GB2312" w:cs="仿宋_GB2312"/>
          <w:kern w:val="36"/>
        </w:rPr>
        <w:t>1项目概述</w:t>
      </w:r>
      <w:bookmarkEnd w:id="2"/>
    </w:p>
    <w:p>
      <w:pPr>
        <w:pStyle w:val="3"/>
        <w:keepNext w:val="0"/>
        <w:spacing w:before="0" w:after="0" w:line="360" w:lineRule="auto"/>
        <w:rPr>
          <w:rFonts w:ascii="仿宋_GB2312" w:hAnsi="仿宋_GB2312" w:eastAsia="仿宋_GB2312" w:cs="仿宋_GB2312"/>
          <w:b/>
          <w:bCs/>
          <w:sz w:val="28"/>
          <w:szCs w:val="28"/>
        </w:rPr>
      </w:pPr>
      <w:bookmarkStart w:id="3" w:name="_Toc256000001"/>
      <w:r>
        <w:rPr>
          <w:rFonts w:ascii="仿宋_GB2312" w:hAnsi="仿宋_GB2312" w:eastAsia="仿宋_GB2312" w:cs="仿宋_GB2312"/>
          <w:i w:val="0"/>
          <w:iCs w:val="0"/>
        </w:rPr>
        <w:t>1.1项目背景</w:t>
      </w:r>
      <w:bookmarkEnd w:id="3"/>
    </w:p>
    <w:p>
      <w:pPr>
        <w:pStyle w:val="4"/>
        <w:keepNext w:val="0"/>
        <w:spacing w:before="0" w:after="0" w:line="360" w:lineRule="auto"/>
        <w:rPr>
          <w:rFonts w:ascii="仿宋_GB2312" w:hAnsi="仿宋_GB2312" w:eastAsia="仿宋_GB2312" w:cs="仿宋_GB2312"/>
          <w:b/>
          <w:bCs/>
          <w:sz w:val="28"/>
          <w:szCs w:val="28"/>
        </w:rPr>
      </w:pPr>
      <w:bookmarkStart w:id="4" w:name="_Toc256000002"/>
      <w:r>
        <w:rPr>
          <w:rFonts w:ascii="仿宋_GB2312" w:hAnsi="仿宋_GB2312" w:eastAsia="仿宋_GB2312" w:cs="仿宋_GB2312"/>
          <w:sz w:val="28"/>
          <w:szCs w:val="28"/>
        </w:rPr>
        <w:t>1.1.1项目目的、意义及背景</w:t>
      </w:r>
      <w:bookmarkEnd w:id="4"/>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国家税务总局天津市武清区税务局为构建天津税务系统“一键接入、市区联动、规范统一”的12366税费咨询服务体系，协同服务新模式，持续推进办税缴费服务提质增效，提升纳税人缴费人（以下简称“纳税人”）满意度和获得感。随着新兴产业的发展，企业对于纳税服务、政策辅导的需求日益增长。为进一步强化运行管理，提升服务质效，结合12366热线转型升级工作目标，充分发挥第三方服务单位运营管理经验，巩固现有工作成效，持续创新服务方式，全方位、多渠道为纳税人缴费人提供更加精细化、个性化的服务，优化税收营商环境，国家税务总局天津市武清区税务局通过政府采购方式采购12366热线及其他咨询服务。</w:t>
      </w:r>
    </w:p>
    <w:p>
      <w:pPr>
        <w:pStyle w:val="3"/>
        <w:keepNext w:val="0"/>
        <w:spacing w:before="0" w:after="0" w:line="360" w:lineRule="auto"/>
        <w:rPr>
          <w:rFonts w:ascii="仿宋_GB2312" w:hAnsi="仿宋_GB2312" w:eastAsia="仿宋_GB2312" w:cs="仿宋_GB2312"/>
          <w:b/>
          <w:bCs/>
          <w:sz w:val="28"/>
          <w:szCs w:val="28"/>
        </w:rPr>
      </w:pPr>
      <w:bookmarkStart w:id="5" w:name="_Toc256000003"/>
      <w:r>
        <w:rPr>
          <w:rFonts w:ascii="仿宋_GB2312" w:hAnsi="仿宋_GB2312" w:eastAsia="仿宋_GB2312" w:cs="仿宋_GB2312"/>
          <w:i w:val="0"/>
          <w:iCs w:val="0"/>
        </w:rPr>
        <w:t>1.2项目内容</w:t>
      </w:r>
      <w:bookmarkEnd w:id="5"/>
    </w:p>
    <w:p>
      <w:pPr>
        <w:pStyle w:val="4"/>
        <w:keepNext w:val="0"/>
        <w:spacing w:before="0" w:after="0" w:line="360" w:lineRule="auto"/>
        <w:rPr>
          <w:rFonts w:ascii="仿宋_GB2312" w:hAnsi="仿宋_GB2312" w:eastAsia="仿宋_GB2312" w:cs="仿宋_GB2312"/>
          <w:b/>
          <w:bCs/>
          <w:sz w:val="28"/>
          <w:szCs w:val="28"/>
        </w:rPr>
      </w:pPr>
      <w:bookmarkStart w:id="6" w:name="_Toc256000004"/>
      <w:r>
        <w:rPr>
          <w:rFonts w:ascii="仿宋_GB2312" w:hAnsi="仿宋_GB2312" w:eastAsia="仿宋_GB2312" w:cs="仿宋_GB2312"/>
          <w:sz w:val="28"/>
          <w:szCs w:val="28"/>
        </w:rPr>
        <w:t>1.2.1项目建设思路</w:t>
      </w:r>
      <w:bookmarkEnd w:id="6"/>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本项目为纳税人缴费人提供专业化、规范化、标准化服务，持续提升纳税人缴费人的满意度和获得感。12366热线主要功能为：税费咨询、涉税费查询、纳税缴费程序咨询辅导、征纳互动服务、意见建议受理、税费政策宣传、满意度回访、需求收集、数据分析应用等。按照国家税务总局天津市税务局对12366热线咨询服务的要求，须提供工作日人工座席服务。人工座席负责提供以接听、回拨等方式受理纳税人缴费人的电话咨询、意见建议，对“好差评”结果为不满意的电话进行回访等相关服务。</w:t>
      </w:r>
    </w:p>
    <w:p>
      <w:pPr>
        <w:pStyle w:val="4"/>
        <w:keepNext w:val="0"/>
        <w:spacing w:before="0" w:after="0" w:line="360" w:lineRule="auto"/>
        <w:rPr>
          <w:rFonts w:ascii="仿宋_GB2312" w:hAnsi="仿宋_GB2312" w:eastAsia="仿宋_GB2312" w:cs="仿宋_GB2312"/>
          <w:b/>
          <w:bCs/>
          <w:sz w:val="28"/>
          <w:szCs w:val="28"/>
        </w:rPr>
      </w:pPr>
      <w:bookmarkStart w:id="7" w:name="_Toc256000005"/>
      <w:r>
        <w:rPr>
          <w:rFonts w:ascii="仿宋_GB2312" w:hAnsi="仿宋_GB2312" w:eastAsia="仿宋_GB2312" w:cs="仿宋_GB2312"/>
          <w:sz w:val="28"/>
          <w:szCs w:val="28"/>
        </w:rPr>
        <w:t>1.2.2采购内容</w:t>
      </w:r>
      <w:bookmarkEnd w:id="7"/>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本项目采购内容为12366热线咨询服务，国家税务总局天津市武清区税务局提供办公场地、人员工位及相关办公设备，中标供应商提供服务人员及接听设备。本项目需要服务人员22人，中标供应商按照国家税务总局天津市武清区税务局要求培训、管理服务人员，配合国家税务总局天津市武清区税务局对12366热线的日常管理工作，共同落实服务规范和绩效管理办法等制度体系。</w:t>
      </w:r>
    </w:p>
    <w:p>
      <w:pPr>
        <w:pStyle w:val="4"/>
        <w:keepNext w:val="0"/>
        <w:spacing w:before="0" w:after="0" w:line="360" w:lineRule="auto"/>
        <w:rPr>
          <w:rFonts w:ascii="仿宋_GB2312" w:hAnsi="仿宋_GB2312" w:eastAsia="仿宋_GB2312" w:cs="仿宋_GB2312"/>
          <w:b/>
          <w:bCs/>
          <w:sz w:val="28"/>
          <w:szCs w:val="28"/>
        </w:rPr>
      </w:pPr>
      <w:bookmarkStart w:id="8" w:name="_Toc256000006"/>
      <w:r>
        <w:rPr>
          <w:rFonts w:ascii="仿宋_GB2312" w:hAnsi="仿宋_GB2312" w:eastAsia="仿宋_GB2312" w:cs="仿宋_GB2312"/>
          <w:sz w:val="28"/>
          <w:szCs w:val="28"/>
        </w:rPr>
        <w:t>1.2.3项目实施要求</w:t>
      </w:r>
      <w:bookmarkEnd w:id="8"/>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按照国家税务总局天津市税务局对12366热线及征纳互动咨询服务的要求，须为12366热线提供工作日人工座席服务。</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1.2.3.2实施时间要求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自合同规定的服务起始之日起1年。</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1.2.3.3实施地点要求</w:t>
      </w:r>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国家税务总局天津市武清区税务局，地址天津市武清区泉州北路21号。</w:t>
      </w:r>
    </w:p>
    <w:p>
      <w:pPr>
        <w:pStyle w:val="2"/>
        <w:keepNext w:val="0"/>
        <w:spacing w:before="0" w:after="0" w:line="360" w:lineRule="auto"/>
        <w:jc w:val="center"/>
        <w:rPr>
          <w:rFonts w:ascii="仿宋_GB2312" w:hAnsi="仿宋_GB2312" w:eastAsia="仿宋_GB2312" w:cs="仿宋_GB2312"/>
          <w:b/>
          <w:bCs/>
          <w:sz w:val="32"/>
          <w:szCs w:val="32"/>
        </w:rPr>
      </w:pPr>
      <w:bookmarkStart w:id="9" w:name="_Toc256000007"/>
      <w:r>
        <w:rPr>
          <w:rFonts w:ascii="仿宋_GB2312" w:hAnsi="仿宋_GB2312" w:eastAsia="仿宋_GB2312" w:cs="仿宋_GB2312"/>
          <w:kern w:val="36"/>
        </w:rPr>
        <w:t>2投标/响应要求</w:t>
      </w:r>
      <w:bookmarkEnd w:id="9"/>
    </w:p>
    <w:p>
      <w:pPr>
        <w:pStyle w:val="3"/>
        <w:keepNext w:val="0"/>
        <w:spacing w:before="0" w:after="0" w:line="360" w:lineRule="auto"/>
        <w:rPr>
          <w:rFonts w:ascii="仿宋_GB2312" w:hAnsi="仿宋_GB2312" w:eastAsia="仿宋_GB2312" w:cs="仿宋_GB2312"/>
          <w:b/>
          <w:bCs/>
          <w:sz w:val="28"/>
          <w:szCs w:val="28"/>
        </w:rPr>
      </w:pPr>
      <w:bookmarkStart w:id="10" w:name="_Toc256000008"/>
      <w:r>
        <w:rPr>
          <w:rFonts w:ascii="仿宋_GB2312" w:hAnsi="仿宋_GB2312" w:eastAsia="仿宋_GB2312" w:cs="仿宋_GB2312"/>
          <w:i w:val="0"/>
          <w:iCs w:val="0"/>
        </w:rPr>
        <w:t>2.1对供应商的要求</w:t>
      </w:r>
      <w:bookmarkEnd w:id="10"/>
    </w:p>
    <w:p>
      <w:pPr>
        <w:pStyle w:val="4"/>
        <w:keepNext w:val="0"/>
        <w:spacing w:before="0" w:after="0" w:line="360" w:lineRule="auto"/>
        <w:rPr>
          <w:rFonts w:ascii="仿宋_GB2312" w:hAnsi="仿宋_GB2312" w:eastAsia="仿宋_GB2312" w:cs="仿宋_GB2312"/>
          <w:b/>
          <w:bCs/>
          <w:sz w:val="28"/>
          <w:szCs w:val="28"/>
        </w:rPr>
      </w:pPr>
      <w:bookmarkStart w:id="11" w:name="_Toc256000009"/>
      <w:r>
        <w:rPr>
          <w:rFonts w:ascii="仿宋_GB2312" w:hAnsi="仿宋_GB2312" w:eastAsia="仿宋_GB2312" w:cs="仿宋_GB2312"/>
          <w:sz w:val="28"/>
          <w:szCs w:val="28"/>
        </w:rPr>
        <w:t>2.1.1必备资质</w:t>
      </w:r>
      <w:bookmarkEnd w:id="11"/>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2.1.1.2本项目的特定资格要求</w:t>
      </w:r>
    </w:p>
    <w:p>
      <w:pPr>
        <w:spacing w:before="0" w:after="0" w:line="360" w:lineRule="auto"/>
        <w:rPr>
          <w:rFonts w:ascii="仿宋_GB2312" w:hAnsi="仿宋_GB2312" w:eastAsia="仿宋_GB2312" w:cs="仿宋_GB2312"/>
          <w:sz w:val="28"/>
          <w:szCs w:val="28"/>
          <w:lang w:val="en-US" w:eastAsia="en-US" w:bidi="ar-SA"/>
        </w:rPr>
      </w:pPr>
      <w:r>
        <w:rPr>
          <w:rFonts w:ascii="仿宋_GB2312" w:hAnsi="仿宋_GB2312" w:eastAsia="仿宋_GB2312" w:cs="仿宋_GB2312"/>
          <w:sz w:val="28"/>
          <w:szCs w:val="28"/>
          <w:lang w:val="en-US" w:eastAsia="en-US" w:bidi="ar-SA"/>
        </w:rPr>
        <w:t>供应商应具备独立法人资格。有履行职责的业务能力。</w:t>
      </w:r>
    </w:p>
    <w:p>
      <w:pPr>
        <w:pStyle w:val="4"/>
        <w:keepNext w:val="0"/>
        <w:spacing w:before="0" w:after="0" w:line="360" w:lineRule="auto"/>
        <w:rPr>
          <w:rFonts w:ascii="仿宋_GB2312" w:hAnsi="仿宋_GB2312" w:eastAsia="仿宋_GB2312" w:cs="仿宋_GB2312"/>
          <w:b/>
          <w:bCs/>
          <w:sz w:val="28"/>
          <w:szCs w:val="28"/>
        </w:rPr>
      </w:pPr>
      <w:bookmarkStart w:id="12" w:name="_Toc256000010"/>
      <w:r>
        <w:rPr>
          <w:rFonts w:ascii="仿宋_GB2312" w:hAnsi="仿宋_GB2312" w:eastAsia="仿宋_GB2312" w:cs="仿宋_GB2312"/>
          <w:sz w:val="28"/>
          <w:szCs w:val="28"/>
        </w:rPr>
        <w:t>2.1.2优选资质/优选指标</w:t>
      </w:r>
      <w:bookmarkEnd w:id="12"/>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tbl>
      <w:tblPr>
        <w:tblStyle w:val="9"/>
        <w:tblW w:w="5000" w:type="pct"/>
        <w:tblInd w:w="30" w:type="dxa"/>
        <w:tblLayout w:type="autofit"/>
        <w:tblCellMar>
          <w:top w:w="15" w:type="dxa"/>
          <w:left w:w="15" w:type="dxa"/>
          <w:bottom w:w="15" w:type="dxa"/>
          <w:right w:w="15" w:type="dxa"/>
        </w:tblCellMar>
      </w:tblPr>
      <w:tblGrid>
        <w:gridCol w:w="906"/>
        <w:gridCol w:w="4082"/>
        <w:gridCol w:w="4082"/>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225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证书名称</w:t>
            </w:r>
          </w:p>
        </w:tc>
        <w:tc>
          <w:tcPr>
            <w:tcW w:w="225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备注</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质量管理体系认证证书</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环境管理体系认证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职业健康安全管理体系认证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bl>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有效案例为有效案例为2022年9月1日以来（以合同签订日期为准）,供应商独立承担的与本项目相类似项目案例。</w:t>
      </w:r>
    </w:p>
    <w:p>
      <w:pPr>
        <w:pStyle w:val="4"/>
        <w:keepNext w:val="0"/>
        <w:spacing w:before="0" w:after="0" w:line="360" w:lineRule="auto"/>
        <w:rPr>
          <w:rFonts w:ascii="仿宋_GB2312" w:hAnsi="仿宋_GB2312" w:eastAsia="仿宋_GB2312" w:cs="仿宋_GB2312"/>
          <w:b/>
          <w:bCs/>
          <w:sz w:val="28"/>
          <w:szCs w:val="28"/>
        </w:rPr>
      </w:pPr>
      <w:bookmarkStart w:id="13" w:name="_Toc256000011"/>
      <w:r>
        <w:rPr>
          <w:rFonts w:ascii="仿宋_GB2312" w:hAnsi="仿宋_GB2312" w:eastAsia="仿宋_GB2312" w:cs="仿宋_GB2312"/>
          <w:sz w:val="28"/>
          <w:szCs w:val="28"/>
        </w:rPr>
        <w:t>2.1.3是否允许联合体</w:t>
      </w:r>
      <w:bookmarkEnd w:id="13"/>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否</w:t>
      </w:r>
    </w:p>
    <w:p>
      <w:pPr>
        <w:pStyle w:val="4"/>
        <w:keepNext w:val="0"/>
        <w:spacing w:before="0" w:after="0" w:line="360" w:lineRule="auto"/>
        <w:rPr>
          <w:rFonts w:ascii="仿宋_GB2312" w:hAnsi="仿宋_GB2312" w:eastAsia="仿宋_GB2312" w:cs="仿宋_GB2312"/>
          <w:b/>
          <w:bCs/>
          <w:sz w:val="28"/>
          <w:szCs w:val="28"/>
        </w:rPr>
      </w:pPr>
      <w:bookmarkStart w:id="14" w:name="_Toc256000012"/>
      <w:r>
        <w:rPr>
          <w:rFonts w:ascii="仿宋_GB2312" w:hAnsi="仿宋_GB2312" w:eastAsia="仿宋_GB2312" w:cs="仿宋_GB2312"/>
          <w:sz w:val="28"/>
          <w:szCs w:val="28"/>
        </w:rPr>
        <w:t>2.1.4是否专门面向中小企业</w:t>
      </w:r>
      <w:bookmarkEnd w:id="14"/>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本项目专门面向中小企业采购项目</w:t>
      </w:r>
    </w:p>
    <w:p>
      <w:pPr>
        <w:pStyle w:val="4"/>
        <w:keepNext w:val="0"/>
        <w:spacing w:before="0" w:after="0" w:line="360" w:lineRule="auto"/>
        <w:rPr>
          <w:rFonts w:ascii="仿宋_GB2312" w:hAnsi="仿宋_GB2312" w:eastAsia="仿宋_GB2312" w:cs="仿宋_GB2312"/>
          <w:b/>
          <w:bCs/>
          <w:sz w:val="28"/>
          <w:szCs w:val="28"/>
        </w:rPr>
      </w:pPr>
      <w:bookmarkStart w:id="15" w:name="_Toc256000013"/>
      <w:r>
        <w:rPr>
          <w:rFonts w:ascii="仿宋_GB2312" w:hAnsi="仿宋_GB2312" w:eastAsia="仿宋_GB2312" w:cs="仿宋_GB2312"/>
          <w:sz w:val="28"/>
          <w:szCs w:val="28"/>
        </w:rPr>
        <w:t>2.1.5其他要求</w:t>
      </w:r>
      <w:bookmarkEnd w:id="15"/>
      <w:bookmarkStart w:id="43" w:name="_GoBack"/>
      <w:bookmarkEnd w:id="43"/>
    </w:p>
    <w:p>
      <w:pPr>
        <w:pStyle w:val="13"/>
        <w:spacing w:before="0" w:after="0" w:line="360" w:lineRule="auto"/>
        <w:ind w:firstLine="560"/>
        <w:rPr>
          <w:rFonts w:ascii="仿宋_GB2312" w:hAnsi="仿宋_GB2312" w:eastAsia="仿宋_GB2312" w:cs="仿宋_GB2312"/>
          <w:sz w:val="28"/>
          <w:szCs w:val="28"/>
          <w:lang w:val="en-US" w:eastAsia="en-US" w:bidi="ar-SA"/>
        </w:rPr>
      </w:pPr>
      <w:r>
        <w:rPr>
          <w:rFonts w:ascii="仿宋_GB2312" w:hAnsi="仿宋_GB2312" w:eastAsia="仿宋_GB2312" w:cs="仿宋_GB2312"/>
          <w:sz w:val="28"/>
          <w:szCs w:val="28"/>
          <w:lang w:val="en-US" w:eastAsia="en-US" w:bidi="ar-SA"/>
        </w:rPr>
        <w:t>本项目不接受分包，不组织现场勘查。</w:t>
      </w:r>
    </w:p>
    <w:p>
      <w:pPr>
        <w:pStyle w:val="3"/>
        <w:keepNext w:val="0"/>
        <w:spacing w:before="0" w:after="0" w:line="360" w:lineRule="auto"/>
        <w:rPr>
          <w:rFonts w:ascii="仿宋_GB2312" w:hAnsi="仿宋_GB2312" w:eastAsia="仿宋_GB2312" w:cs="仿宋_GB2312"/>
          <w:b/>
          <w:bCs/>
          <w:sz w:val="28"/>
          <w:szCs w:val="28"/>
        </w:rPr>
      </w:pPr>
      <w:bookmarkStart w:id="16" w:name="_Toc256000014"/>
      <w:r>
        <w:rPr>
          <w:rFonts w:ascii="仿宋_GB2312" w:hAnsi="仿宋_GB2312" w:eastAsia="仿宋_GB2312" w:cs="仿宋_GB2312"/>
          <w:i w:val="0"/>
          <w:iCs w:val="0"/>
        </w:rPr>
        <w:t>2.2技术部分投标/响应内容</w:t>
      </w:r>
      <w:bookmarkEnd w:id="16"/>
    </w:p>
    <w:p>
      <w:pPr>
        <w:pStyle w:val="4"/>
        <w:keepNext w:val="0"/>
        <w:spacing w:before="0" w:after="0" w:line="360" w:lineRule="auto"/>
        <w:rPr>
          <w:rFonts w:ascii="仿宋_GB2312" w:hAnsi="仿宋_GB2312" w:eastAsia="仿宋_GB2312" w:cs="仿宋_GB2312"/>
          <w:b/>
          <w:bCs/>
          <w:sz w:val="28"/>
          <w:szCs w:val="28"/>
        </w:rPr>
      </w:pPr>
      <w:bookmarkStart w:id="17" w:name="_Toc256000015"/>
      <w:r>
        <w:rPr>
          <w:rFonts w:ascii="仿宋_GB2312" w:hAnsi="仿宋_GB2312" w:eastAsia="仿宋_GB2312" w:cs="仿宋_GB2312"/>
          <w:sz w:val="28"/>
          <w:szCs w:val="28"/>
        </w:rPr>
        <w:t>2.2.1技术投标/响应总要求</w:t>
      </w:r>
      <w:bookmarkEnd w:id="17"/>
    </w:p>
    <w:p>
      <w:pPr>
        <w:pStyle w:val="12"/>
        <w:spacing w:before="0" w:after="0" w:line="360" w:lineRule="auto"/>
        <w:ind w:firstLine="561"/>
        <w:rPr>
          <w:rFonts w:ascii="Times New Roman" w:hAnsi="Times New Roman" w:eastAsia="Times New Roman" w:cs="Times New Roman"/>
        </w:rPr>
      </w:pPr>
      <w:r>
        <w:rPr>
          <w:rFonts w:ascii="仿宋_GB2312" w:hAnsi="仿宋_GB2312" w:eastAsia="仿宋_GB2312" w:cs="仿宋_GB2312"/>
          <w:sz w:val="28"/>
          <w:szCs w:val="28"/>
        </w:rPr>
        <w:t>1.投标人须承诺所提供的服务、人员、设备及耗材等均符合相关国家强制性规定。</w:t>
      </w:r>
    </w:p>
    <w:p>
      <w:pPr>
        <w:pStyle w:val="12"/>
        <w:spacing w:before="0" w:after="0" w:line="360" w:lineRule="auto"/>
        <w:ind w:firstLine="561"/>
        <w:rPr>
          <w:rFonts w:ascii="Times New Roman" w:hAnsi="Times New Roman" w:eastAsia="Times New Roman" w:cs="Times New Roman"/>
        </w:rPr>
      </w:pPr>
      <w:r>
        <w:rPr>
          <w:rFonts w:ascii="仿宋_GB2312" w:hAnsi="仿宋_GB2312" w:eastAsia="仿宋_GB2312" w:cs="仿宋_GB2312"/>
          <w:sz w:val="28"/>
          <w:szCs w:val="28"/>
        </w:rPr>
        <w:t>2.根据《中华人民共和国劳动合同法》及其他法律法规的要求，本项目成交供应商须与实施12366纳税缴费服务热线远程座席服务人员签订劳动合同，按国家及天津市相关政策规定，支付工资、加班费和福利费、缴纳社会保险及住房公积金等。</w:t>
      </w:r>
    </w:p>
    <w:p>
      <w:pPr>
        <w:pStyle w:val="4"/>
        <w:keepNext w:val="0"/>
        <w:spacing w:before="0" w:after="0" w:line="360" w:lineRule="auto"/>
        <w:rPr>
          <w:rFonts w:ascii="仿宋_GB2312" w:hAnsi="仿宋_GB2312" w:eastAsia="仿宋_GB2312" w:cs="仿宋_GB2312"/>
          <w:b/>
          <w:bCs/>
          <w:sz w:val="28"/>
          <w:szCs w:val="28"/>
        </w:rPr>
      </w:pPr>
      <w:bookmarkStart w:id="18" w:name="_Toc256000016"/>
      <w:r>
        <w:rPr>
          <w:rFonts w:ascii="仿宋_GB2312" w:hAnsi="仿宋_GB2312" w:eastAsia="仿宋_GB2312" w:cs="仿宋_GB2312"/>
          <w:sz w:val="28"/>
          <w:szCs w:val="28"/>
        </w:rPr>
        <w:t>2.2.2投标/响应方案要求</w:t>
      </w:r>
      <w:bookmarkEnd w:id="18"/>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以下相关方案，若作为评审因素，则投标人应在满足★必备指标项要求的前提下，根据项目特点和采购需求，制定更为完整、详细、可操作性强的方案。</w:t>
      </w:r>
    </w:p>
    <w:p>
      <w:pPr>
        <w:pStyle w:val="13"/>
        <w:spacing w:before="0" w:after="0" w:line="360" w:lineRule="auto"/>
        <w:ind w:firstLine="561"/>
        <w:rPr>
          <w:rFonts w:ascii="Times New Roman" w:hAnsi="Times New Roman" w:eastAsia="Times New Roman" w:cs="Times New Roman"/>
        </w:rPr>
      </w:pPr>
      <w:r>
        <w:rPr>
          <w:rFonts w:ascii="仿宋_GB2312" w:hAnsi="仿宋_GB2312" w:eastAsia="仿宋_GB2312" w:cs="仿宋_GB2312"/>
          <w:sz w:val="28"/>
          <w:szCs w:val="28"/>
        </w:rPr>
        <w:t>以下相关方案，若作为评审因素，则投标人应在满足★关键指标项要求的前提下，根据项目特点和采购需求，制定更为完整、详细、可操作性强的方案。</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投标人应根据项目需求对服务方案及内容、项目需求理解、实施方案、保密管理、培训方案、应急保障方案等内容进行响应。</w:t>
      </w:r>
    </w:p>
    <w:p>
      <w:pPr>
        <w:pStyle w:val="2"/>
        <w:keepNext w:val="0"/>
        <w:spacing w:before="0" w:after="0" w:line="360" w:lineRule="auto"/>
        <w:jc w:val="center"/>
        <w:rPr>
          <w:rFonts w:ascii="仿宋_GB2312" w:hAnsi="仿宋_GB2312" w:eastAsia="仿宋_GB2312" w:cs="仿宋_GB2312"/>
          <w:b/>
          <w:bCs/>
          <w:sz w:val="32"/>
          <w:szCs w:val="32"/>
        </w:rPr>
      </w:pPr>
      <w:bookmarkStart w:id="19" w:name="_Toc256000017"/>
      <w:r>
        <w:rPr>
          <w:rFonts w:ascii="仿宋_GB2312" w:hAnsi="仿宋_GB2312" w:eastAsia="仿宋_GB2312" w:cs="仿宋_GB2312"/>
          <w:kern w:val="36"/>
        </w:rPr>
        <w:t>3项目需求</w:t>
      </w:r>
      <w:bookmarkEnd w:id="19"/>
    </w:p>
    <w:p>
      <w:pPr>
        <w:pStyle w:val="3"/>
        <w:keepNext w:val="0"/>
        <w:spacing w:before="0" w:after="0" w:line="360" w:lineRule="auto"/>
        <w:rPr>
          <w:rFonts w:ascii="仿宋_GB2312" w:hAnsi="仿宋_GB2312" w:eastAsia="仿宋_GB2312" w:cs="仿宋_GB2312"/>
          <w:b/>
          <w:bCs/>
          <w:sz w:val="28"/>
          <w:szCs w:val="28"/>
        </w:rPr>
      </w:pPr>
      <w:bookmarkStart w:id="20" w:name="_Toc256000018"/>
      <w:r>
        <w:rPr>
          <w:rFonts w:ascii="仿宋_GB2312" w:hAnsi="仿宋_GB2312" w:eastAsia="仿宋_GB2312" w:cs="仿宋_GB2312"/>
          <w:i w:val="0"/>
          <w:iCs w:val="0"/>
        </w:rPr>
        <w:t>3.1总体要求</w:t>
      </w:r>
      <w:bookmarkEnd w:id="20"/>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为构建天津税务系统“一键接入、市区联动、规范统一”的12366税费咨询服务体系，协同服务新模式，持续推进办税缴费服务提质增效，提升纳税人缴费人满意度和获得感。面向纳税人缴费人提供工作日人工座席服务，服务内容包括税费咨询、涉税费查询、纳税缴费程序咨询辅导、征纳互动服务、意见建议受理、税费政策宣传、满意度回访、需求收集、数据分析应用等。</w:t>
      </w:r>
    </w:p>
    <w:p>
      <w:pPr>
        <w:pStyle w:val="3"/>
        <w:keepNext w:val="0"/>
        <w:spacing w:before="0" w:after="0" w:line="360" w:lineRule="auto"/>
        <w:rPr>
          <w:rFonts w:ascii="仿宋_GB2312" w:hAnsi="仿宋_GB2312" w:eastAsia="仿宋_GB2312" w:cs="仿宋_GB2312"/>
          <w:b/>
          <w:bCs/>
          <w:sz w:val="28"/>
          <w:szCs w:val="28"/>
        </w:rPr>
      </w:pPr>
      <w:bookmarkStart w:id="21" w:name="_Toc256000019"/>
      <w:r>
        <w:rPr>
          <w:rFonts w:ascii="仿宋_GB2312" w:hAnsi="仿宋_GB2312" w:eastAsia="仿宋_GB2312" w:cs="仿宋_GB2312"/>
          <w:i w:val="0"/>
          <w:iCs w:val="0"/>
        </w:rPr>
        <w:t>3.2服务内容和要求</w:t>
      </w:r>
      <w:bookmarkEnd w:id="21"/>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采购文件（技术部分）中有标注★号的，为必备要求，必须满足，如未作出响应，将导致响应无效；#为重要内容、△为一般内容。</w:t>
      </w:r>
    </w:p>
    <w:p>
      <w:pPr>
        <w:pStyle w:val="4"/>
        <w:keepNext w:val="0"/>
        <w:spacing w:before="0" w:after="0" w:line="360" w:lineRule="auto"/>
        <w:rPr>
          <w:rFonts w:ascii="仿宋_GB2312" w:hAnsi="仿宋_GB2312" w:eastAsia="仿宋_GB2312" w:cs="仿宋_GB2312"/>
          <w:b/>
          <w:bCs/>
          <w:sz w:val="28"/>
          <w:szCs w:val="28"/>
        </w:rPr>
      </w:pPr>
      <w:bookmarkStart w:id="22" w:name="_Toc256000020"/>
      <w:r>
        <w:rPr>
          <w:rFonts w:ascii="仿宋_GB2312" w:hAnsi="仿宋_GB2312" w:eastAsia="仿宋_GB2312" w:cs="仿宋_GB2312"/>
          <w:sz w:val="28"/>
          <w:szCs w:val="28"/>
        </w:rPr>
        <w:t>3.2.1技术和服务客观指标</w:t>
      </w:r>
      <w:bookmarkEnd w:id="22"/>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3.2.1.1服务1</w:t>
      </w:r>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12366热线解答</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热线电话服务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主要包括解答纳税人缴费人向12366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等系统以及服务期内新增的各类系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12366热线解答</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电话回呼</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通过人工主动呼出的方式向纳税人缴费人提供涉税费咨询服务。电话回呼包括留言回呼、纠错回呼、承诺回呼、遇忙（呼损）回呼等。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线上纳税服务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征纳互动服务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通过征纳互动受理纳税人缴费人咨询，对通过12366热线发起咨询的符合条件的纳税人，根据业务需要为其提供反向拉起服务，提升咨询效率。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线上纳税服务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后台支撑服务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主要解决热线人员无法及时回复或解决的问题，包括但不限于疑难问题的解答、业务工单等。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线上纳税服务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宣传培训服务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包括相关涉税涉费热点问题的整理、编辑以及配合宣传和发布服务。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线上纳税服务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需求采集服务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作为税务局和纳税人缴费人之间的沟通桥梁，了解纳税人缴费人的实际需求，利用服务纳税人缴费人时获得的需求信息和数据，定期提供需求报告，为税务局提高纳税服务水平提供决策依据。</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bl>
    <w:p>
      <w:pPr>
        <w:pStyle w:val="4"/>
        <w:keepNext w:val="0"/>
        <w:spacing w:before="0" w:after="0" w:line="360" w:lineRule="auto"/>
        <w:rPr>
          <w:rFonts w:ascii="仿宋_GB2312" w:hAnsi="仿宋_GB2312" w:eastAsia="仿宋_GB2312" w:cs="仿宋_GB2312"/>
          <w:b/>
          <w:bCs/>
          <w:sz w:val="28"/>
          <w:szCs w:val="28"/>
        </w:rPr>
      </w:pPr>
      <w:bookmarkStart w:id="23" w:name="_Toc256000021"/>
      <w:r>
        <w:rPr>
          <w:rFonts w:ascii="仿宋_GB2312" w:hAnsi="仿宋_GB2312" w:eastAsia="仿宋_GB2312" w:cs="仿宋_GB2312"/>
          <w:sz w:val="28"/>
          <w:szCs w:val="28"/>
        </w:rPr>
        <w:t>3.2.2技术和服务其他要求</w:t>
      </w:r>
      <w:bookmarkEnd w:id="23"/>
    </w:p>
    <w:p>
      <w:pPr>
        <w:pStyle w:val="12"/>
        <w:spacing w:before="0" w:after="0" w:line="360" w:lineRule="auto"/>
        <w:ind w:firstLine="641"/>
        <w:jc w:val="both"/>
        <w:rPr>
          <w:rFonts w:ascii="Times New Roman" w:hAnsi="Times New Roman" w:eastAsia="Times New Roman" w:cs="Times New Roman"/>
        </w:rPr>
      </w:pPr>
      <w:r>
        <w:rPr>
          <w:rFonts w:ascii="仿宋_GB2312" w:hAnsi="仿宋_GB2312" w:eastAsia="仿宋_GB2312" w:cs="仿宋_GB2312"/>
          <w:b/>
          <w:bCs/>
          <w:sz w:val="28"/>
          <w:szCs w:val="28"/>
        </w:rPr>
        <w:t>一、进驻和接管要求</w:t>
      </w:r>
    </w:p>
    <w:p>
      <w:pPr>
        <w:pStyle w:val="12"/>
        <w:spacing w:before="0" w:after="0" w:line="360" w:lineRule="auto"/>
        <w:ind w:firstLine="641"/>
        <w:jc w:val="both"/>
        <w:rPr>
          <w:rFonts w:ascii="Times New Roman" w:hAnsi="Times New Roman" w:eastAsia="Times New Roman" w:cs="Times New Roman"/>
        </w:rPr>
      </w:pPr>
      <w:r>
        <w:rPr>
          <w:rFonts w:ascii="仿宋_GB2312" w:hAnsi="仿宋_GB2312" w:eastAsia="仿宋_GB2312" w:cs="仿宋_GB2312"/>
          <w:sz w:val="28"/>
          <w:szCs w:val="28"/>
        </w:rPr>
        <w:t>为保证本项目日常工作稳定有序持续进行，要求投标人以科学严谨的态度制定完善的12366后热线服务进驻、接管方案，指派相关管理及技术人员负责12366热线服务全面接管工作，确保</w:t>
      </w:r>
      <w:r>
        <w:rPr>
          <w:rFonts w:ascii="仿宋_GB2312" w:hAnsi="仿宋_GB2312" w:eastAsia="仿宋_GB2312" w:cs="仿宋_GB2312"/>
        </w:rPr>
        <w:t>12366热线服务</w:t>
      </w:r>
      <w:r>
        <w:rPr>
          <w:rFonts w:ascii="仿宋_GB2312" w:hAnsi="仿宋_GB2312" w:eastAsia="仿宋_GB2312" w:cs="仿宋_GB2312"/>
          <w:sz w:val="28"/>
          <w:szCs w:val="28"/>
        </w:rPr>
        <w:t>按时顺利交接，平稳过渡。</w:t>
      </w:r>
    </w:p>
    <w:p>
      <w:pPr>
        <w:pStyle w:val="12"/>
        <w:spacing w:before="0" w:after="0" w:line="360" w:lineRule="auto"/>
        <w:ind w:firstLine="641"/>
        <w:jc w:val="both"/>
        <w:rPr>
          <w:rFonts w:ascii="Times New Roman" w:hAnsi="Times New Roman" w:eastAsia="Times New Roman" w:cs="Times New Roman"/>
        </w:rPr>
      </w:pPr>
      <w:r>
        <w:rPr>
          <w:rFonts w:ascii="仿宋_GB2312" w:hAnsi="仿宋_GB2312" w:eastAsia="仿宋_GB2312" w:cs="仿宋_GB2312"/>
          <w:sz w:val="28"/>
          <w:szCs w:val="28"/>
        </w:rPr>
        <w:t>投标人需承诺：在规定时间内配齐所需人员、设备等，并保证按照项目需求中要求配备全体服务人员并按时进场服务。进驻、接管保留相关记录。中标方需要按照发标方要求接收部分工作人员，保持人员结构稳定，并设立工会组织，完善福利待遇，做到12366热线服务平稳过渡，对采购人工作无不良影响。</w:t>
      </w:r>
    </w:p>
    <w:p>
      <w:pPr>
        <w:pStyle w:val="12"/>
        <w:spacing w:before="0" w:after="0" w:line="360" w:lineRule="auto"/>
        <w:ind w:firstLine="641"/>
        <w:jc w:val="both"/>
        <w:rPr>
          <w:rFonts w:ascii="Times New Roman" w:hAnsi="Times New Roman" w:eastAsia="Times New Roman" w:cs="Times New Roman"/>
        </w:rPr>
      </w:pPr>
      <w:r>
        <w:rPr>
          <w:rFonts w:ascii="仿宋_GB2312" w:hAnsi="仿宋_GB2312" w:eastAsia="仿宋_GB2312" w:cs="仿宋_GB2312"/>
          <w:b/>
          <w:bCs/>
          <w:sz w:val="28"/>
          <w:szCs w:val="28"/>
        </w:rPr>
        <w:t>二、费用分割</w:t>
      </w:r>
    </w:p>
    <w:p>
      <w:pPr>
        <w:pStyle w:val="12"/>
        <w:spacing w:before="0" w:after="0" w:line="360" w:lineRule="auto"/>
        <w:ind w:firstLine="641"/>
        <w:jc w:val="both"/>
        <w:rPr>
          <w:rFonts w:ascii="Times New Roman" w:hAnsi="Times New Roman" w:eastAsia="Times New Roman" w:cs="Times New Roman"/>
        </w:rPr>
      </w:pPr>
      <w:r>
        <w:rPr>
          <w:rFonts w:ascii="仿宋_GB2312" w:hAnsi="仿宋_GB2312" w:eastAsia="仿宋_GB2312" w:cs="仿宋_GB2312"/>
          <w:sz w:val="28"/>
          <w:szCs w:val="28"/>
        </w:rPr>
        <w:t>1.所有人员统一着装并佩戴工牌，要求干净整洁，服装费用（含工牌制作费用）由中标供应商承担。</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  2.如因中标供应商引起的劳资纠纷问题，影响正常工作的，采购方有权另行聘请人员确保正常工作，所产生的费用由中标供应商承担，采购方不承担所产生的任何费用。</w:t>
      </w:r>
    </w:p>
    <w:p>
      <w:pPr>
        <w:pStyle w:val="12"/>
        <w:spacing w:before="0" w:after="0" w:line="360" w:lineRule="auto"/>
        <w:ind w:firstLine="480"/>
        <w:rPr>
          <w:rFonts w:ascii="FangSong_GB2312" w:hAnsi="FangSong_GB2312" w:eastAsia="FangSong_GB2312" w:cs="FangSong_GB2312"/>
          <w:sz w:val="28"/>
          <w:szCs w:val="28"/>
        </w:rPr>
      </w:pPr>
      <w:r>
        <w:rPr>
          <w:rFonts w:ascii="FangSong_GB2312" w:hAnsi="FangSong_GB2312" w:eastAsia="FangSong_GB2312" w:cs="FangSong_GB2312"/>
          <w:sz w:val="28"/>
          <w:szCs w:val="28"/>
        </w:rPr>
        <w:t> </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  3.本项目开展工作所需的场地、办公家具、软硬件设备、水电费用、网络费用等由采购人承担。</w:t>
      </w:r>
    </w:p>
    <w:p>
      <w:pPr>
        <w:pStyle w:val="15"/>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  4.项目座席人员工装费用、22套接听设备(能进行网络连接和IP地址配置的IP话机)及对应耳机设备由中标供应商承担。</w:t>
      </w:r>
    </w:p>
    <w:p>
      <w:pPr>
        <w:pStyle w:val="15"/>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  5.服务人员自愿在采购人食堂用早午餐，费用按采购人要求缴纳。</w:t>
      </w:r>
    </w:p>
    <w:p>
      <w:pPr>
        <w:pStyle w:val="2"/>
        <w:keepNext w:val="0"/>
        <w:spacing w:before="0" w:after="0" w:line="360" w:lineRule="auto"/>
        <w:jc w:val="center"/>
        <w:rPr>
          <w:rFonts w:ascii="仿宋_GB2312" w:hAnsi="仿宋_GB2312" w:eastAsia="仿宋_GB2312" w:cs="仿宋_GB2312"/>
          <w:b/>
          <w:bCs/>
          <w:sz w:val="32"/>
          <w:szCs w:val="32"/>
        </w:rPr>
      </w:pPr>
      <w:bookmarkStart w:id="24" w:name="_Toc256000022"/>
      <w:r>
        <w:rPr>
          <w:rFonts w:ascii="仿宋_GB2312" w:hAnsi="仿宋_GB2312" w:eastAsia="仿宋_GB2312" w:cs="仿宋_GB2312"/>
          <w:kern w:val="36"/>
        </w:rPr>
        <w:t>4人员要求</w:t>
      </w:r>
      <w:bookmarkEnd w:id="24"/>
    </w:p>
    <w:p>
      <w:pPr>
        <w:pStyle w:val="3"/>
        <w:keepNext w:val="0"/>
        <w:spacing w:before="0" w:after="0" w:line="360" w:lineRule="auto"/>
        <w:rPr>
          <w:rFonts w:ascii="仿宋_GB2312" w:hAnsi="仿宋_GB2312" w:eastAsia="仿宋_GB2312" w:cs="仿宋_GB2312"/>
          <w:b/>
          <w:bCs/>
          <w:sz w:val="28"/>
          <w:szCs w:val="28"/>
        </w:rPr>
      </w:pPr>
      <w:bookmarkStart w:id="25" w:name="_Toc256000023"/>
      <w:r>
        <w:rPr>
          <w:rFonts w:ascii="仿宋_GB2312" w:hAnsi="仿宋_GB2312" w:eastAsia="仿宋_GB2312" w:cs="仿宋_GB2312"/>
          <w:i w:val="0"/>
          <w:iCs w:val="0"/>
        </w:rPr>
        <w:t>4.1总体要求</w:t>
      </w:r>
      <w:bookmarkEnd w:id="25"/>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座席人员，配合区局完成各项服务内容，完善服务规范，落实关于12366热线绩效管理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为本项目提供热线咨询服务人员22人，指定其中2人为组长。</w:t>
      </w:r>
    </w:p>
    <w:p>
      <w:pPr>
        <w:pStyle w:val="3"/>
        <w:keepNext w:val="0"/>
        <w:spacing w:before="0" w:after="0" w:line="360" w:lineRule="auto"/>
        <w:rPr>
          <w:rFonts w:ascii="仿宋_GB2312" w:hAnsi="仿宋_GB2312" w:eastAsia="仿宋_GB2312" w:cs="仿宋_GB2312"/>
          <w:b/>
          <w:bCs/>
          <w:sz w:val="28"/>
          <w:szCs w:val="28"/>
        </w:rPr>
      </w:pPr>
      <w:bookmarkStart w:id="26" w:name="_Toc256000024"/>
      <w:r>
        <w:rPr>
          <w:rFonts w:ascii="仿宋_GB2312" w:hAnsi="仿宋_GB2312" w:eastAsia="仿宋_GB2312" w:cs="仿宋_GB2312"/>
          <w:i w:val="0"/>
          <w:iCs w:val="0"/>
        </w:rPr>
        <w:t>4.2管理团队</w:t>
      </w:r>
      <w:bookmarkEnd w:id="26"/>
    </w:p>
    <w:p>
      <w:pPr>
        <w:pStyle w:val="4"/>
        <w:keepNext w:val="0"/>
        <w:spacing w:before="0" w:after="0" w:line="360" w:lineRule="auto"/>
        <w:rPr>
          <w:rFonts w:ascii="仿宋_GB2312" w:hAnsi="仿宋_GB2312" w:eastAsia="仿宋_GB2312" w:cs="仿宋_GB2312"/>
          <w:b/>
          <w:bCs/>
          <w:sz w:val="28"/>
          <w:szCs w:val="28"/>
        </w:rPr>
      </w:pPr>
      <w:bookmarkStart w:id="27" w:name="_Toc256000025"/>
      <w:r>
        <w:rPr>
          <w:rFonts w:ascii="仿宋_GB2312" w:hAnsi="仿宋_GB2312" w:eastAsia="仿宋_GB2312" w:cs="仿宋_GB2312"/>
          <w:sz w:val="28"/>
          <w:szCs w:val="28"/>
        </w:rPr>
        <w:t>4.2.1项目经理</w:t>
      </w:r>
      <w:bookmarkEnd w:id="27"/>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w:t>
      </w:r>
    </w:p>
    <w:p>
      <w:pPr>
        <w:pStyle w:val="3"/>
        <w:keepNext w:val="0"/>
        <w:spacing w:before="0" w:after="0" w:line="360" w:lineRule="auto"/>
        <w:rPr>
          <w:rFonts w:ascii="仿宋_GB2312" w:hAnsi="仿宋_GB2312" w:eastAsia="仿宋_GB2312" w:cs="仿宋_GB2312"/>
          <w:b/>
          <w:bCs/>
          <w:sz w:val="28"/>
          <w:szCs w:val="28"/>
        </w:rPr>
      </w:pPr>
      <w:bookmarkStart w:id="28" w:name="_Toc256000026"/>
      <w:r>
        <w:rPr>
          <w:rFonts w:ascii="仿宋_GB2312" w:hAnsi="仿宋_GB2312" w:eastAsia="仿宋_GB2312" w:cs="仿宋_GB2312"/>
          <w:i w:val="0"/>
          <w:iCs w:val="0"/>
        </w:rPr>
        <w:t>4.3技术团队</w:t>
      </w:r>
      <w:bookmarkEnd w:id="28"/>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其他12366热线咨询服务人员负责通过12366热线电话向纳税人解答关于税收法律、行政法规、纳税程序以及社会保险费和税务机关管辖的非税收入征管有关问题等。</w:t>
      </w:r>
    </w:p>
    <w:p>
      <w:pPr>
        <w:pStyle w:val="3"/>
        <w:keepNext w:val="0"/>
        <w:spacing w:before="0" w:after="0" w:line="360" w:lineRule="auto"/>
        <w:rPr>
          <w:rFonts w:ascii="仿宋_GB2312" w:hAnsi="仿宋_GB2312" w:eastAsia="仿宋_GB2312" w:cs="仿宋_GB2312"/>
          <w:b/>
          <w:bCs/>
          <w:sz w:val="28"/>
          <w:szCs w:val="28"/>
        </w:rPr>
      </w:pPr>
      <w:bookmarkStart w:id="29" w:name="_Toc256000027"/>
      <w:r>
        <w:rPr>
          <w:rFonts w:ascii="仿宋_GB2312" w:hAnsi="仿宋_GB2312" w:eastAsia="仿宋_GB2312" w:cs="仿宋_GB2312"/>
          <w:i w:val="0"/>
          <w:iCs w:val="0"/>
        </w:rPr>
        <w:t>4.4优选资质/优选指标</w:t>
      </w:r>
      <w:bookmarkEnd w:id="29"/>
    </w:p>
    <w:tbl>
      <w:tblPr>
        <w:tblStyle w:val="9"/>
        <w:tblW w:w="5000" w:type="pct"/>
        <w:tblInd w:w="30" w:type="dxa"/>
        <w:tblLayout w:type="autofit"/>
        <w:tblCellMar>
          <w:top w:w="15" w:type="dxa"/>
          <w:left w:w="15" w:type="dxa"/>
          <w:bottom w:w="15" w:type="dxa"/>
          <w:right w:w="15" w:type="dxa"/>
        </w:tblCellMar>
      </w:tblPr>
      <w:tblGrid>
        <w:gridCol w:w="926"/>
        <w:gridCol w:w="2036"/>
        <w:gridCol w:w="2036"/>
        <w:gridCol w:w="2036"/>
        <w:gridCol w:w="2036"/>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11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人员类别</w:t>
            </w:r>
          </w:p>
        </w:tc>
        <w:tc>
          <w:tcPr>
            <w:tcW w:w="11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人员岗位</w:t>
            </w:r>
          </w:p>
        </w:tc>
        <w:tc>
          <w:tcPr>
            <w:tcW w:w="11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人员要求</w:t>
            </w:r>
          </w:p>
        </w:tc>
        <w:tc>
          <w:tcPr>
            <w:tcW w:w="11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是否作为加分项</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工作人员</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12366热线服务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能熟练运用电脑办公软件，汉字录入速度不低于80字/分钟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工作人员</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12366热线服务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一定的税收基本业务知识，取得会计、税务类相关证书或考试合格证明，具备电话热线工作经验，其中财会、税收等财税经济类专业大专（或以上）学历或具有一年（或以上）相关财税工作经验的人员，不得少于×人；其中组长具备财会、税收等财税经济类专业大学本科（或以上）学历或具备三年（或以上）相关财税工作经验。</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工作人员</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12366热线服务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普通话发音基本标准，语调自然，表达流畅，具备较强的服务意识和良好的语言表达能力、沟通能力、记忆能力、心理承受能力和学习能力；</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工作人员</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12366热线服务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身体健康，有能够满足履职的身体条件。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工作人员</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12366热线服务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上岗前由中标供应商组织培训，经考核通过后方能上岗。</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工作人员</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12366热线服务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符合采购人要求及日常管理工作规范。</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bl>
    <w:p>
      <w:pPr>
        <w:pStyle w:val="2"/>
        <w:keepNext w:val="0"/>
        <w:spacing w:before="0" w:after="0" w:line="360" w:lineRule="auto"/>
        <w:jc w:val="center"/>
        <w:rPr>
          <w:rFonts w:ascii="仿宋_GB2312" w:hAnsi="仿宋_GB2312" w:eastAsia="仿宋_GB2312" w:cs="仿宋_GB2312"/>
          <w:b/>
          <w:bCs/>
          <w:sz w:val="32"/>
          <w:szCs w:val="32"/>
        </w:rPr>
      </w:pPr>
      <w:bookmarkStart w:id="30" w:name="_Toc256000028"/>
      <w:r>
        <w:rPr>
          <w:rFonts w:ascii="仿宋_GB2312" w:hAnsi="仿宋_GB2312" w:eastAsia="仿宋_GB2312" w:cs="仿宋_GB2312"/>
          <w:kern w:val="36"/>
        </w:rPr>
        <w:t>5管理实施要求</w:t>
      </w:r>
      <w:bookmarkEnd w:id="30"/>
    </w:p>
    <w:p>
      <w:pPr>
        <w:pStyle w:val="12"/>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（一）实施要求</w:t>
      </w:r>
    </w:p>
    <w:p>
      <w:pPr>
        <w:pStyle w:val="12"/>
        <w:spacing w:before="0" w:after="0" w:line="360" w:lineRule="auto"/>
        <w:ind w:left="0" w:firstLine="480"/>
        <w:rPr>
          <w:rFonts w:ascii="Times New Roman" w:hAnsi="Times New Roman" w:eastAsia="Times New Roman" w:cs="Times New Roman"/>
        </w:rPr>
      </w:pPr>
      <w:r>
        <w:t>1.</w:t>
      </w:r>
      <w:r>
        <w:rPr>
          <w:sz w:val="14"/>
          <w:szCs w:val="14"/>
        </w:rPr>
        <w:t xml:space="preserve">    </w:t>
      </w:r>
      <w:r>
        <w:rPr>
          <w:rFonts w:ascii="仿宋_GB2312" w:hAnsi="仿宋_GB2312" w:eastAsia="仿宋_GB2312" w:cs="仿宋_GB2312"/>
          <w:sz w:val="28"/>
          <w:szCs w:val="28"/>
        </w:rPr>
        <w:t>中标供应商应提供所有座席人员的身份信息资料。</w:t>
      </w:r>
    </w:p>
    <w:p>
      <w:pPr>
        <w:pStyle w:val="12"/>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2.</w:t>
      </w:r>
      <w:r>
        <w:rPr>
          <w:sz w:val="14"/>
          <w:szCs w:val="14"/>
        </w:rPr>
        <w:t> </w:t>
      </w:r>
      <w:r>
        <w:rPr>
          <w:rFonts w:ascii="仿宋_GB2312" w:hAnsi="仿宋_GB2312" w:eastAsia="仿宋_GB2312" w:cs="仿宋_GB2312"/>
          <w:sz w:val="28"/>
          <w:szCs w:val="28"/>
        </w:rPr>
        <w:t>服务期内发生各种事故：包括安全、交通、防火和劳资纠纷等事故，由中标供应商承担相应责任。</w:t>
      </w:r>
    </w:p>
    <w:p>
      <w:pPr>
        <w:pStyle w:val="12"/>
        <w:spacing w:before="0" w:after="0" w:line="360" w:lineRule="auto"/>
        <w:ind w:left="0" w:firstLine="480"/>
        <w:rPr>
          <w:rFonts w:ascii="Times New Roman" w:hAnsi="Times New Roman" w:eastAsia="Times New Roman" w:cs="Times New Roman"/>
        </w:rPr>
      </w:pPr>
      <w:r>
        <w:t>3.</w:t>
      </w:r>
      <w:r>
        <w:rPr>
          <w:sz w:val="14"/>
          <w:szCs w:val="14"/>
        </w:rPr>
        <w:t xml:space="preserve">    </w:t>
      </w:r>
      <w:r>
        <w:rPr>
          <w:rFonts w:ascii="仿宋_GB2312" w:hAnsi="仿宋_GB2312" w:eastAsia="仿宋_GB2312" w:cs="仿宋_GB2312"/>
          <w:sz w:val="28"/>
          <w:szCs w:val="28"/>
        </w:rPr>
        <w:t>中标供应商需确保所提供服务的工作时长，工作期间不得擅离职守，注重仪容仪表、工作态度，保证为纳税人提供准确、快捷的纳税服务。</w:t>
      </w:r>
    </w:p>
    <w:p>
      <w:pPr>
        <w:pStyle w:val="12"/>
        <w:spacing w:before="0" w:after="0" w:line="360" w:lineRule="auto"/>
        <w:ind w:left="0" w:firstLine="480"/>
        <w:rPr>
          <w:rFonts w:ascii="Times New Roman" w:hAnsi="Times New Roman" w:eastAsia="Times New Roman" w:cs="Times New Roman"/>
        </w:rPr>
      </w:pPr>
      <w:r>
        <w:t>4.</w:t>
      </w:r>
      <w:r>
        <w:rPr>
          <w:sz w:val="14"/>
          <w:szCs w:val="14"/>
        </w:rPr>
        <w:t xml:space="preserve">    </w:t>
      </w:r>
      <w:r>
        <w:rPr>
          <w:rFonts w:ascii="仿宋_GB2312" w:hAnsi="仿宋_GB2312" w:eastAsia="仿宋_GB2312" w:cs="仿宋_GB2312"/>
          <w:sz w:val="28"/>
          <w:szCs w:val="28"/>
        </w:rPr>
        <w:t>中标供应商需确保提供座席服务过程中遵守采购方各项廉洁纪律，做到认真履行工作职责，谨言慎行，坚决不做损害纳税人利益和损害税务机关形象的事情。</w:t>
      </w:r>
    </w:p>
    <w:p>
      <w:pPr>
        <w:pStyle w:val="12"/>
        <w:spacing w:before="0" w:after="0" w:line="360" w:lineRule="auto"/>
        <w:ind w:left="0" w:firstLine="480"/>
        <w:rPr>
          <w:rFonts w:ascii="Times New Roman" w:hAnsi="Times New Roman" w:eastAsia="Times New Roman" w:cs="Times New Roman"/>
        </w:rPr>
      </w:pPr>
      <w:r>
        <w:t>5.</w:t>
      </w:r>
      <w:r>
        <w:rPr>
          <w:sz w:val="14"/>
          <w:szCs w:val="14"/>
        </w:rPr>
        <w:t xml:space="preserve">    </w:t>
      </w:r>
      <w:r>
        <w:rPr>
          <w:rFonts w:ascii="仿宋_GB2312" w:hAnsi="仿宋_GB2312" w:eastAsia="仿宋_GB2312" w:cs="仿宋_GB2312"/>
          <w:sz w:val="28"/>
          <w:szCs w:val="28"/>
        </w:rPr>
        <w:t>如采购方对中标供应商提供的人员出现3次不服从管理、违反采购方制定的相关规章制度，采购方可以要求更换，中标供应商必须及时且无条件的为采购方更换合格的人员。</w:t>
      </w:r>
    </w:p>
    <w:p>
      <w:pPr>
        <w:pStyle w:val="12"/>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6.</w:t>
      </w:r>
      <w:r>
        <w:rPr>
          <w:sz w:val="14"/>
          <w:szCs w:val="14"/>
        </w:rPr>
        <w:t> </w:t>
      </w:r>
      <w:r>
        <w:rPr>
          <w:rFonts w:ascii="仿宋_GB2312" w:hAnsi="仿宋_GB2312" w:eastAsia="仿宋_GB2312" w:cs="仿宋_GB2312"/>
          <w:sz w:val="28"/>
          <w:szCs w:val="28"/>
        </w:rPr>
        <w:t>服务期内，采购方按月对中标供应商的工作质量、履约情况、工作配合度等进行综合评价，评价合格则继续履行服务合同。如项目服务未达到要求，则采购方上报监管部门终止服务合同。</w:t>
      </w:r>
    </w:p>
    <w:p>
      <w:pPr>
        <w:pStyle w:val="12"/>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7.</w:t>
      </w:r>
      <w:r>
        <w:rPr>
          <w:sz w:val="14"/>
          <w:szCs w:val="14"/>
        </w:rPr>
        <w:t> </w:t>
      </w:r>
      <w:r>
        <w:rPr>
          <w:rFonts w:ascii="仿宋_GB2312" w:hAnsi="仿宋_GB2312" w:eastAsia="仿宋_GB2312" w:cs="仿宋_GB2312"/>
          <w:sz w:val="28"/>
          <w:szCs w:val="28"/>
        </w:rPr>
        <w:t>对服务人员的撤换或辞退等须经采购方同意认可。</w:t>
      </w:r>
    </w:p>
    <w:p>
      <w:pPr>
        <w:pStyle w:val="12"/>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 xml:space="preserve">（二）应急服务要求 </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要求中标供应商必须建立和完善突发事件的应急预案和处理机制，防患于未然。当出现不可预知的紧急情况时，保证服务正常开展。</w:t>
      </w:r>
    </w:p>
    <w:p>
      <w:pPr>
        <w:pStyle w:val="12"/>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（三）人员保密要求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中标供应商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（四）人员稳定性要求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在服务期间，未经采购方同意，中标供应商不得随意更换座席人员。座席人员因为请假、调走、辞职或被中标供应商辞退等原因导致座席人员不足时，需及时安排替接人员以满足区局接听需求。服务人员因为调走、辞职或被中标供应商辞退等原因导致服务人员不足时，需在3天内补充，缺席人数不能同时超过2人，中标供应商在3天内未能及时补齐符合完成项目需求的服务人员，每月不得超过2次，否则视为中标供应商违约，采购方有权终止合同。如采购方因服务内容变化造成服务人员减少，采购方应与中标供应商协商，按照实际工作人员支付相关费用。</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（五）保密要求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中标供应商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pPr>
        <w:pStyle w:val="12"/>
        <w:spacing w:before="0" w:after="0" w:line="360" w:lineRule="auto"/>
        <w:ind w:left="77" w:firstLine="480"/>
        <w:rPr>
          <w:rFonts w:ascii="Times New Roman" w:hAnsi="Times New Roman" w:eastAsia="Times New Roman" w:cs="Times New Roman"/>
        </w:rPr>
      </w:pPr>
      <w:r>
        <w:rPr>
          <w:rFonts w:ascii="仿宋_GB2312" w:hAnsi="仿宋_GB2312" w:eastAsia="仿宋_GB2312" w:cs="仿宋_GB2312"/>
          <w:sz w:val="28"/>
          <w:szCs w:val="28"/>
        </w:rPr>
        <w:t>（六）进驻和接管要求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按规定时间进场服务（特殊情况以合同为准）。为保证本项目日常工作稳定有序持续进行，要求中标供应商以科学严谨的态度制定完善的进驻、接管方案，确保按时顺利交接，平稳过渡。中标供应商需承诺：在规定时间内配齐所需人员，并保证按照项目需求中要求配备全体服务人员并按时进场服务。进驻、接管保留相关记录。</w:t>
      </w:r>
    </w:p>
    <w:p>
      <w:pPr>
        <w:pStyle w:val="12"/>
        <w:spacing w:before="0" w:after="0" w:line="360" w:lineRule="auto"/>
        <w:ind w:left="77" w:firstLine="480"/>
        <w:rPr>
          <w:rFonts w:ascii="Times New Roman" w:hAnsi="Times New Roman" w:eastAsia="Times New Roman" w:cs="Times New Roman"/>
        </w:rPr>
      </w:pPr>
      <w:r>
        <w:rPr>
          <w:rFonts w:ascii="仿宋_GB2312" w:hAnsi="仿宋_GB2312" w:eastAsia="仿宋_GB2312" w:cs="仿宋_GB2312"/>
          <w:sz w:val="28"/>
          <w:szCs w:val="28"/>
        </w:rPr>
        <w:t>（七）履约责任</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中标供应商在服务过程中应满足本需求书提出的运行质量标准，若出现重大失误或重大事故并给国家税务总局天津市武清区税务局造成损失，国家税务总局天津市武清区税务局有权终止合同，停止付款并要求中标供应商赔偿实际造成的损失。</w:t>
      </w:r>
    </w:p>
    <w:p>
      <w:pPr>
        <w:pStyle w:val="15"/>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2.中标供应商每月服务质效考核验收未达到规定标准的，国家税务总局天津市武清区税务局按照供应商月服务费的1‰-5‰进行扣减。</w:t>
      </w:r>
    </w:p>
    <w:p>
      <w:pPr>
        <w:pStyle w:val="15"/>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3.中标供应商每月评价满意率低于要求的，国家税务总局天津市武清区税务局按照供应商月服务费的1‰-5‰进行扣减。</w:t>
      </w:r>
    </w:p>
    <w:p>
      <w:pPr>
        <w:pStyle w:val="15"/>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4.中标供应商每月被投诉数量超过来电总量的万分之一，经国家税务总局天津市武清区税务局调查属实且认为投诉合理则按照供应商月服务费的1‰-5‰进行扣减。</w:t>
      </w:r>
    </w:p>
    <w:p>
      <w:pPr>
        <w:pStyle w:val="15"/>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5.中标供应商运行管理不到位、服务不规范、未按照要求履行工作职责产生负面影响的，或被通报批评产生负面影响的，国家税务总局天津市武清区税务局按照供应商月服务费的1‰-5‰进行扣减。</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6.未经采购方同意，中标供应商不得将承包项目发包或转包，否则，视为中标供应商违约，采购方有权解除服务合同。</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7.若中标供应商在1年内违反其服务承诺或以下情况三次或以上，则视为中标供应商违约，采购方有权拒绝支付本期项目服务费，并终止合同。</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（1）非税务机关责任，导致服务出现质量问题。</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（2）没有按照采购方要求对服务人员进行管理、培训、调配。</w:t>
      </w:r>
    </w:p>
    <w:p>
      <w:pPr>
        <w:pStyle w:val="2"/>
        <w:keepNext w:val="0"/>
        <w:spacing w:before="0" w:after="0" w:line="360" w:lineRule="auto"/>
        <w:jc w:val="center"/>
        <w:rPr>
          <w:rFonts w:ascii="仿宋_GB2312" w:hAnsi="仿宋_GB2312" w:eastAsia="仿宋_GB2312" w:cs="仿宋_GB2312"/>
          <w:b/>
          <w:bCs/>
          <w:sz w:val="32"/>
          <w:szCs w:val="32"/>
        </w:rPr>
      </w:pPr>
      <w:bookmarkStart w:id="31" w:name="_Toc256000029"/>
      <w:r>
        <w:rPr>
          <w:rFonts w:ascii="仿宋_GB2312" w:hAnsi="仿宋_GB2312" w:eastAsia="仿宋_GB2312" w:cs="仿宋_GB2312"/>
          <w:kern w:val="36"/>
        </w:rPr>
        <w:t>6风险管控要求</w:t>
      </w:r>
      <w:bookmarkEnd w:id="31"/>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       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采取应急措施,最大限度减少各方损失。</w:t>
      </w:r>
    </w:p>
    <w:p>
      <w:pPr>
        <w:pStyle w:val="2"/>
        <w:keepNext w:val="0"/>
        <w:spacing w:before="0" w:after="0" w:line="360" w:lineRule="auto"/>
        <w:jc w:val="center"/>
        <w:rPr>
          <w:rFonts w:ascii="仿宋_GB2312" w:hAnsi="仿宋_GB2312" w:eastAsia="仿宋_GB2312" w:cs="仿宋_GB2312"/>
          <w:b/>
          <w:bCs/>
          <w:sz w:val="32"/>
          <w:szCs w:val="32"/>
        </w:rPr>
      </w:pPr>
      <w:bookmarkStart w:id="32" w:name="_Toc256000030"/>
      <w:r>
        <w:rPr>
          <w:rFonts w:ascii="仿宋_GB2312" w:hAnsi="仿宋_GB2312" w:eastAsia="仿宋_GB2312" w:cs="仿宋_GB2312"/>
          <w:kern w:val="36"/>
        </w:rPr>
        <w:t>7履约验收要求</w:t>
      </w:r>
      <w:bookmarkEnd w:id="32"/>
    </w:p>
    <w:p>
      <w:pPr>
        <w:pStyle w:val="3"/>
        <w:keepNext w:val="0"/>
        <w:spacing w:before="0" w:after="0" w:line="360" w:lineRule="auto"/>
        <w:rPr>
          <w:rFonts w:ascii="仿宋_GB2312" w:hAnsi="仿宋_GB2312" w:eastAsia="仿宋_GB2312" w:cs="仿宋_GB2312"/>
          <w:b/>
          <w:bCs/>
          <w:sz w:val="28"/>
          <w:szCs w:val="28"/>
        </w:rPr>
      </w:pPr>
      <w:bookmarkStart w:id="33" w:name="_Toc256000031"/>
      <w:r>
        <w:rPr>
          <w:rFonts w:ascii="仿宋_GB2312" w:hAnsi="仿宋_GB2312" w:eastAsia="仿宋_GB2312" w:cs="仿宋_GB2312"/>
          <w:i w:val="0"/>
          <w:iCs w:val="0"/>
        </w:rPr>
        <w:t>7.1总体要求</w:t>
      </w:r>
      <w:bookmarkEnd w:id="33"/>
    </w:p>
    <w:tbl>
      <w:tblPr>
        <w:tblStyle w:val="9"/>
        <w:tblW w:w="5000" w:type="pct"/>
        <w:tblInd w:w="30" w:type="dxa"/>
        <w:tblLayout w:type="autofit"/>
        <w:tblCellMar>
          <w:top w:w="15" w:type="dxa"/>
          <w:left w:w="15" w:type="dxa"/>
          <w:bottom w:w="15" w:type="dxa"/>
          <w:right w:w="15" w:type="dxa"/>
        </w:tblCellMar>
      </w:tblPr>
      <w:tblGrid>
        <w:gridCol w:w="4535"/>
        <w:gridCol w:w="453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中标供应商应依据合同约定按时按质提供服务，每月服务期满后，采购人进行服务质量验收。</w:t>
            </w:r>
          </w:p>
        </w:tc>
      </w:tr>
    </w:tbl>
    <w:p>
      <w:pPr>
        <w:pStyle w:val="3"/>
        <w:keepNext w:val="0"/>
        <w:spacing w:before="0" w:after="0" w:line="360" w:lineRule="auto"/>
        <w:rPr>
          <w:rFonts w:ascii="仿宋_GB2312" w:hAnsi="仿宋_GB2312" w:eastAsia="仿宋_GB2312" w:cs="仿宋_GB2312"/>
          <w:b/>
          <w:bCs/>
          <w:sz w:val="28"/>
          <w:szCs w:val="28"/>
        </w:rPr>
      </w:pPr>
      <w:bookmarkStart w:id="34" w:name="_Toc256000032"/>
      <w:r>
        <w:rPr>
          <w:rFonts w:ascii="仿宋_GB2312" w:hAnsi="仿宋_GB2312" w:eastAsia="仿宋_GB2312" w:cs="仿宋_GB2312"/>
          <w:i w:val="0"/>
          <w:iCs w:val="0"/>
        </w:rPr>
        <w:t>7.2具体要求</w:t>
      </w:r>
      <w:bookmarkEnd w:id="34"/>
    </w:p>
    <w:p>
      <w:pPr>
        <w:pStyle w:val="15"/>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pStyle w:val="2"/>
        <w:keepNext w:val="0"/>
        <w:spacing w:before="0" w:after="0" w:line="360" w:lineRule="auto"/>
        <w:jc w:val="center"/>
        <w:rPr>
          <w:rFonts w:ascii="仿宋_GB2312" w:hAnsi="仿宋_GB2312" w:eastAsia="仿宋_GB2312" w:cs="仿宋_GB2312"/>
          <w:b/>
          <w:bCs/>
          <w:sz w:val="32"/>
          <w:szCs w:val="32"/>
        </w:rPr>
      </w:pPr>
      <w:bookmarkStart w:id="35" w:name="_Toc256000033"/>
      <w:r>
        <w:rPr>
          <w:rFonts w:ascii="仿宋_GB2312" w:hAnsi="仿宋_GB2312" w:eastAsia="仿宋_GB2312" w:cs="仿宋_GB2312"/>
          <w:kern w:val="36"/>
        </w:rPr>
        <w:t>8其他要求</w:t>
      </w:r>
      <w:bookmarkEnd w:id="35"/>
    </w:p>
    <w:p>
      <w:pPr>
        <w:pStyle w:val="3"/>
        <w:keepNext w:val="0"/>
        <w:spacing w:before="0" w:after="0" w:line="360" w:lineRule="auto"/>
        <w:rPr>
          <w:rFonts w:ascii="仿宋_GB2312" w:hAnsi="仿宋_GB2312" w:eastAsia="仿宋_GB2312" w:cs="仿宋_GB2312"/>
          <w:b/>
          <w:bCs/>
          <w:sz w:val="28"/>
          <w:szCs w:val="28"/>
        </w:rPr>
      </w:pPr>
      <w:bookmarkStart w:id="36" w:name="_Toc256000034"/>
      <w:r>
        <w:rPr>
          <w:rFonts w:ascii="仿宋_GB2312" w:hAnsi="仿宋_GB2312" w:eastAsia="仿宋_GB2312" w:cs="仿宋_GB2312"/>
          <w:i w:val="0"/>
          <w:iCs w:val="0"/>
        </w:rPr>
        <w:t>8.1必备要求</w:t>
      </w:r>
      <w:bookmarkEnd w:id="36"/>
    </w:p>
    <w:p>
      <w:pPr>
        <w:pStyle w:val="4"/>
        <w:keepNext w:val="0"/>
        <w:spacing w:before="0" w:after="0" w:line="360" w:lineRule="auto"/>
        <w:rPr>
          <w:rFonts w:ascii="仿宋_GB2312" w:hAnsi="仿宋_GB2312" w:eastAsia="仿宋_GB2312" w:cs="仿宋_GB2312"/>
          <w:b/>
          <w:bCs/>
          <w:sz w:val="28"/>
          <w:szCs w:val="28"/>
        </w:rPr>
      </w:pPr>
      <w:bookmarkStart w:id="37" w:name="_Toc256000035"/>
      <w:r>
        <w:rPr>
          <w:rFonts w:ascii="仿宋_GB2312" w:hAnsi="仿宋_GB2312" w:eastAsia="仿宋_GB2312" w:cs="仿宋_GB2312"/>
          <w:sz w:val="28"/>
          <w:szCs w:val="28"/>
        </w:rPr>
        <w:t>8.1.1通用必备要求</w:t>
      </w:r>
      <w:bookmarkEnd w:id="37"/>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3"/>
        <w:keepNext w:val="0"/>
        <w:spacing w:before="0" w:after="0" w:line="360" w:lineRule="auto"/>
        <w:rPr>
          <w:rFonts w:ascii="仿宋_GB2312" w:hAnsi="仿宋_GB2312" w:eastAsia="仿宋_GB2312" w:cs="仿宋_GB2312"/>
          <w:b/>
          <w:bCs/>
          <w:sz w:val="28"/>
          <w:szCs w:val="28"/>
        </w:rPr>
      </w:pPr>
      <w:bookmarkStart w:id="38" w:name="_Toc256000036"/>
      <w:r>
        <w:rPr>
          <w:rFonts w:ascii="仿宋_GB2312" w:hAnsi="仿宋_GB2312" w:eastAsia="仿宋_GB2312" w:cs="仿宋_GB2312"/>
          <w:i w:val="0"/>
          <w:iCs w:val="0"/>
        </w:rPr>
        <w:t>8.2付款安排建议</w:t>
      </w:r>
      <w:bookmarkEnd w:id="38"/>
    </w:p>
    <w:tbl>
      <w:tblPr>
        <w:tblStyle w:val="9"/>
        <w:tblW w:w="5000" w:type="pct"/>
        <w:tblInd w:w="30" w:type="dxa"/>
        <w:tblLayout w:type="autofit"/>
        <w:tblCellMar>
          <w:top w:w="15" w:type="dxa"/>
          <w:left w:w="15" w:type="dxa"/>
          <w:bottom w:w="15" w:type="dxa"/>
          <w:right w:w="15" w:type="dxa"/>
        </w:tblCellMar>
      </w:tblPr>
      <w:tblGrid>
        <w:gridCol w:w="1814"/>
        <w:gridCol w:w="5442"/>
        <w:gridCol w:w="1814"/>
      </w:tblGrid>
      <w:tr>
        <w:tblPrEx>
          <w:tblCellMar>
            <w:top w:w="15" w:type="dxa"/>
            <w:left w:w="15" w:type="dxa"/>
            <w:bottom w:w="15" w:type="dxa"/>
            <w:right w:w="15" w:type="dxa"/>
          </w:tblCellMar>
        </w:tblPrEx>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第4次付款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第5次付款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第6次付款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第7次付款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第8次付款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第9次付款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第10次付款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采购人按月完成服务质量验收，根据阶段性验收结果按月支付服务费。中标供应商向采购人提供正式发票，采购人在收到发票后10个工作日内支付服务费（特殊情况以签订合同为准）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8.7</w:t>
            </w:r>
          </w:p>
        </w:tc>
      </w:tr>
    </w:tbl>
    <w:p>
      <w:pPr>
        <w:pStyle w:val="3"/>
        <w:keepNext w:val="0"/>
        <w:spacing w:before="0" w:after="0" w:line="360" w:lineRule="auto"/>
        <w:rPr>
          <w:rFonts w:ascii="仿宋_GB2312" w:hAnsi="仿宋_GB2312" w:eastAsia="仿宋_GB2312" w:cs="仿宋_GB2312"/>
          <w:b/>
          <w:bCs/>
          <w:sz w:val="28"/>
          <w:szCs w:val="28"/>
        </w:rPr>
      </w:pPr>
      <w:bookmarkStart w:id="39" w:name="_Toc256000037"/>
      <w:r>
        <w:rPr>
          <w:rFonts w:ascii="仿宋_GB2312" w:hAnsi="仿宋_GB2312" w:eastAsia="仿宋_GB2312" w:cs="仿宋_GB2312"/>
          <w:i w:val="0"/>
          <w:iCs w:val="0"/>
        </w:rPr>
        <w:t>8.3其他要求</w:t>
      </w:r>
      <w:bookmarkEnd w:id="39"/>
    </w:p>
    <w:p>
      <w:pPr>
        <w:pStyle w:val="4"/>
        <w:keepNext w:val="0"/>
        <w:spacing w:before="0" w:after="0" w:line="360" w:lineRule="auto"/>
        <w:rPr>
          <w:rFonts w:ascii="仿宋_GB2312" w:hAnsi="仿宋_GB2312" w:eastAsia="仿宋_GB2312" w:cs="仿宋_GB2312"/>
          <w:b/>
          <w:bCs/>
          <w:sz w:val="28"/>
          <w:szCs w:val="28"/>
        </w:rPr>
      </w:pPr>
      <w:bookmarkStart w:id="40" w:name="_Toc256000038"/>
      <w:r>
        <w:rPr>
          <w:rFonts w:ascii="仿宋_GB2312" w:hAnsi="仿宋_GB2312" w:eastAsia="仿宋_GB2312" w:cs="仿宋_GB2312"/>
          <w:sz w:val="28"/>
          <w:szCs w:val="28"/>
        </w:rPr>
        <w:t>8.3.1保密要求</w:t>
      </w:r>
      <w:bookmarkEnd w:id="40"/>
    </w:p>
    <w:p>
      <w:pPr>
        <w:pStyle w:val="15"/>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中标供应商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pPr>
        <w:pStyle w:val="4"/>
        <w:keepNext w:val="0"/>
        <w:spacing w:before="0" w:after="0" w:line="360" w:lineRule="auto"/>
        <w:rPr>
          <w:rFonts w:ascii="仿宋_GB2312" w:hAnsi="仿宋_GB2312" w:eastAsia="仿宋_GB2312" w:cs="仿宋_GB2312"/>
          <w:b/>
          <w:bCs/>
          <w:sz w:val="28"/>
          <w:szCs w:val="28"/>
        </w:rPr>
      </w:pPr>
      <w:bookmarkStart w:id="41" w:name="_Toc256000039"/>
      <w:r>
        <w:rPr>
          <w:rFonts w:ascii="仿宋_GB2312" w:hAnsi="仿宋_GB2312" w:eastAsia="仿宋_GB2312" w:cs="仿宋_GB2312"/>
          <w:sz w:val="28"/>
          <w:szCs w:val="28"/>
        </w:rPr>
        <w:t>8.3.2知识转移要求</w:t>
      </w:r>
      <w:bookmarkEnd w:id="41"/>
    </w:p>
    <w:p>
      <w:pPr>
        <w:spacing w:before="0" w:after="0" w:line="360" w:lineRule="auto"/>
        <w:rPr>
          <w:rFonts w:ascii="FangSong_GB2312" w:hAnsi="FangSong_GB2312" w:eastAsia="FangSong_GB2312" w:cs="FangSong_GB2312"/>
          <w:sz w:val="28"/>
          <w:szCs w:val="28"/>
        </w:rPr>
      </w:pPr>
      <w:r>
        <w:rPr>
          <w:rFonts w:ascii="FangSong_GB2312" w:hAnsi="FangSong_GB2312" w:eastAsia="FangSong_GB2312" w:cs="FangSong_GB2312"/>
          <w:sz w:val="28"/>
          <w:szCs w:val="28"/>
        </w:rPr>
        <w:t>无</w:t>
      </w:r>
    </w:p>
    <w:p>
      <w:pPr>
        <w:pStyle w:val="4"/>
        <w:keepNext w:val="0"/>
        <w:spacing w:before="0" w:after="0" w:line="360" w:lineRule="auto"/>
        <w:rPr>
          <w:rFonts w:ascii="仿宋_GB2312" w:hAnsi="仿宋_GB2312" w:eastAsia="仿宋_GB2312" w:cs="仿宋_GB2312"/>
          <w:b/>
          <w:bCs/>
          <w:sz w:val="28"/>
          <w:szCs w:val="28"/>
        </w:rPr>
      </w:pPr>
      <w:bookmarkStart w:id="42" w:name="_Toc256000040"/>
      <w:r>
        <w:rPr>
          <w:rFonts w:ascii="仿宋_GB2312" w:hAnsi="仿宋_GB2312" w:eastAsia="仿宋_GB2312" w:cs="仿宋_GB2312"/>
          <w:sz w:val="28"/>
          <w:szCs w:val="28"/>
        </w:rPr>
        <w:t>8.3.3知识产权要求</w:t>
      </w:r>
      <w:bookmarkEnd w:id="42"/>
    </w:p>
    <w:p>
      <w:pPr>
        <w:spacing w:before="0" w:after="0" w:line="360" w:lineRule="auto"/>
        <w:rPr>
          <w:rFonts w:ascii="FangSong_GB2312" w:hAnsi="FangSong_GB2312" w:eastAsia="FangSong_GB2312" w:cs="FangSong_GB2312"/>
          <w:sz w:val="28"/>
          <w:szCs w:val="28"/>
        </w:rPr>
      </w:pPr>
      <w:r>
        <w:rPr>
          <w:rFonts w:ascii="FangSong_GB2312" w:hAnsi="FangSong_GB2312" w:eastAsia="FangSong_GB2312" w:cs="FangSong_GB2312"/>
          <w:sz w:val="28"/>
          <w:szCs w:val="28"/>
        </w:rPr>
        <w:t>无</w:t>
      </w:r>
    </w:p>
    <w:p>
      <w:pPr>
        <w:spacing w:before="0" w:after="0" w:line="360" w:lineRule="auto"/>
        <w:jc w:val="left"/>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CC"/>
    <w:family w:val="swiss"/>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FangSong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14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011C0E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toc 3"/>
    <w:basedOn w:val="1"/>
    <w:next w:val="1"/>
    <w:uiPriority w:val="0"/>
    <w:pPr>
      <w:ind w:left="480"/>
    </w:pPr>
  </w:style>
  <w:style w:type="paragraph" w:styleId="7">
    <w:name w:val="toc 1"/>
    <w:basedOn w:val="1"/>
    <w:next w:val="1"/>
    <w:qFormat/>
    <w:uiPriority w:val="0"/>
  </w:style>
  <w:style w:type="paragraph" w:styleId="8">
    <w:name w:val="toc 2"/>
    <w:basedOn w:val="1"/>
    <w:next w:val="1"/>
    <w:uiPriority w:val="0"/>
    <w:pPr>
      <w:ind w:left="240"/>
    </w:pPr>
  </w:style>
  <w:style w:type="character" w:styleId="11">
    <w:name w:val="Hyperlink"/>
    <w:basedOn w:val="10"/>
    <w:qFormat/>
    <w:uiPriority w:val="0"/>
    <w:rPr>
      <w:color w:val="0000FF"/>
      <w:u w:val="single"/>
    </w:rPr>
  </w:style>
  <w:style w:type="paragraph" w:customStyle="1" w:styleId="12">
    <w:name w:val="15"/>
    <w:basedOn w:val="1"/>
    <w:qFormat/>
    <w:uiPriority w:val="0"/>
  </w:style>
  <w:style w:type="paragraph" w:customStyle="1" w:styleId="13">
    <w:name w:val="MsoNormal"/>
    <w:basedOn w:val="1"/>
    <w:qFormat/>
    <w:uiPriority w:val="0"/>
  </w:style>
  <w:style w:type="paragraph" w:customStyle="1" w:styleId="14">
    <w:name w:val="17"/>
    <w:basedOn w:val="1"/>
    <w:qFormat/>
    <w:uiPriority w:val="0"/>
  </w:style>
  <w:style w:type="paragraph" w:customStyle="1" w:styleId="15">
    <w:name w:val="16"/>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14</Pages>
  <Words>0</Words>
  <Characters>0</Characters>
  <Lines>1</Lines>
  <Paragraphs>1</Paragraphs>
  <TotalTime>5</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2025-10-29T07:28:53Z</dcterms:created>
  <dc:creator>Administrator</dc:creator>
  <cp:lastModifiedBy>孙亚娜</cp:lastModifiedBy>
  <dcterms:modified xsi:type="dcterms:W3CDTF">2025-10-29T07:34:34Z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