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国家税务总局天津市武清区税务局2026年度食堂食材采购项目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2025年10月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rPr>
        <w:t>1.3其他要求</w:t>
      </w:r>
      <w:r>
        <w:tab/>
      </w:r>
      <w:r>
        <w:fldChar w:fldCharType="begin"/>
      </w:r>
      <w:r>
        <w:instrText xml:space="preserve"> PAGEREF _Toc256000007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1.3.1采购标的需执行的相关标准规范</w:t>
      </w:r>
      <w:r>
        <w:tab/>
      </w:r>
      <w:r>
        <w:fldChar w:fldCharType="begin"/>
      </w:r>
      <w:r>
        <w:instrText xml:space="preserve"> PAGEREF _Toc256000008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_Toc256000009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_Toc256000010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_Toc256000011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_Toc256000012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_Toc256000013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_Toc256000014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rPr>
        <w:t>2.1.5其他要求</w:t>
      </w:r>
      <w:r>
        <w:tab/>
      </w:r>
      <w:r>
        <w:fldChar w:fldCharType="begin"/>
      </w:r>
      <w:r>
        <w:instrText xml:space="preserve"> PAGEREF _Toc256000015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_Toc256000016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rPr>
        <w:t>2.2.1技术投标/响应总要求</w:t>
      </w:r>
      <w:r>
        <w:tab/>
      </w:r>
      <w:r>
        <w:fldChar w:fldCharType="begin"/>
      </w:r>
      <w:r>
        <w:instrText xml:space="preserve"> PAGEREF _Toc256000017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2.2.2投标/响应方案要求</w:t>
      </w:r>
      <w:r>
        <w:tab/>
      </w:r>
      <w:r>
        <w:fldChar w:fldCharType="begin"/>
      </w:r>
      <w:r>
        <w:instrText xml:space="preserve"> PAGEREF _Toc256000018 \h </w:instrText>
      </w:r>
      <w:r>
        <w:fldChar w:fldCharType="separate"/>
      </w:r>
      <w:r>
        <w:t>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_Toc256000019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_Toc256000020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3.2采购产品一览表</w:t>
      </w:r>
      <w:r>
        <w:tab/>
      </w:r>
      <w:r>
        <w:fldChar w:fldCharType="begin"/>
      </w:r>
      <w:r>
        <w:instrText xml:space="preserve"> PAGEREF _Toc256000021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rPr>
        <w:t>3.3采购产品详细清单及技术指标</w:t>
      </w:r>
      <w:r>
        <w:tab/>
      </w:r>
      <w:r>
        <w:fldChar w:fldCharType="begin"/>
      </w:r>
      <w:r>
        <w:instrText xml:space="preserve"> PAGEREF _Toc256000022 \h </w:instrText>
      </w:r>
      <w:r>
        <w:fldChar w:fldCharType="separate"/>
      </w:r>
      <w:r>
        <w:t>11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rPr>
        <w:t>3.4服务要求</w:t>
      </w:r>
      <w:r>
        <w:tab/>
      </w:r>
      <w:r>
        <w:fldChar w:fldCharType="begin"/>
      </w:r>
      <w:r>
        <w:instrText xml:space="preserve"> PAGEREF _Toc256000023 \h </w:instrText>
      </w:r>
      <w:r>
        <w:fldChar w:fldCharType="separate"/>
      </w:r>
      <w:r>
        <w:t>12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rPr>
        <w:t>3.5其他要求</w:t>
      </w:r>
      <w:r>
        <w:tab/>
      </w:r>
      <w:r>
        <w:fldChar w:fldCharType="begin"/>
      </w:r>
      <w:r>
        <w:instrText xml:space="preserve"> PAGEREF _Toc256000024 \h </w:instrText>
      </w:r>
      <w:r>
        <w:fldChar w:fldCharType="separate"/>
      </w:r>
      <w:r>
        <w:t>13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rPr>
        <w:t>3.5.1供应方案要求</w:t>
      </w:r>
      <w:r>
        <w:tab/>
      </w:r>
      <w:r>
        <w:fldChar w:fldCharType="begin"/>
      </w:r>
      <w:r>
        <w:instrText xml:space="preserve"> PAGEREF _Toc256000025 \h </w:instrText>
      </w:r>
      <w:r>
        <w:fldChar w:fldCharType="separate"/>
      </w:r>
      <w:r>
        <w:t>13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rPr>
        <w:t>3.5.2质量安全把控服务要求</w:t>
      </w:r>
      <w:r>
        <w:tab/>
      </w:r>
      <w:r>
        <w:fldChar w:fldCharType="begin"/>
      </w:r>
      <w:r>
        <w:instrText xml:space="preserve"> PAGEREF _Toc256000026 \h </w:instrText>
      </w:r>
      <w:r>
        <w:fldChar w:fldCharType="separate"/>
      </w:r>
      <w:r>
        <w:t>14</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_Toc256000027 \h </w:instrText>
      </w:r>
      <w:r>
        <w:fldChar w:fldCharType="separate"/>
      </w:r>
      <w:r>
        <w:t>15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rPr>
        <w:t>4.1团队要求</w:t>
      </w:r>
      <w:r>
        <w:tab/>
      </w:r>
      <w:r>
        <w:fldChar w:fldCharType="begin"/>
      </w:r>
      <w:r>
        <w:instrText xml:space="preserve"> PAGEREF _Toc256000028 \h </w:instrText>
      </w:r>
      <w:r>
        <w:fldChar w:fldCharType="separate"/>
      </w:r>
      <w:r>
        <w:t>15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rPr>
        <w:t>4.1.1基本要求</w:t>
      </w:r>
      <w:r>
        <w:tab/>
      </w:r>
      <w:r>
        <w:fldChar w:fldCharType="begin"/>
      </w:r>
      <w:r>
        <w:instrText xml:space="preserve"> PAGEREF _Toc256000029 \h </w:instrText>
      </w:r>
      <w:r>
        <w:fldChar w:fldCharType="separate"/>
      </w:r>
      <w:r>
        <w:t>15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_Toc256000030 \h </w:instrText>
      </w:r>
      <w:r>
        <w:fldChar w:fldCharType="separate"/>
      </w:r>
      <w:r>
        <w:t>15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_Toc256000031 \h </w:instrText>
      </w:r>
      <w:r>
        <w:fldChar w:fldCharType="separate"/>
      </w:r>
      <w:r>
        <w:t>16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_Toc256000032 \h </w:instrText>
      </w:r>
      <w:r>
        <w:fldChar w:fldCharType="separate"/>
      </w:r>
      <w:r>
        <w:t>17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_Toc256000033 \h </w:instrText>
      </w:r>
      <w:r>
        <w:fldChar w:fldCharType="separate"/>
      </w:r>
      <w:r>
        <w:t>17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_Toc256000034 \h </w:instrText>
      </w:r>
      <w:r>
        <w:fldChar w:fldCharType="separate"/>
      </w:r>
      <w:r>
        <w:t>18</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_Toc256000035 \h </w:instrText>
      </w:r>
      <w:r>
        <w:fldChar w:fldCharType="separate"/>
      </w:r>
      <w:r>
        <w:t>20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11"/>
          <w:rFonts w:ascii="仿宋_GB2312" w:hAnsi="仿宋_GB2312" w:eastAsia="仿宋_GB2312" w:cs="仿宋_GB2312"/>
        </w:rPr>
        <w:t>8.1定价和结算要求</w:t>
      </w:r>
      <w:r>
        <w:tab/>
      </w:r>
      <w:r>
        <w:fldChar w:fldCharType="begin"/>
      </w:r>
      <w:r>
        <w:instrText xml:space="preserve"> PAGEREF _Toc256000036 \h </w:instrText>
      </w:r>
      <w:r>
        <w:fldChar w:fldCharType="separate"/>
      </w:r>
      <w:r>
        <w:t>20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11"/>
          <w:rFonts w:ascii="仿宋_GB2312" w:hAnsi="仿宋_GB2312" w:eastAsia="仿宋_GB2312" w:cs="仿宋_GB2312"/>
        </w:rPr>
        <w:t>8.2必备要求</w:t>
      </w:r>
      <w:r>
        <w:tab/>
      </w:r>
      <w:r>
        <w:fldChar w:fldCharType="begin"/>
      </w:r>
      <w:r>
        <w:instrText xml:space="preserve"> PAGEREF _Toc256000037 \h </w:instrText>
      </w:r>
      <w:r>
        <w:fldChar w:fldCharType="separate"/>
      </w:r>
      <w:r>
        <w:t>21</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11"/>
          <w:rFonts w:ascii="仿宋_GB2312" w:hAnsi="仿宋_GB2312" w:eastAsia="仿宋_GB2312" w:cs="仿宋_GB2312"/>
        </w:rPr>
        <w:t>8.2.1通用必备要求</w:t>
      </w:r>
      <w:r>
        <w:tab/>
      </w:r>
      <w:r>
        <w:fldChar w:fldCharType="begin"/>
      </w:r>
      <w:r>
        <w:instrText xml:space="preserve"> PAGEREF _Toc256000038 \h </w:instrText>
      </w:r>
      <w:r>
        <w:fldChar w:fldCharType="separate"/>
      </w:r>
      <w:r>
        <w:t>21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"_Toc256000039" </w:instrText>
      </w:r>
      <w:r>
        <w:fldChar w:fldCharType="separate"/>
      </w:r>
      <w:r>
        <w:rPr>
          <w:rStyle w:val="11"/>
          <w:rFonts w:ascii="仿宋_GB2312" w:hAnsi="仿宋_GB2312" w:eastAsia="仿宋_GB2312" w:cs="仿宋_GB2312"/>
        </w:rPr>
        <w:t>8.3付款安排建议</w:t>
      </w:r>
      <w:r>
        <w:tab/>
      </w:r>
      <w:r>
        <w:fldChar w:fldCharType="begin"/>
      </w:r>
      <w:r>
        <w:instrText xml:space="preserve"> PAGEREF _Toc256000039 \h </w:instrText>
      </w:r>
      <w:r>
        <w:fldChar w:fldCharType="separate"/>
      </w:r>
      <w:r>
        <w:t>22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11"/>
          <w:rFonts w:ascii="仿宋_GB2312" w:hAnsi="仿宋_GB2312" w:eastAsia="仿宋_GB2312" w:cs="仿宋_GB2312"/>
        </w:rPr>
        <w:t>8.4其他要求</w:t>
      </w:r>
      <w:r>
        <w:tab/>
      </w:r>
      <w:r>
        <w:fldChar w:fldCharType="begin"/>
      </w:r>
      <w:r>
        <w:instrText xml:space="preserve"> PAGEREF _Toc256000040 \h </w:instrText>
      </w:r>
      <w:r>
        <w:fldChar w:fldCharType="separate"/>
      </w:r>
      <w:r>
        <w:t>22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"_Toc256000041" </w:instrText>
      </w:r>
      <w:r>
        <w:fldChar w:fldCharType="separate"/>
      </w:r>
      <w:r>
        <w:rPr>
          <w:rStyle w:val="11"/>
          <w:rFonts w:ascii="仿宋_GB2312" w:hAnsi="仿宋_GB2312" w:eastAsia="仿宋_GB2312" w:cs="仿宋_GB2312"/>
        </w:rPr>
        <w:t>8.4.1保密要求</w:t>
      </w:r>
      <w:r>
        <w:tab/>
      </w:r>
      <w:r>
        <w:fldChar w:fldCharType="begin"/>
      </w:r>
      <w:r>
        <w:instrText xml:space="preserve"> PAGEREF _Toc256000041 \h </w:instrText>
      </w:r>
      <w:r>
        <w:fldChar w:fldCharType="separate"/>
      </w:r>
      <w:r>
        <w:t>22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"_Toc256000042" </w:instrText>
      </w:r>
      <w:r>
        <w:fldChar w:fldCharType="separate"/>
      </w:r>
      <w:r>
        <w:rPr>
          <w:rStyle w:val="11"/>
          <w:rFonts w:ascii="仿宋_GB2312" w:hAnsi="仿宋_GB2312" w:eastAsia="仿宋_GB2312" w:cs="仿宋_GB2312"/>
        </w:rPr>
        <w:t>8.4.2知识产权要求</w:t>
      </w:r>
      <w:r>
        <w:tab/>
      </w:r>
      <w:r>
        <w:fldChar w:fldCharType="begin"/>
      </w:r>
      <w:r>
        <w:instrText xml:space="preserve"> PAGEREF _Toc256000042 \h </w:instrText>
      </w:r>
      <w:r>
        <w:fldChar w:fldCharType="separate"/>
      </w:r>
      <w:r>
        <w:t>23</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武清区税务局食堂食材采购项目，其核心目的是通过集中采购机制，实现食材采购的安全可控，成本优化与阳光透明，从源头保障食品安全与供应稳定。近年来，食品安全事件频发，人们对食品安全关注度极高，政府采购通过统一资质审核、溯源管理，建立“防火墙”，杜绝不合格食材流入。传统分散采购存在供应商零散，议价能力弱，采购成本高的问题，集中采购能整合需求形成规模优势，降低采购单价，同时简化流程，减少行政成本。同时政府采购通过公开招标、全程留痕等方式，避免暗箱操作，确保财政资金使用透明、合规，接受社会监督。</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本项目旨在为武清区税务局食堂提供质优价廉的水果、蔬菜、水产品、鲜奶及奶制品、豆制品、猪肉及副产品、牛羊肉及各部件、禽肉及各部件、肉制品及半成品，米、面、杂粮、油、鸡蛋及调料等食材，在确保区局食品安全的基础上，提供高效便捷的服务。</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本包采购内容为果蔬水产奶制品类（包含蔬菜、水果、海鲜及海产品、鲜奶及奶制品、豆制品等）、鲜冻禽畜肉类（包含猪肉及副产品、牛羊肉及各部件、禽肉及各部件、肉制品及半成品等）、主副食调料等其他类（米、面、杂粮、油、鸡蛋及调料等）</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2"/>
        <w:spacing w:before="0" w:after="0" w:line="360" w:lineRule="auto"/>
        <w:ind w:firstLine="482"/>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按照采购人需求，为国家税务总局天津市武清区税务局机关及部分税务所食堂提供</w:t>
      </w:r>
      <w:r>
        <w:rPr>
          <w:rFonts w:hint="eastAsia" w:ascii="仿宋_GB2312" w:hAnsi="仿宋_GB2312" w:eastAsia="仿宋_GB2312" w:cs="仿宋_GB2312"/>
          <w:sz w:val="28"/>
          <w:szCs w:val="28"/>
          <w:lang w:eastAsia="zh-CN"/>
        </w:rPr>
        <w:t>果</w:t>
      </w:r>
      <w:r>
        <w:rPr>
          <w:rFonts w:ascii="仿宋_GB2312" w:hAnsi="仿宋_GB2312" w:eastAsia="仿宋_GB2312" w:cs="仿宋_GB2312"/>
          <w:sz w:val="28"/>
          <w:szCs w:val="28"/>
        </w:rPr>
        <w:t>蔬水产奶制品类、鲜冻禽畜肉类、主副食调料等食材，并提供相应简单加工及配送服务。</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自签订合同之日起1年。</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本项目实施地点共</w:t>
      </w:r>
      <w:r>
        <w:rPr>
          <w:sz w:val="28"/>
          <w:szCs w:val="28"/>
        </w:rPr>
        <w:t>10</w:t>
      </w:r>
      <w:r>
        <w:rPr>
          <w:rFonts w:ascii="仿宋_GB2312" w:hAnsi="仿宋_GB2312" w:eastAsia="仿宋_GB2312" w:cs="仿宋_GB2312"/>
          <w:sz w:val="28"/>
          <w:szCs w:val="28"/>
        </w:rPr>
        <w:t>个，具体为：</w:t>
      </w:r>
    </w:p>
    <w:p>
      <w:pPr>
        <w:pStyle w:val="13"/>
        <w:spacing w:before="0" w:after="0" w:line="360" w:lineRule="auto"/>
        <w:ind w:firstLine="562"/>
        <w:rPr>
          <w:rFonts w:ascii="Times New Roman" w:hAnsi="Times New Roman" w:eastAsia="Times New Roman" w:cs="Times New Roman"/>
        </w:rPr>
      </w:pPr>
      <w:r>
        <w:rPr>
          <w:b/>
          <w:bCs/>
          <w:sz w:val="28"/>
          <w:szCs w:val="28"/>
        </w:rPr>
        <w:t>1.</w:t>
      </w:r>
      <w:r>
        <w:rPr>
          <w:rFonts w:ascii="仿宋_GB2312" w:hAnsi="仿宋_GB2312" w:eastAsia="仿宋_GB2312" w:cs="仿宋_GB2312"/>
          <w:b/>
          <w:bCs/>
          <w:sz w:val="28"/>
          <w:szCs w:val="28"/>
        </w:rPr>
        <w:t>局机关：</w:t>
      </w:r>
      <w:r>
        <w:rPr>
          <w:rFonts w:ascii="仿宋_GB2312" w:hAnsi="仿宋_GB2312" w:eastAsia="仿宋_GB2312" w:cs="仿宋_GB2312"/>
          <w:sz w:val="28"/>
          <w:szCs w:val="28"/>
        </w:rPr>
        <w:t>位于天津市武清区泉州北路</w:t>
      </w:r>
      <w:r>
        <w:rPr>
          <w:sz w:val="28"/>
          <w:szCs w:val="28"/>
        </w:rPr>
        <w:t>21</w:t>
      </w:r>
      <w:r>
        <w:rPr>
          <w:rFonts w:ascii="仿宋_GB2312" w:hAnsi="仿宋_GB2312" w:eastAsia="仿宋_GB2312" w:cs="仿宋_GB2312"/>
          <w:sz w:val="28"/>
          <w:szCs w:val="28"/>
        </w:rPr>
        <w:t>号。</w:t>
      </w:r>
    </w:p>
    <w:p>
      <w:pPr>
        <w:pStyle w:val="12"/>
        <w:spacing w:before="0" w:after="0" w:line="360" w:lineRule="auto"/>
        <w:ind w:firstLine="562"/>
        <w:rPr>
          <w:rFonts w:ascii="Times New Roman" w:hAnsi="Times New Roman" w:eastAsia="Times New Roman" w:cs="Times New Roman"/>
        </w:rPr>
      </w:pPr>
      <w:r>
        <w:rPr>
          <w:b/>
          <w:bCs/>
          <w:sz w:val="28"/>
          <w:szCs w:val="28"/>
        </w:rPr>
        <w:t>2.</w:t>
      </w:r>
      <w:r>
        <w:rPr>
          <w:rFonts w:ascii="仿宋_GB2312" w:hAnsi="仿宋_GB2312" w:eastAsia="仿宋_GB2312" w:cs="仿宋_GB2312"/>
          <w:b/>
          <w:bCs/>
          <w:sz w:val="28"/>
          <w:szCs w:val="28"/>
        </w:rPr>
        <w:t>杨村税务所：</w:t>
      </w:r>
      <w:r>
        <w:rPr>
          <w:rFonts w:ascii="仿宋_GB2312" w:hAnsi="仿宋_GB2312" w:eastAsia="仿宋_GB2312" w:cs="仿宋_GB2312"/>
          <w:sz w:val="28"/>
          <w:szCs w:val="28"/>
        </w:rPr>
        <w:t>位于天津市武清区泉兴路</w:t>
      </w:r>
      <w:r>
        <w:rPr>
          <w:sz w:val="28"/>
          <w:szCs w:val="28"/>
        </w:rPr>
        <w:t>24</w:t>
      </w:r>
      <w:r>
        <w:rPr>
          <w:rFonts w:ascii="仿宋_GB2312" w:hAnsi="仿宋_GB2312" w:eastAsia="仿宋_GB2312" w:cs="仿宋_GB2312"/>
          <w:sz w:val="28"/>
          <w:szCs w:val="28"/>
        </w:rPr>
        <w:t>号。</w:t>
      </w:r>
    </w:p>
    <w:p>
      <w:pPr>
        <w:pStyle w:val="12"/>
        <w:spacing w:before="0" w:after="0" w:line="360" w:lineRule="auto"/>
        <w:ind w:firstLine="562"/>
        <w:rPr>
          <w:rFonts w:ascii="Times New Roman" w:hAnsi="Times New Roman" w:eastAsia="Times New Roman" w:cs="Times New Roman"/>
        </w:rPr>
      </w:pPr>
      <w:r>
        <w:rPr>
          <w:b/>
          <w:bCs/>
          <w:sz w:val="28"/>
          <w:szCs w:val="28"/>
        </w:rPr>
        <w:t>3.</w:t>
      </w:r>
      <w:r>
        <w:rPr>
          <w:rFonts w:ascii="仿宋_GB2312" w:hAnsi="仿宋_GB2312" w:eastAsia="仿宋_GB2312" w:cs="仿宋_GB2312"/>
          <w:b/>
          <w:bCs/>
          <w:sz w:val="28"/>
          <w:szCs w:val="28"/>
        </w:rPr>
        <w:t>大孟庄税务所：</w:t>
      </w:r>
      <w:r>
        <w:rPr>
          <w:rFonts w:ascii="仿宋_GB2312" w:hAnsi="仿宋_GB2312" w:eastAsia="仿宋_GB2312" w:cs="仿宋_GB2312"/>
          <w:sz w:val="28"/>
          <w:szCs w:val="28"/>
        </w:rPr>
        <w:t>位于天津市武清区大良廓良路北侧。</w:t>
      </w:r>
    </w:p>
    <w:p>
      <w:pPr>
        <w:pStyle w:val="12"/>
        <w:spacing w:before="0" w:after="0" w:line="360" w:lineRule="auto"/>
        <w:ind w:firstLine="562"/>
        <w:rPr>
          <w:rFonts w:ascii="Times New Roman" w:hAnsi="Times New Roman" w:eastAsia="Times New Roman" w:cs="Times New Roman"/>
        </w:rPr>
      </w:pPr>
      <w:r>
        <w:rPr>
          <w:b/>
          <w:bCs/>
          <w:sz w:val="28"/>
          <w:szCs w:val="28"/>
        </w:rPr>
        <w:t>4.</w:t>
      </w:r>
      <w:r>
        <w:rPr>
          <w:rFonts w:ascii="仿宋_GB2312" w:hAnsi="仿宋_GB2312" w:eastAsia="仿宋_GB2312" w:cs="仿宋_GB2312"/>
          <w:b/>
          <w:bCs/>
          <w:sz w:val="28"/>
          <w:szCs w:val="28"/>
        </w:rPr>
        <w:t>崔黄口税务所：</w:t>
      </w:r>
      <w:r>
        <w:rPr>
          <w:rFonts w:ascii="仿宋_GB2312" w:hAnsi="仿宋_GB2312" w:eastAsia="仿宋_GB2312" w:cs="仿宋_GB2312"/>
          <w:sz w:val="28"/>
          <w:szCs w:val="28"/>
        </w:rPr>
        <w:t>位于天津市武清区崔黄口镇电商园行政服务中心</w:t>
      </w:r>
      <w:r>
        <w:rPr>
          <w:sz w:val="28"/>
          <w:szCs w:val="28"/>
        </w:rPr>
        <w:t>1</w:t>
      </w:r>
      <w:r>
        <w:rPr>
          <w:rFonts w:ascii="仿宋_GB2312" w:hAnsi="仿宋_GB2312" w:eastAsia="仿宋_GB2312" w:cs="仿宋_GB2312"/>
          <w:sz w:val="28"/>
          <w:szCs w:val="28"/>
        </w:rPr>
        <w:t>层。</w:t>
      </w:r>
    </w:p>
    <w:p>
      <w:pPr>
        <w:pStyle w:val="12"/>
        <w:spacing w:before="0" w:after="0" w:line="360" w:lineRule="auto"/>
        <w:ind w:firstLine="562"/>
        <w:rPr>
          <w:rFonts w:ascii="Times New Roman" w:hAnsi="Times New Roman" w:eastAsia="Times New Roman" w:cs="Times New Roman"/>
        </w:rPr>
      </w:pPr>
      <w:r>
        <w:rPr>
          <w:b/>
          <w:bCs/>
          <w:sz w:val="28"/>
          <w:szCs w:val="28"/>
        </w:rPr>
        <w:t>5.</w:t>
      </w:r>
      <w:r>
        <w:rPr>
          <w:rFonts w:ascii="仿宋_GB2312" w:hAnsi="仿宋_GB2312" w:eastAsia="仿宋_GB2312" w:cs="仿宋_GB2312"/>
          <w:b/>
          <w:bCs/>
          <w:sz w:val="28"/>
          <w:szCs w:val="28"/>
        </w:rPr>
        <w:t>大碱厂税务所：</w:t>
      </w:r>
      <w:r>
        <w:rPr>
          <w:rFonts w:ascii="仿宋_GB2312" w:hAnsi="仿宋_GB2312" w:eastAsia="仿宋_GB2312" w:cs="仿宋_GB2312"/>
          <w:sz w:val="28"/>
          <w:szCs w:val="28"/>
        </w:rPr>
        <w:t>位于天津市武清区曹子里镇花城中路南段与正旺道交口。</w:t>
      </w:r>
    </w:p>
    <w:p>
      <w:pPr>
        <w:pStyle w:val="12"/>
        <w:spacing w:before="0" w:after="0" w:line="360" w:lineRule="auto"/>
        <w:ind w:firstLine="562"/>
        <w:rPr>
          <w:rFonts w:ascii="Times New Roman" w:hAnsi="Times New Roman" w:eastAsia="Times New Roman" w:cs="Times New Roman"/>
        </w:rPr>
      </w:pPr>
      <w:r>
        <w:rPr>
          <w:b/>
          <w:bCs/>
          <w:sz w:val="28"/>
          <w:szCs w:val="28"/>
        </w:rPr>
        <w:t>6.</w:t>
      </w:r>
      <w:r>
        <w:rPr>
          <w:rFonts w:ascii="仿宋_GB2312" w:hAnsi="仿宋_GB2312" w:eastAsia="仿宋_GB2312" w:cs="仿宋_GB2312"/>
          <w:b/>
          <w:bCs/>
          <w:sz w:val="28"/>
          <w:szCs w:val="28"/>
        </w:rPr>
        <w:t>河西务税务所：</w:t>
      </w:r>
      <w:r>
        <w:rPr>
          <w:rFonts w:ascii="仿宋_GB2312" w:hAnsi="仿宋_GB2312" w:eastAsia="仿宋_GB2312" w:cs="仿宋_GB2312"/>
          <w:sz w:val="28"/>
          <w:szCs w:val="28"/>
        </w:rPr>
        <w:t>位于天津市武清区河西务镇京津公路西侧。</w:t>
      </w:r>
    </w:p>
    <w:p>
      <w:pPr>
        <w:pStyle w:val="12"/>
        <w:spacing w:before="0" w:after="0" w:line="360" w:lineRule="auto"/>
        <w:ind w:firstLine="562"/>
        <w:rPr>
          <w:rFonts w:ascii="Times New Roman" w:hAnsi="Times New Roman" w:eastAsia="Times New Roman" w:cs="Times New Roman"/>
        </w:rPr>
      </w:pPr>
      <w:r>
        <w:rPr>
          <w:b/>
          <w:bCs/>
          <w:sz w:val="28"/>
          <w:szCs w:val="28"/>
        </w:rPr>
        <w:t>7.</w:t>
      </w:r>
      <w:r>
        <w:rPr>
          <w:rFonts w:ascii="仿宋_GB2312" w:hAnsi="仿宋_GB2312" w:eastAsia="仿宋_GB2312" w:cs="仿宋_GB2312"/>
          <w:b/>
          <w:bCs/>
          <w:sz w:val="28"/>
          <w:szCs w:val="28"/>
        </w:rPr>
        <w:t>南蔡村税务所</w:t>
      </w:r>
      <w:r>
        <w:rPr>
          <w:rFonts w:ascii="仿宋_GB2312" w:hAnsi="仿宋_GB2312" w:eastAsia="仿宋_GB2312" w:cs="仿宋_GB2312"/>
          <w:sz w:val="28"/>
          <w:szCs w:val="28"/>
        </w:rPr>
        <w:t>：位于天津市武清区南蔡村镇津航公司东北门旁。</w:t>
      </w:r>
    </w:p>
    <w:p>
      <w:pPr>
        <w:pStyle w:val="12"/>
        <w:spacing w:before="0" w:after="0" w:line="360" w:lineRule="auto"/>
        <w:ind w:firstLine="562"/>
        <w:rPr>
          <w:rFonts w:ascii="Times New Roman" w:hAnsi="Times New Roman" w:eastAsia="Times New Roman" w:cs="Times New Roman"/>
        </w:rPr>
      </w:pPr>
      <w:r>
        <w:rPr>
          <w:b/>
          <w:bCs/>
          <w:sz w:val="28"/>
          <w:szCs w:val="28"/>
        </w:rPr>
        <w:t>8.</w:t>
      </w:r>
      <w:r>
        <w:rPr>
          <w:rFonts w:ascii="仿宋_GB2312" w:hAnsi="仿宋_GB2312" w:eastAsia="仿宋_GB2312" w:cs="仿宋_GB2312"/>
          <w:b/>
          <w:bCs/>
          <w:sz w:val="28"/>
          <w:szCs w:val="28"/>
        </w:rPr>
        <w:t>东马圈税务：</w:t>
      </w:r>
      <w:r>
        <w:rPr>
          <w:rFonts w:ascii="仿宋_GB2312" w:hAnsi="仿宋_GB2312" w:eastAsia="仿宋_GB2312" w:cs="仿宋_GB2312"/>
          <w:sz w:val="28"/>
          <w:szCs w:val="28"/>
        </w:rPr>
        <w:t>位于天津市武清区东马圈镇武落路西侧。</w:t>
      </w:r>
    </w:p>
    <w:p>
      <w:pPr>
        <w:pStyle w:val="12"/>
        <w:spacing w:before="0" w:after="0" w:line="360" w:lineRule="auto"/>
        <w:ind w:firstLine="562"/>
        <w:rPr>
          <w:rFonts w:ascii="Times New Roman" w:hAnsi="Times New Roman" w:eastAsia="Times New Roman" w:cs="Times New Roman"/>
        </w:rPr>
      </w:pPr>
      <w:r>
        <w:rPr>
          <w:b/>
          <w:bCs/>
          <w:sz w:val="28"/>
          <w:szCs w:val="28"/>
        </w:rPr>
        <w:t>9.</w:t>
      </w:r>
      <w:r>
        <w:rPr>
          <w:rFonts w:ascii="仿宋_GB2312" w:hAnsi="仿宋_GB2312" w:eastAsia="仿宋_GB2312" w:cs="仿宋_GB2312"/>
          <w:b/>
          <w:bCs/>
          <w:sz w:val="28"/>
          <w:szCs w:val="28"/>
        </w:rPr>
        <w:t>石各庄税务所：</w:t>
      </w:r>
      <w:r>
        <w:rPr>
          <w:rFonts w:ascii="仿宋_GB2312" w:hAnsi="仿宋_GB2312" w:eastAsia="仿宋_GB2312" w:cs="仿宋_GB2312"/>
          <w:sz w:val="28"/>
          <w:szCs w:val="28"/>
        </w:rPr>
        <w:t>位于天津市武清区石各庄镇梅石公路</w:t>
      </w:r>
      <w:r>
        <w:rPr>
          <w:sz w:val="28"/>
          <w:szCs w:val="28"/>
        </w:rPr>
        <w:t>1</w:t>
      </w:r>
      <w:r>
        <w:rPr>
          <w:rFonts w:ascii="仿宋_GB2312" w:hAnsi="仿宋_GB2312" w:eastAsia="仿宋_GB2312" w:cs="仿宋_GB2312"/>
          <w:sz w:val="28"/>
          <w:szCs w:val="28"/>
        </w:rPr>
        <w:t>号。</w:t>
      </w:r>
    </w:p>
    <w:p>
      <w:pPr>
        <w:pStyle w:val="13"/>
        <w:spacing w:before="0" w:after="0" w:line="360" w:lineRule="auto"/>
        <w:rPr>
          <w:rFonts w:ascii="Times New Roman" w:hAnsi="Times New Roman" w:eastAsia="Times New Roman" w:cs="Times New Roman"/>
        </w:rPr>
      </w:pPr>
      <w:r>
        <w:rPr>
          <w:b/>
          <w:bCs/>
          <w:sz w:val="28"/>
          <w:szCs w:val="28"/>
        </w:rPr>
        <w:t>      10.</w:t>
      </w:r>
      <w:r>
        <w:rPr>
          <w:rFonts w:ascii="仿宋_GB2312" w:hAnsi="仿宋_GB2312" w:eastAsia="仿宋_GB2312" w:cs="仿宋_GB2312"/>
          <w:b/>
          <w:bCs/>
          <w:sz w:val="28"/>
          <w:szCs w:val="28"/>
        </w:rPr>
        <w:t>下朱庄税务所：</w:t>
      </w:r>
      <w:r>
        <w:rPr>
          <w:rFonts w:ascii="仿宋_GB2312" w:hAnsi="仿宋_GB2312" w:eastAsia="仿宋_GB2312" w:cs="仿宋_GB2312"/>
          <w:sz w:val="28"/>
          <w:szCs w:val="28"/>
        </w:rPr>
        <w:t>位于天津市武清区下朱庄街道富民经济区</w:t>
      </w:r>
      <w:r>
        <w:rPr>
          <w:sz w:val="28"/>
          <w:szCs w:val="28"/>
        </w:rPr>
        <w:t>A</w:t>
      </w:r>
      <w:r>
        <w:rPr>
          <w:rFonts w:ascii="仿宋_GB2312" w:hAnsi="仿宋_GB2312" w:eastAsia="仿宋_GB2312" w:cs="仿宋_GB2312"/>
          <w:sz w:val="28"/>
          <w:szCs w:val="28"/>
        </w:rPr>
        <w:t>区。</w:t>
      </w:r>
    </w:p>
    <w:p>
      <w:pPr>
        <w:pStyle w:val="3"/>
        <w:keepNext w:val="0"/>
        <w:spacing w:before="0" w:after="0" w:line="360" w:lineRule="auto"/>
        <w:rPr>
          <w:rFonts w:ascii="仿宋_GB2312" w:hAnsi="仿宋_GB2312" w:eastAsia="仿宋_GB2312" w:cs="仿宋_GB2312"/>
          <w:b/>
          <w:bCs/>
          <w:sz w:val="28"/>
          <w:szCs w:val="28"/>
        </w:rPr>
      </w:pPr>
      <w:bookmarkStart w:id="9" w:name="_Toc25600000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sz w:val="28"/>
          <w:szCs w:val="28"/>
        </w:rPr>
        <w:t>1.3.1采购标的需执行的相关标准规范</w:t>
      </w:r>
      <w:bookmarkEnd w:id="10"/>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投标人应遵守有关国家法律、法规和条例,具备《中华人民共和国政府采购法》第二十二条的规定和本文件中规定的条件。</w:t>
      </w:r>
    </w:p>
    <w:p>
      <w:pPr>
        <w:pStyle w:val="2"/>
        <w:keepNext w:val="0"/>
        <w:spacing w:before="0" w:after="0" w:line="360" w:lineRule="auto"/>
        <w:jc w:val="center"/>
        <w:rPr>
          <w:rFonts w:ascii="仿宋_GB2312" w:hAnsi="仿宋_GB2312" w:eastAsia="仿宋_GB2312" w:cs="仿宋_GB2312"/>
          <w:b/>
          <w:bCs/>
          <w:sz w:val="32"/>
          <w:szCs w:val="32"/>
        </w:rPr>
      </w:pPr>
      <w:bookmarkStart w:id="11" w:name="_Toc25600000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w:t>
      </w:r>
      <w:r>
        <w:rPr>
          <w:rFonts w:ascii="仿宋_GB2312" w:hAnsi="仿宋_GB2312" w:eastAsia="仿宋_GB2312" w:cs="仿宋_GB2312"/>
          <w:b w:val="0"/>
          <w:bCs w:val="0"/>
          <w:sz w:val="28"/>
          <w:szCs w:val="28"/>
          <w:lang w:val="en-US" w:eastAsia="en-US" w:bidi="ar-SA"/>
        </w:rPr>
        <w:t>1</w:t>
      </w:r>
      <w:r>
        <w:rPr>
          <w:rFonts w:ascii="仿宋_GB2312" w:hAnsi="仿宋_GB2312" w:eastAsia="仿宋_GB2312" w:cs="仿宋_GB2312"/>
        </w:rPr>
        <w:t>.1.2本项目的特定资格要求</w:t>
      </w:r>
    </w:p>
    <w:p>
      <w:pPr>
        <w:spacing w:before="0" w:after="0" w:line="360" w:lineRule="auto"/>
        <w:rPr>
          <w:rFonts w:ascii="仿宋_GB2312" w:hAnsi="仿宋_GB2312" w:eastAsia="仿宋_GB2312" w:cs="仿宋_GB2312"/>
          <w:sz w:val="28"/>
          <w:szCs w:val="28"/>
        </w:rPr>
      </w:pPr>
      <w:r>
        <w:rPr>
          <w:rFonts w:ascii="仿宋_GB2312" w:hAnsi="仿宋_GB2312" w:eastAsia="仿宋_GB2312" w:cs="仿宋_GB2312"/>
          <w:color w:val="95A5A6"/>
          <w:sz w:val="28"/>
          <w:szCs w:val="28"/>
        </w:rPr>
        <w:t xml:space="preserve">    </w:t>
      </w:r>
      <w:r>
        <w:rPr>
          <w:rFonts w:ascii="仿宋_GB2312" w:hAnsi="仿宋_GB2312" w:eastAsia="仿宋_GB2312" w:cs="仿宋_GB2312"/>
          <w:sz w:val="28"/>
          <w:szCs w:val="28"/>
        </w:rPr>
        <w:t>投标人具有《食品经营许可证》，主体业态至少包含食品销售经营者，提供证书扫描件。</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tbl>
      <w:tblPr>
        <w:tblStyle w:val="9"/>
        <w:tblW w:w="5000" w:type="pct"/>
        <w:tblInd w:w="30" w:type="dxa"/>
        <w:tblLayout w:type="autofit"/>
        <w:tblCellMar>
          <w:top w:w="15" w:type="dxa"/>
          <w:left w:w="15" w:type="dxa"/>
          <w:bottom w:w="15" w:type="dxa"/>
          <w:right w:w="15" w:type="dxa"/>
        </w:tblCellMar>
      </w:tblPr>
      <w:tblGrid>
        <w:gridCol w:w="906"/>
        <w:gridCol w:w="4082"/>
        <w:gridCol w:w="4082"/>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证书名称</w:t>
            </w:r>
          </w:p>
        </w:tc>
        <w:tc>
          <w:tcPr>
            <w:tcW w:w="225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备注</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食品安全管理体系认证证书（ISO 22000）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职业健康安全管理体系认证证书（ISO45001 ）</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质量管理体系认证证书（ISO 9001）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spacing w:before="0" w:after="0" w:line="360" w:lineRule="auto"/>
        <w:rPr>
          <w:rFonts w:ascii="仿宋_GB2312" w:hAnsi="仿宋_GB2312" w:eastAsia="仿宋_GB2312" w:cs="仿宋_GB2312"/>
          <w:sz w:val="28"/>
          <w:szCs w:val="28"/>
        </w:rPr>
      </w:pPr>
      <w:r>
        <w:rPr>
          <w:rFonts w:ascii="仿宋_GB2312" w:hAnsi="仿宋_GB2312" w:eastAsia="仿宋_GB2312" w:cs="仿宋_GB2312"/>
          <w:color w:val="95A5A6"/>
          <w:sz w:val="28"/>
          <w:szCs w:val="28"/>
        </w:rPr>
        <w:t xml:space="preserve">      </w:t>
      </w:r>
      <w:r>
        <w:rPr>
          <w:rFonts w:ascii="仿宋_GB2312" w:hAnsi="仿宋_GB2312" w:eastAsia="仿宋_GB2312" w:cs="仿宋_GB2312"/>
          <w:sz w:val="28"/>
          <w:szCs w:val="28"/>
        </w:rPr>
        <w:t>有效案例为2022年1月1日以来（以合同签订日期为准），供应商独立承担的食材供应项目案例（必须包含本包采购的水果、蔬菜、水产品、鲜奶及奶制品、豆制品、猪肉及副产品、牛羊肉及各部件、禽肉及各部件、肉制品及半成品，米、面、杂粮、油、鸡蛋及调料等食材），予以加分考虑。</w:t>
      </w:r>
    </w:p>
    <w:p>
      <w:pPr>
        <w:pStyle w:val="4"/>
        <w:keepNext w:val="0"/>
        <w:spacing w:before="0" w:after="0" w:line="360" w:lineRule="auto"/>
        <w:rPr>
          <w:rFonts w:ascii="仿宋_GB2312" w:hAnsi="仿宋_GB2312" w:eastAsia="仿宋_GB2312" w:cs="仿宋_GB2312"/>
          <w:b/>
          <w:bCs/>
          <w:sz w:val="28"/>
          <w:szCs w:val="28"/>
          <w:highlight w:val="none"/>
        </w:rPr>
      </w:pPr>
      <w:bookmarkStart w:id="15" w:name="_Toc256000013"/>
      <w:r>
        <w:rPr>
          <w:rFonts w:ascii="仿宋_GB2312" w:hAnsi="仿宋_GB2312" w:eastAsia="仿宋_GB2312" w:cs="仿宋_GB2312"/>
          <w:sz w:val="28"/>
          <w:szCs w:val="28"/>
          <w:highlight w:val="none"/>
        </w:rPr>
        <w:t>2.1.3是否允许联合体</w:t>
      </w:r>
      <w:bookmarkEnd w:id="15"/>
    </w:p>
    <w:p>
      <w:pPr>
        <w:pStyle w:val="4"/>
        <w:keepNext w:val="0"/>
        <w:spacing w:before="0" w:after="0" w:line="360" w:lineRule="auto"/>
        <w:ind w:firstLine="281" w:firstLineChars="100"/>
        <w:rPr>
          <w:rFonts w:ascii="仿宋_GB2312" w:hAnsi="仿宋_GB2312" w:eastAsia="仿宋_GB2312" w:cs="仿宋_GB2312"/>
          <w:sz w:val="28"/>
          <w:szCs w:val="28"/>
        </w:rPr>
      </w:pPr>
      <w:bookmarkStart w:id="16" w:name="_Toc256000014"/>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2.1.4是否专门面向中小企业</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本项目不专门面向中小企业采购项目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2.1.5其他要求</w:t>
      </w:r>
      <w:bookmarkEnd w:id="17"/>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符合和满足本项目技术要求和其他有关要求。</w:t>
      </w:r>
    </w:p>
    <w:p>
      <w:pPr>
        <w:pStyle w:val="3"/>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2.2技术部分投标/响应内容</w:t>
      </w:r>
      <w:bookmarkEnd w:id="18"/>
    </w:p>
    <w:p>
      <w:pPr>
        <w:pStyle w:val="4"/>
        <w:keepNext w:val="0"/>
        <w:spacing w:before="0" w:after="0" w:line="360" w:lineRule="auto"/>
        <w:rPr>
          <w:rFonts w:ascii="仿宋_GB2312" w:hAnsi="仿宋_GB2312" w:eastAsia="仿宋_GB2312" w:cs="仿宋_GB2312"/>
          <w:b/>
          <w:bCs/>
          <w:sz w:val="28"/>
          <w:szCs w:val="28"/>
        </w:rPr>
      </w:pPr>
      <w:bookmarkStart w:id="19" w:name="_Toc256000017"/>
      <w:r>
        <w:rPr>
          <w:rFonts w:ascii="仿宋_GB2312" w:hAnsi="仿宋_GB2312" w:eastAsia="仿宋_GB2312" w:cs="仿宋_GB2312"/>
          <w:sz w:val="28"/>
          <w:szCs w:val="28"/>
        </w:rPr>
        <w:t>2.2.1技术投标/响应总要求</w:t>
      </w:r>
      <w:bookmarkEnd w:id="19"/>
    </w:p>
    <w:p>
      <w:pPr>
        <w:pStyle w:val="12"/>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供应商须承诺所提供的货物、人员符合相关国家强制性规定。具体需求详见项目需求、人员要求、管理实施要求、风险管控要求、履约验收要求及其他要求。</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2.2.2投标/响应方案要求</w:t>
      </w:r>
      <w:bookmarkEnd w:id="2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以下相关方案，若作为评审因素，则投标人应在满足★必备指标项要求的前提下，根据项目特点和采购需求，制定更为完整、详细、可操作性强的方案。</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（一）提供针对本项目特点的专业化服务方案：投标人应详细阐述对本项目整体需求内容的理解，包含符合本项目实际情况的食材配送等方案；</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（二）配送及时性准时性措施：投标人应详细阐述如何保证本项目准时送达的方案措施，包含日常食材准时送达的方案、采购人紧急采购的食材准时送达的方案，以及未按时送达时的挽回方案等内容；</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 xml:space="preserve">（三）质量安全把控措施：投标人应详细阐述如何保证食材质量安全把控的方案措施，包含检验检疫关键环节把控、不符合质量标准货品处置等方面内容； </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（四）供应措施：投标人应详细阐述如何保证食材供应的方案措施，包含服务团队管理措施、内部采购管理措施、储存分拣管理措施、科学合理运输措施等方面内容。</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3.1总体要求</w:t>
      </w:r>
      <w:bookmarkEnd w:id="22"/>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pPr>
        <w:pStyle w:val="3"/>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i w:val="0"/>
          <w:iCs w:val="0"/>
        </w:rPr>
        <w:t>3.2采购产品一览表</w:t>
      </w:r>
      <w:bookmarkEnd w:id="23"/>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产品类别</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产品名称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数量</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单位</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备注</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大白菜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洋白菜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小白菜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生菜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菠菜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韭菜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韭黄</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油菜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油麦菜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空心菜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娃娃菜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胡萝卜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青萝卜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白萝卜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葱头</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香葱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生姜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蒜苗</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蒜苔</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芹菜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莴笋</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芦笋</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莲藕</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菜花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西红柿</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西兰花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2300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青椒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红椒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彩椒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茄子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黄瓜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西葫芦</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冬瓜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南瓜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荷兰豆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四季豆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平菇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香菇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金针菇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杏鲍菇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虫草花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口蘑</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红薯</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茼蒿</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香菜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豆芽</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香椿</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苦瓜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丝瓜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4100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玉米棒子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芋头</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山药</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土豆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桃子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脐橙</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2250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橘子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柑橘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李子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香蕉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火龙果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西瓜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哈密瓜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菜瓜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羊角蜜瓜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柚子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苹果</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花鲢</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巴沙鱼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860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草鱼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鲫鱼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820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切蟹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680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带鱼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黄花鱼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鲽鱼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鲫头鱼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虾</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海带</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龙利鱼</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海米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奶及奶制品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鲜牛奶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奶及奶制品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酸奶及乳制品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160000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杯</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豆制品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豆腐干</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豆制品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豆腐皮</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3450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豆制品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猪肉、脏器及副产品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猪精瘦肉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猪肉、脏器及副产品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猪排骨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猪肉、脏器及副产品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猪肉馅（3:7）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猪肉、脏器及副产品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猪五花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猪脏器及副产品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猪下水</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猪脏器及副产品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猪蹄</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牛肋条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牛腱子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牛骨等各部位</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牛腩</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羊肉卷</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羊肋排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羊杂等各部位</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羊蝎子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鸡胗</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鸭脖</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鹅肉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肉制品/半成品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香肠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肉制品/半成品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火腿</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肉制品/半成品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骨肉相连</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肉制品/半成品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鸭血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肉制品/半成品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毛肚</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560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肉制品/半成品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熏酱卤烧烤肉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240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肉制品/半成品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午餐肉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小米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玉米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黑米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紫米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蚕豆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绿豆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红小豆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黑豆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青豆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禽肉及各部件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鸡腿</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芝麻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花生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2400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玉米粉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谷物杂粮类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混合杂粮</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酱油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香油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豆瓣酱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料酒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芝麻酱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花生酱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火锅底料</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蚝油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蒸鱼豉油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食用醋</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胡椒粉</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bookmarkStart w:id="45" w:name="_GoBack"/>
            <w:bookmarkEnd w:id="45"/>
            <w:r>
              <w:rPr>
                <w:rFonts w:ascii="仿宋_GB2312" w:hAnsi="仿宋_GB2312" w:eastAsia="仿宋_GB2312" w:cs="仿宋_GB2312"/>
                <w:b w:val="0"/>
                <w:bCs w:val="0"/>
                <w:i w:val="0"/>
                <w:iCs w:val="0"/>
                <w:smallCaps w:val="0"/>
                <w:color w:val="000000"/>
                <w:sz w:val="21"/>
                <w:szCs w:val="21"/>
              </w:rPr>
              <w:t>46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椒盐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孜然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花椒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调料类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八角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3"/>
        <w:keepNext w:val="0"/>
        <w:spacing w:before="0" w:after="0" w:line="360" w:lineRule="auto"/>
        <w:ind w:firstLine="560" w:firstLineChars="200"/>
        <w:rPr>
          <w:rFonts w:hint="eastAsia" w:ascii="仿宋_GB2312" w:hAnsi="仿宋_GB2312" w:eastAsia="仿宋_GB2312" w:cs="仿宋_GB2312"/>
          <w:b w:val="0"/>
          <w:bCs w:val="0"/>
          <w:i w:val="0"/>
          <w:iCs w:val="0"/>
          <w:highlight w:val="none"/>
          <w:lang w:val="en-US" w:eastAsia="zh-CN"/>
        </w:rPr>
      </w:pPr>
      <w:bookmarkStart w:id="24" w:name="_Toc256000022"/>
      <w:r>
        <w:rPr>
          <w:rFonts w:hint="eastAsia" w:ascii="仿宋_GB2312" w:hAnsi="仿宋_GB2312" w:eastAsia="仿宋_GB2312" w:cs="仿宋_GB2312"/>
          <w:b w:val="0"/>
          <w:bCs w:val="0"/>
          <w:i w:val="0"/>
          <w:iCs w:val="0"/>
          <w:highlight w:val="none"/>
          <w:lang w:val="en-US" w:eastAsia="zh-CN"/>
        </w:rPr>
        <w:t>注：上表中所列采购内容只是对未来1年所需食材的预测，实际采购内容包括但不限于表中所列的品种及数量，具体以实际需求为准。</w:t>
      </w:r>
    </w:p>
    <w:p>
      <w:pPr>
        <w:pStyle w:val="3"/>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3.3采购产品详细清单及技术指标</w:t>
      </w:r>
      <w:bookmarkEnd w:id="24"/>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采购文件（技术部分）中有标注★号的，为必备要求，必须满足，如未作出响应，将导致响应无效；#为重要内容、△为一般内容。</w:t>
      </w:r>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食品必须符合国家饮食卫生标准，同时保证食品新鲜，不得出现腐烂、变质，以次充好等情况；</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食品的质量与包装应符合国家相关法律法规的规定，符合行业主管部门发布的规定、标准、规范；</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按规定必须经由法定食品检验机构检测的食品，投标人应在交货时向采购人提供同批次食品检验报告或合格证（复印件加盖公章）。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对于没有国家标准的应符合行业标准或企业标准，其中国家有强制性技术标准要求的产品，还应符合国家强制性技术标准，确保配送的货物安全、卫生。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蔬菜和水果化学药物不超标，保持较好的色泽及新鲜度，无黄叶、泥沙；包装食品标注生产厂家，生产日期，并在保质期范围内，保持较好的外观；水产品品质新鲜质量安全。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所供生鲜肉确保为出厂后48小时内；冻肉确保为出厂后3个月内。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总体质量要求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所有食材的来源清晰，蔬菜来源于受到地方政府部门监管的自有基地、商品菜基地或蔬菜专业流通市场，不供应散户溯源不清的蔬菜；肉类渠道来源正规可溯，参考正规市场品质及来源。（提供承诺函，格式自拟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鲜冻禽肉类通用质量要求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鲜猪肉通用质量要求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五花肉质量要求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一级五花肉，肥膘厚度≤2.0cm，肥瘦相间，肉质细腻，三层见花。</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肋排质量要求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肋排去剔前排后11-13根肋骨，整块重量1.2KG-1.8KG，纹理清晰，边缘整齐。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猪脏器及副产品质量要求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心肝、腰子类：品质新鲜、外形完整、无异味、无病变、无凝血块、无血污、泥污、颜色正常。</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肚：品质新鲜、外形完整、无溃疡面及其他病变现象、无内容物、无粘膜、无边油。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大肠、肥肠类：品质新鲜、无破损、无病变组织、无肠头细毛、无内容物、去净粘膜。</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舌：品质新鲜、外形完整、无病变、无异物、无舌苔、附肉少、无血污、泥污。耳：品质新鲜、外形完整、无溃烂、病斑、无破损。</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蹄爪类：品质新鲜、去蹄壳、不带蹄筋、刮除粗毛、细毛及趾间黑垢、无松香残留。</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蹄筋类：品质新鲜、无色透明、表面光亮、无油脂、无精肉、无充血现象、顺直、干燥。</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猪心：淡红色，脂肪乳白色稍红色，结实，有弹性，外形完整，心房内无瘀血，无凝血块，无病变，气味正常。</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猪肝：红褐色或棕黄色，有光泽，湿润，略有弹性，组织结实微密，肝叶完整，无脂肪，胆囊、粗输、胆管、无寄生虫、炎症水泡、薄膜，无胆汁污染，微有鱼腥味。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猪口条：品质新鲜，外形完整，无根附着的肌肉、舌骨、舌苔、脂肪、无病伤，无异物。</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猪尾：品质新鲜，去毛洁净，不带毛根或绒毛。</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鲜牛肉通用质量要求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精修牛肉，颜色呈正常鲜红状，脂肪微黄，表面有光泽有正常油脂分泌，触摸略感粘稠，按压有弹性，无发酸发臭气味，无腐坏变色现象，挤压无水溢出。</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牛柳（牛里脊肉）质量要求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精修牛里脊，圆形长条，形如黄瓜，肉质非常细嫩。</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牛腩质量要求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精修牛腩肉，牛腹部及靠近牛肋处的松软肌肉，带有筋、肉、油花的肉块。</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鲜羊肉质量要求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冻畜肉质量要求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色泽：颜色比冷却肉鲜明，在表面切开处为浅玫瑰色至灰色，用手或热刀触之，立显示鲜红色。脂肪猪、羊为白色，牛为淡黄色。肌腱为白色，石灰色。</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外表：无杂质，无肌肉风干现象，无白、黄、绿斑、紫斑、污血、过多冰衣无白霜、</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气味：化冻时，有肉的正常味，略潮，没有熟肉味。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包装：按标准部位分割外包装无破损有生产日期。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鲜鸡（鸭、鹅）类质量要求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眼球：无干缩凹陷或晶体状浑浊现象。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外表：具有其固有表皮颜色、肌肉切面有光泽、无绿、紫等异常颜色、无残羽（万其在脖、翅等处无较长细毛）、无破损、无残缺、新切面不发粘。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气味：具有其固有气味、无异味。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弹性：指压后凹陷、能恢复。</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鲜鸡类各部件质量要求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鸡爪：品质新鲜、呈白色或灰白色、无黄皮趾壳、无血污、血水、无残缺、脚趾根上无黑斑、允许有少量红斑。</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鸡翅：品质新鲜、无残羽、无黄衣、无伤斑及溃烂、无血水血污、允许有少数斑、允许剪修但最大范围不超转弯关节处。</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鸡腿：无残羽、无血水、血污、品质新鲜、无残骨无伤斑及溃烂、炎症、允许有少数红斑、外形美观。</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鸡胸肉：品质新鲜、无残羽、无血水、血污、无残骨、无伤斑、溃烂、炎症，允许有少数红斑。</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鸡肝：品质新鲜、外形完整、去胆、无寄生虫、炎症、水泡，无胆汁污染无血渍。</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鸡胗：品质新鲜、外形完整无内容物、鸡内金、腺胃、肠管及脂肪，无出血、瘀血、病变。</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鸡心：品质新鲜、褐红色，脂肪稍红，组织结实，有弹性，心房内无瘀血、病变，气味正常。</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鸡脖：品质新鲜、去劲部皮、无羽毛、无血污。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鸡头：品质新鲜、外形完整、无伤斑、无溃烂、无血污。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蹄筋：品质新鲜，无色透明，表面光亮，无油脂，无精肉，无充血现顺直、干燥。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冻禽肉质量要求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色泽：外观滋润，呈乳白或微黄色。</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外表：基本无血脉、风干现象，无白、黄绿、紫斑、无冰衣，解冻后与鲜禽特征相同。</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气味：无腐臭气味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包装：分割部件应符合标准，外包装完好、商标规格、产品说明清晰完整。</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鲜冻鱼质量要求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供应当季各类新鲜蔬菜以及大棚种植蔬菜，蔬菜类无黄叶、枯死叶，无虫，无杂质，原菜菜面干净、无明显泥土、码放整齐、无破损、大小基本统一、不得过熟或欠熟.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蔬菜质量要求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净菜须保证菜面完全干净、无泥土、按统一标准加工、码放整齐、无须二次处理可以直接进行熟加工。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水果质量要求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供应当季各类水果，无虫、无杂质。果面干净，无明显泥土，码放整齐，无破损，大小基本统一，不过熟或欠熟。</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面条米线质量要求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不含非食品用化学物质、无杂质。以小麦、大米为原料的面条、米线颜色呈白色、乳白色、奶黄色，色亮不发灰发暗。表面结构细密、光滑。软硬适中，爽口不粘牙，口感光滑，具有清香，无异味。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鸡蛋质量要求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一级清洁鸡蛋，蛋壳清洁完整，呈规则卵圆形，具有蛋壳固有的色泽，表面无肉眼可见污物，鸡蛋新鲜，蛋白浓稠、蛋黄圆润，单个鸡蛋重量58～68g。</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豆腐及豆制品质量要求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须保证食品干净，不含非食品用化学物质，按统一标准加工，码放整齐，无须二次处理可以直接进行熟加工。</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大米质量标准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符合GB/T 1354-2018中关于一级米的标准，加工精度为精碾，小碎米含量≤1.0%，不完善粒≤3.0%，带壳稗粒≤3粒/公斤，带谷粒≤4粒/公斤。</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通用面粉达GB/T 1355-2021国家标准。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面粉（含面粉配料）质量标准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高筋面粉达GB/T 8607-1988国家标准，质量等级一级；低筋面粉达GB8608-1988标准，质量等级一级。色泽正常，干爽无异味。</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食用油通用标准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供应非转基因食用油。外观的色泽、透明度、气味滋味等无异常，定型包装。</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大豆油质量标准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技术指标</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特殊准入认证要求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对实行食品质量（SC）安全市场准入制的食品，须在验收时提供 SC 认证的相关证明资料。（提供承诺函，格式自拟并加盖公章。）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bl>
    <w:p>
      <w:pPr>
        <w:pStyle w:val="3"/>
        <w:keepNext w:val="0"/>
        <w:spacing w:before="0" w:after="0" w:line="360" w:lineRule="auto"/>
        <w:rPr>
          <w:rFonts w:ascii="仿宋_GB2312" w:hAnsi="仿宋_GB2312" w:eastAsia="仿宋_GB2312" w:cs="仿宋_GB2312"/>
          <w:b/>
          <w:bCs/>
          <w:sz w:val="28"/>
          <w:szCs w:val="28"/>
        </w:rPr>
      </w:pPr>
      <w:bookmarkStart w:id="25" w:name="_Toc256000023"/>
      <w:r>
        <w:rPr>
          <w:rFonts w:ascii="仿宋_GB2312" w:hAnsi="仿宋_GB2312" w:eastAsia="仿宋_GB2312" w:cs="仿宋_GB2312"/>
          <w:i w:val="0"/>
          <w:iCs w:val="0"/>
        </w:rPr>
        <w:t>3.4服务要求</w:t>
      </w:r>
      <w:bookmarkEnd w:id="25"/>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仓储物流设施要求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租赁库房，面积不小于300平米；投标人自有或租赁冷库，吨位不小于200吨（或冷库面积不小于80平米）。能够满足按采购人需求完成配送任务，确保10个办公区同时送货。（提供产权证明或租赁合同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硬件设施要求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配送车辆要求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投标人自有或固定租赁2台以上冷藏车辆，确保24小时响应，按采购人需求完成配送任务，确保10个办公区同时送货。（自有车辆提供自有证明材料，租赁车辆提供租赁合同复印件证明。）</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猪肉供应链能力要求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具有自有、签约的猪肉屠宰、加工厂或者直销、代理、经销商资格之一。（提供相应证明材料复印件）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具有自有、签约的牛肉屠宰、加工厂或者直销、代理、经销商资格之一。（提供相应证明材料复印件）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羊肉供应链能力要求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具有自有、签约的羊肉屠宰、加工厂或者直销、代理、经销商资格之一。（提供相应证明材料复印件）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禽肉供应链能力要求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具有自有、签约的禽肉屠宰、加工厂或者直销、代理、经销商资格之一。（提供相应证明材料复印件）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水产供应链能力要求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具有自有或签约供货的水产生产工厂或者直销、代理、经销商资格之一。（提供相应证明材料复印件）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果蔬供应链能力要求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具有自有或签约供货的蔬菜、水果基地之一。（提供相应证明材料复印件）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主食供应链能力要求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具有自有、签约的大米、面粉生产基地、加工厂或者直销、代理、经销商资格之一。（提供相应证明材料复印件）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食用油供应链能力要求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具有自有或签约的食用油加工厂或者直销、代理、经销商资格之一。（提供相应证明材料复印件）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牛奶供应链能力要求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具有自有或签约的牛奶生产工厂或者直销、代理、经销商资格之一。（提供相应证明材料复印件）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蛋类供应链能力要求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具有自有或签约的蛋类生产工厂或者直销、代理、经销商资格之一。（提供相应证明材料复印件）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2022年 1月1日以来具有本项目拟配送食材的进货内容。（提供2022年1月1日以来的从上游供货商进货单或双方的合作协议或交易发票。合作协议或交易发票中应体现投标人名称。）</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简易加工能力要求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能够完成本项目采购食材的简易加工，如鲜冻禽畜肉切丝、丁、块、片；鱼类宰杀去鳃、去鳞、去内脏；蔬菜洗净削皮等。（提供承诺函，格式自拟，加盖公章。）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运输卫生要求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运输工具管理要求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规范包装要求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一般配送要求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采购人按期（日/周）向投标人发布采购内容，投标人应在送货前一个工作日与采购人核对确认采购内容无误后，在次日6点前配送至采购人指定验收地点。（提供承诺函，格式自拟，加盖公章。）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综合供应能力要求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应急配送要求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个小时内完成配送。（提供承诺函，格式自拟，加盖公章。）</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是</w:t>
            </w:r>
          </w:p>
        </w:tc>
      </w:tr>
    </w:tbl>
    <w:p>
      <w:pPr>
        <w:pStyle w:val="3"/>
        <w:keepNext w:val="0"/>
        <w:spacing w:before="0" w:after="0" w:line="360" w:lineRule="auto"/>
        <w:rPr>
          <w:rFonts w:ascii="仿宋_GB2312" w:hAnsi="仿宋_GB2312" w:eastAsia="仿宋_GB2312" w:cs="仿宋_GB2312"/>
          <w:b/>
          <w:bCs/>
          <w:sz w:val="28"/>
          <w:szCs w:val="28"/>
        </w:rPr>
      </w:pPr>
      <w:bookmarkStart w:id="26" w:name="_Toc256000024"/>
      <w:r>
        <w:rPr>
          <w:rFonts w:ascii="仿宋_GB2312" w:hAnsi="仿宋_GB2312" w:eastAsia="仿宋_GB2312" w:cs="仿宋_GB2312"/>
          <w:i w:val="0"/>
          <w:iCs w:val="0"/>
        </w:rPr>
        <w:t>3.5其他要求</w:t>
      </w:r>
      <w:bookmarkEnd w:id="26"/>
    </w:p>
    <w:p>
      <w:pPr>
        <w:pStyle w:val="12"/>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根据《政府采购货物和服务招标投标管理办法》（财政部令第87号）第六十条的规定，评标委员会认为投标人的报价明显低于其他通过符合性审查投标人的报价，有可能影响产品质量或者不能诚信履约的，应当启动异常低价投标（响应）审查程序，要求该投标人在评标现场合理的时间内提供书面说明，必要时提交相关证明材料；投标人不能证明其报价合理性的，评标委员会应当将其作为无效投标处理。</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采购产品一览表中食材数量为预估数量，在服务期中，以采购人下达的订单数量为准。采购人有权在不超过采购预算的前提下，向中标供应商下达每日具体采购订单。</w:t>
      </w:r>
    </w:p>
    <w:p>
      <w:pPr>
        <w:pStyle w:val="4"/>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sz w:val="28"/>
          <w:szCs w:val="28"/>
        </w:rPr>
        <w:t>3.5.1供应方案要求</w:t>
      </w:r>
      <w:bookmarkEnd w:id="27"/>
    </w:p>
    <w:p>
      <w:pPr>
        <w:pStyle w:val="12"/>
        <w:spacing w:before="0" w:after="0" w:line="360" w:lineRule="auto"/>
        <w:ind w:firstLine="642"/>
        <w:rPr>
          <w:rFonts w:ascii="Times New Roman" w:hAnsi="Times New Roman" w:eastAsia="Times New Roman" w:cs="Times New Roman"/>
        </w:rPr>
      </w:pPr>
      <w:r>
        <w:rPr>
          <w:rFonts w:ascii="仿宋_GB2312" w:hAnsi="仿宋_GB2312" w:eastAsia="仿宋_GB2312" w:cs="仿宋_GB2312"/>
          <w:sz w:val="28"/>
          <w:szCs w:val="28"/>
        </w:rPr>
        <w:t>1.投标人应提供质量安全把控方案。方案内容详细描述供应货物质量把控措施、检验检疫关键环节把控、不符合质量标准货品处置等内容，确保提供食材安全可靠。</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2.投标人供应以下食品的，采购人全部退货，投标人承担由此造成的一切经济责任和法律责任：</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（1）腐败变质、油脂酸败、霉变、生虫、污秽不洁、混有异物或者其他感官性状异常，对人体健康有害的；</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（2）含有毒、有害物质或者被有毒、有害物质污染，对人体健康有害的；</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（3）含有致病性寄生虫、微生物或者微生物含量超过国家限定标准的；</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（4）掺假、掺杂、伪造，影响营养、卫生的；</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（5）未经动物检疫部门检疫、检验或者检疫、检验不合格的肉类及其制品；</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（6）病死、毒死或者死因不明的禽、畜、兽等及其制品；</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（7）用非食品原料加工的，加入非食品用化学物质或者将非食品当作食品的；</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（8）超过保质期限的；</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（9）使用有色、有毒塑料制品、包装食材的；</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（10）其他不符合《食品安全法》、《和产品质量法》和《动物检疫管理办法》等相关规定的。</w:t>
      </w:r>
    </w:p>
    <w:p>
      <w:pPr>
        <w:pStyle w:val="14"/>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3.凡投标人所供应货物应为原箱包装，拆包或重组包装的应提前向采购人说明，定量包装批量误差不应超过实际标示的5%。</w:t>
      </w:r>
    </w:p>
    <w:p>
      <w:pPr>
        <w:pStyle w:val="4"/>
        <w:keepNext w:val="0"/>
        <w:spacing w:before="0" w:after="0" w:line="360" w:lineRule="auto"/>
        <w:rPr>
          <w:rFonts w:ascii="仿宋_GB2312" w:hAnsi="仿宋_GB2312" w:eastAsia="仿宋_GB2312" w:cs="仿宋_GB2312"/>
          <w:b/>
          <w:bCs/>
          <w:sz w:val="28"/>
          <w:szCs w:val="28"/>
        </w:rPr>
      </w:pPr>
      <w:bookmarkStart w:id="28" w:name="_Toc256000026"/>
      <w:r>
        <w:rPr>
          <w:rFonts w:ascii="仿宋_GB2312" w:hAnsi="仿宋_GB2312" w:eastAsia="仿宋_GB2312" w:cs="仿宋_GB2312"/>
          <w:sz w:val="28"/>
          <w:szCs w:val="28"/>
        </w:rPr>
        <w:t>3.5.2质量安全把控服务要求</w:t>
      </w:r>
      <w:bookmarkEnd w:id="28"/>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投标人应提交科学合理的供应方案。方案应包含服务团队管理措施、内部采购管理措施、储存分拣管理措施、科学合理运输措施等。</w:t>
      </w:r>
    </w:p>
    <w:p>
      <w:pPr>
        <w:pStyle w:val="2"/>
        <w:keepNext w:val="0"/>
        <w:spacing w:before="0" w:after="0" w:line="360" w:lineRule="auto"/>
        <w:jc w:val="center"/>
        <w:rPr>
          <w:rFonts w:ascii="仿宋_GB2312" w:hAnsi="仿宋_GB2312" w:eastAsia="仿宋_GB2312" w:cs="仿宋_GB2312"/>
          <w:b/>
          <w:bCs/>
          <w:sz w:val="32"/>
          <w:szCs w:val="32"/>
        </w:rPr>
      </w:pPr>
      <w:bookmarkStart w:id="29" w:name="_Toc256000027"/>
      <w:r>
        <w:rPr>
          <w:rFonts w:ascii="仿宋_GB2312" w:hAnsi="仿宋_GB2312" w:eastAsia="仿宋_GB2312" w:cs="仿宋_GB2312"/>
          <w:kern w:val="36"/>
        </w:rPr>
        <w:t>4人员要求</w:t>
      </w:r>
      <w:bookmarkEnd w:id="29"/>
    </w:p>
    <w:p>
      <w:pPr>
        <w:pStyle w:val="3"/>
        <w:keepNext w:val="0"/>
        <w:spacing w:before="0" w:after="0" w:line="360" w:lineRule="auto"/>
        <w:rPr>
          <w:rFonts w:ascii="仿宋_GB2312" w:hAnsi="仿宋_GB2312" w:eastAsia="仿宋_GB2312" w:cs="仿宋_GB2312"/>
          <w:b/>
          <w:bCs/>
          <w:sz w:val="28"/>
          <w:szCs w:val="28"/>
        </w:rPr>
      </w:pPr>
      <w:bookmarkStart w:id="30" w:name="_Toc256000028"/>
      <w:r>
        <w:rPr>
          <w:rFonts w:ascii="仿宋_GB2312" w:hAnsi="仿宋_GB2312" w:eastAsia="仿宋_GB2312" w:cs="仿宋_GB2312"/>
          <w:i w:val="0"/>
          <w:iCs w:val="0"/>
        </w:rPr>
        <w:t>4.1团队要求</w:t>
      </w:r>
      <w:bookmarkEnd w:id="30"/>
    </w:p>
    <w:p>
      <w:pPr>
        <w:pStyle w:val="4"/>
        <w:keepNext w:val="0"/>
        <w:spacing w:before="0" w:after="0" w:line="360" w:lineRule="auto"/>
        <w:rPr>
          <w:rFonts w:ascii="仿宋_GB2312" w:hAnsi="仿宋_GB2312" w:eastAsia="仿宋_GB2312" w:cs="仿宋_GB2312"/>
          <w:b/>
          <w:bCs/>
          <w:sz w:val="28"/>
          <w:szCs w:val="28"/>
        </w:rPr>
      </w:pPr>
      <w:bookmarkStart w:id="31" w:name="_Toc256000029"/>
      <w:r>
        <w:rPr>
          <w:rFonts w:ascii="仿宋_GB2312" w:hAnsi="仿宋_GB2312" w:eastAsia="仿宋_GB2312" w:cs="仿宋_GB2312"/>
          <w:sz w:val="28"/>
          <w:szCs w:val="28"/>
        </w:rPr>
        <w:t>4.1.1基本要求</w:t>
      </w:r>
      <w:bookmarkEnd w:id="31"/>
    </w:p>
    <w:p>
      <w:pPr>
        <w:pStyle w:val="14"/>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1.投标人应提供专业的管理和采购团队，团队编制和人员资质务必保证运营服务质量。提供的服务团队应保持稳定，承诺项目执行期间人员变动不超过20%。</w:t>
      </w:r>
    </w:p>
    <w:p>
      <w:pPr>
        <w:pStyle w:val="12"/>
        <w:spacing w:before="0" w:after="0" w:line="360" w:lineRule="auto"/>
        <w:ind w:firstLine="642"/>
        <w:jc w:val="both"/>
        <w:rPr>
          <w:rFonts w:ascii="Times New Roman" w:hAnsi="Times New Roman" w:eastAsia="Times New Roman" w:cs="Times New Roman"/>
        </w:rPr>
      </w:pPr>
      <w:r>
        <w:rPr>
          <w:rFonts w:ascii="仿宋_GB2312" w:hAnsi="仿宋_GB2312" w:eastAsia="仿宋_GB2312" w:cs="仿宋_GB2312"/>
          <w:sz w:val="28"/>
          <w:szCs w:val="28"/>
        </w:rPr>
        <w:t>2. 投标人服务团队须配有以下人员，出具盖有投标人公章的服务团队人员名单。</w:t>
      </w:r>
    </w:p>
    <w:p>
      <w:pPr>
        <w:pStyle w:val="12"/>
        <w:spacing w:before="0" w:after="0" w:line="360" w:lineRule="auto"/>
        <w:ind w:firstLine="642"/>
        <w:jc w:val="both"/>
        <w:rPr>
          <w:rFonts w:ascii="Times New Roman" w:hAnsi="Times New Roman" w:eastAsia="Times New Roman" w:cs="Times New Roman"/>
        </w:rPr>
      </w:pPr>
      <w:r>
        <w:rPr>
          <w:rFonts w:ascii="仿宋_GB2312" w:hAnsi="仿宋_GB2312" w:eastAsia="仿宋_GB2312" w:cs="仿宋_GB2312"/>
          <w:sz w:val="28"/>
          <w:szCs w:val="28"/>
        </w:rPr>
        <w:t>为本项目提供的服务团队中所有人员必须提供缴纳社保证明材料，除会计外必须具有从业人员健康证明，否则</w:t>
      </w:r>
      <w:r>
        <w:rPr>
          <w:rFonts w:ascii="仿宋_GB2312" w:hAnsi="仿宋_GB2312" w:eastAsia="仿宋_GB2312" w:cs="仿宋_GB2312"/>
          <w:b/>
          <w:bCs/>
          <w:sz w:val="28"/>
          <w:szCs w:val="28"/>
        </w:rPr>
        <w:t>不予认可。</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（1）经理1人，具有5年以上食材供应项目管理工作经验。</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（2）供应业务员2人，具有3年及以上食材供应项目工作经验。</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（3）食品安全管理员1人，具有3年及以上食品安全管理工作经验。</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（4）采购员2人，具有3年及以上食材采购工作经验。</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（5）配送司机2名，具有3年以上相关工作经验。</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以上人员在服务过程中应热情服务、遵规守法，具备较强的沟通能力和临时紧急配送调换的处置能力。</w:t>
      </w:r>
    </w:p>
    <w:p>
      <w:pPr>
        <w:pStyle w:val="2"/>
        <w:keepNext w:val="0"/>
        <w:spacing w:before="0" w:after="0" w:line="360" w:lineRule="auto"/>
        <w:jc w:val="center"/>
        <w:rPr>
          <w:rFonts w:ascii="仿宋_GB2312" w:hAnsi="仿宋_GB2312" w:eastAsia="仿宋_GB2312" w:cs="仿宋_GB2312"/>
          <w:b/>
          <w:bCs/>
          <w:sz w:val="32"/>
          <w:szCs w:val="32"/>
        </w:rPr>
      </w:pPr>
      <w:bookmarkStart w:id="32" w:name="_Toc256000030"/>
      <w:r>
        <w:rPr>
          <w:rFonts w:ascii="仿宋_GB2312" w:hAnsi="仿宋_GB2312" w:eastAsia="仿宋_GB2312" w:cs="仿宋_GB2312"/>
          <w:kern w:val="36"/>
        </w:rPr>
        <w:t>5管理实施要求</w:t>
      </w:r>
      <w:bookmarkEnd w:id="32"/>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建立成熟完善的透明化责任体系,明确经理、供应业务员、食品安全管理员、采购员、司机等各岗位工作职责，制定岗位工作说明，确保制度能有效运转。</w:t>
      </w:r>
    </w:p>
    <w:p>
      <w:pPr>
        <w:pStyle w:val="2"/>
        <w:keepNext w:val="0"/>
        <w:spacing w:before="0" w:after="0" w:line="360" w:lineRule="auto"/>
        <w:jc w:val="center"/>
        <w:rPr>
          <w:rFonts w:ascii="仿宋_GB2312" w:hAnsi="仿宋_GB2312" w:eastAsia="仿宋_GB2312" w:cs="仿宋_GB2312"/>
          <w:b/>
          <w:bCs/>
          <w:sz w:val="32"/>
          <w:szCs w:val="32"/>
        </w:rPr>
      </w:pPr>
      <w:bookmarkStart w:id="33" w:name="_Toc256000031"/>
      <w:r>
        <w:rPr>
          <w:rFonts w:ascii="仿宋_GB2312" w:hAnsi="仿宋_GB2312" w:eastAsia="仿宋_GB2312" w:cs="仿宋_GB2312"/>
          <w:kern w:val="36"/>
        </w:rPr>
        <w:t>6风险管控要求</w:t>
      </w:r>
      <w:bookmarkEnd w:id="33"/>
    </w:p>
    <w:p>
      <w:pPr>
        <w:pStyle w:val="12"/>
        <w:spacing w:before="0" w:after="0" w:line="360" w:lineRule="auto"/>
        <w:ind w:firstLine="642"/>
        <w:rPr>
          <w:rFonts w:ascii="Times New Roman" w:hAnsi="Times New Roman" w:eastAsia="Times New Roman" w:cs="Times New Roman"/>
        </w:rPr>
      </w:pPr>
      <w:r>
        <w:rPr>
          <w:rFonts w:ascii="仿宋_GB2312" w:hAnsi="仿宋_GB2312" w:eastAsia="仿宋_GB2312" w:cs="仿宋_GB2312"/>
          <w:b/>
          <w:bCs/>
          <w:sz w:val="28"/>
          <w:szCs w:val="28"/>
        </w:rPr>
        <w:t>（一）应急保障方案要求</w:t>
      </w:r>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投标人应提供在自然灾害、极端事件、市场关闭、物资紧缺等突发紧急情况下拟采取的应急保障方案，包括充分供应、按时保障、质量管控等措施，确保采购人食材及时供应不间断。</w:t>
      </w:r>
    </w:p>
    <w:p>
      <w:pPr>
        <w:pStyle w:val="14"/>
        <w:spacing w:before="0" w:after="0" w:line="360" w:lineRule="auto"/>
        <w:ind w:firstLine="480"/>
        <w:rPr>
          <w:rFonts w:ascii="Times New Roman" w:hAnsi="Times New Roman" w:eastAsia="Times New Roman" w:cs="Times New Roman"/>
        </w:rPr>
      </w:pPr>
      <w:r>
        <w:rPr>
          <w:rFonts w:ascii="仿宋_GB2312" w:hAnsi="仿宋_GB2312" w:eastAsia="仿宋_GB2312" w:cs="仿宋_GB2312"/>
          <w:b/>
          <w:bCs/>
          <w:sz w:val="28"/>
          <w:szCs w:val="28"/>
        </w:rPr>
        <w:t>（二）违约风险管控要求</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1.投标人中标后采用先送货后结账的模式，不收取履约保证金。有下列情形之一的，采购人有权按照以下约定及合同违约相关条款处理：</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（1）因投标人配送不及时导致采购人供餐延误并造成重大影响的；</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（2）凡经相关部门认定，因投标人所提供的原料原因造成采购人食堂出现食物中毒等卫生安全事故的，投标人除必须承担全部的法律责任外，还要全额承担因食物中毒发生所造成后果的一切费用；</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（3）除不可抗力及采购人原因外，因投标人配送不及时导致采购人伙食供应延时，但经投标人采取补救措施未造成采购人不良影响的，出现三次终止供货合同；</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（4）凡投标人向采购人提供产品发生质量问题影响食用，并拒绝退换的；</w:t>
      </w:r>
    </w:p>
    <w:p>
      <w:pPr>
        <w:pStyle w:val="16"/>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（5）采购人将不定期组织专人对食材进行抽检，若发现质量不符，采购人有权要求予以退换货。</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2.投标人有下列情形之一的，采购人有权解除合同，由投标人承担全部经济损失和相关责任：</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（1）投标人以书面、微信、短信等方式通知采购人不再供货，包括对部分食材不再供货；</w:t>
      </w:r>
    </w:p>
    <w:p>
      <w:pPr>
        <w:pStyle w:val="15"/>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（2）投标人虽未通知采购人不再供货，但1天没有供应采购人采购的货物，包括对部分食材没有供货；</w:t>
      </w:r>
    </w:p>
    <w:p>
      <w:pPr>
        <w:pStyle w:val="17"/>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（3）投标人未经采购人同意单方面提价的；</w:t>
      </w:r>
    </w:p>
    <w:p>
      <w:pPr>
        <w:pStyle w:val="17"/>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（4）数量不足、对货不对版、价格明显偏高，以上情况出现三次以上终止合同。</w:t>
      </w:r>
    </w:p>
    <w:p>
      <w:pPr>
        <w:pStyle w:val="2"/>
        <w:keepNext w:val="0"/>
        <w:spacing w:before="0" w:after="0" w:line="360" w:lineRule="auto"/>
        <w:jc w:val="center"/>
        <w:rPr>
          <w:rFonts w:ascii="仿宋_GB2312" w:hAnsi="仿宋_GB2312" w:eastAsia="仿宋_GB2312" w:cs="仿宋_GB2312"/>
          <w:b/>
          <w:bCs/>
          <w:sz w:val="32"/>
          <w:szCs w:val="32"/>
        </w:rPr>
      </w:pPr>
      <w:bookmarkStart w:id="34" w:name="_Toc256000032"/>
      <w:r>
        <w:rPr>
          <w:rFonts w:ascii="仿宋_GB2312" w:hAnsi="仿宋_GB2312" w:eastAsia="仿宋_GB2312" w:cs="仿宋_GB2312"/>
          <w:kern w:val="36"/>
        </w:rPr>
        <w:t>7履约验收要求</w:t>
      </w:r>
      <w:bookmarkEnd w:id="34"/>
    </w:p>
    <w:p>
      <w:pPr>
        <w:pStyle w:val="3"/>
        <w:keepNext w:val="0"/>
        <w:spacing w:before="0" w:after="0" w:line="360" w:lineRule="auto"/>
        <w:rPr>
          <w:rFonts w:ascii="仿宋_GB2312" w:hAnsi="仿宋_GB2312" w:eastAsia="仿宋_GB2312" w:cs="仿宋_GB2312"/>
          <w:b/>
          <w:bCs/>
          <w:sz w:val="28"/>
          <w:szCs w:val="28"/>
        </w:rPr>
      </w:pPr>
      <w:bookmarkStart w:id="35" w:name="_Toc256000033"/>
      <w:r>
        <w:rPr>
          <w:rFonts w:ascii="仿宋_GB2312" w:hAnsi="仿宋_GB2312" w:eastAsia="仿宋_GB2312" w:cs="仿宋_GB2312"/>
          <w:i w:val="0"/>
          <w:iCs w:val="0"/>
        </w:rPr>
        <w:t>7.1总体要求</w:t>
      </w:r>
      <w:bookmarkEnd w:id="35"/>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（一）总体要求</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2.验收时间和地点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（1）验收时间：到货当天。</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（2）验收地点：局机关验收地点为武清区税务局食堂（武清区泉州北路21号）；各税务所验收地点为各所食堂。</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（3）验收组织形式：采购人组织验收。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（4）验收方式：现场验收。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（5）验收内容: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（6）质量是否符合约定标准；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（7）重量、数量、价格是否与采购人的预定需求一致。</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（二）具体要求</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1.验收场所的准备</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应当在固定的场所进行验收，采购人定期清扫消毒，保持清洁，保证无积尘、无食品残渣，无霉斑、鼠迹、苍蝇、蟑螂，验收场所不准存放有毒、有害物品及个人生活用品。</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2.验收小组按订单对采购货物的品种、质量、数量进行检查验收，对货不对版、质量不好、价格明显过于偏高的食材不予验收，对于数量不足的食材，按照实际数量入账，填制验收记录和验收单。</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3.验收流程</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（1）投标人应在验收时提供与送货内容一致的送货单，并加盖公章。</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（2）卸货前的检查。验收人员卸货前应对货物的外观质量进行初步了解。</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（3）采取当场验收的方式，验收人认真检查货物，按核对品种→索证→抽查(检测）→数量、重量、质量、价格验收→签名确认→入库的程序完成验收。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要求投标人提供产品质量检测报告及卫生合格报告书，蔬菜类应提供农药残留检测结果，证明内容与产品内容要一致。投标人以提供原件为主，不能留原件的提供复印件。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（4）发现食品质量安全问题的处理：</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抽查时发现食品质量不过关或影响食用安全的，对当日所送同批次产品全部退货。</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若抽查未发现问题，按储藏要求储藏后在加工食用前发现产品质量问题的，投标人必须退货或更换。</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4.退（补）货流程</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5.鲜活鱼类需进行宰杀处理，如去麟去腮去内脏等，净膛的统一按0.8的出成率计算净膛价。</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6.部分蔬菜需进行简易处理，如去皮摘叶摘筋等，统一按0.85的出成率计算净菜价。</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7.包装带箱、筐的食材按照去除箱、筐后的重量计算。投标人需配合采购人库管人员进行倒筐称重，共同签字确认。</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（三）货物验收方案。</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投标人必须按照本项目需求书要求详细阐述货物验收方案。对规定各项验收指标提出明确的验收前提条件和验收依据及标准，列明需要移交和交付的各类检验报告和证明证书。对验收中可能发现的问题，投标人应提出有效解决办法和补救措施。</w:t>
            </w:r>
          </w:p>
        </w:tc>
      </w:tr>
    </w:tbl>
    <w:p>
      <w:pPr>
        <w:pStyle w:val="3"/>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i w:val="0"/>
          <w:iCs w:val="0"/>
        </w:rPr>
        <w:t>7.2具体要求</w:t>
      </w:r>
      <w:bookmarkEnd w:id="36"/>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1.验收场所的准备</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应当在固定的场所进行验收，采购人定期清扫消毒，保持清洁，保证无积尘、无食品残渣，无霉斑、鼠迹、苍蝇、蟑螂，验收场所不准存放有毒、有害物品及个人生活用品。</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2.验收小组按订单对采购货物的品种、质量、数量进行检查验收，对货不对版、质量不好、价格明显过于偏高的食材不予验收，对于数量不足的食材，按照实际数量入账，填制验收记录和验收单。</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3.验收流程</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（1）投标人应在验收时提供与送货内容一致的送货单，并加盖公章。</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（2）卸货前的检查。验收人员卸货前应对货物的外观质量进行初步了解。</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（3）采取当场验收的方式，验收人认真检查货物，按核对品种→索证→抽查(如若产生检测费用由投标人承担）→数量、重量、质量、价格验收→签名确认→入库的程序完成验收。</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要求投标人提供产品质量检测报告及卫生合格报告书，蔬菜类应提供农药残留检测结果，肉类产品应提供当地卫生部门开具的动物检验检疫合格票、产品检疫合格证，证明内容与产品内容要一致。投标人以提供原件为主，不能留原件的提供复印件。</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（4）发现食品质量安全问题的处理：</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抽查时发现食品质量不过关或影响食用安全的，对当日所送同批次产品全部退货。</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若抽查未发现问题，按储藏要求储藏后在加工食用前发现产品质量问题的，投标人必须退货或更换。</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4.退（补）货流程</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5.鲜活鱼类需进行宰杀处理，如去麟去腮去内脏等，净膛的统一按0.8的出成率计算净膛价。</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6.部分蔬菜需进行简易处理，如去皮摘叶摘筋等，统一按0.85的出成率计算净菜价。</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7.包装带箱、筐的食材按照去除箱、筐后的重量计算。投标人需配合采购人库管人员进行倒筐称重，共同签字确认。</w:t>
      </w:r>
    </w:p>
    <w:p>
      <w:pPr>
        <w:pStyle w:val="2"/>
        <w:keepNext w:val="0"/>
        <w:spacing w:before="0" w:after="0" w:line="360" w:lineRule="auto"/>
        <w:jc w:val="center"/>
        <w:rPr>
          <w:rFonts w:ascii="仿宋_GB2312" w:hAnsi="仿宋_GB2312" w:eastAsia="仿宋_GB2312" w:cs="仿宋_GB2312"/>
          <w:b/>
          <w:bCs/>
          <w:sz w:val="32"/>
          <w:szCs w:val="32"/>
        </w:rPr>
      </w:pPr>
      <w:bookmarkStart w:id="37" w:name="_Toc256000035"/>
      <w:r>
        <w:rPr>
          <w:rFonts w:ascii="仿宋_GB2312" w:hAnsi="仿宋_GB2312" w:eastAsia="仿宋_GB2312" w:cs="仿宋_GB2312"/>
          <w:kern w:val="36"/>
        </w:rPr>
        <w:t>8其他要求</w:t>
      </w:r>
      <w:bookmarkEnd w:id="37"/>
    </w:p>
    <w:p>
      <w:pPr>
        <w:pStyle w:val="3"/>
        <w:keepNext w:val="0"/>
        <w:spacing w:before="0" w:after="0" w:line="360" w:lineRule="auto"/>
        <w:rPr>
          <w:rFonts w:ascii="仿宋_GB2312" w:hAnsi="仿宋_GB2312" w:eastAsia="仿宋_GB2312" w:cs="仿宋_GB2312"/>
          <w:b/>
          <w:bCs/>
          <w:sz w:val="28"/>
          <w:szCs w:val="28"/>
        </w:rPr>
      </w:pPr>
      <w:bookmarkStart w:id="38" w:name="_Toc256000036"/>
      <w:r>
        <w:rPr>
          <w:rFonts w:ascii="仿宋_GB2312" w:hAnsi="仿宋_GB2312" w:eastAsia="仿宋_GB2312" w:cs="仿宋_GB2312"/>
          <w:i w:val="0"/>
          <w:iCs w:val="0"/>
        </w:rPr>
        <w:t>8.1定价和结算要求</w:t>
      </w:r>
      <w:bookmarkEnd w:id="38"/>
    </w:p>
    <w:p>
      <w:pPr>
        <w:pStyle w:val="14"/>
        <w:spacing w:before="0" w:after="0" w:line="360" w:lineRule="auto"/>
        <w:ind w:firstLine="480"/>
        <w:jc w:val="both"/>
        <w:rPr>
          <w:rFonts w:ascii="Times New Roman" w:hAnsi="Times New Roman" w:eastAsia="Times New Roman" w:cs="Times New Roman"/>
        </w:rPr>
      </w:pPr>
      <w:r>
        <w:rPr>
          <w:sz w:val="28"/>
          <w:szCs w:val="28"/>
        </w:rPr>
        <w:t>1. </w:t>
      </w:r>
      <w:r>
        <w:rPr>
          <w:rFonts w:ascii="仿宋_GB2312" w:hAnsi="仿宋_GB2312" w:eastAsia="仿宋_GB2312" w:cs="仿宋_GB2312"/>
          <w:sz w:val="28"/>
          <w:szCs w:val="28"/>
        </w:rPr>
        <w:t>投标价格应包括：人员费用、食材费用、配送费用、运输保险费用、装卸费用、管理费、利润税金等为完成招标文件规定的一切工作所需的全部费用。</w:t>
      </w:r>
    </w:p>
    <w:p>
      <w:pPr>
        <w:pStyle w:val="14"/>
        <w:spacing w:before="0" w:after="0" w:line="360" w:lineRule="auto"/>
        <w:ind w:firstLine="480"/>
        <w:jc w:val="both"/>
        <w:rPr>
          <w:rFonts w:ascii="Times New Roman" w:hAnsi="Times New Roman" w:eastAsia="Times New Roman" w:cs="Times New Roman"/>
        </w:rPr>
      </w:pPr>
      <w:r>
        <w:rPr>
          <w:sz w:val="28"/>
          <w:szCs w:val="28"/>
        </w:rPr>
        <w:t>2. </w:t>
      </w:r>
      <w:r>
        <w:rPr>
          <w:rFonts w:ascii="仿宋_GB2312" w:hAnsi="仿宋_GB2312" w:eastAsia="仿宋_GB2312" w:cs="仿宋_GB2312"/>
          <w:sz w:val="28"/>
          <w:szCs w:val="28"/>
        </w:rPr>
        <w:t>投标报价规则：</w:t>
      </w:r>
    </w:p>
    <w:p>
      <w:pPr>
        <w:pStyle w:val="14"/>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w:t>
      </w:r>
      <w:r>
        <w:rPr>
          <w:sz w:val="28"/>
          <w:szCs w:val="28"/>
        </w:rPr>
        <w:t>1</w:t>
      </w:r>
      <w:r>
        <w:rPr>
          <w:rFonts w:ascii="仿宋_GB2312" w:hAnsi="仿宋_GB2312" w:eastAsia="仿宋_GB2312" w:cs="仿宋_GB2312"/>
          <w:sz w:val="28"/>
          <w:szCs w:val="28"/>
        </w:rPr>
        <w:t>）投标报价以费率填列。</w:t>
      </w:r>
    </w:p>
    <w:p>
      <w:pPr>
        <w:pStyle w:val="14"/>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w:t>
      </w:r>
      <w:r>
        <w:rPr>
          <w:sz w:val="28"/>
          <w:szCs w:val="28"/>
        </w:rPr>
        <w:t>2</w:t>
      </w:r>
      <w:r>
        <w:rPr>
          <w:rFonts w:ascii="仿宋_GB2312" w:hAnsi="仿宋_GB2312" w:eastAsia="仿宋_GB2312" w:cs="仿宋_GB2312"/>
          <w:sz w:val="28"/>
          <w:szCs w:val="28"/>
        </w:rPr>
        <w:t>）在服务期内，采购人有权在不超过采购预算的前提下，向中标供应商下达每日具体采购订单。</w:t>
      </w:r>
    </w:p>
    <w:p>
      <w:pPr>
        <w:pStyle w:val="14"/>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w:t>
      </w:r>
      <w:r>
        <w:rPr>
          <w:sz w:val="28"/>
          <w:szCs w:val="28"/>
        </w:rPr>
        <w:t>3</w:t>
      </w:r>
      <w:r>
        <w:rPr>
          <w:rFonts w:ascii="仿宋_GB2312" w:hAnsi="仿宋_GB2312" w:eastAsia="仿宋_GB2312" w:cs="仿宋_GB2312"/>
          <w:sz w:val="28"/>
          <w:szCs w:val="28"/>
        </w:rPr>
        <w:t>）按以下原则确定结算价格</w:t>
      </w:r>
    </w:p>
    <w:p>
      <w:pPr>
        <w:pStyle w:val="14"/>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结算价格</w:t>
      </w:r>
      <w:r>
        <w:rPr>
          <w:sz w:val="28"/>
          <w:szCs w:val="28"/>
        </w:rPr>
        <w:t>=</w:t>
      </w:r>
      <w:r>
        <w:rPr>
          <w:rFonts w:ascii="仿宋_GB2312" w:hAnsi="仿宋_GB2312" w:eastAsia="仿宋_GB2312" w:cs="仿宋_GB2312"/>
          <w:sz w:val="28"/>
          <w:szCs w:val="28"/>
        </w:rPr>
        <w:t>中标供应商所报费率×基础价格</w:t>
      </w:r>
      <w:r>
        <w:rPr>
          <w:sz w:val="28"/>
          <w:szCs w:val="28"/>
        </w:rPr>
        <w:t>A</w:t>
      </w:r>
      <w:r>
        <w:rPr>
          <w:rFonts w:ascii="仿宋_GB2312" w:hAnsi="仿宋_GB2312" w:eastAsia="仿宋_GB2312" w:cs="仿宋_GB2312"/>
          <w:sz w:val="28"/>
          <w:szCs w:val="28"/>
        </w:rPr>
        <w:t>×</w:t>
      </w:r>
      <w:r>
        <w:rPr>
          <w:sz w:val="28"/>
          <w:szCs w:val="28"/>
        </w:rPr>
        <w:t>1.1</w:t>
      </w:r>
      <w:r>
        <w:rPr>
          <w:rFonts w:ascii="仿宋_GB2312" w:hAnsi="仿宋_GB2312" w:eastAsia="仿宋_GB2312" w:cs="仿宋_GB2312"/>
          <w:sz w:val="28"/>
          <w:szCs w:val="28"/>
        </w:rPr>
        <w:t>。</w:t>
      </w:r>
    </w:p>
    <w:p>
      <w:pPr>
        <w:pStyle w:val="14"/>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结算价格</w:t>
      </w:r>
      <w:r>
        <w:rPr>
          <w:sz w:val="28"/>
          <w:szCs w:val="28"/>
        </w:rPr>
        <w:t>=</w:t>
      </w:r>
      <w:r>
        <w:rPr>
          <w:rFonts w:ascii="仿宋_GB2312" w:hAnsi="仿宋_GB2312" w:eastAsia="仿宋_GB2312" w:cs="仿宋_GB2312"/>
          <w:sz w:val="28"/>
          <w:szCs w:val="28"/>
        </w:rPr>
        <w:t>中标供应商所报费率×基础价格</w:t>
      </w:r>
      <w:r>
        <w:rPr>
          <w:sz w:val="28"/>
          <w:szCs w:val="28"/>
        </w:rPr>
        <w:t>B</w:t>
      </w:r>
      <w:r>
        <w:rPr>
          <w:rFonts w:ascii="仿宋_GB2312" w:hAnsi="仿宋_GB2312" w:eastAsia="仿宋_GB2312" w:cs="仿宋_GB2312"/>
          <w:sz w:val="28"/>
          <w:szCs w:val="28"/>
        </w:rPr>
        <w:t>×</w:t>
      </w:r>
      <w:r>
        <w:rPr>
          <w:sz w:val="28"/>
          <w:szCs w:val="28"/>
        </w:rPr>
        <w:t>1.0</w:t>
      </w:r>
    </w:p>
    <w:p>
      <w:pPr>
        <w:pStyle w:val="14"/>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费率=投标总价/预算金额</w:t>
      </w:r>
    </w:p>
    <w:p>
      <w:pPr>
        <w:pStyle w:val="12"/>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基础价格A：依次参照“全国农产品批发市场价格信息系统（https://pfsc.argi.cn/portal-app/#/indexpage）”食材配送当日发布的北京新发地农副产品批发市场信息中心、天津市金钟河蔬菜贸易中心、天津韩家墅海吉星农产品批发市场同等食材的“大宗价”确定为“基础价格A”，定价单位为500克。基础价格为配送食材当日价格。</w:t>
      </w:r>
    </w:p>
    <w:p>
      <w:pPr>
        <w:pStyle w:val="12"/>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基础价格B：当</w:t>
      </w:r>
      <w:r>
        <w:rPr>
          <w:rFonts w:ascii="仿宋_GB2312" w:hAnsi="仿宋_GB2312" w:eastAsia="仿宋_GB2312" w:cs="仿宋_GB2312"/>
        </w:rPr>
        <w:t>“</w:t>
      </w:r>
      <w:r>
        <w:rPr>
          <w:rFonts w:ascii="仿宋_GB2312" w:hAnsi="仿宋_GB2312" w:eastAsia="仿宋_GB2312" w:cs="仿宋_GB2312"/>
          <w:sz w:val="28"/>
          <w:szCs w:val="28"/>
        </w:rPr>
        <w:t>全国农产品批发市场价格信息系统”上述3个市场中没有列明所采购食材的大宗价格时，依次食材配送当日参照武清区永辉超市、武清区家乐超市、华润万家超市同等食材价格确定为“基础价格B”，定价单位为500克。零售商品有多个规格的，以最大规格的每500克价格为定价依据。基础价格为配送食材当日价格。</w:t>
      </w:r>
    </w:p>
    <w:p>
      <w:pPr>
        <w:pStyle w:val="12"/>
        <w:spacing w:before="0" w:after="0" w:line="360" w:lineRule="auto"/>
        <w:ind w:firstLine="640"/>
        <w:textAlignment w:val="baseline"/>
        <w:rPr>
          <w:rFonts w:ascii="Times New Roman" w:hAnsi="Times New Roman" w:eastAsia="Times New Roman" w:cs="Times New Roman"/>
        </w:rPr>
      </w:pPr>
      <w:r>
        <w:rPr>
          <w:rFonts w:ascii="仿宋_GB2312" w:hAnsi="仿宋_GB2312" w:eastAsia="仿宋_GB2312" w:cs="仿宋_GB2312"/>
          <w:sz w:val="28"/>
          <w:szCs w:val="28"/>
        </w:rPr>
        <w:t>所报费率＞100%，视为无效投标。</w:t>
      </w:r>
    </w:p>
    <w:p>
      <w:pPr>
        <w:pStyle w:val="12"/>
        <w:spacing w:before="0" w:after="0" w:line="360" w:lineRule="auto"/>
        <w:ind w:firstLine="640"/>
        <w:textAlignment w:val="baseline"/>
        <w:rPr>
          <w:rFonts w:ascii="Times New Roman" w:hAnsi="Times New Roman" w:eastAsia="Times New Roman" w:cs="Times New Roman"/>
        </w:rPr>
      </w:pPr>
      <w:r>
        <w:rPr>
          <w:rFonts w:ascii="Times New Roman" w:hAnsi="Times New Roman" w:eastAsia="Times New Roman" w:cs="Times New Roman"/>
        </w:rPr>
        <w:t> </w:t>
      </w:r>
    </w:p>
    <w:p>
      <w:pPr>
        <w:pStyle w:val="3"/>
        <w:keepNext w:val="0"/>
        <w:spacing w:before="0" w:after="0" w:line="360" w:lineRule="auto"/>
        <w:rPr>
          <w:rFonts w:ascii="仿宋_GB2312" w:hAnsi="仿宋_GB2312" w:eastAsia="仿宋_GB2312" w:cs="仿宋_GB2312"/>
          <w:b/>
          <w:bCs/>
          <w:sz w:val="28"/>
          <w:szCs w:val="28"/>
        </w:rPr>
      </w:pPr>
      <w:bookmarkStart w:id="39" w:name="_Toc256000037"/>
      <w:r>
        <w:rPr>
          <w:rFonts w:ascii="仿宋_GB2312" w:hAnsi="仿宋_GB2312" w:eastAsia="仿宋_GB2312" w:cs="仿宋_GB2312"/>
          <w:i w:val="0"/>
          <w:iCs w:val="0"/>
        </w:rPr>
        <w:t>8.2必备要求</w:t>
      </w:r>
      <w:bookmarkEnd w:id="39"/>
    </w:p>
    <w:p>
      <w:pPr>
        <w:pStyle w:val="4"/>
        <w:keepNext w:val="0"/>
        <w:spacing w:before="0" w:after="0" w:line="360" w:lineRule="auto"/>
        <w:rPr>
          <w:rFonts w:ascii="仿宋_GB2312" w:hAnsi="仿宋_GB2312" w:eastAsia="仿宋_GB2312" w:cs="仿宋_GB2312"/>
          <w:b/>
          <w:bCs/>
          <w:sz w:val="28"/>
          <w:szCs w:val="28"/>
        </w:rPr>
      </w:pPr>
      <w:bookmarkStart w:id="40" w:name="_Toc256000038"/>
      <w:r>
        <w:rPr>
          <w:rFonts w:ascii="仿宋_GB2312" w:hAnsi="仿宋_GB2312" w:eastAsia="仿宋_GB2312" w:cs="仿宋_GB2312"/>
          <w:sz w:val="28"/>
          <w:szCs w:val="28"/>
        </w:rPr>
        <w:t>8.2.1通用必备要求</w:t>
      </w:r>
      <w:bookmarkEnd w:id="4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13"/>
        <w:spacing w:before="0" w:after="0" w:line="360" w:lineRule="auto"/>
        <w:ind w:firstLine="561"/>
        <w:rPr>
          <w:rFonts w:ascii="Times New Roman" w:hAnsi="Times New Roman" w:eastAsia="Times New Roman" w:cs="Times New Roman"/>
        </w:rPr>
      </w:pPr>
      <w:r>
        <w:rPr>
          <w:rFonts w:ascii="Times New Roman" w:hAnsi="Times New Roman" w:eastAsia="Times New Roman" w:cs="Times New Roman"/>
        </w:rPr>
        <w:t> </w:t>
      </w:r>
    </w:p>
    <w:p>
      <w:pPr>
        <w:pStyle w:val="14"/>
        <w:spacing w:before="0" w:after="0" w:line="360" w:lineRule="auto"/>
        <w:ind w:firstLine="480"/>
        <w:jc w:val="both"/>
        <w:rPr>
          <w:rFonts w:ascii="FangSong_GB2312" w:hAnsi="FangSong_GB2312" w:eastAsia="FangSong_GB2312" w:cs="FangSong_GB2312"/>
          <w:sz w:val="28"/>
          <w:szCs w:val="28"/>
        </w:rPr>
      </w:pPr>
      <w:r>
        <w:rPr>
          <w:rFonts w:ascii="FangSong_GB2312" w:hAnsi="FangSong_GB2312" w:eastAsia="FangSong_GB2312" w:cs="FangSong_GB2312"/>
          <w:sz w:val="28"/>
          <w:szCs w:val="28"/>
        </w:rPr>
        <w:t> </w:t>
      </w:r>
    </w:p>
    <w:p>
      <w:pPr>
        <w:pStyle w:val="3"/>
        <w:keepNext w:val="0"/>
        <w:spacing w:before="0" w:after="0" w:line="360" w:lineRule="auto"/>
        <w:rPr>
          <w:rFonts w:ascii="仿宋_GB2312" w:hAnsi="仿宋_GB2312" w:eastAsia="仿宋_GB2312" w:cs="仿宋_GB2312"/>
          <w:b/>
          <w:bCs/>
          <w:sz w:val="28"/>
          <w:szCs w:val="28"/>
        </w:rPr>
      </w:pPr>
      <w:bookmarkStart w:id="41" w:name="_Toc256000039"/>
      <w:r>
        <w:rPr>
          <w:rFonts w:ascii="仿宋_GB2312" w:hAnsi="仿宋_GB2312" w:eastAsia="仿宋_GB2312" w:cs="仿宋_GB2312"/>
          <w:i w:val="0"/>
          <w:iCs w:val="0"/>
        </w:rPr>
        <w:t>8.3付款安排建议</w:t>
      </w:r>
      <w:bookmarkEnd w:id="41"/>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8.7</w:t>
            </w:r>
          </w:p>
        </w:tc>
      </w:tr>
    </w:tbl>
    <w:p>
      <w:pPr>
        <w:pStyle w:val="3"/>
        <w:keepNext w:val="0"/>
        <w:spacing w:before="0" w:after="0" w:line="360" w:lineRule="auto"/>
        <w:rPr>
          <w:rFonts w:ascii="仿宋_GB2312" w:hAnsi="仿宋_GB2312" w:eastAsia="仿宋_GB2312" w:cs="仿宋_GB2312"/>
          <w:b/>
          <w:bCs/>
          <w:sz w:val="28"/>
          <w:szCs w:val="28"/>
        </w:rPr>
      </w:pPr>
      <w:bookmarkStart w:id="42" w:name="_Toc256000040"/>
      <w:r>
        <w:rPr>
          <w:rFonts w:ascii="仿宋_GB2312" w:hAnsi="仿宋_GB2312" w:eastAsia="仿宋_GB2312" w:cs="仿宋_GB2312"/>
          <w:i w:val="0"/>
          <w:iCs w:val="0"/>
        </w:rPr>
        <w:t>8.4其他要求</w:t>
      </w:r>
      <w:bookmarkEnd w:id="42"/>
    </w:p>
    <w:p>
      <w:pPr>
        <w:pStyle w:val="4"/>
        <w:keepNext w:val="0"/>
        <w:spacing w:before="0" w:after="0" w:line="360" w:lineRule="auto"/>
        <w:rPr>
          <w:rFonts w:ascii="仿宋_GB2312" w:hAnsi="仿宋_GB2312" w:eastAsia="仿宋_GB2312" w:cs="仿宋_GB2312"/>
          <w:b/>
          <w:bCs/>
          <w:sz w:val="28"/>
          <w:szCs w:val="28"/>
        </w:rPr>
      </w:pPr>
      <w:bookmarkStart w:id="43" w:name="_Toc256000041"/>
      <w:r>
        <w:rPr>
          <w:rFonts w:ascii="仿宋_GB2312" w:hAnsi="仿宋_GB2312" w:eastAsia="仿宋_GB2312" w:cs="仿宋_GB2312"/>
          <w:sz w:val="28"/>
          <w:szCs w:val="28"/>
        </w:rPr>
        <w:t>8.4.1保密要求</w:t>
      </w:r>
      <w:bookmarkEnd w:id="43"/>
    </w:p>
    <w:p>
      <w:pPr>
        <w:pStyle w:val="12"/>
        <w:spacing w:before="0" w:after="0" w:line="360" w:lineRule="auto"/>
        <w:ind w:firstLine="513"/>
        <w:jc w:val="both"/>
        <w:rPr>
          <w:rFonts w:ascii="Times New Roman" w:hAnsi="Times New Roman" w:eastAsia="Times New Roman" w:cs="Times New Roman"/>
        </w:rPr>
      </w:pPr>
      <w:r>
        <w:rPr>
          <w:rFonts w:ascii="仿宋_GB2312" w:hAnsi="仿宋_GB2312" w:eastAsia="仿宋_GB2312" w:cs="仿宋_GB2312"/>
          <w:sz w:val="28"/>
          <w:szCs w:val="28"/>
        </w:rPr>
        <w:t>中标供应商应提供遵守国家税务总局天津市武清区税务局相关安全保密制度规定的承诺函，并签订保密协议。若中标供应商服务人员违反信息安全保密制度相关规定，对税务机关造成利益损害的，中标供应商应承担相关法律责任。</w:t>
      </w:r>
    </w:p>
    <w:p>
      <w:pPr>
        <w:pStyle w:val="4"/>
        <w:keepNext w:val="0"/>
        <w:spacing w:before="0" w:after="0" w:line="360" w:lineRule="auto"/>
        <w:rPr>
          <w:rFonts w:ascii="仿宋_GB2312" w:hAnsi="仿宋_GB2312" w:eastAsia="仿宋_GB2312" w:cs="仿宋_GB2312"/>
          <w:b/>
          <w:bCs/>
          <w:sz w:val="28"/>
          <w:szCs w:val="28"/>
        </w:rPr>
      </w:pPr>
      <w:bookmarkStart w:id="44" w:name="_Toc256000042"/>
      <w:r>
        <w:rPr>
          <w:rFonts w:ascii="仿宋_GB2312" w:hAnsi="仿宋_GB2312" w:eastAsia="仿宋_GB2312" w:cs="仿宋_GB2312"/>
          <w:sz w:val="28"/>
          <w:szCs w:val="28"/>
        </w:rPr>
        <w:t>8.4.2知识产权要求</w:t>
      </w:r>
      <w:bookmarkEnd w:id="44"/>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无</w:t>
      </w:r>
    </w:p>
    <w:p>
      <w:pPr>
        <w:spacing w:before="0" w:after="0" w:line="360" w:lineRule="auto"/>
        <w:ind w:firstLine="561"/>
        <w:rPr>
          <w:rFonts w:ascii="仿宋_GB2312" w:hAnsi="仿宋_GB2312" w:eastAsia="仿宋_GB2312" w:cs="仿宋_GB2312"/>
          <w:sz w:val="28"/>
          <w:szCs w:val="28"/>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FangSong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23</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3A7431BD"/>
    <w:rsid w:val="62EB6C8B"/>
    <w:rsid w:val="7DC76D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15"/>
    <w:basedOn w:val="1"/>
    <w:qFormat/>
    <w:uiPriority w:val="0"/>
  </w:style>
  <w:style w:type="paragraph" w:customStyle="1" w:styleId="13">
    <w:name w:val="MsoNormal"/>
    <w:basedOn w:val="1"/>
    <w:qFormat/>
    <w:uiPriority w:val="0"/>
  </w:style>
  <w:style w:type="paragraph" w:customStyle="1" w:styleId="14">
    <w:name w:val="16"/>
    <w:basedOn w:val="1"/>
    <w:qFormat/>
    <w:uiPriority w:val="0"/>
  </w:style>
  <w:style w:type="paragraph" w:customStyle="1" w:styleId="15">
    <w:name w:val="17"/>
    <w:basedOn w:val="1"/>
    <w:qFormat/>
    <w:uiPriority w:val="0"/>
  </w:style>
  <w:style w:type="paragraph" w:customStyle="1" w:styleId="16">
    <w:name w:val="18"/>
    <w:basedOn w:val="1"/>
    <w:qFormat/>
    <w:uiPriority w:val="0"/>
  </w:style>
  <w:style w:type="paragraph" w:customStyle="1" w:styleId="17">
    <w:name w:val="19"/>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23</Pages>
  <Words>0</Words>
  <Characters>0</Characters>
  <Lines>1</Lines>
  <Paragraphs>1</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2025-10-29T06:59:48Z</dcterms:created>
  <dc:creator>Administrator</dc:creator>
  <cp:lastModifiedBy>孙亚娜</cp:lastModifiedBy>
  <dcterms:modified xsi:type="dcterms:W3CDTF">2025-10-29T07:39:17Z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