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autoSpaceDE w:val="0"/>
        <w:autoSpaceDN w:val="0"/>
        <w:spacing w:before="0" w:after="0" w:line="360" w:lineRule="auto"/>
        <w:jc w:val="center"/>
        <w:rPr>
          <w:rFonts w:hint="eastAsia" w:ascii="宋体" w:hAnsi="宋体" w:eastAsia="宋体" w:cs="宋体"/>
          <w:b/>
          <w:sz w:val="96"/>
          <w:szCs w:val="96"/>
          <w:lang w:eastAsia="zh-CN"/>
        </w:rPr>
      </w:pPr>
    </w:p>
    <w:p>
      <w:pPr>
        <w:widowControl w:val="0"/>
        <w:topLinePunct/>
        <w:autoSpaceDE w:val="0"/>
        <w:autoSpaceDN w:val="0"/>
        <w:spacing w:before="0" w:after="0" w:line="360" w:lineRule="auto"/>
        <w:jc w:val="center"/>
        <w:rPr>
          <w:rFonts w:hint="eastAsia" w:ascii="宋体" w:hAnsi="宋体" w:eastAsia="宋体" w:cs="宋体"/>
          <w:b/>
          <w:sz w:val="96"/>
          <w:szCs w:val="96"/>
          <w:lang w:eastAsia="zh-CN"/>
        </w:rPr>
      </w:pPr>
      <w:r>
        <w:rPr>
          <w:rFonts w:hint="eastAsia" w:ascii="宋体" w:hAnsi="宋体" w:eastAsia="宋体" w:cs="宋体"/>
          <w:b/>
          <w:sz w:val="96"/>
          <w:szCs w:val="96"/>
          <w:lang w:eastAsia="zh-CN"/>
        </w:rPr>
        <w:t>采 购 需 求</w:t>
      </w: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30"/>
          <w:szCs w:val="30"/>
          <w:lang w:eastAsia="zh-CN"/>
        </w:rPr>
      </w:pPr>
      <w:r>
        <w:rPr>
          <w:rFonts w:hint="eastAsia" w:ascii="宋体" w:hAnsi="宋体" w:eastAsia="宋体" w:cs="宋体"/>
          <w:b/>
          <w:sz w:val="30"/>
          <w:szCs w:val="30"/>
          <w:lang w:eastAsia="zh-CN"/>
        </w:rPr>
        <w:t>项目名称：</w:t>
      </w:r>
      <w:bookmarkStart w:id="0" w:name="项目名称_projectName"/>
      <w:r>
        <w:rPr>
          <w:rFonts w:hint="eastAsia" w:ascii="宋体" w:hAnsi="宋体" w:eastAsia="宋体" w:cs="宋体"/>
          <w:b/>
          <w:sz w:val="30"/>
          <w:szCs w:val="30"/>
          <w:lang w:eastAsia="zh-CN"/>
        </w:rPr>
        <w:t>2026年国家税务总局天津市西青区税务局食材采购项目</w:t>
      </w:r>
      <w:bookmarkEnd w:id="0"/>
    </w:p>
    <w:p>
      <w:pPr>
        <w:widowControl w:val="0"/>
        <w:spacing w:before="0" w:after="0" w:line="360" w:lineRule="auto"/>
        <w:jc w:val="both"/>
        <w:rPr>
          <w:rFonts w:hint="eastAsia" w:ascii="宋体" w:hAnsi="宋体" w:eastAsia="宋体" w:cs="宋体"/>
          <w:kern w:val="2"/>
          <w:sz w:val="32"/>
          <w:szCs w:val="32"/>
          <w:lang w:eastAsia="zh-CN"/>
        </w:rPr>
      </w:pPr>
    </w:p>
    <w:p>
      <w:pPr>
        <w:widowControl w:val="0"/>
        <w:spacing w:before="0" w:after="0" w:line="360" w:lineRule="auto"/>
        <w:jc w:val="both"/>
        <w:rPr>
          <w:rFonts w:hint="eastAsia" w:ascii="宋体" w:hAnsi="宋体" w:eastAsia="宋体" w:cs="宋体"/>
          <w:kern w:val="2"/>
          <w:sz w:val="32"/>
          <w:szCs w:val="32"/>
          <w:lang w:eastAsia="zh-CN"/>
        </w:rPr>
      </w:pPr>
    </w:p>
    <w:p>
      <w:pPr>
        <w:widowControl w:val="0"/>
        <w:spacing w:before="0" w:after="0" w:line="360" w:lineRule="auto"/>
        <w:jc w:val="both"/>
        <w:rPr>
          <w:rFonts w:hint="eastAsia" w:ascii="宋体" w:hAnsi="宋体" w:eastAsia="宋体" w:cs="宋体"/>
          <w:kern w:val="2"/>
          <w:sz w:val="32"/>
          <w:szCs w:val="32"/>
          <w:lang w:eastAsia="zh-CN"/>
        </w:rPr>
      </w:pPr>
    </w:p>
    <w:p>
      <w:pPr>
        <w:widowControl w:val="0"/>
        <w:spacing w:before="0" w:after="0" w:line="360" w:lineRule="auto"/>
        <w:jc w:val="both"/>
        <w:rPr>
          <w:rFonts w:hint="eastAsia" w:ascii="宋体" w:hAnsi="宋体" w:eastAsia="宋体" w:cs="宋体"/>
          <w:kern w:val="2"/>
          <w:sz w:val="32"/>
          <w:szCs w:val="32"/>
          <w:lang w:eastAsia="zh-CN"/>
        </w:rPr>
      </w:pPr>
    </w:p>
    <w:p>
      <w:pPr>
        <w:spacing w:before="0" w:after="0" w:line="360" w:lineRule="auto"/>
        <w:jc w:val="center"/>
        <w:rPr>
          <w:rFonts w:eastAsia="宋体"/>
        </w:rPr>
      </w:pPr>
      <w:bookmarkStart w:id="1" w:name="生成日期_currentDateTime_ym"/>
      <w:r>
        <w:rPr>
          <w:rFonts w:hint="eastAsia" w:ascii="宋体" w:hAnsi="宋体" w:eastAsia="宋体" w:cs="宋体"/>
          <w:sz w:val="36"/>
          <w:szCs w:val="36"/>
          <w:lang w:eastAsia="zh-CN"/>
        </w:rPr>
        <w:t>2025年10月</w:t>
      </w:r>
      <w:bookmarkEnd w:id="1"/>
    </w:p>
    <w:p>
      <w:pPr>
        <w:spacing w:before="0" w:after="0" w:line="360" w:lineRule="auto"/>
        <w:jc w:val="center"/>
        <w:rPr>
          <w:rFonts w:ascii="宋体" w:hAnsi="宋体" w:eastAsia="宋体" w:cs="宋体"/>
          <w:sz w:val="32"/>
        </w:rPr>
      </w:pPr>
      <w:r>
        <w:br w:type="page"/>
      </w:r>
      <w:r>
        <w:rPr>
          <w:rFonts w:ascii="宋体" w:hAnsi="宋体" w:eastAsia="宋体" w:cs="宋体"/>
          <w:sz w:val="32"/>
        </w:rPr>
        <w:t>目 录</w:t>
      </w:r>
    </w:p>
    <w:p>
      <w:pPr>
        <w:pStyle w:val="7"/>
        <w:tabs>
          <w:tab w:val="right" w:leader="dot" w:pos="9016"/>
        </w:tabs>
        <w:spacing w:before="0" w:after="0" w:line="360" w:lineRule="auto"/>
        <w:rPr>
          <w:rFonts w:asciiTheme="minorHAnsi" w:hAnsiTheme="minorHAnsi"/>
          <w:sz w:val="22"/>
        </w:rPr>
      </w:pPr>
      <w:r>
        <w:rPr>
          <w:rFonts w:ascii="宋体" w:hAnsi="宋体" w:eastAsia="宋体" w:cs="宋体"/>
          <w:sz w:val="32"/>
        </w:rPr>
        <w:fldChar w:fldCharType="begin"/>
      </w:r>
      <w:r>
        <w:rPr>
          <w:rFonts w:ascii="宋体" w:hAnsi="宋体" w:eastAsia="宋体" w:cs="宋体"/>
          <w:sz w:val="32"/>
        </w:rPr>
        <w:instrText xml:space="preserve">TOC \o "1-3" \h \z \u</w:instrText>
      </w:r>
      <w:r>
        <w:rPr>
          <w:rFonts w:ascii="宋体" w:hAnsi="宋体" w:eastAsia="宋体" w:cs="宋体"/>
          <w:sz w:val="32"/>
        </w:rPr>
        <w:fldChar w:fldCharType="separate"/>
      </w:r>
      <w:r>
        <w:fldChar w:fldCharType="begin"/>
      </w:r>
      <w:r>
        <w:instrText xml:space="preserve"> HYPERLINK \l "_Toc256000000" </w:instrText>
      </w:r>
      <w:r>
        <w:fldChar w:fldCharType="separate"/>
      </w:r>
      <w:r>
        <w:rPr>
          <w:rStyle w:val="11"/>
          <w:rFonts w:ascii="仿宋_GB2312" w:hAnsi="仿宋_GB2312" w:eastAsia="仿宋_GB2312" w:cs="仿宋_GB2312"/>
          <w:kern w:val="36"/>
        </w:rPr>
        <w:t>1项目概述</w:t>
      </w:r>
      <w:r>
        <w:tab/>
      </w:r>
      <w:r>
        <w:fldChar w:fldCharType="begin"/>
      </w:r>
      <w:r>
        <w:instrText xml:space="preserve"> PAGEREF _Toc256000000 \h </w:instrText>
      </w:r>
      <w:r>
        <w:fldChar w:fldCharType="separate"/>
      </w:r>
      <w:r>
        <w:t>4</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"_Toc256000001" </w:instrText>
      </w:r>
      <w:r>
        <w:fldChar w:fldCharType="separate"/>
      </w:r>
      <w:r>
        <w:rPr>
          <w:rStyle w:val="11"/>
          <w:rFonts w:ascii="仿宋_GB2312" w:hAnsi="仿宋_GB2312" w:eastAsia="仿宋_GB2312" w:cs="仿宋_GB2312"/>
        </w:rPr>
        <w:t>1.1项目背景</w:t>
      </w:r>
      <w:r>
        <w:tab/>
      </w:r>
      <w:r>
        <w:fldChar w:fldCharType="begin"/>
      </w:r>
      <w:r>
        <w:instrText xml:space="preserve"> PAGEREF _Toc256000001 \h </w:instrText>
      </w:r>
      <w:r>
        <w:fldChar w:fldCharType="separate"/>
      </w:r>
      <w:r>
        <w:t>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"_Toc256000002" </w:instrText>
      </w:r>
      <w:r>
        <w:fldChar w:fldCharType="separate"/>
      </w:r>
      <w:r>
        <w:rPr>
          <w:rStyle w:val="11"/>
          <w:rFonts w:ascii="仿宋_GB2312" w:hAnsi="仿宋_GB2312" w:eastAsia="仿宋_GB2312" w:cs="仿宋_GB2312"/>
        </w:rPr>
        <w:t>1.1.1项目目的、意义及背景</w:t>
      </w:r>
      <w:r>
        <w:tab/>
      </w:r>
      <w:r>
        <w:fldChar w:fldCharType="begin"/>
      </w:r>
      <w:r>
        <w:instrText xml:space="preserve"> PAGEREF _Toc256000002 \h </w:instrText>
      </w:r>
      <w:r>
        <w:fldChar w:fldCharType="separate"/>
      </w:r>
      <w:r>
        <w:t>4</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"_Toc256000003" </w:instrText>
      </w:r>
      <w:r>
        <w:fldChar w:fldCharType="separate"/>
      </w:r>
      <w:r>
        <w:rPr>
          <w:rStyle w:val="11"/>
          <w:rFonts w:ascii="仿宋_GB2312" w:hAnsi="仿宋_GB2312" w:eastAsia="仿宋_GB2312" w:cs="仿宋_GB2312"/>
        </w:rPr>
        <w:t>1.2项目内容</w:t>
      </w:r>
      <w:r>
        <w:tab/>
      </w:r>
      <w:r>
        <w:fldChar w:fldCharType="begin"/>
      </w:r>
      <w:r>
        <w:instrText xml:space="preserve"> PAGEREF _Toc256000003 \h </w:instrText>
      </w:r>
      <w:r>
        <w:fldChar w:fldCharType="separate"/>
      </w:r>
      <w:r>
        <w:t>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"_Toc256000004" </w:instrText>
      </w:r>
      <w:r>
        <w:fldChar w:fldCharType="separate"/>
      </w:r>
      <w:r>
        <w:rPr>
          <w:rStyle w:val="11"/>
          <w:rFonts w:ascii="仿宋_GB2312" w:hAnsi="仿宋_GB2312" w:eastAsia="仿宋_GB2312" w:cs="仿宋_GB2312"/>
        </w:rPr>
        <w:t>1.2.1项目建设思路</w:t>
      </w:r>
      <w:r>
        <w:tab/>
      </w:r>
      <w:r>
        <w:fldChar w:fldCharType="begin"/>
      </w:r>
      <w:r>
        <w:instrText xml:space="preserve"> PAGEREF _Toc256000004 \h </w:instrText>
      </w:r>
      <w:r>
        <w:fldChar w:fldCharType="separate"/>
      </w:r>
      <w:r>
        <w:t>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"_Toc256000005" </w:instrText>
      </w:r>
      <w:r>
        <w:fldChar w:fldCharType="separate"/>
      </w:r>
      <w:r>
        <w:rPr>
          <w:rStyle w:val="11"/>
          <w:rFonts w:ascii="仿宋_GB2312" w:hAnsi="仿宋_GB2312" w:eastAsia="仿宋_GB2312" w:cs="仿宋_GB2312"/>
        </w:rPr>
        <w:t>1.2.2采购内容</w:t>
      </w:r>
      <w:r>
        <w:tab/>
      </w:r>
      <w:r>
        <w:fldChar w:fldCharType="begin"/>
      </w:r>
      <w:r>
        <w:instrText xml:space="preserve"> PAGEREF _Toc256000005 \h </w:instrText>
      </w:r>
      <w:r>
        <w:fldChar w:fldCharType="separate"/>
      </w:r>
      <w:r>
        <w:t>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"_Toc256000006" </w:instrText>
      </w:r>
      <w:r>
        <w:fldChar w:fldCharType="separate"/>
      </w:r>
      <w:r>
        <w:rPr>
          <w:rStyle w:val="11"/>
          <w:rFonts w:ascii="仿宋_GB2312" w:hAnsi="仿宋_GB2312" w:eastAsia="仿宋_GB2312" w:cs="仿宋_GB2312"/>
        </w:rPr>
        <w:t>1.2.3项目实施要求</w:t>
      </w:r>
      <w:r>
        <w:tab/>
      </w:r>
      <w:r>
        <w:fldChar w:fldCharType="begin"/>
      </w:r>
      <w:r>
        <w:instrText xml:space="preserve"> PAGEREF _Toc256000006 \h </w:instrText>
      </w:r>
      <w:r>
        <w:fldChar w:fldCharType="separate"/>
      </w:r>
      <w:r>
        <w:t>4</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"_Toc256000007" </w:instrText>
      </w:r>
      <w:r>
        <w:fldChar w:fldCharType="separate"/>
      </w:r>
      <w:r>
        <w:rPr>
          <w:rStyle w:val="11"/>
          <w:rFonts w:ascii="仿宋_GB2312" w:hAnsi="仿宋_GB2312" w:eastAsia="仿宋_GB2312" w:cs="仿宋_GB2312"/>
        </w:rPr>
        <w:t>1.3其他要求</w:t>
      </w:r>
      <w:r>
        <w:tab/>
      </w:r>
      <w:r>
        <w:fldChar w:fldCharType="begin"/>
      </w:r>
      <w:r>
        <w:instrText xml:space="preserve"> PAGEREF _Toc256000007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"_Toc256000008" </w:instrText>
      </w:r>
      <w:r>
        <w:fldChar w:fldCharType="separate"/>
      </w:r>
      <w:r>
        <w:rPr>
          <w:rStyle w:val="11"/>
          <w:rFonts w:ascii="仿宋_GB2312" w:hAnsi="仿宋_GB2312" w:eastAsia="仿宋_GB2312" w:cs="仿宋_GB2312"/>
        </w:rPr>
        <w:t>1.3.1采购标的需执行的相关标准规范</w:t>
      </w:r>
      <w:r>
        <w:tab/>
      </w:r>
      <w:r>
        <w:fldChar w:fldCharType="begin"/>
      </w:r>
      <w:r>
        <w:instrText xml:space="preserve"> PAGEREF _Toc256000008 \h </w:instrText>
      </w:r>
      <w:r>
        <w:fldChar w:fldCharType="separate"/>
      </w:r>
      <w:r>
        <w:t>5</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"_Toc256000009" </w:instrText>
      </w:r>
      <w:r>
        <w:fldChar w:fldCharType="separate"/>
      </w:r>
      <w:r>
        <w:rPr>
          <w:rStyle w:val="11"/>
          <w:rFonts w:ascii="仿宋_GB2312" w:hAnsi="仿宋_GB2312" w:eastAsia="仿宋_GB2312" w:cs="仿宋_GB2312"/>
          <w:kern w:val="36"/>
        </w:rPr>
        <w:t>2投标/响应要求</w:t>
      </w:r>
      <w:r>
        <w:tab/>
      </w:r>
      <w:r>
        <w:fldChar w:fldCharType="begin"/>
      </w:r>
      <w:r>
        <w:instrText xml:space="preserve"> PAGEREF _Toc256000009 \h </w:instrText>
      </w:r>
      <w:r>
        <w:fldChar w:fldCharType="separate"/>
      </w:r>
      <w:r>
        <w:t>5</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"_Toc256000010" </w:instrText>
      </w:r>
      <w:r>
        <w:fldChar w:fldCharType="separate"/>
      </w:r>
      <w:r>
        <w:rPr>
          <w:rStyle w:val="11"/>
          <w:rFonts w:ascii="仿宋_GB2312" w:hAnsi="仿宋_GB2312" w:eastAsia="仿宋_GB2312" w:cs="仿宋_GB2312"/>
        </w:rPr>
        <w:t>2.1对供应商的要求</w:t>
      </w:r>
      <w:r>
        <w:tab/>
      </w:r>
      <w:r>
        <w:fldChar w:fldCharType="begin"/>
      </w:r>
      <w:r>
        <w:instrText xml:space="preserve"> PAGEREF _Toc256000010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"_Toc256000011" </w:instrText>
      </w:r>
      <w:r>
        <w:fldChar w:fldCharType="separate"/>
      </w:r>
      <w:r>
        <w:rPr>
          <w:rStyle w:val="11"/>
          <w:rFonts w:ascii="仿宋_GB2312" w:hAnsi="仿宋_GB2312" w:eastAsia="仿宋_GB2312" w:cs="仿宋_GB2312"/>
        </w:rPr>
        <w:t>2.1.1必备资质</w:t>
      </w:r>
      <w:r>
        <w:tab/>
      </w:r>
      <w:r>
        <w:fldChar w:fldCharType="begin"/>
      </w:r>
      <w:r>
        <w:instrText xml:space="preserve"> PAGEREF _Toc256000011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"_Toc256000012" </w:instrText>
      </w:r>
      <w:r>
        <w:fldChar w:fldCharType="separate"/>
      </w:r>
      <w:r>
        <w:rPr>
          <w:rStyle w:val="11"/>
          <w:rFonts w:ascii="仿宋_GB2312" w:hAnsi="仿宋_GB2312" w:eastAsia="仿宋_GB2312" w:cs="仿宋_GB2312"/>
        </w:rPr>
        <w:t>2.1.2优选资质/优选指标</w:t>
      </w:r>
      <w:r>
        <w:tab/>
      </w:r>
      <w:r>
        <w:fldChar w:fldCharType="begin"/>
      </w:r>
      <w:r>
        <w:instrText xml:space="preserve"> PAGEREF _Toc256000012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"_Toc256000013" </w:instrText>
      </w:r>
      <w:r>
        <w:fldChar w:fldCharType="separate"/>
      </w:r>
      <w:r>
        <w:rPr>
          <w:rStyle w:val="11"/>
          <w:rFonts w:ascii="仿宋_GB2312" w:hAnsi="仿宋_GB2312" w:eastAsia="仿宋_GB2312" w:cs="仿宋_GB2312"/>
        </w:rPr>
        <w:t>2.1.3是否允许联合体</w:t>
      </w:r>
      <w:r>
        <w:tab/>
      </w:r>
      <w:r>
        <w:fldChar w:fldCharType="begin"/>
      </w:r>
      <w:r>
        <w:instrText xml:space="preserve"> PAGEREF _Toc256000013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"_Toc256000014" </w:instrText>
      </w:r>
      <w:r>
        <w:fldChar w:fldCharType="separate"/>
      </w:r>
      <w:r>
        <w:rPr>
          <w:rStyle w:val="11"/>
          <w:rFonts w:ascii="仿宋_GB2312" w:hAnsi="仿宋_GB2312" w:eastAsia="仿宋_GB2312" w:cs="仿宋_GB2312"/>
        </w:rPr>
        <w:t>2.1.4是否专门面向中小企业</w:t>
      </w:r>
      <w:r>
        <w:tab/>
      </w:r>
      <w:r>
        <w:fldChar w:fldCharType="begin"/>
      </w:r>
      <w:r>
        <w:instrText xml:space="preserve"> PAGEREF _Toc256000014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"_Toc256000015" </w:instrText>
      </w:r>
      <w:r>
        <w:fldChar w:fldCharType="separate"/>
      </w:r>
      <w:r>
        <w:rPr>
          <w:rStyle w:val="11"/>
          <w:rFonts w:ascii="仿宋_GB2312" w:hAnsi="仿宋_GB2312" w:eastAsia="仿宋_GB2312" w:cs="仿宋_GB2312"/>
        </w:rPr>
        <w:t>2.1.5其他要求</w:t>
      </w:r>
      <w:r>
        <w:tab/>
      </w:r>
      <w:r>
        <w:fldChar w:fldCharType="begin"/>
      </w:r>
      <w:r>
        <w:instrText xml:space="preserve"> PAGEREF _Toc256000015 \h </w:instrText>
      </w:r>
      <w:r>
        <w:fldChar w:fldCharType="separate"/>
      </w:r>
      <w:r>
        <w:t>6</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"_Toc256000016" </w:instrText>
      </w:r>
      <w:r>
        <w:fldChar w:fldCharType="separate"/>
      </w:r>
      <w:r>
        <w:rPr>
          <w:rStyle w:val="11"/>
          <w:rFonts w:ascii="仿宋_GB2312" w:hAnsi="仿宋_GB2312" w:eastAsia="仿宋_GB2312" w:cs="仿宋_GB2312"/>
        </w:rPr>
        <w:t>2.2技术部分投标/响应内容</w:t>
      </w:r>
      <w:r>
        <w:tab/>
      </w:r>
      <w:r>
        <w:fldChar w:fldCharType="begin"/>
      </w:r>
      <w:r>
        <w:instrText xml:space="preserve"> PAGEREF _Toc256000016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"_Toc256000017" </w:instrText>
      </w:r>
      <w:r>
        <w:fldChar w:fldCharType="separate"/>
      </w:r>
      <w:r>
        <w:rPr>
          <w:rStyle w:val="11"/>
          <w:rFonts w:ascii="仿宋_GB2312" w:hAnsi="仿宋_GB2312" w:eastAsia="仿宋_GB2312" w:cs="仿宋_GB2312"/>
        </w:rPr>
        <w:t>2.2.1技术投标/响应总要求</w:t>
      </w:r>
      <w:r>
        <w:tab/>
      </w:r>
      <w:r>
        <w:fldChar w:fldCharType="begin"/>
      </w:r>
      <w:r>
        <w:instrText xml:space="preserve"> PAGEREF _Toc256000017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"_Toc256000018" </w:instrText>
      </w:r>
      <w:r>
        <w:fldChar w:fldCharType="separate"/>
      </w:r>
      <w:r>
        <w:rPr>
          <w:rStyle w:val="11"/>
          <w:rFonts w:ascii="仿宋_GB2312" w:hAnsi="仿宋_GB2312" w:eastAsia="仿宋_GB2312" w:cs="仿宋_GB2312"/>
        </w:rPr>
        <w:t>2.2.2投标/响应方案要求</w:t>
      </w:r>
      <w:r>
        <w:tab/>
      </w:r>
      <w:r>
        <w:fldChar w:fldCharType="begin"/>
      </w:r>
      <w:r>
        <w:instrText xml:space="preserve"> PAGEREF _Toc256000018 \h </w:instrText>
      </w:r>
      <w:r>
        <w:fldChar w:fldCharType="separate"/>
      </w:r>
      <w:r>
        <w:t>7</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"_Toc256000019" </w:instrText>
      </w:r>
      <w:r>
        <w:fldChar w:fldCharType="separate"/>
      </w:r>
      <w:r>
        <w:rPr>
          <w:rStyle w:val="11"/>
          <w:rFonts w:ascii="仿宋_GB2312" w:hAnsi="仿宋_GB2312" w:eastAsia="仿宋_GB2312" w:cs="仿宋_GB2312"/>
          <w:kern w:val="36"/>
        </w:rPr>
        <w:t>3项目需求</w:t>
      </w:r>
      <w:r>
        <w:tab/>
      </w:r>
      <w:r>
        <w:fldChar w:fldCharType="begin"/>
      </w:r>
      <w:r>
        <w:instrText xml:space="preserve"> PAGEREF _Toc256000019 \h </w:instrText>
      </w:r>
      <w:r>
        <w:fldChar w:fldCharType="separate"/>
      </w:r>
      <w:r>
        <w:t>7</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"_Toc256000020" </w:instrText>
      </w:r>
      <w:r>
        <w:fldChar w:fldCharType="separate"/>
      </w:r>
      <w:r>
        <w:rPr>
          <w:rStyle w:val="11"/>
          <w:rFonts w:ascii="仿宋_GB2312" w:hAnsi="仿宋_GB2312" w:eastAsia="仿宋_GB2312" w:cs="仿宋_GB2312"/>
        </w:rPr>
        <w:t>3.1总体要求</w:t>
      </w:r>
      <w:r>
        <w:tab/>
      </w:r>
      <w:r>
        <w:fldChar w:fldCharType="begin"/>
      </w:r>
      <w:r>
        <w:instrText xml:space="preserve"> PAGEREF _Toc256000020 \h </w:instrText>
      </w:r>
      <w:r>
        <w:fldChar w:fldCharType="separate"/>
      </w:r>
      <w:r>
        <w:t>7</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"_Toc256000021" </w:instrText>
      </w:r>
      <w:r>
        <w:fldChar w:fldCharType="separate"/>
      </w:r>
      <w:r>
        <w:rPr>
          <w:rStyle w:val="11"/>
          <w:rFonts w:ascii="仿宋_GB2312" w:hAnsi="仿宋_GB2312" w:eastAsia="仿宋_GB2312" w:cs="仿宋_GB2312"/>
        </w:rPr>
        <w:t>3.2采购产品一览表</w:t>
      </w:r>
      <w:r>
        <w:tab/>
      </w:r>
      <w:r>
        <w:fldChar w:fldCharType="begin"/>
      </w:r>
      <w:r>
        <w:instrText xml:space="preserve"> PAGEREF _Toc256000021 \h </w:instrText>
      </w:r>
      <w:r>
        <w:fldChar w:fldCharType="separate"/>
      </w:r>
      <w:r>
        <w:t>8</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"_Toc256000022" </w:instrText>
      </w:r>
      <w:r>
        <w:fldChar w:fldCharType="separate"/>
      </w:r>
      <w:r>
        <w:rPr>
          <w:rStyle w:val="11"/>
          <w:rFonts w:ascii="仿宋_GB2312" w:hAnsi="仿宋_GB2312" w:eastAsia="仿宋_GB2312" w:cs="仿宋_GB2312"/>
        </w:rPr>
        <w:t>3.2.1第一包</w:t>
      </w:r>
      <w:r>
        <w:tab/>
      </w:r>
      <w:r>
        <w:fldChar w:fldCharType="begin"/>
      </w:r>
      <w:r>
        <w:instrText xml:space="preserve"> PAGEREF _Toc256000022 \h </w:instrText>
      </w:r>
      <w:r>
        <w:fldChar w:fldCharType="separate"/>
      </w:r>
      <w:r>
        <w:t>8</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"_Toc256000023" </w:instrText>
      </w:r>
      <w:r>
        <w:fldChar w:fldCharType="separate"/>
      </w:r>
      <w:r>
        <w:rPr>
          <w:rStyle w:val="11"/>
          <w:rFonts w:ascii="仿宋_GB2312" w:hAnsi="仿宋_GB2312" w:eastAsia="仿宋_GB2312" w:cs="仿宋_GB2312"/>
        </w:rPr>
        <w:t>3.2.2第二包</w:t>
      </w:r>
      <w:r>
        <w:tab/>
      </w:r>
      <w:r>
        <w:fldChar w:fldCharType="begin"/>
      </w:r>
      <w:r>
        <w:instrText xml:space="preserve"> PAGEREF _Toc256000023 \h </w:instrText>
      </w:r>
      <w:r>
        <w:fldChar w:fldCharType="separate"/>
      </w:r>
      <w:r>
        <w:t>9</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"_Toc256000024" </w:instrText>
      </w:r>
      <w:r>
        <w:fldChar w:fldCharType="separate"/>
      </w:r>
      <w:r>
        <w:rPr>
          <w:rStyle w:val="11"/>
          <w:rFonts w:ascii="仿宋_GB2312" w:hAnsi="仿宋_GB2312" w:eastAsia="仿宋_GB2312" w:cs="仿宋_GB2312"/>
        </w:rPr>
        <w:t>3.2.3第三包</w:t>
      </w:r>
      <w:r>
        <w:tab/>
      </w:r>
      <w:r>
        <w:fldChar w:fldCharType="begin"/>
      </w:r>
      <w:r>
        <w:instrText xml:space="preserve"> PAGEREF _Toc256000024 \h </w:instrText>
      </w:r>
      <w:r>
        <w:fldChar w:fldCharType="separate"/>
      </w:r>
      <w:r>
        <w:t>10</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"_Toc256000025" </w:instrText>
      </w:r>
      <w:r>
        <w:fldChar w:fldCharType="separate"/>
      </w:r>
      <w:r>
        <w:rPr>
          <w:rStyle w:val="11"/>
          <w:rFonts w:ascii="仿宋_GB2312" w:hAnsi="仿宋_GB2312" w:eastAsia="仿宋_GB2312" w:cs="仿宋_GB2312"/>
        </w:rPr>
        <w:t>3.3采购产品详细清单及技术指标</w:t>
      </w:r>
      <w:r>
        <w:tab/>
      </w:r>
      <w:r>
        <w:fldChar w:fldCharType="begin"/>
      </w:r>
      <w:r>
        <w:instrText xml:space="preserve"> PAGEREF _Toc256000025 \h </w:instrText>
      </w:r>
      <w:r>
        <w:fldChar w:fldCharType="separate"/>
      </w:r>
      <w:r>
        <w:t>12</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"_Toc256000026" </w:instrText>
      </w:r>
      <w:r>
        <w:fldChar w:fldCharType="separate"/>
      </w:r>
      <w:r>
        <w:rPr>
          <w:rStyle w:val="11"/>
          <w:rFonts w:ascii="仿宋_GB2312" w:hAnsi="仿宋_GB2312" w:eastAsia="仿宋_GB2312" w:cs="仿宋_GB2312"/>
        </w:rPr>
        <w:t>3.3.1第一包</w:t>
      </w:r>
      <w:r>
        <w:tab/>
      </w:r>
      <w:r>
        <w:fldChar w:fldCharType="begin"/>
      </w:r>
      <w:r>
        <w:instrText xml:space="preserve"> PAGEREF _Toc256000026 \h </w:instrText>
      </w:r>
      <w:r>
        <w:fldChar w:fldCharType="separate"/>
      </w:r>
      <w:r>
        <w:t>13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"_Toc256000027" </w:instrText>
      </w:r>
      <w:r>
        <w:fldChar w:fldCharType="separate"/>
      </w:r>
      <w:r>
        <w:rPr>
          <w:rStyle w:val="11"/>
          <w:rFonts w:ascii="仿宋_GB2312" w:hAnsi="仿宋_GB2312" w:eastAsia="仿宋_GB2312" w:cs="仿宋_GB2312"/>
        </w:rPr>
        <w:t>3.3.2第二包</w:t>
      </w:r>
      <w:r>
        <w:tab/>
      </w:r>
      <w:r>
        <w:fldChar w:fldCharType="begin"/>
      </w:r>
      <w:r>
        <w:instrText xml:space="preserve"> PAGEREF _Toc256000027 \h </w:instrText>
      </w:r>
      <w:r>
        <w:fldChar w:fldCharType="separate"/>
      </w:r>
      <w:r>
        <w:t>15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"_Toc256000028" </w:instrText>
      </w:r>
      <w:r>
        <w:fldChar w:fldCharType="separate"/>
      </w:r>
      <w:r>
        <w:rPr>
          <w:rStyle w:val="11"/>
          <w:rFonts w:ascii="仿宋_GB2312" w:hAnsi="仿宋_GB2312" w:eastAsia="仿宋_GB2312" w:cs="仿宋_GB2312"/>
        </w:rPr>
        <w:t>3.3.3第三包</w:t>
      </w:r>
      <w:r>
        <w:tab/>
      </w:r>
      <w:r>
        <w:fldChar w:fldCharType="begin"/>
      </w:r>
      <w:r>
        <w:instrText xml:space="preserve"> PAGEREF _Toc256000028 \h </w:instrText>
      </w:r>
      <w:r>
        <w:fldChar w:fldCharType="separate"/>
      </w:r>
      <w:r>
        <w:t>22</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"_Toc256000029" </w:instrText>
      </w:r>
      <w:r>
        <w:fldChar w:fldCharType="separate"/>
      </w:r>
      <w:r>
        <w:rPr>
          <w:rStyle w:val="11"/>
          <w:rFonts w:ascii="仿宋_GB2312" w:hAnsi="仿宋_GB2312" w:eastAsia="仿宋_GB2312" w:cs="仿宋_GB2312"/>
        </w:rPr>
        <w:t>3.4服务要求</w:t>
      </w:r>
      <w:r>
        <w:tab/>
      </w:r>
      <w:r>
        <w:fldChar w:fldCharType="begin"/>
      </w:r>
      <w:r>
        <w:instrText xml:space="preserve"> PAGEREF _Toc256000029 \h </w:instrText>
      </w:r>
      <w:r>
        <w:fldChar w:fldCharType="separate"/>
      </w:r>
      <w:r>
        <w:t>24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"_Toc256000030" </w:instrText>
      </w:r>
      <w:r>
        <w:fldChar w:fldCharType="separate"/>
      </w:r>
      <w:r>
        <w:rPr>
          <w:rStyle w:val="11"/>
          <w:rFonts w:ascii="仿宋_GB2312" w:hAnsi="仿宋_GB2312" w:eastAsia="仿宋_GB2312" w:cs="仿宋_GB2312"/>
        </w:rPr>
        <w:t>3.4.1第一包</w:t>
      </w:r>
      <w:r>
        <w:tab/>
      </w:r>
      <w:r>
        <w:fldChar w:fldCharType="begin"/>
      </w:r>
      <w:r>
        <w:instrText xml:space="preserve"> PAGEREF _Toc256000030 \h </w:instrText>
      </w:r>
      <w:r>
        <w:fldChar w:fldCharType="separate"/>
      </w:r>
      <w:r>
        <w:t>24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"_Toc256000031" </w:instrText>
      </w:r>
      <w:r>
        <w:fldChar w:fldCharType="separate"/>
      </w:r>
      <w:r>
        <w:rPr>
          <w:rStyle w:val="11"/>
          <w:rFonts w:ascii="仿宋_GB2312" w:hAnsi="仿宋_GB2312" w:eastAsia="仿宋_GB2312" w:cs="仿宋_GB2312"/>
        </w:rPr>
        <w:t>3.4.2第二包</w:t>
      </w:r>
      <w:r>
        <w:tab/>
      </w:r>
      <w:r>
        <w:fldChar w:fldCharType="begin"/>
      </w:r>
      <w:r>
        <w:instrText xml:space="preserve"> PAGEREF _Toc256000031 \h </w:instrText>
      </w:r>
      <w:r>
        <w:fldChar w:fldCharType="separate"/>
      </w:r>
      <w:r>
        <w:t>27</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"_Toc256000032" </w:instrText>
      </w:r>
      <w:r>
        <w:fldChar w:fldCharType="separate"/>
      </w:r>
      <w:r>
        <w:rPr>
          <w:rStyle w:val="11"/>
          <w:rFonts w:ascii="仿宋_GB2312" w:hAnsi="仿宋_GB2312" w:eastAsia="仿宋_GB2312" w:cs="仿宋_GB2312"/>
        </w:rPr>
        <w:t>3.4.3第三包</w:t>
      </w:r>
      <w:r>
        <w:tab/>
      </w:r>
      <w:r>
        <w:fldChar w:fldCharType="begin"/>
      </w:r>
      <w:r>
        <w:instrText xml:space="preserve"> PAGEREF _Toc256000032 \h </w:instrText>
      </w:r>
      <w:r>
        <w:fldChar w:fldCharType="separate"/>
      </w:r>
      <w:r>
        <w:t>30</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"_Toc256000033" </w:instrText>
      </w:r>
      <w:r>
        <w:fldChar w:fldCharType="separate"/>
      </w:r>
      <w:r>
        <w:rPr>
          <w:rStyle w:val="11"/>
          <w:rFonts w:ascii="仿宋_GB2312" w:hAnsi="仿宋_GB2312" w:eastAsia="仿宋_GB2312" w:cs="仿宋_GB2312"/>
        </w:rPr>
        <w:t>3.5其他要求</w:t>
      </w:r>
      <w:r>
        <w:tab/>
      </w:r>
      <w:r>
        <w:fldChar w:fldCharType="begin"/>
      </w:r>
      <w:r>
        <w:instrText xml:space="preserve"> PAGEREF _Toc256000033 \h </w:instrText>
      </w:r>
      <w:r>
        <w:fldChar w:fldCharType="separate"/>
      </w:r>
      <w:r>
        <w:t>32</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"_Toc256000034" </w:instrText>
      </w:r>
      <w:r>
        <w:fldChar w:fldCharType="separate"/>
      </w:r>
      <w:r>
        <w:rPr>
          <w:rStyle w:val="11"/>
          <w:rFonts w:ascii="仿宋_GB2312" w:hAnsi="仿宋_GB2312" w:eastAsia="仿宋_GB2312" w:cs="仿宋_GB2312"/>
        </w:rPr>
        <w:t>3.5.1质量安全把控服务要求</w:t>
      </w:r>
      <w:r>
        <w:tab/>
      </w:r>
      <w:r>
        <w:fldChar w:fldCharType="begin"/>
      </w:r>
      <w:r>
        <w:instrText xml:space="preserve"> PAGEREF _Toc256000034 \h </w:instrText>
      </w:r>
      <w:r>
        <w:fldChar w:fldCharType="separate"/>
      </w:r>
      <w:r>
        <w:t>33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"_Toc256000035" </w:instrText>
      </w:r>
      <w:r>
        <w:fldChar w:fldCharType="separate"/>
      </w:r>
      <w:r>
        <w:rPr>
          <w:rStyle w:val="11"/>
          <w:rFonts w:ascii="仿宋_GB2312" w:hAnsi="仿宋_GB2312" w:eastAsia="仿宋_GB2312" w:cs="仿宋_GB2312"/>
        </w:rPr>
        <w:t>3.5.2供应方案要求</w:t>
      </w:r>
      <w:r>
        <w:tab/>
      </w:r>
      <w:r>
        <w:fldChar w:fldCharType="begin"/>
      </w:r>
      <w:r>
        <w:instrText xml:space="preserve"> PAGEREF _Toc256000035 \h </w:instrText>
      </w:r>
      <w:r>
        <w:fldChar w:fldCharType="separate"/>
      </w:r>
      <w:r>
        <w:t>35</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"_Toc256000036" </w:instrText>
      </w:r>
      <w:r>
        <w:fldChar w:fldCharType="separate"/>
      </w:r>
      <w:r>
        <w:rPr>
          <w:rStyle w:val="11"/>
          <w:rFonts w:ascii="仿宋_GB2312" w:hAnsi="仿宋_GB2312" w:eastAsia="仿宋_GB2312" w:cs="仿宋_GB2312"/>
          <w:kern w:val="36"/>
        </w:rPr>
        <w:t>4人员要求</w:t>
      </w:r>
      <w:r>
        <w:tab/>
      </w:r>
      <w:r>
        <w:fldChar w:fldCharType="begin"/>
      </w:r>
      <w:r>
        <w:instrText xml:space="preserve"> PAGEREF _Toc256000036 \h </w:instrText>
      </w:r>
      <w:r>
        <w:fldChar w:fldCharType="separate"/>
      </w:r>
      <w:r>
        <w:t>35</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"_Toc256000037" </w:instrText>
      </w:r>
      <w:r>
        <w:fldChar w:fldCharType="separate"/>
      </w:r>
      <w:r>
        <w:rPr>
          <w:rStyle w:val="11"/>
          <w:rFonts w:ascii="仿宋_GB2312" w:hAnsi="仿宋_GB2312" w:eastAsia="仿宋_GB2312" w:cs="仿宋_GB2312"/>
        </w:rPr>
        <w:t>4.1团队要求</w:t>
      </w:r>
      <w:r>
        <w:tab/>
      </w:r>
      <w:r>
        <w:fldChar w:fldCharType="begin"/>
      </w:r>
      <w:r>
        <w:instrText xml:space="preserve"> PAGEREF _Toc256000037 \h </w:instrText>
      </w:r>
      <w:r>
        <w:fldChar w:fldCharType="separate"/>
      </w:r>
      <w:r>
        <w:t>35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"_Toc256000038" </w:instrText>
      </w:r>
      <w:r>
        <w:fldChar w:fldCharType="separate"/>
      </w:r>
      <w:r>
        <w:rPr>
          <w:rStyle w:val="11"/>
          <w:rFonts w:ascii="仿宋_GB2312" w:hAnsi="仿宋_GB2312" w:eastAsia="仿宋_GB2312" w:cs="仿宋_GB2312"/>
        </w:rPr>
        <w:t>4.1.1基本要求</w:t>
      </w:r>
      <w:r>
        <w:tab/>
      </w:r>
      <w:r>
        <w:fldChar w:fldCharType="begin"/>
      </w:r>
      <w:r>
        <w:instrText xml:space="preserve"> PAGEREF _Toc256000038 \h </w:instrText>
      </w:r>
      <w:r>
        <w:fldChar w:fldCharType="separate"/>
      </w:r>
      <w:r>
        <w:t>35</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"_Toc256000040" </w:instrText>
      </w:r>
      <w:r>
        <w:fldChar w:fldCharType="separate"/>
      </w:r>
      <w:r>
        <w:rPr>
          <w:rStyle w:val="11"/>
          <w:rFonts w:ascii="仿宋_GB2312" w:hAnsi="仿宋_GB2312" w:eastAsia="仿宋_GB2312" w:cs="仿宋_GB2312"/>
          <w:kern w:val="36"/>
        </w:rPr>
        <w:t>5管理实施要求</w:t>
      </w:r>
      <w:r>
        <w:tab/>
      </w:r>
      <w:r>
        <w:fldChar w:fldCharType="begin"/>
      </w:r>
      <w:r>
        <w:instrText xml:space="preserve"> PAGEREF _Toc256000040 \h </w:instrText>
      </w:r>
      <w:r>
        <w:fldChar w:fldCharType="separate"/>
      </w:r>
      <w:r>
        <w:t>36</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"_Toc256000041" </w:instrText>
      </w:r>
      <w:r>
        <w:fldChar w:fldCharType="separate"/>
      </w:r>
      <w:r>
        <w:rPr>
          <w:rStyle w:val="11"/>
          <w:rFonts w:ascii="仿宋_GB2312" w:hAnsi="仿宋_GB2312" w:eastAsia="仿宋_GB2312" w:cs="仿宋_GB2312"/>
          <w:kern w:val="36"/>
        </w:rPr>
        <w:t>6风险管控要求</w:t>
      </w:r>
      <w:r>
        <w:tab/>
      </w:r>
      <w:r>
        <w:fldChar w:fldCharType="begin"/>
      </w:r>
      <w:r>
        <w:instrText xml:space="preserve"> PAGEREF _Toc256000041 \h </w:instrText>
      </w:r>
      <w:r>
        <w:fldChar w:fldCharType="separate"/>
      </w:r>
      <w:r>
        <w:t>36</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"_Toc256000042" </w:instrText>
      </w:r>
      <w:r>
        <w:fldChar w:fldCharType="separate"/>
      </w:r>
      <w:r>
        <w:rPr>
          <w:rStyle w:val="11"/>
          <w:rFonts w:ascii="仿宋_GB2312" w:hAnsi="仿宋_GB2312" w:eastAsia="仿宋_GB2312" w:cs="仿宋_GB2312"/>
          <w:kern w:val="36"/>
        </w:rPr>
        <w:t>7履约验收要求</w:t>
      </w:r>
      <w:r>
        <w:tab/>
      </w:r>
      <w:r>
        <w:fldChar w:fldCharType="begin"/>
      </w:r>
      <w:r>
        <w:instrText xml:space="preserve"> PAGEREF _Toc256000042 \h </w:instrText>
      </w:r>
      <w:r>
        <w:fldChar w:fldCharType="separate"/>
      </w:r>
      <w:r>
        <w:t>37</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"_Toc256000043" </w:instrText>
      </w:r>
      <w:r>
        <w:fldChar w:fldCharType="separate"/>
      </w:r>
      <w:r>
        <w:rPr>
          <w:rStyle w:val="11"/>
          <w:rFonts w:ascii="仿宋_GB2312" w:hAnsi="仿宋_GB2312" w:eastAsia="仿宋_GB2312" w:cs="仿宋_GB2312"/>
        </w:rPr>
        <w:t>7.1总体要求</w:t>
      </w:r>
      <w:r>
        <w:tab/>
      </w:r>
      <w:r>
        <w:fldChar w:fldCharType="begin"/>
      </w:r>
      <w:r>
        <w:instrText xml:space="preserve"> PAGEREF _Toc256000043 \h </w:instrText>
      </w:r>
      <w:r>
        <w:fldChar w:fldCharType="separate"/>
      </w:r>
      <w:r>
        <w:t>37</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"_Toc256000044" </w:instrText>
      </w:r>
      <w:r>
        <w:fldChar w:fldCharType="separate"/>
      </w:r>
      <w:r>
        <w:rPr>
          <w:rStyle w:val="11"/>
          <w:rFonts w:ascii="仿宋_GB2312" w:hAnsi="仿宋_GB2312" w:eastAsia="仿宋_GB2312" w:cs="仿宋_GB2312"/>
        </w:rPr>
        <w:t>7.2具体要求</w:t>
      </w:r>
      <w:r>
        <w:tab/>
      </w:r>
      <w:r>
        <w:fldChar w:fldCharType="begin"/>
      </w:r>
      <w:r>
        <w:instrText xml:space="preserve"> PAGEREF _Toc256000044 \h </w:instrText>
      </w:r>
      <w:r>
        <w:fldChar w:fldCharType="separate"/>
      </w:r>
      <w:r>
        <w:t>38</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"_Toc256000045" </w:instrText>
      </w:r>
      <w:r>
        <w:fldChar w:fldCharType="separate"/>
      </w:r>
      <w:r>
        <w:rPr>
          <w:rStyle w:val="11"/>
          <w:rFonts w:ascii="仿宋_GB2312" w:hAnsi="仿宋_GB2312" w:eastAsia="仿宋_GB2312" w:cs="仿宋_GB2312"/>
          <w:kern w:val="36"/>
        </w:rPr>
        <w:t>8其他要求</w:t>
      </w:r>
      <w:r>
        <w:tab/>
      </w:r>
      <w:r>
        <w:fldChar w:fldCharType="begin"/>
      </w:r>
      <w:r>
        <w:instrText xml:space="preserve"> PAGEREF _Toc256000045 \h </w:instrText>
      </w:r>
      <w:r>
        <w:fldChar w:fldCharType="separate"/>
      </w:r>
      <w:r>
        <w:t>40</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"_Toc256000046" </w:instrText>
      </w:r>
      <w:r>
        <w:fldChar w:fldCharType="separate"/>
      </w:r>
      <w:r>
        <w:rPr>
          <w:rStyle w:val="11"/>
          <w:rFonts w:ascii="仿宋_GB2312" w:hAnsi="仿宋_GB2312" w:eastAsia="仿宋_GB2312" w:cs="仿宋_GB2312"/>
        </w:rPr>
        <w:t>8.1必备要求</w:t>
      </w:r>
      <w:r>
        <w:tab/>
      </w:r>
      <w:r>
        <w:fldChar w:fldCharType="begin"/>
      </w:r>
      <w:r>
        <w:instrText xml:space="preserve"> PAGEREF _Toc256000046 \h </w:instrText>
      </w:r>
      <w:r>
        <w:fldChar w:fldCharType="separate"/>
      </w:r>
      <w:r>
        <w:t>40</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"_Toc256000047" </w:instrText>
      </w:r>
      <w:r>
        <w:fldChar w:fldCharType="separate"/>
      </w:r>
      <w:r>
        <w:rPr>
          <w:rStyle w:val="11"/>
          <w:rFonts w:ascii="仿宋_GB2312" w:hAnsi="仿宋_GB2312" w:eastAsia="仿宋_GB2312" w:cs="仿宋_GB2312"/>
        </w:rPr>
        <w:t>8.1.1通用必备要求</w:t>
      </w:r>
      <w:r>
        <w:tab/>
      </w:r>
      <w:r>
        <w:fldChar w:fldCharType="begin"/>
      </w:r>
      <w:r>
        <w:instrText xml:space="preserve"> PAGEREF _Toc256000047 \h </w:instrText>
      </w:r>
      <w:r>
        <w:fldChar w:fldCharType="separate"/>
      </w:r>
      <w:r>
        <w:t>40</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"_Toc256000048" </w:instrText>
      </w:r>
      <w:r>
        <w:fldChar w:fldCharType="separate"/>
      </w:r>
      <w:r>
        <w:rPr>
          <w:rStyle w:val="11"/>
          <w:rFonts w:ascii="仿宋_GB2312" w:hAnsi="仿宋_GB2312" w:eastAsia="仿宋_GB2312" w:cs="仿宋_GB2312"/>
        </w:rPr>
        <w:t>定价和结算要求</w:t>
      </w:r>
      <w:r>
        <w:tab/>
      </w:r>
      <w:r>
        <w:fldChar w:fldCharType="begin"/>
      </w:r>
      <w:r>
        <w:instrText xml:space="preserve"> PAGEREF _Toc256000048 \h </w:instrText>
      </w:r>
      <w:r>
        <w:fldChar w:fldCharType="separate"/>
      </w:r>
      <w:r>
        <w:t>41</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"_Toc256000049" </w:instrText>
      </w:r>
      <w:r>
        <w:fldChar w:fldCharType="separate"/>
      </w:r>
      <w:r>
        <w:rPr>
          <w:rStyle w:val="11"/>
          <w:rFonts w:ascii="仿宋_GB2312" w:hAnsi="仿宋_GB2312" w:eastAsia="仿宋_GB2312" w:cs="仿宋_GB2312"/>
        </w:rPr>
        <w:t>8.2付款安排建议</w:t>
      </w:r>
      <w:r>
        <w:tab/>
      </w:r>
      <w:r>
        <w:fldChar w:fldCharType="begin"/>
      </w:r>
      <w:r>
        <w:instrText xml:space="preserve"> PAGEREF _Toc256000049 \h </w:instrText>
      </w:r>
      <w:r>
        <w:fldChar w:fldCharType="separate"/>
      </w:r>
      <w:r>
        <w:t>42</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"_Toc256000050" </w:instrText>
      </w:r>
      <w:r>
        <w:fldChar w:fldCharType="separate"/>
      </w:r>
      <w:r>
        <w:rPr>
          <w:rStyle w:val="11"/>
          <w:rFonts w:ascii="仿宋_GB2312" w:hAnsi="仿宋_GB2312" w:eastAsia="仿宋_GB2312" w:cs="仿宋_GB2312"/>
        </w:rPr>
        <w:t>8.3其他要求</w:t>
      </w:r>
      <w:r>
        <w:tab/>
      </w:r>
      <w:r>
        <w:fldChar w:fldCharType="begin"/>
      </w:r>
      <w:r>
        <w:instrText xml:space="preserve"> PAGEREF _Toc256000050 \h </w:instrText>
      </w:r>
      <w:r>
        <w:fldChar w:fldCharType="separate"/>
      </w:r>
      <w:r>
        <w:t>45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"_Toc256000051" </w:instrText>
      </w:r>
      <w:r>
        <w:fldChar w:fldCharType="separate"/>
      </w:r>
      <w:r>
        <w:rPr>
          <w:rStyle w:val="11"/>
          <w:rFonts w:ascii="仿宋_GB2312" w:hAnsi="仿宋_GB2312" w:eastAsia="仿宋_GB2312" w:cs="仿宋_GB2312"/>
        </w:rPr>
        <w:t>8.3.1保密要求</w:t>
      </w:r>
      <w:r>
        <w:tab/>
      </w:r>
      <w:r>
        <w:fldChar w:fldCharType="begin"/>
      </w:r>
      <w:r>
        <w:instrText xml:space="preserve"> PAGEREF _Toc256000051 \h </w:instrText>
      </w:r>
      <w:r>
        <w:fldChar w:fldCharType="separate"/>
      </w:r>
      <w:r>
        <w:t>45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"_Toc256000052" </w:instrText>
      </w:r>
      <w:r>
        <w:fldChar w:fldCharType="separate"/>
      </w:r>
      <w:r>
        <w:rPr>
          <w:rStyle w:val="11"/>
          <w:rFonts w:ascii="仿宋_GB2312" w:hAnsi="仿宋_GB2312" w:eastAsia="仿宋_GB2312" w:cs="仿宋_GB2312"/>
        </w:rPr>
        <w:t>8.3.2知识产权要求</w:t>
      </w:r>
      <w:r>
        <w:tab/>
      </w:r>
      <w:r>
        <w:fldChar w:fldCharType="begin"/>
      </w:r>
      <w:r>
        <w:instrText xml:space="preserve"> PAGEREF _Toc256000052 \h </w:instrText>
      </w:r>
      <w:r>
        <w:fldChar w:fldCharType="separate"/>
      </w:r>
      <w:r>
        <w:t>45</w:t>
      </w:r>
      <w:r>
        <w:fldChar w:fldCharType="end"/>
      </w:r>
      <w:r>
        <w:fldChar w:fldCharType="end"/>
      </w:r>
    </w:p>
    <w:p>
      <w:pPr>
        <w:spacing w:before="0" w:after="0" w:line="360" w:lineRule="auto"/>
        <w:jc w:val="left"/>
      </w:pPr>
      <w:r>
        <w:rPr>
          <w:rFonts w:ascii="宋体" w:hAnsi="宋体" w:eastAsia="宋体" w:cs="宋体"/>
          <w:sz w:val="32"/>
        </w:rPr>
        <w:fldChar w:fldCharType="end"/>
      </w:r>
      <w:r>
        <w:br w:type="page"/>
      </w:r>
    </w:p>
    <w:p>
      <w:pPr>
        <w:pStyle w:val="2"/>
        <w:keepNext w:val="0"/>
        <w:spacing w:before="0" w:after="0" w:line="360" w:lineRule="auto"/>
        <w:jc w:val="center"/>
        <w:rPr>
          <w:rFonts w:ascii="仿宋_GB2312" w:hAnsi="仿宋_GB2312" w:eastAsia="仿宋_GB2312" w:cs="仿宋_GB2312"/>
          <w:b/>
          <w:bCs/>
          <w:sz w:val="32"/>
          <w:szCs w:val="32"/>
        </w:rPr>
      </w:pPr>
      <w:bookmarkStart w:id="2" w:name="_Toc256000000"/>
      <w:r>
        <w:rPr>
          <w:rFonts w:ascii="仿宋_GB2312" w:hAnsi="仿宋_GB2312" w:eastAsia="仿宋_GB2312" w:cs="仿宋_GB2312"/>
          <w:kern w:val="36"/>
        </w:rPr>
        <w:t>1项目概述</w:t>
      </w:r>
      <w:bookmarkEnd w:id="2"/>
    </w:p>
    <w:p>
      <w:pPr>
        <w:pStyle w:val="3"/>
        <w:keepNext w:val="0"/>
        <w:spacing w:before="0" w:after="0" w:line="360" w:lineRule="auto"/>
        <w:rPr>
          <w:rFonts w:ascii="仿宋_GB2312" w:hAnsi="仿宋_GB2312" w:eastAsia="仿宋_GB2312" w:cs="仿宋_GB2312"/>
          <w:b/>
          <w:bCs/>
          <w:sz w:val="28"/>
          <w:szCs w:val="28"/>
        </w:rPr>
      </w:pPr>
      <w:bookmarkStart w:id="3" w:name="_Toc256000001"/>
      <w:r>
        <w:rPr>
          <w:rFonts w:ascii="仿宋_GB2312" w:hAnsi="仿宋_GB2312" w:eastAsia="仿宋_GB2312" w:cs="仿宋_GB2312"/>
          <w:i w:val="0"/>
          <w:iCs w:val="0"/>
        </w:rPr>
        <w:t>1.1项目背景</w:t>
      </w:r>
      <w:bookmarkEnd w:id="3"/>
    </w:p>
    <w:p>
      <w:pPr>
        <w:pStyle w:val="4"/>
        <w:keepNext w:val="0"/>
        <w:spacing w:before="0" w:after="0" w:line="360" w:lineRule="auto"/>
        <w:rPr>
          <w:rFonts w:ascii="仿宋_GB2312" w:hAnsi="仿宋_GB2312" w:eastAsia="仿宋_GB2312" w:cs="仿宋_GB2312"/>
          <w:b/>
          <w:bCs/>
          <w:sz w:val="28"/>
          <w:szCs w:val="28"/>
        </w:rPr>
      </w:pPr>
      <w:bookmarkStart w:id="4" w:name="_Toc256000002"/>
      <w:r>
        <w:rPr>
          <w:rFonts w:ascii="仿宋_GB2312" w:hAnsi="仿宋_GB2312" w:eastAsia="仿宋_GB2312" w:cs="仿宋_GB2312"/>
          <w:sz w:val="28"/>
          <w:szCs w:val="28"/>
        </w:rPr>
        <w:t>1.1.1项目目的、意义及背景</w:t>
      </w:r>
      <w:bookmarkEnd w:id="4"/>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2026年国家税务总局天津市西青区税务局食材采购项目，第一包为区局提供果蔬水产奶制品类(果蔬水产奶制品，包含蔬菜、水果、海鲜及海产品、鲜奶、豆制品等),第二包为区局提供鲜冻禽畜肉类(包含猪肉及副产品、牛羊肉及各部件、禽肉及各部件、肉制品及半成品等),第三包为区局提供主副食调料等其他类(包含米、面、杂粮、油、鸡蛋、酸奶及调料等)，每包预算均为130万元，采购总预算为390万元，供应商按照本包金额进行投标报价，投标价格不得超过预算。投标价格不作为最终合同金额，采购食材按实际采购量进行结算，总结算金额不超过采购预算。</w:t>
      </w:r>
    </w:p>
    <w:p>
      <w:pPr>
        <w:pStyle w:val="3"/>
        <w:keepNext w:val="0"/>
        <w:spacing w:before="0" w:after="0" w:line="360" w:lineRule="auto"/>
        <w:rPr>
          <w:rFonts w:ascii="仿宋_GB2312" w:hAnsi="仿宋_GB2312" w:eastAsia="仿宋_GB2312" w:cs="仿宋_GB2312"/>
          <w:b/>
          <w:bCs/>
          <w:sz w:val="28"/>
          <w:szCs w:val="28"/>
        </w:rPr>
      </w:pPr>
      <w:bookmarkStart w:id="5" w:name="_Toc256000003"/>
      <w:r>
        <w:rPr>
          <w:rFonts w:ascii="仿宋_GB2312" w:hAnsi="仿宋_GB2312" w:eastAsia="仿宋_GB2312" w:cs="仿宋_GB2312"/>
          <w:i w:val="0"/>
          <w:iCs w:val="0"/>
        </w:rPr>
        <w:t>1.2项目内容</w:t>
      </w:r>
      <w:bookmarkEnd w:id="5"/>
    </w:p>
    <w:p>
      <w:pPr>
        <w:pStyle w:val="4"/>
        <w:keepNext w:val="0"/>
        <w:spacing w:before="0" w:after="0" w:line="360" w:lineRule="auto"/>
        <w:rPr>
          <w:rFonts w:ascii="仿宋_GB2312" w:hAnsi="仿宋_GB2312" w:eastAsia="仿宋_GB2312" w:cs="仿宋_GB2312"/>
          <w:b/>
          <w:bCs/>
          <w:sz w:val="28"/>
          <w:szCs w:val="28"/>
        </w:rPr>
      </w:pPr>
      <w:bookmarkStart w:id="6" w:name="_Toc256000004"/>
      <w:r>
        <w:rPr>
          <w:rFonts w:ascii="仿宋_GB2312" w:hAnsi="仿宋_GB2312" w:eastAsia="仿宋_GB2312" w:cs="仿宋_GB2312"/>
          <w:sz w:val="28"/>
          <w:szCs w:val="28"/>
        </w:rPr>
        <w:t>1.2.1项目建设思路</w:t>
      </w:r>
      <w:bookmarkEnd w:id="6"/>
    </w:p>
    <w:p>
      <w:pPr>
        <w:keepNext w:val="0"/>
        <w:keepLines w:val="0"/>
        <w:pageBreakBefore w:val="0"/>
        <w:widowControl/>
        <w:kinsoku/>
        <w:wordWrap/>
        <w:overflowPunct/>
        <w:topLinePunct w:val="0"/>
        <w:autoSpaceDE/>
        <w:autoSpaceDN/>
        <w:bidi w:val="0"/>
        <w:adjustRightInd/>
        <w:snapToGrid/>
        <w:spacing w:before="0" w:after="0" w:line="360" w:lineRule="auto"/>
        <w:jc w:val="both"/>
        <w:textAlignment w:val="auto"/>
        <w:rPr>
          <w:rFonts w:ascii="仿宋_GB2312" w:hAnsi="仿宋_GB2312" w:eastAsia="仿宋_GB2312" w:cs="仿宋_GB2312"/>
          <w:sz w:val="28"/>
          <w:szCs w:val="28"/>
        </w:rPr>
      </w:pPr>
      <w:r>
        <w:rPr>
          <w:rFonts w:ascii="宋体" w:hAnsi="宋体" w:eastAsia="宋体" w:cs="宋体"/>
          <w:sz w:val="28"/>
          <w:szCs w:val="28"/>
        </w:rPr>
        <w:t> </w:t>
      </w:r>
      <w:r>
        <w:rPr>
          <w:rFonts w:ascii="FangSong_GB2312" w:hAnsi="FangSong_GB2312" w:eastAsia="FangSong_GB2312" w:cs="FangSong_GB2312"/>
          <w:sz w:val="28"/>
          <w:szCs w:val="28"/>
        </w:rPr>
        <w:t xml:space="preserve"> </w:t>
      </w:r>
      <w:r>
        <w:rPr>
          <w:rFonts w:hint="eastAsia" w:ascii="FangSong_GB2312" w:hAnsi="FangSong_GB2312" w:eastAsia="FangSong_GB2312" w:cs="FangSong_GB2312"/>
          <w:sz w:val="28"/>
          <w:szCs w:val="28"/>
          <w:lang w:val="en-US" w:eastAsia="zh-CN"/>
        </w:rPr>
        <w:t xml:space="preserve"> </w:t>
      </w:r>
      <w:r>
        <w:rPr>
          <w:rFonts w:ascii="FangSong_GB2312" w:hAnsi="FangSong_GB2312" w:eastAsia="FangSong_GB2312" w:cs="FangSong_GB2312"/>
          <w:sz w:val="28"/>
          <w:szCs w:val="28"/>
        </w:rPr>
        <w:t>本项目旨在为区局提供质优价廉的水果、蔬菜、水产品、鲜奶、豆制品等和猪肉及副产品、牛羊肉及各部件、禽肉及各部件、肉制品及半成品等以及米、面、杂粮、油、鸡蛋及调料等食材，在确保区局食品安全的基础上，提供高效便捷的服务。</w:t>
      </w:r>
    </w:p>
    <w:p>
      <w:pPr>
        <w:pStyle w:val="4"/>
        <w:keepNext w:val="0"/>
        <w:spacing w:before="0" w:after="0" w:line="360" w:lineRule="auto"/>
        <w:rPr>
          <w:rFonts w:ascii="仿宋_GB2312" w:hAnsi="仿宋_GB2312" w:eastAsia="仿宋_GB2312" w:cs="仿宋_GB2312"/>
          <w:b/>
          <w:bCs/>
          <w:sz w:val="28"/>
          <w:szCs w:val="28"/>
        </w:rPr>
      </w:pPr>
      <w:bookmarkStart w:id="7" w:name="_Toc256000005"/>
      <w:r>
        <w:rPr>
          <w:rFonts w:ascii="仿宋_GB2312" w:hAnsi="仿宋_GB2312" w:eastAsia="仿宋_GB2312" w:cs="仿宋_GB2312"/>
          <w:sz w:val="28"/>
          <w:szCs w:val="28"/>
        </w:rPr>
        <w:t>1.2.2采购内容</w:t>
      </w:r>
      <w:bookmarkEnd w:id="7"/>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482"/>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采购内容为国家税务总局天津市西青区税务局所需的果蔬水产奶制品类 ，鲜冻禽畜肉类，主副食调料等其他类等食材，含相应配送。</w:t>
      </w:r>
    </w:p>
    <w:p>
      <w:pPr>
        <w:pStyle w:val="4"/>
        <w:keepNext w:val="0"/>
        <w:spacing w:before="0" w:after="0" w:line="360" w:lineRule="auto"/>
        <w:rPr>
          <w:rFonts w:ascii="仿宋_GB2312" w:hAnsi="仿宋_GB2312" w:eastAsia="仿宋_GB2312" w:cs="仿宋_GB2312"/>
          <w:b/>
          <w:bCs/>
          <w:sz w:val="28"/>
          <w:szCs w:val="28"/>
        </w:rPr>
      </w:pPr>
      <w:bookmarkStart w:id="8" w:name="_Toc256000006"/>
      <w:r>
        <w:rPr>
          <w:rFonts w:ascii="仿宋_GB2312" w:hAnsi="仿宋_GB2312" w:eastAsia="仿宋_GB2312" w:cs="仿宋_GB2312"/>
          <w:sz w:val="28"/>
          <w:szCs w:val="28"/>
        </w:rPr>
        <w:t>1.2.3项目实施要求</w:t>
      </w:r>
      <w:bookmarkEnd w:id="8"/>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1.2.3.1实施范围要求</w:t>
      </w:r>
    </w:p>
    <w:p>
      <w:pPr>
        <w:pStyle w:val="13"/>
        <w:keepNext w:val="0"/>
        <w:keepLines w:val="0"/>
        <w:pageBreakBefore w:val="0"/>
        <w:widowControl/>
        <w:kinsoku/>
        <w:wordWrap/>
        <w:overflowPunct/>
        <w:topLinePunct w:val="0"/>
        <w:autoSpaceDE/>
        <w:autoSpaceDN/>
        <w:bidi w:val="0"/>
        <w:adjustRightInd/>
        <w:snapToGrid/>
        <w:spacing w:before="0" w:after="0" w:line="360" w:lineRule="auto"/>
        <w:ind w:firstLine="482"/>
        <w:jc w:val="both"/>
        <w:textAlignment w:val="baseline"/>
        <w:rPr>
          <w:rFonts w:ascii="Times New Roman" w:hAnsi="Times New Roman" w:eastAsia="Times New Roman" w:cs="Times New Roman"/>
        </w:rPr>
      </w:pPr>
      <w:r>
        <w:rPr>
          <w:rFonts w:ascii="仿宋_GB2312" w:hAnsi="仿宋_GB2312" w:eastAsia="仿宋_GB2312" w:cs="仿宋_GB2312"/>
          <w:sz w:val="28"/>
          <w:szCs w:val="28"/>
        </w:rPr>
        <w:t>按照采购人需求，为国家税务总局天津市西青区税务局提供2</w:t>
      </w:r>
      <w:r>
        <w:rPr>
          <w:rFonts w:ascii="仿宋_GB2312" w:hAnsi="仿宋_GB2312" w:eastAsia="仿宋_GB2312" w:cs="仿宋_GB2312"/>
          <w:spacing w:val="0"/>
          <w:sz w:val="28"/>
          <w:szCs w:val="28"/>
        </w:rPr>
        <w:t>026年度果蔬水产奶制品类、</w:t>
      </w:r>
      <w:r>
        <w:rPr>
          <w:rFonts w:ascii="仿宋_GB2312" w:hAnsi="仿宋_GB2312" w:eastAsia="仿宋_GB2312" w:cs="仿宋_GB2312"/>
          <w:sz w:val="28"/>
          <w:szCs w:val="28"/>
        </w:rPr>
        <w:t>鲜冻禽畜肉</w:t>
      </w:r>
      <w:r>
        <w:rPr>
          <w:rFonts w:ascii="仿宋_GB2312" w:hAnsi="仿宋_GB2312" w:eastAsia="仿宋_GB2312" w:cs="仿宋_GB2312"/>
          <w:spacing w:val="0"/>
          <w:sz w:val="28"/>
          <w:szCs w:val="28"/>
        </w:rPr>
        <w:t>类、</w:t>
      </w:r>
      <w:r>
        <w:rPr>
          <w:rFonts w:ascii="仿宋_GB2312" w:hAnsi="仿宋_GB2312" w:eastAsia="仿宋_GB2312" w:cs="仿宋_GB2312"/>
          <w:sz w:val="28"/>
          <w:szCs w:val="28"/>
        </w:rPr>
        <w:t>主副食调料等</w:t>
      </w:r>
      <w:r>
        <w:rPr>
          <w:rFonts w:ascii="仿宋_GB2312" w:hAnsi="仿宋_GB2312" w:eastAsia="仿宋_GB2312" w:cs="仿宋_GB2312"/>
          <w:spacing w:val="0"/>
          <w:sz w:val="28"/>
          <w:szCs w:val="28"/>
        </w:rPr>
        <w:t>食材，并提供相应简单加工及配送服务。</w:t>
      </w:r>
    </w:p>
    <w:p>
      <w:pPr>
        <w:keepNext w:val="0"/>
        <w:keepLines w:val="0"/>
        <w:pageBreakBefore w:val="0"/>
        <w:widowControl/>
        <w:kinsoku/>
        <w:wordWrap/>
        <w:overflowPunct/>
        <w:topLinePunct w:val="0"/>
        <w:autoSpaceDE/>
        <w:autoSpaceDN/>
        <w:bidi w:val="0"/>
        <w:adjustRightInd/>
        <w:snapToGrid/>
        <w:spacing w:before="0" w:after="0" w:line="360" w:lineRule="auto"/>
        <w:jc w:val="both"/>
        <w:rPr>
          <w:rFonts w:ascii="Times New Roman" w:hAnsi="Times New Roman" w:eastAsia="Times New Roman" w:cs="Times New Roman"/>
        </w:rPr>
      </w:pPr>
      <w:r>
        <w:rPr>
          <w:rFonts w:ascii="Times New Roman" w:hAnsi="Times New Roman" w:eastAsia="Times New Roman" w:cs="Times New Roman"/>
        </w:rPr>
        <w:t> </w:t>
      </w:r>
    </w:p>
    <w:p>
      <w:pPr>
        <w:pStyle w:val="5"/>
        <w:keepNext w:val="0"/>
        <w:keepLines w:val="0"/>
        <w:pageBreakBefore w:val="0"/>
        <w:widowControl/>
        <w:kinsoku/>
        <w:wordWrap/>
        <w:overflowPunct/>
        <w:topLinePunct w:val="0"/>
        <w:autoSpaceDE/>
        <w:autoSpaceDN/>
        <w:bidi w:val="0"/>
        <w:adjustRightInd/>
        <w:snapToGrid/>
        <w:spacing w:before="0" w:after="0" w:line="360" w:lineRule="auto"/>
        <w:jc w:val="both"/>
        <w:rPr>
          <w:rFonts w:ascii="仿宋_GB2312" w:hAnsi="仿宋_GB2312" w:eastAsia="仿宋_GB2312" w:cs="仿宋_GB2312"/>
          <w:b/>
          <w:bCs/>
          <w:sz w:val="28"/>
          <w:szCs w:val="28"/>
        </w:rPr>
      </w:pPr>
      <w:r>
        <w:rPr>
          <w:rFonts w:ascii="仿宋_GB2312" w:hAnsi="仿宋_GB2312" w:eastAsia="仿宋_GB2312" w:cs="仿宋_GB2312"/>
        </w:rPr>
        <w:t>1.2.3.2实施时间要求</w:t>
      </w:r>
    </w:p>
    <w:p>
      <w:pPr>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rPr>
          <w:rFonts w:ascii="FangSong_GB2312" w:hAnsi="FangSong_GB2312" w:eastAsia="FangSong_GB2312" w:cs="FangSong_GB2312"/>
          <w:sz w:val="28"/>
          <w:szCs w:val="28"/>
        </w:rPr>
      </w:pPr>
      <w:r>
        <w:rPr>
          <w:rFonts w:ascii="FangSong_GB2312" w:hAnsi="FangSong_GB2312" w:eastAsia="FangSong_GB2312" w:cs="FangSong_GB2312"/>
          <w:sz w:val="28"/>
          <w:szCs w:val="28"/>
        </w:rPr>
        <w:t>2026年1月1日至2026年12月31日</w:t>
      </w:r>
    </w:p>
    <w:p>
      <w:pPr>
        <w:pStyle w:val="5"/>
        <w:keepNext w:val="0"/>
        <w:keepLines w:val="0"/>
        <w:pageBreakBefore w:val="0"/>
        <w:widowControl/>
        <w:kinsoku/>
        <w:wordWrap/>
        <w:overflowPunct/>
        <w:topLinePunct w:val="0"/>
        <w:autoSpaceDE/>
        <w:autoSpaceDN/>
        <w:bidi w:val="0"/>
        <w:adjustRightInd/>
        <w:snapToGrid/>
        <w:spacing w:before="0" w:after="0" w:line="360" w:lineRule="auto"/>
        <w:jc w:val="both"/>
        <w:rPr>
          <w:rFonts w:ascii="仿宋_GB2312" w:hAnsi="仿宋_GB2312" w:eastAsia="仿宋_GB2312" w:cs="仿宋_GB2312"/>
          <w:b/>
          <w:bCs/>
          <w:sz w:val="28"/>
          <w:szCs w:val="28"/>
        </w:rPr>
      </w:pPr>
      <w:r>
        <w:rPr>
          <w:rFonts w:ascii="仿宋_GB2312" w:hAnsi="仿宋_GB2312" w:eastAsia="仿宋_GB2312" w:cs="仿宋_GB2312"/>
        </w:rPr>
        <w:t>1.2.3.3实施地点要求</w:t>
      </w:r>
    </w:p>
    <w:p>
      <w:pPr>
        <w:keepNext w:val="0"/>
        <w:keepLines w:val="0"/>
        <w:pageBreakBefore w:val="0"/>
        <w:widowControl/>
        <w:kinsoku/>
        <w:wordWrap/>
        <w:overflowPunct/>
        <w:topLinePunct w:val="0"/>
        <w:autoSpaceDE/>
        <w:autoSpaceDN/>
        <w:bidi w:val="0"/>
        <w:adjustRightInd/>
        <w:snapToGrid/>
        <w:spacing w:before="0" w:after="0" w:line="360" w:lineRule="auto"/>
        <w:jc w:val="both"/>
        <w:textAlignment w:val="auto"/>
        <w:rPr>
          <w:rFonts w:hint="eastAsia" w:ascii="仿宋_GB2312" w:hAnsi="仿宋_GB2312" w:eastAsia="仿宋_GB2312" w:cs="仿宋_GB2312"/>
        </w:rPr>
      </w:pPr>
      <w:r>
        <w:rPr>
          <w:rFonts w:hint="eastAsia" w:ascii="仿宋_GB2312" w:hAnsi="仿宋_GB2312" w:eastAsia="仿宋_GB2312" w:cs="仿宋_GB2312"/>
          <w:sz w:val="28"/>
          <w:szCs w:val="28"/>
        </w:rPr>
        <w:t>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1.1局机关：坐落在天津市西青区杨柳青镇柳口路43号，院内面积共计16900平方米，分南北两座办公楼及一个附属楼，其中：南办公楼7层、北办公楼7层，附属楼3层。</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480"/>
        <w:jc w:val="both"/>
        <w:textAlignment w:val="auto"/>
        <w:rPr>
          <w:rFonts w:hint="eastAsia" w:ascii="仿宋_GB2312" w:hAnsi="仿宋_GB2312" w:eastAsia="仿宋_GB2312" w:cs="仿宋_GB2312"/>
        </w:rPr>
      </w:pPr>
      <w:r>
        <w:rPr>
          <w:rFonts w:hint="eastAsia" w:ascii="仿宋_GB2312" w:hAnsi="仿宋_GB2312" w:eastAsia="仿宋_GB2312" w:cs="仿宋_GB2312"/>
          <w:sz w:val="28"/>
          <w:szCs w:val="28"/>
        </w:rPr>
        <w:t>1.2大寺办公区：坐落在天津市西青区兴华道1号，建筑面积5300平方米，办公楼共计6层。</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480"/>
        <w:jc w:val="both"/>
        <w:textAlignment w:val="auto"/>
        <w:rPr>
          <w:rFonts w:hint="eastAsia" w:ascii="仿宋_GB2312" w:hAnsi="仿宋_GB2312" w:eastAsia="仿宋_GB2312" w:cs="仿宋_GB2312"/>
        </w:rPr>
      </w:pPr>
      <w:r>
        <w:rPr>
          <w:rFonts w:hint="eastAsia" w:ascii="仿宋_GB2312" w:hAnsi="仿宋_GB2312" w:eastAsia="仿宋_GB2312" w:cs="仿宋_GB2312"/>
          <w:sz w:val="28"/>
          <w:szCs w:val="28"/>
        </w:rPr>
        <w:t>1.3西营门税务所：坐落在天津市西青区中北镇中北大道镇政府东侧。</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480"/>
        <w:jc w:val="both"/>
        <w:textAlignment w:val="auto"/>
        <w:rPr>
          <w:rFonts w:hint="eastAsia" w:ascii="仿宋_GB2312" w:hAnsi="仿宋_GB2312" w:eastAsia="仿宋_GB2312" w:cs="仿宋_GB2312"/>
        </w:rPr>
      </w:pPr>
      <w:r>
        <w:rPr>
          <w:rFonts w:hint="eastAsia" w:ascii="仿宋_GB2312" w:hAnsi="仿宋_GB2312" w:eastAsia="仿宋_GB2312" w:cs="仿宋_GB2312"/>
          <w:sz w:val="28"/>
          <w:szCs w:val="28"/>
        </w:rPr>
        <w:t>1.4杨柳青税务所：坐落在天津市西青区西青区欣杨道26号。</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480"/>
        <w:jc w:val="both"/>
        <w:textAlignment w:val="auto"/>
        <w:rPr>
          <w:rFonts w:hint="eastAsia" w:ascii="仿宋_GB2312" w:hAnsi="仿宋_GB2312" w:eastAsia="仿宋_GB2312" w:cs="仿宋_GB2312"/>
        </w:rPr>
      </w:pPr>
      <w:r>
        <w:rPr>
          <w:rFonts w:hint="eastAsia" w:ascii="仿宋_GB2312" w:hAnsi="仿宋_GB2312" w:eastAsia="仿宋_GB2312" w:cs="仿宋_GB2312"/>
          <w:sz w:val="28"/>
          <w:szCs w:val="28"/>
        </w:rPr>
        <w:t>1.5张家窝税务所：坐落在天津市西青区张家窝镇辛老路与嘉和路交口，建筑面积2969.9平方米，办公楼共计3层。</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482"/>
        <w:jc w:val="both"/>
        <w:textAlignment w:val="auto"/>
        <w:rPr>
          <w:rFonts w:hint="eastAsia" w:ascii="仿宋_GB2312" w:hAnsi="仿宋_GB2312" w:eastAsia="仿宋_GB2312" w:cs="仿宋_GB2312"/>
        </w:rPr>
      </w:pPr>
      <w:r>
        <w:rPr>
          <w:rFonts w:hint="eastAsia" w:ascii="仿宋_GB2312" w:hAnsi="仿宋_GB2312" w:eastAsia="仿宋_GB2312" w:cs="仿宋_GB2312"/>
          <w:sz w:val="28"/>
          <w:szCs w:val="28"/>
        </w:rPr>
        <w:t>1.6中北税务所：坐落在天津市西青区中北镇中北大道镇政府东侧，建筑面积：1500平方米，办公楼共计4层。</w:t>
      </w:r>
    </w:p>
    <w:p>
      <w:pPr>
        <w:pStyle w:val="3"/>
        <w:keepNext w:val="0"/>
        <w:spacing w:before="0" w:after="0" w:line="360" w:lineRule="auto"/>
        <w:rPr>
          <w:rFonts w:ascii="仿宋_GB2312" w:hAnsi="仿宋_GB2312" w:eastAsia="仿宋_GB2312" w:cs="仿宋_GB2312"/>
          <w:b/>
          <w:bCs/>
          <w:sz w:val="28"/>
          <w:szCs w:val="28"/>
        </w:rPr>
      </w:pPr>
      <w:bookmarkStart w:id="9" w:name="_Toc256000007"/>
      <w:r>
        <w:rPr>
          <w:rFonts w:ascii="仿宋_GB2312" w:hAnsi="仿宋_GB2312" w:eastAsia="仿宋_GB2312" w:cs="仿宋_GB2312"/>
          <w:i w:val="0"/>
          <w:iCs w:val="0"/>
        </w:rPr>
        <w:t>1.3其他要求</w:t>
      </w:r>
      <w:bookmarkEnd w:id="9"/>
    </w:p>
    <w:p>
      <w:pPr>
        <w:pStyle w:val="4"/>
        <w:keepNext w:val="0"/>
        <w:spacing w:before="0" w:after="0" w:line="360" w:lineRule="auto"/>
        <w:rPr>
          <w:rFonts w:ascii="仿宋_GB2312" w:hAnsi="仿宋_GB2312" w:eastAsia="仿宋_GB2312" w:cs="仿宋_GB2312"/>
          <w:b/>
          <w:bCs/>
          <w:sz w:val="28"/>
          <w:szCs w:val="28"/>
        </w:rPr>
      </w:pPr>
      <w:bookmarkStart w:id="10" w:name="_Toc256000008"/>
      <w:r>
        <w:rPr>
          <w:rFonts w:ascii="仿宋_GB2312" w:hAnsi="仿宋_GB2312" w:eastAsia="仿宋_GB2312" w:cs="仿宋_GB2312"/>
          <w:sz w:val="28"/>
          <w:szCs w:val="28"/>
        </w:rPr>
        <w:t>1.3.1采购标的需执行的相关标准规范</w:t>
      </w:r>
      <w:bookmarkEnd w:id="10"/>
    </w:p>
    <w:p>
      <w:pPr>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仿宋_GB2312" w:hAnsi="仿宋_GB2312" w:eastAsia="仿宋_GB2312" w:cs="仿宋_GB2312"/>
          <w:sz w:val="28"/>
          <w:szCs w:val="28"/>
        </w:rPr>
        <w:t>投标人应遵守有关国家法律、法规和条例,具备《中华人民共和国政府采购法》第二十二条的规定和本文件中规定的条件。</w:t>
      </w:r>
    </w:p>
    <w:p>
      <w:pPr>
        <w:pStyle w:val="2"/>
        <w:keepNext w:val="0"/>
        <w:spacing w:before="0" w:after="0" w:line="360" w:lineRule="auto"/>
        <w:jc w:val="center"/>
        <w:rPr>
          <w:rFonts w:ascii="仿宋_GB2312" w:hAnsi="仿宋_GB2312" w:eastAsia="仿宋_GB2312" w:cs="仿宋_GB2312"/>
          <w:b/>
          <w:bCs/>
          <w:sz w:val="32"/>
          <w:szCs w:val="32"/>
        </w:rPr>
      </w:pPr>
      <w:bookmarkStart w:id="11" w:name="_Toc256000009"/>
      <w:r>
        <w:rPr>
          <w:rFonts w:ascii="仿宋_GB2312" w:hAnsi="仿宋_GB2312" w:eastAsia="仿宋_GB2312" w:cs="仿宋_GB2312"/>
          <w:kern w:val="36"/>
        </w:rPr>
        <w:t>2投标/响应要求</w:t>
      </w:r>
      <w:bookmarkEnd w:id="11"/>
    </w:p>
    <w:p>
      <w:pPr>
        <w:pStyle w:val="3"/>
        <w:keepNext w:val="0"/>
        <w:spacing w:before="0" w:after="0" w:line="360" w:lineRule="auto"/>
        <w:rPr>
          <w:rFonts w:ascii="仿宋_GB2312" w:hAnsi="仿宋_GB2312" w:eastAsia="仿宋_GB2312" w:cs="仿宋_GB2312"/>
          <w:b/>
          <w:bCs/>
          <w:sz w:val="28"/>
          <w:szCs w:val="28"/>
        </w:rPr>
      </w:pPr>
      <w:bookmarkStart w:id="12" w:name="_Toc256000010"/>
      <w:r>
        <w:rPr>
          <w:rFonts w:ascii="仿宋_GB2312" w:hAnsi="仿宋_GB2312" w:eastAsia="仿宋_GB2312" w:cs="仿宋_GB2312"/>
          <w:i w:val="0"/>
          <w:iCs w:val="0"/>
        </w:rPr>
        <w:t>2.1对供应商的要求</w:t>
      </w:r>
      <w:bookmarkEnd w:id="12"/>
    </w:p>
    <w:p>
      <w:pPr>
        <w:pStyle w:val="4"/>
        <w:keepNext w:val="0"/>
        <w:spacing w:before="0" w:after="0" w:line="360" w:lineRule="auto"/>
        <w:rPr>
          <w:rFonts w:ascii="仿宋_GB2312" w:hAnsi="仿宋_GB2312" w:eastAsia="仿宋_GB2312" w:cs="仿宋_GB2312"/>
          <w:b/>
          <w:bCs/>
          <w:sz w:val="28"/>
          <w:szCs w:val="28"/>
        </w:rPr>
      </w:pPr>
      <w:bookmarkStart w:id="13" w:name="_Toc256000011"/>
      <w:r>
        <w:rPr>
          <w:rFonts w:ascii="仿宋_GB2312" w:hAnsi="仿宋_GB2312" w:eastAsia="仿宋_GB2312" w:cs="仿宋_GB2312"/>
          <w:sz w:val="28"/>
          <w:szCs w:val="28"/>
        </w:rPr>
        <w:t>2.1.1必备资质</w:t>
      </w:r>
      <w:bookmarkEnd w:id="13"/>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2.1.1.1投标人应遵守有关国家法律、法规和条例,具备《中华人民共和国政府采购法》第二十二条的规定和本文件中规定的条件。</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2.1.1.2本项目的特定资格要求</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仿宋_GB2312" w:hAnsi="仿宋_GB2312" w:eastAsia="仿宋_GB2312" w:cs="仿宋_GB2312"/>
          <w:sz w:val="28"/>
          <w:szCs w:val="28"/>
        </w:rPr>
        <w:t>投标人具有《食品经营许可证》，主体业态至少包含食品销售经营者，提供证书扫描件。</w:t>
      </w:r>
    </w:p>
    <w:p>
      <w:pPr>
        <w:pStyle w:val="4"/>
        <w:keepNext w:val="0"/>
        <w:spacing w:before="0" w:after="0" w:line="360" w:lineRule="auto"/>
        <w:rPr>
          <w:rFonts w:ascii="仿宋_GB2312" w:hAnsi="仿宋_GB2312" w:eastAsia="仿宋_GB2312" w:cs="仿宋_GB2312"/>
          <w:b/>
          <w:bCs/>
          <w:sz w:val="28"/>
          <w:szCs w:val="28"/>
        </w:rPr>
      </w:pPr>
      <w:bookmarkStart w:id="14" w:name="_Toc256000012"/>
      <w:r>
        <w:rPr>
          <w:rFonts w:ascii="仿宋_GB2312" w:hAnsi="仿宋_GB2312" w:eastAsia="仿宋_GB2312" w:cs="仿宋_GB2312"/>
          <w:sz w:val="28"/>
          <w:szCs w:val="28"/>
        </w:rPr>
        <w:t>2.1.2优选资质/优选指标</w:t>
      </w:r>
      <w:bookmarkEnd w:id="14"/>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2.1.2.1相关证书</w:t>
      </w:r>
    </w:p>
    <w:tbl>
      <w:tblPr>
        <w:tblStyle w:val="9"/>
        <w:tblW w:w="5000" w:type="pct"/>
        <w:tblInd w:w="30" w:type="dxa"/>
        <w:tblLayout w:type="autofit"/>
        <w:tblCellMar>
          <w:top w:w="15" w:type="dxa"/>
          <w:left w:w="15" w:type="dxa"/>
          <w:bottom w:w="15" w:type="dxa"/>
          <w:right w:w="15" w:type="dxa"/>
        </w:tblCellMar>
      </w:tblPr>
      <w:tblGrid>
        <w:gridCol w:w="906"/>
        <w:gridCol w:w="4082"/>
        <w:gridCol w:w="4082"/>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225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证书名称</w:t>
            </w:r>
          </w:p>
        </w:tc>
        <w:tc>
          <w:tcPr>
            <w:tcW w:w="225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备注</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食品安全管理体系认证证书（ISO 22000）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职业健康安全管理体系认证证书（ISO45001 ）</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质量管理体系认证证书（ISO 9001）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bl>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2.1.2.2成功案例</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有效案例为2022年1月1日以来（以合同签订日期为准），第一包供应商独立承担的食材供应项目案例（必须包含本包采购的水果、蔬菜、水产品、鲜奶及奶制品、豆制品），第二包供应商独立承担的食材供应项目案例（猪肉及副产品、牛羊肉及各部件、禽肉及各部件、肉制品及半成品），第三包供应商独立承担的食材供应项目案例（米、面、杂粮、油、鸡蛋及调料等食材），予以加分考虑。</w:t>
      </w:r>
    </w:p>
    <w:p>
      <w:pPr>
        <w:pStyle w:val="4"/>
        <w:keepNext w:val="0"/>
        <w:keepLines w:val="0"/>
        <w:pageBreakBefore w:val="0"/>
        <w:widowControl/>
        <w:kinsoku/>
        <w:wordWrap/>
        <w:overflowPunct/>
        <w:topLinePunct w:val="0"/>
        <w:autoSpaceDE/>
        <w:autoSpaceDN/>
        <w:bidi w:val="0"/>
        <w:adjustRightInd/>
        <w:snapToGrid/>
        <w:spacing w:before="0" w:after="0" w:line="360" w:lineRule="auto"/>
        <w:jc w:val="both"/>
        <w:textAlignment w:val="auto"/>
        <w:rPr>
          <w:rFonts w:ascii="仿宋_GB2312" w:hAnsi="仿宋_GB2312" w:eastAsia="仿宋_GB2312" w:cs="仿宋_GB2312"/>
          <w:b/>
          <w:bCs/>
          <w:sz w:val="28"/>
          <w:szCs w:val="28"/>
        </w:rPr>
      </w:pPr>
      <w:bookmarkStart w:id="15" w:name="_Toc256000013"/>
      <w:r>
        <w:rPr>
          <w:rFonts w:ascii="仿宋_GB2312" w:hAnsi="仿宋_GB2312" w:eastAsia="仿宋_GB2312" w:cs="仿宋_GB2312"/>
          <w:sz w:val="28"/>
          <w:szCs w:val="28"/>
        </w:rPr>
        <w:t>2.1.3是否允许联合体</w:t>
      </w:r>
      <w:bookmarkEnd w:id="15"/>
    </w:p>
    <w:p>
      <w:pPr>
        <w:keepNext w:val="0"/>
        <w:keepLines w:val="0"/>
        <w:pageBreakBefore w:val="0"/>
        <w:widowControl/>
        <w:kinsoku/>
        <w:wordWrap/>
        <w:overflowPunct/>
        <w:topLinePunct w:val="0"/>
        <w:autoSpaceDE/>
        <w:autoSpaceDN/>
        <w:bidi w:val="0"/>
        <w:adjustRightInd/>
        <w:snapToGrid/>
        <w:spacing w:before="0" w:after="0" w:line="360" w:lineRule="auto"/>
        <w:ind w:firstLine="561"/>
        <w:jc w:val="both"/>
        <w:textAlignment w:val="auto"/>
        <w:rPr>
          <w:rFonts w:ascii="仿宋_GB2312" w:hAnsi="仿宋_GB2312" w:eastAsia="仿宋_GB2312" w:cs="仿宋_GB2312"/>
          <w:sz w:val="28"/>
          <w:szCs w:val="28"/>
        </w:rPr>
      </w:pPr>
      <w:r>
        <w:rPr>
          <w:rFonts w:ascii="仿宋_GB2312" w:hAnsi="仿宋_GB2312" w:eastAsia="仿宋_GB2312" w:cs="仿宋_GB2312"/>
          <w:sz w:val="28"/>
          <w:szCs w:val="28"/>
        </w:rPr>
        <w:t>否</w:t>
      </w:r>
    </w:p>
    <w:p>
      <w:pPr>
        <w:pStyle w:val="4"/>
        <w:keepNext w:val="0"/>
        <w:keepLines w:val="0"/>
        <w:pageBreakBefore w:val="0"/>
        <w:widowControl/>
        <w:kinsoku/>
        <w:wordWrap/>
        <w:overflowPunct/>
        <w:topLinePunct w:val="0"/>
        <w:autoSpaceDE/>
        <w:autoSpaceDN/>
        <w:bidi w:val="0"/>
        <w:adjustRightInd/>
        <w:snapToGrid/>
        <w:spacing w:before="0" w:after="0" w:line="360" w:lineRule="auto"/>
        <w:jc w:val="both"/>
        <w:textAlignment w:val="auto"/>
        <w:rPr>
          <w:rFonts w:ascii="仿宋_GB2312" w:hAnsi="仿宋_GB2312" w:eastAsia="仿宋_GB2312" w:cs="仿宋_GB2312"/>
          <w:b/>
          <w:bCs/>
          <w:sz w:val="28"/>
          <w:szCs w:val="28"/>
        </w:rPr>
      </w:pPr>
      <w:bookmarkStart w:id="16" w:name="_Toc256000014"/>
      <w:r>
        <w:rPr>
          <w:rFonts w:ascii="仿宋_GB2312" w:hAnsi="仿宋_GB2312" w:eastAsia="仿宋_GB2312" w:cs="仿宋_GB2312"/>
          <w:sz w:val="28"/>
          <w:szCs w:val="28"/>
        </w:rPr>
        <w:t>2.1.4是否专门面向中小企业</w:t>
      </w:r>
      <w:bookmarkEnd w:id="16"/>
    </w:p>
    <w:p>
      <w:pPr>
        <w:keepNext w:val="0"/>
        <w:keepLines w:val="0"/>
        <w:pageBreakBefore w:val="0"/>
        <w:widowControl/>
        <w:kinsoku/>
        <w:wordWrap/>
        <w:overflowPunct/>
        <w:topLinePunct w:val="0"/>
        <w:autoSpaceDE/>
        <w:autoSpaceDN/>
        <w:bidi w:val="0"/>
        <w:adjustRightInd/>
        <w:snapToGrid/>
        <w:spacing w:before="0" w:after="0" w:line="360" w:lineRule="auto"/>
        <w:ind w:firstLine="561"/>
        <w:jc w:val="both"/>
        <w:textAlignment w:val="auto"/>
        <w:rPr>
          <w:rFonts w:ascii="仿宋_GB2312" w:hAnsi="仿宋_GB2312" w:eastAsia="仿宋_GB2312" w:cs="仿宋_GB2312"/>
          <w:sz w:val="28"/>
          <w:szCs w:val="28"/>
        </w:rPr>
      </w:pPr>
      <w:r>
        <w:rPr>
          <w:rFonts w:ascii="仿宋_GB2312" w:hAnsi="仿宋_GB2312" w:eastAsia="仿宋_GB2312" w:cs="仿宋_GB2312"/>
          <w:sz w:val="28"/>
          <w:szCs w:val="28"/>
        </w:rPr>
        <w:t>本项目不专门面向中小企业采购项目</w:t>
      </w:r>
    </w:p>
    <w:p>
      <w:pPr>
        <w:pStyle w:val="4"/>
        <w:keepNext w:val="0"/>
        <w:keepLines w:val="0"/>
        <w:pageBreakBefore w:val="0"/>
        <w:widowControl/>
        <w:kinsoku/>
        <w:wordWrap/>
        <w:overflowPunct/>
        <w:topLinePunct w:val="0"/>
        <w:autoSpaceDE/>
        <w:autoSpaceDN/>
        <w:bidi w:val="0"/>
        <w:adjustRightInd/>
        <w:snapToGrid/>
        <w:spacing w:before="0" w:after="0" w:line="360" w:lineRule="auto"/>
        <w:jc w:val="both"/>
        <w:textAlignment w:val="auto"/>
        <w:rPr>
          <w:rFonts w:ascii="仿宋_GB2312" w:hAnsi="仿宋_GB2312" w:eastAsia="仿宋_GB2312" w:cs="仿宋_GB2312"/>
          <w:b/>
          <w:bCs/>
          <w:sz w:val="28"/>
          <w:szCs w:val="28"/>
        </w:rPr>
      </w:pPr>
      <w:bookmarkStart w:id="17" w:name="_Toc256000015"/>
      <w:r>
        <w:rPr>
          <w:rFonts w:ascii="仿宋_GB2312" w:hAnsi="仿宋_GB2312" w:eastAsia="仿宋_GB2312" w:cs="仿宋_GB2312"/>
          <w:sz w:val="28"/>
          <w:szCs w:val="28"/>
        </w:rPr>
        <w:t>2.1.5其他要求</w:t>
      </w:r>
      <w:bookmarkEnd w:id="17"/>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仿宋_GB2312" w:hAnsi="仿宋_GB2312" w:eastAsia="仿宋_GB2312" w:cs="仿宋_GB2312"/>
          <w:sz w:val="28"/>
          <w:szCs w:val="28"/>
        </w:rPr>
        <w:t>符合和满足本项目技术要求和其他有关要求。</w:t>
      </w:r>
    </w:p>
    <w:p>
      <w:pPr>
        <w:pStyle w:val="3"/>
        <w:keepNext w:val="0"/>
        <w:keepLines w:val="0"/>
        <w:pageBreakBefore w:val="0"/>
        <w:widowControl/>
        <w:kinsoku/>
        <w:wordWrap/>
        <w:overflowPunct/>
        <w:topLinePunct w:val="0"/>
        <w:autoSpaceDE/>
        <w:autoSpaceDN/>
        <w:bidi w:val="0"/>
        <w:adjustRightInd/>
        <w:snapToGrid/>
        <w:spacing w:before="0" w:after="0" w:line="360" w:lineRule="auto"/>
        <w:jc w:val="both"/>
        <w:textAlignment w:val="auto"/>
        <w:rPr>
          <w:rFonts w:ascii="仿宋_GB2312" w:hAnsi="仿宋_GB2312" w:eastAsia="仿宋_GB2312" w:cs="仿宋_GB2312"/>
          <w:b/>
          <w:bCs/>
          <w:sz w:val="28"/>
          <w:szCs w:val="28"/>
        </w:rPr>
      </w:pPr>
      <w:bookmarkStart w:id="18" w:name="_Toc256000016"/>
      <w:r>
        <w:rPr>
          <w:rFonts w:ascii="仿宋_GB2312" w:hAnsi="仿宋_GB2312" w:eastAsia="仿宋_GB2312" w:cs="仿宋_GB2312"/>
          <w:i w:val="0"/>
          <w:iCs w:val="0"/>
        </w:rPr>
        <w:t>2.2技术部分投标/响应内容</w:t>
      </w:r>
      <w:bookmarkEnd w:id="18"/>
    </w:p>
    <w:p>
      <w:pPr>
        <w:pStyle w:val="4"/>
        <w:keepNext w:val="0"/>
        <w:keepLines w:val="0"/>
        <w:pageBreakBefore w:val="0"/>
        <w:widowControl/>
        <w:kinsoku/>
        <w:wordWrap/>
        <w:overflowPunct/>
        <w:topLinePunct w:val="0"/>
        <w:autoSpaceDE/>
        <w:autoSpaceDN/>
        <w:bidi w:val="0"/>
        <w:adjustRightInd/>
        <w:snapToGrid/>
        <w:spacing w:before="0" w:after="0" w:line="360" w:lineRule="auto"/>
        <w:jc w:val="both"/>
        <w:textAlignment w:val="auto"/>
        <w:rPr>
          <w:rFonts w:ascii="仿宋_GB2312" w:hAnsi="仿宋_GB2312" w:eastAsia="仿宋_GB2312" w:cs="仿宋_GB2312"/>
          <w:b/>
          <w:bCs/>
          <w:sz w:val="28"/>
          <w:szCs w:val="28"/>
        </w:rPr>
      </w:pPr>
      <w:bookmarkStart w:id="19" w:name="_Toc256000017"/>
      <w:r>
        <w:rPr>
          <w:rFonts w:ascii="仿宋_GB2312" w:hAnsi="仿宋_GB2312" w:eastAsia="仿宋_GB2312" w:cs="仿宋_GB2312"/>
          <w:sz w:val="28"/>
          <w:szCs w:val="28"/>
        </w:rPr>
        <w:t>2.2.1技术投标/响应总要求</w:t>
      </w:r>
      <w:bookmarkEnd w:id="19"/>
    </w:p>
    <w:p>
      <w:pPr>
        <w:pStyle w:val="13"/>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仿宋_GB2312" w:hAnsi="仿宋_GB2312" w:eastAsia="仿宋_GB2312" w:cs="仿宋_GB2312"/>
          <w:sz w:val="28"/>
          <w:szCs w:val="28"/>
        </w:rPr>
        <w:t>供应商须承诺所提供</w:t>
      </w:r>
      <w:r>
        <w:rPr>
          <w:rFonts w:ascii="Times New Roman" w:hAnsi="Times New Roman" w:eastAsia="Times New Roman" w:cs="Times New Roman"/>
          <w:sz w:val="28"/>
          <w:szCs w:val="28"/>
        </w:rPr>
        <w:t>的货物、人</w:t>
      </w:r>
      <w:r>
        <w:rPr>
          <w:rFonts w:ascii="仿宋_GB2312" w:hAnsi="仿宋_GB2312" w:eastAsia="仿宋_GB2312" w:cs="仿宋_GB2312"/>
          <w:sz w:val="28"/>
          <w:szCs w:val="28"/>
        </w:rPr>
        <w:t>员符合相关国家强制性规定。具体需求详见项目需求、人员要求、管理实施要求、风险管控要求、履约验收要求及其他要求。</w:t>
      </w:r>
    </w:p>
    <w:p>
      <w:pPr>
        <w:pStyle w:val="4"/>
        <w:keepNext w:val="0"/>
        <w:spacing w:before="0" w:after="0" w:line="360" w:lineRule="auto"/>
        <w:rPr>
          <w:rFonts w:ascii="仿宋_GB2312" w:hAnsi="仿宋_GB2312" w:eastAsia="仿宋_GB2312" w:cs="仿宋_GB2312"/>
          <w:b/>
          <w:bCs/>
          <w:sz w:val="28"/>
          <w:szCs w:val="28"/>
        </w:rPr>
      </w:pPr>
      <w:bookmarkStart w:id="20" w:name="_Toc256000018"/>
      <w:r>
        <w:rPr>
          <w:rFonts w:ascii="仿宋_GB2312" w:hAnsi="仿宋_GB2312" w:eastAsia="仿宋_GB2312" w:cs="仿宋_GB2312"/>
          <w:sz w:val="28"/>
          <w:szCs w:val="28"/>
        </w:rPr>
        <w:t>2.2.2投标/响应方案要求</w:t>
      </w:r>
      <w:bookmarkEnd w:id="20"/>
    </w:p>
    <w:p>
      <w:pPr>
        <w:keepNext w:val="0"/>
        <w:keepLines w:val="0"/>
        <w:pageBreakBefore w:val="0"/>
        <w:widowControl/>
        <w:kinsoku/>
        <w:wordWrap/>
        <w:overflowPunct/>
        <w:topLinePunct w:val="0"/>
        <w:autoSpaceDE/>
        <w:autoSpaceDN/>
        <w:bidi w:val="0"/>
        <w:adjustRightInd/>
        <w:snapToGrid/>
        <w:spacing w:before="0" w:after="0" w:line="360" w:lineRule="auto"/>
        <w:ind w:firstLine="561"/>
        <w:jc w:val="both"/>
        <w:textAlignment w:val="auto"/>
        <w:rPr>
          <w:rFonts w:ascii="仿宋_GB2312" w:hAnsi="仿宋_GB2312" w:eastAsia="仿宋_GB2312" w:cs="仿宋_GB2312"/>
          <w:sz w:val="28"/>
          <w:szCs w:val="28"/>
        </w:rPr>
      </w:pPr>
      <w:r>
        <w:rPr>
          <w:rFonts w:ascii="仿宋_GB2312" w:hAnsi="仿宋_GB2312" w:eastAsia="仿宋_GB2312" w:cs="仿宋_GB2312"/>
          <w:sz w:val="28"/>
          <w:szCs w:val="28"/>
        </w:rPr>
        <w:t>以下相关方案，若作为评审因素，则投标人应在满足★必备指标项要求的前提下，根据项目特点和采购需求，制定更为完整、详细、可操作性强的方案。</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1"/>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以下相关方案，若作为评审因素，则投标人应在满足★必备指标项要求的前提下，根据项目特点和采购需求，制定更为完整、详细、可操作性强的方案。</w:t>
      </w:r>
    </w:p>
    <w:p>
      <w:pPr>
        <w:pStyle w:val="13"/>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 （一）提供针对本项目特点的专业化服务方案：投标人应详细阐述对本项目整体需求内容的理解，包含符合本项目实际情况的食材配送等方案；</w:t>
      </w:r>
    </w:p>
    <w:p>
      <w:pPr>
        <w:pStyle w:val="13"/>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（二）配送及时性准时性措施：投标人应详细阐述如何保证本项目准时送达的方案措施，包含日常食材准时送达的方案、采购人紧急采购的食材准时送达的方案，以及未按时送达时的挽回方案等内容；</w:t>
      </w:r>
    </w:p>
    <w:p>
      <w:pPr>
        <w:pStyle w:val="13"/>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 xml:space="preserve">（三）质量安全把控措施：投标人应详细阐述如何保证食材质量安全把控的方案措施，包含检验检疫关键环节把控、不符合质量标准货品处置等方面内容； </w:t>
      </w:r>
    </w:p>
    <w:p>
      <w:pPr>
        <w:pStyle w:val="13"/>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（四）供应措施：投标人应详细阐述如何保证食材供应的方案措施，包含服务团队管理措施、内部采购管理措施、储存分拣管理措施、科学合理运输措施等方面内容。</w:t>
      </w:r>
    </w:p>
    <w:p>
      <w:pPr>
        <w:pStyle w:val="2"/>
        <w:keepNext w:val="0"/>
        <w:spacing w:before="0" w:after="0" w:line="360" w:lineRule="auto"/>
        <w:jc w:val="center"/>
        <w:rPr>
          <w:rFonts w:ascii="仿宋_GB2312" w:hAnsi="仿宋_GB2312" w:eastAsia="仿宋_GB2312" w:cs="仿宋_GB2312"/>
          <w:b/>
          <w:bCs/>
          <w:sz w:val="32"/>
          <w:szCs w:val="32"/>
        </w:rPr>
      </w:pPr>
      <w:bookmarkStart w:id="21" w:name="_Toc256000019"/>
      <w:r>
        <w:rPr>
          <w:rFonts w:ascii="仿宋_GB2312" w:hAnsi="仿宋_GB2312" w:eastAsia="仿宋_GB2312" w:cs="仿宋_GB2312"/>
          <w:kern w:val="36"/>
        </w:rPr>
        <w:t>3项目需求</w:t>
      </w:r>
      <w:bookmarkEnd w:id="21"/>
    </w:p>
    <w:p>
      <w:pPr>
        <w:pStyle w:val="3"/>
        <w:keepNext w:val="0"/>
        <w:spacing w:before="0" w:after="0" w:line="360" w:lineRule="auto"/>
        <w:rPr>
          <w:rFonts w:ascii="仿宋_GB2312" w:hAnsi="仿宋_GB2312" w:eastAsia="仿宋_GB2312" w:cs="仿宋_GB2312"/>
          <w:b/>
          <w:bCs/>
          <w:sz w:val="28"/>
          <w:szCs w:val="28"/>
        </w:rPr>
      </w:pPr>
      <w:bookmarkStart w:id="22" w:name="_Toc256000020"/>
      <w:r>
        <w:rPr>
          <w:rFonts w:ascii="仿宋_GB2312" w:hAnsi="仿宋_GB2312" w:eastAsia="仿宋_GB2312" w:cs="仿宋_GB2312"/>
          <w:i w:val="0"/>
          <w:iCs w:val="0"/>
        </w:rPr>
        <w:t>3.1总体要求</w:t>
      </w:r>
      <w:bookmarkEnd w:id="22"/>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中标供应商应严格遵守《食品安全法》等相关规定，严格保证食品质量符合国家相关产品质量标准，符合国家各级强制性规范的要求。在中标后如出现因食用其提供的食品导致食物中毒事故发生，投标人应对此承担一切法律责任。</w:t>
      </w:r>
    </w:p>
    <w:p>
      <w:pPr>
        <w:pStyle w:val="3"/>
        <w:keepNext w:val="0"/>
        <w:spacing w:before="0" w:after="0" w:line="360" w:lineRule="auto"/>
        <w:rPr>
          <w:rFonts w:ascii="仿宋_GB2312" w:hAnsi="仿宋_GB2312" w:eastAsia="仿宋_GB2312" w:cs="仿宋_GB2312"/>
          <w:b/>
          <w:bCs/>
          <w:sz w:val="28"/>
          <w:szCs w:val="28"/>
        </w:rPr>
      </w:pPr>
      <w:bookmarkStart w:id="23" w:name="_Toc256000021"/>
      <w:r>
        <w:rPr>
          <w:rFonts w:ascii="仿宋_GB2312" w:hAnsi="仿宋_GB2312" w:eastAsia="仿宋_GB2312" w:cs="仿宋_GB2312"/>
          <w:i w:val="0"/>
          <w:iCs w:val="0"/>
        </w:rPr>
        <w:t>3.2采购产品一览表</w:t>
      </w:r>
      <w:bookmarkEnd w:id="23"/>
    </w:p>
    <w:p>
      <w:pPr>
        <w:pStyle w:val="4"/>
        <w:keepNext w:val="0"/>
        <w:spacing w:before="0" w:after="0" w:line="360" w:lineRule="auto"/>
        <w:rPr>
          <w:rFonts w:ascii="仿宋_GB2312" w:hAnsi="仿宋_GB2312" w:eastAsia="仿宋_GB2312" w:cs="仿宋_GB2312"/>
          <w:b/>
          <w:bCs/>
          <w:sz w:val="28"/>
          <w:szCs w:val="28"/>
        </w:rPr>
      </w:pPr>
      <w:bookmarkStart w:id="24" w:name="_Toc256000022"/>
      <w:bookmarkStart w:id="54" w:name="_GoBack"/>
      <w:bookmarkEnd w:id="54"/>
      <w:r>
        <w:rPr>
          <w:rFonts w:ascii="仿宋_GB2312" w:hAnsi="仿宋_GB2312" w:eastAsia="仿宋_GB2312" w:cs="仿宋_GB2312"/>
          <w:sz w:val="28"/>
          <w:szCs w:val="28"/>
        </w:rPr>
        <w:t>3.2.1第一包</w:t>
      </w:r>
      <w:bookmarkEnd w:id="24"/>
    </w:p>
    <w:tbl>
      <w:tblPr>
        <w:tblStyle w:val="14"/>
        <w:tblW w:w="5000" w:type="pct"/>
        <w:tblCellSpacing w:w="0" w:type="dxa"/>
        <w:tblInd w:w="158" w:type="dxa"/>
        <w:tblLayout w:type="autofit"/>
        <w:tblCellMar>
          <w:top w:w="15" w:type="dxa"/>
          <w:left w:w="15" w:type="dxa"/>
          <w:bottom w:w="15" w:type="dxa"/>
          <w:right w:w="15" w:type="dxa"/>
        </w:tblCellMar>
      </w:tblPr>
      <w:tblGrid>
        <w:gridCol w:w="909"/>
        <w:gridCol w:w="1640"/>
        <w:gridCol w:w="1647"/>
        <w:gridCol w:w="1647"/>
        <w:gridCol w:w="1647"/>
        <w:gridCol w:w="1640"/>
      </w:tblGrid>
      <w:tr>
        <w:tblPrEx>
          <w:tblCellMar>
            <w:top w:w="15" w:type="dxa"/>
            <w:left w:w="15" w:type="dxa"/>
            <w:bottom w:w="15" w:type="dxa"/>
            <w:right w:w="15" w:type="dxa"/>
          </w:tblCellMar>
        </w:tblPrEx>
        <w:trPr>
          <w:tblCellSpacing w:w="0" w:type="dxa"/>
        </w:trPr>
        <w:tc>
          <w:tcPr>
            <w:tcW w:w="498" w:type="pct"/>
            <w:tcBorders>
              <w:top w:val="single" w:color="000000" w:sz="8" w:space="0"/>
              <w:left w:val="single" w:color="000000" w:sz="8" w:space="0"/>
              <w:bottom w:val="single" w:color="000000" w:sz="8" w:space="0"/>
              <w:right w:val="single" w:color="000000" w:sz="8" w:space="0"/>
            </w:tcBorders>
            <w:shd w:val="clear" w:color="auto" w:fill="D3D3D3"/>
            <w:noWrap w:val="0"/>
            <w:tcMar>
              <w:top w:w="3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序号</w:t>
            </w:r>
          </w:p>
        </w:tc>
        <w:tc>
          <w:tcPr>
            <w:tcW w:w="898"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产品类别</w:t>
            </w:r>
          </w:p>
        </w:tc>
        <w:tc>
          <w:tcPr>
            <w:tcW w:w="902"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产品名称</w:t>
            </w:r>
          </w:p>
        </w:tc>
        <w:tc>
          <w:tcPr>
            <w:tcW w:w="902"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数量</w:t>
            </w:r>
          </w:p>
        </w:tc>
        <w:tc>
          <w:tcPr>
            <w:tcW w:w="902"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单位</w:t>
            </w:r>
          </w:p>
        </w:tc>
        <w:tc>
          <w:tcPr>
            <w:tcW w:w="902"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备注</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大白菜</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11000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洋白菜</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9000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小白菜</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4500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生菜</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4500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菠菜</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3800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韭菜</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2300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油菜</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7600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萝卜</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7400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土豆</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10400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10</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葱头</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5200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11</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大葱</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4200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12</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生姜</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780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13</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大蒜</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1600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14</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芹菜</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3900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15</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莴笋</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2800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16</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莲藕</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2500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17</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蒜苔</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3500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18</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菜花</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4800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19</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西红柿</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5300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20</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西兰花</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2600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21</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青椒</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3900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22</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茄子</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3600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23</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黄瓜</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8800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24</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西葫芦</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3700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25</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冬瓜</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4500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26</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南瓜</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7500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27</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豆角</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5600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28</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平菇</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3200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29</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香菇</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1600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30</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金针菇</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1700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31</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红薯</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12480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32</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茼蒿</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2400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33</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香菜</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460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34</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豆芽</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4500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35</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苦瓜</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1700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36</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玉米棒子</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6600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37</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芋头</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3500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38</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山药</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4200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39</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蔬菜类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酸菜</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560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40</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鸭梨</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10000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41</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猕猴桃</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3500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42</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橙子</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4500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43</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香蕉</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7700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44</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芒果</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2600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45</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火龙果</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4500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46</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西瓜</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16000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47</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蜜瓜</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12000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48</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柚子</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8500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49</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苹果</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13000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50</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水果类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桔子</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5500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51</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目鱼</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2300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52</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小黄鱼</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2200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53</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鲈鱼</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2000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54</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鲅鱼</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55</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梭鱼</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56</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黄姑鱼</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1900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57</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带鱼</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4600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58</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鲽鱼</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3600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59</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草鱼</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60</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鲫鱼</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560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61</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鲢鱼</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62</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小平鱼</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1800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63</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鱿鱼</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5280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64</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海带</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1600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65</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蛤蜊</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3900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66</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蛏子</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3200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67</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虾</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15500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68</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贝肉</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936</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69</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水产类</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海蜇</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2400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70</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奶及奶制品</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鲜奶</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15000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71</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豆制品</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豆腐干</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2500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W w:w="498" w:type="pct"/>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72</w:t>
            </w:r>
          </w:p>
        </w:tc>
        <w:tc>
          <w:tcPr>
            <w:tcW w:w="898"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豆制品</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豆腐</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6200</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W w:w="902" w:type="pct"/>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Times New Roman" w:hAnsi="Times New Roman" w:eastAsia="Times New Roman" w:cs="Times New Roman"/>
                <w:b w:val="0"/>
                <w:bCs w:val="0"/>
                <w:i w:val="0"/>
                <w:iCs w:val="0"/>
                <w:smallCaps w:val="0"/>
                <w:color w:val="000000"/>
              </w:rPr>
              <w:t> </w:t>
            </w:r>
          </w:p>
        </w:tc>
      </w:tr>
    </w:tbl>
    <w:p>
      <w:pPr>
        <w:pStyle w:val="4"/>
        <w:keepNext w:val="0"/>
        <w:spacing w:before="0" w:after="0" w:line="360" w:lineRule="auto"/>
        <w:rPr>
          <w:rFonts w:ascii="仿宋_GB2312" w:hAnsi="仿宋_GB2312" w:eastAsia="仿宋_GB2312" w:cs="仿宋_GB2312"/>
          <w:b/>
          <w:bCs/>
          <w:sz w:val="28"/>
          <w:szCs w:val="28"/>
        </w:rPr>
      </w:pPr>
      <w:bookmarkStart w:id="25" w:name="_Toc256000023"/>
      <w:r>
        <w:rPr>
          <w:rFonts w:ascii="仿宋_GB2312" w:hAnsi="仿宋_GB2312" w:eastAsia="仿宋_GB2312" w:cs="仿宋_GB2312"/>
          <w:sz w:val="28"/>
          <w:szCs w:val="28"/>
        </w:rPr>
        <w:t>3.2.2第二包</w:t>
      </w:r>
      <w:bookmarkEnd w:id="25"/>
    </w:p>
    <w:tbl>
      <w:tblPr>
        <w:tblStyle w:val="14"/>
        <w:tblW w:w="5000" w:type="pct"/>
        <w:tblCellSpacing w:w="0" w:type="dxa"/>
        <w:tblInd w:w="158" w:type="dxa"/>
        <w:tblLayout w:type="autofit"/>
        <w:tblCellMar>
          <w:top w:w="15" w:type="dxa"/>
          <w:left w:w="15" w:type="dxa"/>
          <w:bottom w:w="15" w:type="dxa"/>
          <w:right w:w="15" w:type="dxa"/>
        </w:tblCellMar>
      </w:tblPr>
      <w:tblGrid>
        <w:gridCol w:w="912"/>
        <w:gridCol w:w="1642"/>
        <w:gridCol w:w="1644"/>
        <w:gridCol w:w="1644"/>
        <w:gridCol w:w="1644"/>
        <w:gridCol w:w="1644"/>
      </w:tblGrid>
      <w:tr>
        <w:tblPrEx>
          <w:tblCellMar>
            <w:top w:w="15" w:type="dxa"/>
            <w:left w:w="15" w:type="dxa"/>
            <w:bottom w:w="15" w:type="dxa"/>
            <w:right w:w="15" w:type="dxa"/>
          </w:tblCellMar>
        </w:tblPrEx>
        <w:trPr>
          <w:tblCellSpacing w:w="0" w:type="dxa"/>
        </w:trPr>
        <w:tc>
          <w:tcPr>
            <w:tcW w:w="499" w:type="pct"/>
            <w:tcBorders>
              <w:top w:val="single" w:color="000000" w:sz="8" w:space="0"/>
              <w:left w:val="single" w:color="000000" w:sz="8" w:space="0"/>
              <w:bottom w:val="single" w:color="000000" w:sz="8" w:space="0"/>
              <w:right w:val="single" w:color="000000" w:sz="8" w:space="0"/>
            </w:tcBorders>
            <w:shd w:val="clear" w:color="auto" w:fill="D3D3D3"/>
            <w:noWrap w:val="0"/>
            <w:tcMar>
              <w:top w:w="3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序号</w:t>
            </w:r>
          </w:p>
        </w:tc>
        <w:tc>
          <w:tcPr>
            <w:tcW w:w="899"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产品类别</w:t>
            </w:r>
          </w:p>
        </w:tc>
        <w:tc>
          <w:tcPr>
            <w:tcW w:w="9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产品名称</w:t>
            </w:r>
          </w:p>
        </w:tc>
        <w:tc>
          <w:tcPr>
            <w:tcW w:w="9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数量</w:t>
            </w:r>
          </w:p>
        </w:tc>
        <w:tc>
          <w:tcPr>
            <w:tcW w:w="9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单位</w:t>
            </w:r>
          </w:p>
        </w:tc>
        <w:tc>
          <w:tcPr>
            <w:tcW w:w="9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备注</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猪肉、脏器及副产品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猪精瘦肉</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3740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猪肉、脏器及副产品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猪排骨</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7740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猪肉、脏器及副产品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猪鲜肉馅（3：7）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2800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猪肉、脏器及副产品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猪五花</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11000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猪脏器及副产品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猪下水</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2750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猪脏器及副产品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猪头</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3320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猪脏器及副产品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猪蹄</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2480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牛肉及各部件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牛肋条</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5710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牛肉及各部件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牛腱子</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1980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牛肉及各部件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牛骨</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780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牛肉及各部件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牛腩</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2840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羊肉及各部件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羊肉</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3120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羊肉及各部件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羊肋排</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1500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羊肉及各部件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羊肉卷</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1920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羊肉及各部件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羊蝎子</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780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禽肉及各部件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鸡肉</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1500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禽肉及各部件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鸡胗</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460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禽肉及各部件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鸡翅</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1300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19</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禽肉及各部件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鸡腿</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3200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禽肉及各部件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整鸭</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1600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肉制品/半成品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香肠</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2100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肉制品/半成品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火腿</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3700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肉制品/半成品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腌制鸡肉串</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2800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肉制品/半成品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鸭血</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320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肉制品/半成品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羊杂</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1300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肉制品/半成品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牛杂</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960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肉制品/半成品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羊肉串</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750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肉制品/半成品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鸭肉半成品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1920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29</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肉制品/半成品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火锅丸子</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343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Times New Roman" w:hAnsi="Times New Roman" w:eastAsia="Times New Roman" w:cs="Times New Roman"/>
                <w:b w:val="0"/>
                <w:bCs w:val="0"/>
                <w:i w:val="0"/>
                <w:iCs w:val="0"/>
                <w:smallCaps w:val="0"/>
                <w:color w:val="000000"/>
              </w:rPr>
              <w:t> </w:t>
            </w:r>
          </w:p>
        </w:tc>
      </w:tr>
    </w:tbl>
    <w:p>
      <w:pPr>
        <w:pStyle w:val="4"/>
        <w:keepNext w:val="0"/>
        <w:spacing w:before="0" w:after="0" w:line="360" w:lineRule="auto"/>
        <w:rPr>
          <w:rFonts w:ascii="仿宋_GB2312" w:hAnsi="仿宋_GB2312" w:eastAsia="仿宋_GB2312" w:cs="仿宋_GB2312"/>
          <w:b/>
          <w:bCs/>
          <w:sz w:val="28"/>
          <w:szCs w:val="28"/>
        </w:rPr>
      </w:pPr>
      <w:bookmarkStart w:id="26" w:name="_Toc256000024"/>
      <w:r>
        <w:rPr>
          <w:rFonts w:ascii="仿宋_GB2312" w:hAnsi="仿宋_GB2312" w:eastAsia="仿宋_GB2312" w:cs="仿宋_GB2312"/>
          <w:sz w:val="28"/>
          <w:szCs w:val="28"/>
        </w:rPr>
        <w:t>3.2.3第三包</w:t>
      </w:r>
      <w:bookmarkEnd w:id="26"/>
    </w:p>
    <w:tbl>
      <w:tblPr>
        <w:tblStyle w:val="14"/>
        <w:tblW w:w="5000" w:type="pct"/>
        <w:tblCellSpacing w:w="0" w:type="dxa"/>
        <w:tblInd w:w="158" w:type="dxa"/>
        <w:tblLayout w:type="autofit"/>
        <w:tblCellMar>
          <w:top w:w="15" w:type="dxa"/>
          <w:left w:w="15" w:type="dxa"/>
          <w:bottom w:w="15" w:type="dxa"/>
          <w:right w:w="15" w:type="dxa"/>
        </w:tblCellMar>
      </w:tblPr>
      <w:tblGrid>
        <w:gridCol w:w="912"/>
        <w:gridCol w:w="1642"/>
        <w:gridCol w:w="1644"/>
        <w:gridCol w:w="1644"/>
        <w:gridCol w:w="1644"/>
        <w:gridCol w:w="1644"/>
      </w:tblGrid>
      <w:tr>
        <w:tblPrEx>
          <w:tblCellMar>
            <w:top w:w="15" w:type="dxa"/>
            <w:left w:w="15" w:type="dxa"/>
            <w:bottom w:w="15" w:type="dxa"/>
            <w:right w:w="15" w:type="dxa"/>
          </w:tblCellMar>
        </w:tblPrEx>
        <w:trPr>
          <w:tblCellSpacing w:w="0" w:type="dxa"/>
        </w:trPr>
        <w:tc>
          <w:tcPr>
            <w:tcW w:w="499" w:type="pct"/>
            <w:tcBorders>
              <w:top w:val="single" w:color="000000" w:sz="8" w:space="0"/>
              <w:left w:val="single" w:color="000000" w:sz="8" w:space="0"/>
              <w:bottom w:val="single" w:color="000000" w:sz="8" w:space="0"/>
              <w:right w:val="single" w:color="000000" w:sz="8" w:space="0"/>
            </w:tcBorders>
            <w:shd w:val="clear" w:color="auto" w:fill="D3D3D3"/>
            <w:noWrap w:val="0"/>
            <w:tcMar>
              <w:top w:w="3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序号</w:t>
            </w:r>
          </w:p>
        </w:tc>
        <w:tc>
          <w:tcPr>
            <w:tcW w:w="899"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产品类别</w:t>
            </w:r>
          </w:p>
        </w:tc>
        <w:tc>
          <w:tcPr>
            <w:tcW w:w="9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产品名称</w:t>
            </w:r>
          </w:p>
        </w:tc>
        <w:tc>
          <w:tcPr>
            <w:tcW w:w="9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数量</w:t>
            </w:r>
          </w:p>
        </w:tc>
        <w:tc>
          <w:tcPr>
            <w:tcW w:w="9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单位</w:t>
            </w:r>
          </w:p>
        </w:tc>
        <w:tc>
          <w:tcPr>
            <w:tcW w:w="900" w:type="pct"/>
            <w:tcBorders>
              <w:top w:val="single" w:color="000000" w:sz="8" w:space="0"/>
              <w:bottom w:val="single" w:color="000000" w:sz="8" w:space="0"/>
              <w:right w:val="single" w:color="000000" w:sz="8" w:space="0"/>
            </w:tcBorders>
            <w:shd w:val="clear" w:color="auto" w:fill="D3D3D3"/>
            <w:noWrap w:val="0"/>
            <w:tcMar>
              <w:top w:w="32" w:type="dxa"/>
              <w:left w:w="2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bCs/>
                <w:i w:val="0"/>
                <w:iCs w:val="0"/>
                <w:smallCaps w:val="0"/>
                <w:color w:val="000000"/>
                <w:sz w:val="21"/>
                <w:szCs w:val="21"/>
              </w:rPr>
              <w:t>备注</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大米</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14600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小米</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4800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玉米</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1510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黑米</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1080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紫米</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624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大豆</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4820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蚕豆</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635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绿豆</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1780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红小豆</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426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黑豆</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青豆</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芝麻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180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花生</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7800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谷物杂粮类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面粉</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42100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食用油</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20860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食用盐</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2680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酱油</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4850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香油</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960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19</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豆瓣酱</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1300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料酒</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940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麻酱</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760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花生酱</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180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火锅底料</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750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蚝油</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724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蒸鱼豉油</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412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食用醋</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3080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胡椒粉</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104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椒盐</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29</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孜然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花椒</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180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八角</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160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干辣椒</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260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辣椒面</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辣椒酱</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428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其他干调料</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320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味精</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260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鸡精</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280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糖</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2950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39</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淀粉</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280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腐乳</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140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复合调料粉</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酵母</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120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黄油</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120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猪油</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160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奶油</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小苏打</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泡打粉</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吉利丁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49</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点心调味粉</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调料类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酥油</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副食类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速冻水饺</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1900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副食类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粉丝</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副食类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粉条</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380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副食类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春卷皮</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副食类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米线</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720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蛋类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鸡蛋</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14400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蛋类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鸭蛋</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480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蛋类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鹌鹑蛋</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480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59</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干木耳</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460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干香菇</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150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银耳</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210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干腐竹</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170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紫菜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150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大枣</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560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桂圆</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蛋挞皮</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个</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披萨皮</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380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个</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9寸/个</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奥利奥碎</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69</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糯米粉</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瓜子仁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果干</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干果碎</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73</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蜂蜜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180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74</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果酱</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260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豆馅</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560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76</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麦片</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300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77</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点心馅</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面包</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520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79</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咸菜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1425</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锅巴菜</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468</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81</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其他类</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云吞皮</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620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斤</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 </w:t>
            </w:r>
          </w:p>
        </w:tc>
      </w:tr>
      <w:tr>
        <w:tblPrEx>
          <w:tblCellMar>
            <w:top w:w="15" w:type="dxa"/>
            <w:left w:w="15" w:type="dxa"/>
            <w:bottom w:w="15" w:type="dxa"/>
            <w:right w:w="15" w:type="dxa"/>
          </w:tblCellMar>
        </w:tblPrEx>
        <w:trPr>
          <w:tblCellSpacing w:w="0" w:type="dxa"/>
        </w:trPr>
        <w:tc>
          <w:tcPr>
            <w:tcBorders>
              <w:left w:val="single" w:color="000000" w:sz="8" w:space="0"/>
              <w:bottom w:val="single" w:color="000000" w:sz="8" w:space="0"/>
              <w:right w:val="single" w:color="000000" w:sz="8" w:space="0"/>
            </w:tcBorders>
            <w:noWrap w:val="0"/>
            <w:tcMar>
              <w:top w:w="22" w:type="dxa"/>
              <w:left w:w="32" w:type="dxa"/>
              <w:bottom w:w="32" w:type="dxa"/>
              <w:right w:w="32" w:type="dxa"/>
            </w:tcMar>
            <w:vAlign w:val="center"/>
          </w:tcPr>
          <w:p>
            <w:pPr>
              <w:pStyle w:val="1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82</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奶及奶制品</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酸奶</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95000</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杯</w:t>
            </w:r>
          </w:p>
        </w:tc>
        <w:tc>
          <w:tcPr>
            <w:tcBorders>
              <w:bottom w:val="single" w:color="000000" w:sz="8" w:space="0"/>
              <w:right w:val="single" w:color="000000" w:sz="8" w:space="0"/>
            </w:tcBorders>
            <w:noWrap w:val="0"/>
            <w:tcMar>
              <w:top w:w="22" w:type="dxa"/>
              <w:left w:w="22" w:type="dxa"/>
              <w:bottom w:w="32" w:type="dxa"/>
              <w:right w:w="32" w:type="dxa"/>
            </w:tcMar>
            <w:vAlign w:val="center"/>
          </w:tcPr>
          <w:p>
            <w:pPr>
              <w:pStyle w:val="12"/>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1"/>
                <w:szCs w:val="21"/>
              </w:rPr>
              <w:t>90ml</w:t>
            </w:r>
          </w:p>
        </w:tc>
      </w:tr>
    </w:tbl>
    <w:p>
      <w:pPr>
        <w:pStyle w:val="3"/>
        <w:keepNext w:val="0"/>
        <w:spacing w:before="0" w:after="0" w:line="360" w:lineRule="auto"/>
        <w:rPr>
          <w:rFonts w:ascii="仿宋_GB2312" w:hAnsi="仿宋_GB2312" w:eastAsia="仿宋_GB2312" w:cs="仿宋_GB2312"/>
          <w:b/>
          <w:bCs/>
          <w:sz w:val="28"/>
          <w:szCs w:val="28"/>
        </w:rPr>
      </w:pPr>
      <w:bookmarkStart w:id="27" w:name="_Toc256000025"/>
      <w:r>
        <w:rPr>
          <w:rFonts w:ascii="仿宋_GB2312" w:hAnsi="仿宋_GB2312" w:eastAsia="仿宋_GB2312" w:cs="仿宋_GB2312"/>
          <w:i w:val="0"/>
          <w:iCs w:val="0"/>
        </w:rPr>
        <w:t>3.3采购产品详细清单及技术指标</w:t>
      </w:r>
      <w:bookmarkEnd w:id="27"/>
    </w:p>
    <w:p>
      <w:pPr>
        <w:keepNext w:val="0"/>
        <w:keepLines w:val="0"/>
        <w:pageBreakBefore w:val="0"/>
        <w:widowControl/>
        <w:kinsoku/>
        <w:wordWrap/>
        <w:overflowPunct/>
        <w:topLinePunct w:val="0"/>
        <w:autoSpaceDE/>
        <w:autoSpaceDN/>
        <w:bidi w:val="0"/>
        <w:adjustRightInd/>
        <w:snapToGrid/>
        <w:spacing w:before="0" w:after="0" w:line="360" w:lineRule="auto"/>
        <w:ind w:firstLine="561"/>
        <w:jc w:val="both"/>
        <w:textAlignment w:val="auto"/>
        <w:rPr>
          <w:rFonts w:ascii="仿宋_GB2312" w:hAnsi="仿宋_GB2312" w:eastAsia="仿宋_GB2312" w:cs="仿宋_GB2312"/>
          <w:sz w:val="28"/>
          <w:szCs w:val="28"/>
        </w:rPr>
      </w:pPr>
      <w:r>
        <w:rPr>
          <w:rFonts w:ascii="仿宋_GB2312" w:hAnsi="仿宋_GB2312" w:eastAsia="仿宋_GB2312" w:cs="仿宋_GB2312"/>
          <w:sz w:val="28"/>
          <w:szCs w:val="28"/>
        </w:rPr>
        <w:t>采购文件（技术部分）中有标注★号的，为必备要求，必须满足，如未作出响应，将导致响应无效；#为重要内容、△为一般内容。</w:t>
      </w:r>
    </w:p>
    <w:p>
      <w:pPr>
        <w:pStyle w:val="4"/>
        <w:keepNext w:val="0"/>
        <w:spacing w:before="0" w:after="0" w:line="360" w:lineRule="auto"/>
        <w:rPr>
          <w:rFonts w:ascii="仿宋_GB2312" w:hAnsi="仿宋_GB2312" w:eastAsia="仿宋_GB2312" w:cs="仿宋_GB2312"/>
          <w:b/>
          <w:bCs/>
          <w:sz w:val="28"/>
          <w:szCs w:val="28"/>
        </w:rPr>
      </w:pPr>
      <w:bookmarkStart w:id="28" w:name="_Toc256000026"/>
      <w:r>
        <w:rPr>
          <w:rFonts w:ascii="仿宋_GB2312" w:hAnsi="仿宋_GB2312" w:eastAsia="仿宋_GB2312" w:cs="仿宋_GB2312"/>
          <w:sz w:val="28"/>
          <w:szCs w:val="28"/>
        </w:rPr>
        <w:t>3.3.1第一包</w:t>
      </w:r>
      <w:bookmarkEnd w:id="28"/>
    </w:p>
    <w:tbl>
      <w:tblPr>
        <w:tblStyle w:val="9"/>
        <w:tblW w:w="5000" w:type="pct"/>
        <w:tblInd w:w="30" w:type="dxa"/>
        <w:tblLayout w:type="autofit"/>
        <w:tblCellMar>
          <w:top w:w="15" w:type="dxa"/>
          <w:left w:w="15" w:type="dxa"/>
          <w:bottom w:w="15" w:type="dxa"/>
          <w:right w:w="15" w:type="dxa"/>
        </w:tblCellMar>
      </w:tblPr>
      <w:tblGrid>
        <w:gridCol w:w="906"/>
        <w:gridCol w:w="1632"/>
        <w:gridCol w:w="1633"/>
        <w:gridCol w:w="1633"/>
        <w:gridCol w:w="1633"/>
        <w:gridCol w:w="1633"/>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指标种类</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指标名称</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指标内容</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重要性</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是否需要证明材料</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食品必须符合国家饮食卫生标准，同时保证食品新鲜，不得出现腐烂、变质，以次充好等情况。</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食品的质量与包装应符合国家相关法律法规的规定，符合行业主管部门发布的规定、标准、规范。</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按规定必须经由法定食品检验机构检测的食品，投标人应在交货时向采购人提供同批次食品检验报告或合格证（复印件加盖公章）。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对于没有国家标准的应符合行业标准或企业标准，其中国家有强制性技术标准要求的产品，还应符合国家强制性技术标准，确保配送的货物安全、卫生。</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蔬菜和水果化学药物不超标，保持较好的色泽及新鲜度，无黄叶、泥沙；包装食品标注生产厂家，生产日期，并在保质期范围内，保持较好的外观；水产品品质新鲜质量安全。</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配送食材送达时不超过食材生产日期至保质期限日的 1/3（例如：食材保质期限为 10 天以内的，送达时间不能超过3天；食材保质期为6个月以内的，送达时间不能超过2个月，其他同理以此类推）。</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所有食材的来源清晰，蔬菜来源于受到地方政府部门监管的自有基地、商品菜基地或蔬菜专业流通市场，不供应散户溯源不清的蔬菜；肉类渠道来源正规可溯，参考正规市场品质及来源。（提供承诺函，格式自拟并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供应当季各类新鲜蔬菜以及大棚种植蔬菜，蔬菜类无黄叶、枯死叶，无虫，无杂质，原菜菜面干净、无明显泥土、码放整齐、无破损、大小基本统一、不得过熟或欠熟.</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净菜须保证菜面完全干净、无泥土、按统一标准加工、码放整齐、无须二次处理可以直接进行熟加工。</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水果质量要求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供应当季各类水果，无虫、无杂质。果面干净，无明显泥土，码放整齐，无破损，大小基本统一，不过熟或欠熟。</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其他食材质量标准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以上未详细列明的商品须符合国家食品安全卫生相关质量标准。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特殊准入认证要求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对实行食品质量（SC）安全市场准入制的食品，须在验收时提供 SC 认证的相关证明资料。（提供承诺函，格式自拟并加盖公章。）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bl>
    <w:p>
      <w:pPr>
        <w:pStyle w:val="4"/>
        <w:keepNext w:val="0"/>
        <w:spacing w:before="0" w:after="0" w:line="360" w:lineRule="auto"/>
        <w:rPr>
          <w:rFonts w:ascii="仿宋_GB2312" w:hAnsi="仿宋_GB2312" w:eastAsia="仿宋_GB2312" w:cs="仿宋_GB2312"/>
          <w:b/>
          <w:bCs/>
          <w:sz w:val="28"/>
          <w:szCs w:val="28"/>
        </w:rPr>
      </w:pPr>
      <w:bookmarkStart w:id="29" w:name="_Toc256000027"/>
      <w:r>
        <w:rPr>
          <w:rFonts w:ascii="仿宋_GB2312" w:hAnsi="仿宋_GB2312" w:eastAsia="仿宋_GB2312" w:cs="仿宋_GB2312"/>
          <w:sz w:val="28"/>
          <w:szCs w:val="28"/>
        </w:rPr>
        <w:t>3.3.2第二包</w:t>
      </w:r>
      <w:bookmarkEnd w:id="29"/>
    </w:p>
    <w:tbl>
      <w:tblPr>
        <w:tblStyle w:val="9"/>
        <w:tblW w:w="5000" w:type="pct"/>
        <w:tblInd w:w="30" w:type="dxa"/>
        <w:tblLayout w:type="autofit"/>
        <w:tblCellMar>
          <w:top w:w="15" w:type="dxa"/>
          <w:left w:w="15" w:type="dxa"/>
          <w:bottom w:w="15" w:type="dxa"/>
          <w:right w:w="15" w:type="dxa"/>
        </w:tblCellMar>
      </w:tblPr>
      <w:tblGrid>
        <w:gridCol w:w="906"/>
        <w:gridCol w:w="1632"/>
        <w:gridCol w:w="1633"/>
        <w:gridCol w:w="1633"/>
        <w:gridCol w:w="1633"/>
        <w:gridCol w:w="1633"/>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指标种类</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指标名称</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指标内容</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重要性</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是否需要证明材料</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食品必须符合国家饮食卫生标准，同时保证食品新鲜，不得出现腐烂、变质，以次充好等情况。</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食品的质量与包装应符合国家相关法律法规的规定，符合行业主管部门发布的规定、标准、规范。</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按规定必须经由法定食品检验机构检测的食品，投标人应在交货时向采购人提供同批次食品检验报告或合格证（复印件加盖公章）。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对于没有国家标准的应符合行业标准或企业标准，其中国家有强制性技术标准要求的产品，还应符合国家强制性技术标准，确保配送的货物安全、卫生。</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肉类的理化指标及卫生标准符合国家或采购人所在地区最新标准执行。肉类供应商供应的动物类食品必须经过检验检疫，供货时一并提交出厂合格证复印件，必要时应按采购人要求提供生产厂家的卫生许可证。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所供生鲜肉确保为出厂后48小时内；冻肉确保为出厂后3个月内。</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冻品外包装需密封、完整，无破损，商品合格证齐全。冻品在解冻后，发现质量问题承诺退货。</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鲜冻禽肉类通用质量要求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肉品须表皮洁净、膘厚适中、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鲜猪肉通用质量要求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猪主要部位肉符合GB/T 9959.1和GB/T9959.3等规定。包括去骨前腿肉、去骨后腿肉、带骨方肉和去骨方肉，均要求一级。肌肉颜色为鲜红色，脂肪颜色为白色。肥膘厚度1.0～2.5cm，质地呈现肉色红、光亮、致密，没有霜降或异味。</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五花肉质量要求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一级五花肉，肥膘厚度≤2.0cm，肥瘦相间，肉质细腻，三层见花。</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肋排质量要求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肋排去剔前排后11-13根肋骨，整块重量1.2KG-1.8KG，纹理清晰，边缘整齐。</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猪脏器及副产品质量要求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心肝、腰子类：品质新鲜、外形完整、无异味、无病变、无凝血块、无血污、泥污、颜色正常。肚：品质新鲜、外形完整、无溃疡面及其他病变现象、无内容物、无粘膜、无边油。大肠、肥肠类：品质新鲜、无破损、无病变组织、无肠头细毛、无内容物、去净粘膜。舌：品质新鲜、外形完整、无病变、无异物、无舌苔、附肉少、无血污、泥污。耳：品质新鲜、外形完整、无溃烂、病斑、无破损。蹄爪类：品质新鲜、去蹄壳、不带蹄筋、刮除粗毛、细毛及趾间黑垢、无松香残留。蹄筋类：品质新鲜、无色透明、表面光亮、无油脂、无精肉、无充血现象、顺直、干燥。猪心：淡红色，脂肪乳白色稍红色，结实，有弹性，外形完整，心房内无瘀血，无凝血块，无病变，气味正常。猪肝：红褐色或棕黄色，有光泽，湿润，略有弹性，组织结实微密，肝叶完整，无脂肪，胆囊、粗输、胆管、无寄生虫、炎症水泡、薄膜，无胆汁污染，微有鱼腥味。猪口条：品质新鲜，外形完整，无根附着的肌肉、舌骨、舌苔、脂肪、无病伤，无异物。猪尾：品质新鲜，去毛洁净，不带毛根或绒毛。</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鲜牛肉通用质量要求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精修牛肉，颜色呈正常鲜红状，脂肪微黄，表面有光泽有正常油脂分泌，触摸略感粘稠，按压有弹性，无发酸发臭气味，无腐坏变色现象，挤压无水溢出。</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牛柳（牛里脊肉）质量要求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精修牛里脊，圆形长条，形如黄瓜，肉质非常细嫩。</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牛腩质量要求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精修牛腩肉，牛腹部及靠近牛肋处的松软肌肉，带有筋、肉、油花的肉块。</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鲜羊肉质量要求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精修羊肉，肌肉红色均匀，有光泽，脂肪洁白。外表微干或有风干膜，触摸不粘手。弹性好，指压后凹陷立即恢复。具有鲜羊肉正常气味，无泥污，血污，肉边整齐，无碎肉，碎骨，按标准部位分割，无多余脂肪及血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冻畜肉质量要求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色泽：颜色比冷却肉鲜明，在表面切开处为浅玫瑰色至灰色，用手或热刀触之，立显示鲜红色。脂肪猪、羊为白色，牛为淡黄色。肌腱为白色，石灰色。外表：无杂质，无肌肉风干现象，无白、黄、绿斑、紫斑、污血、过多冰衣无白霜。气味：化冻时，有肉的正常味，略潮，没有熟肉味。包装：按标准部位分割外包装无破损有生产日期。</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鲜鸡（鸭、鹅）类质量要求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眼球：无干缩凹陷或晶体状浑浊现象。外表：具有其固有表皮颜色、肌肉切面有光泽、无绿、紫等异常颜色、无残羽（万其在脖、翅等处无较长细毛）、无破损、无残缺、新切面不发粘。气味：具有其固有气味、无异味。弹性：指压后凹陷、能恢复。</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鲜鸡类各部件质量要求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鸡爪：品质新鲜、呈白色或灰白色、无黄皮趾壳、无血污、血水、无残缺、脚趾根上无黑斑、允许有少量红斑。鸡翅：品质新鲜、无残羽、无黄衣、无伤斑及溃烂、无血水血污、允许有少数斑、允许剪修但最大范围不超转弯关节处。鸡腿：无残羽、无血水、血污、品质新鲜、无残骨无伤斑及溃烂、炎症、允许有少数红斑、外形美观。鸡胸肉：品质新鲜、无残羽、无血水、血污、无残骨、无伤斑、溃烂、炎症，允许有少数红斑。鸡肝：品质新鲜、外形完整、去胆、无寄生虫、炎症、水泡，无胆汁污染无血渍。鸡胗：品质新鲜、外形完整无内容物、鸡内金、腺胃、肠管及脂肪，无出血、瘀血、病变。鸡心：品质新鲜、褐红色，脂肪稍红，组织结实，有弹性，心房内无瘀血、病变，气味正常。鸡脖：品质新鲜、去劲部皮、无羽毛、无血污。鸡头：品质新鲜、外形完整、无伤斑、无溃烂、无血污。蹄筋：品质新鲜，无色透明，表面光亮，无油脂，无精肉，无充血现顺直、干燥。</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冻禽肉质量要求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色泽：外观滋润，呈乳白或微黄色。外表：基本无血脉、风干现象，无白、黄绿、紫斑、无冰衣，解冻后与鲜禽特征相同。气味：无腐臭气味。</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鲜冻鱼质量要求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其他食材质量标准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以上未详细列明的商品须符合国家食品安全卫生相关质量标准。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特殊准入认证要求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对实行食品质量（SC）安全市场准入制的食品，须在验收时提供 SC 认证的相关证明资料。（提供承诺函，格式自拟并加盖公章。）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bl>
    <w:p>
      <w:pPr>
        <w:pStyle w:val="4"/>
        <w:keepNext w:val="0"/>
        <w:spacing w:before="0" w:after="0" w:line="360" w:lineRule="auto"/>
        <w:rPr>
          <w:rFonts w:ascii="仿宋_GB2312" w:hAnsi="仿宋_GB2312" w:eastAsia="仿宋_GB2312" w:cs="仿宋_GB2312"/>
          <w:b/>
          <w:bCs/>
          <w:sz w:val="28"/>
          <w:szCs w:val="28"/>
        </w:rPr>
      </w:pPr>
      <w:bookmarkStart w:id="30" w:name="_Toc256000028"/>
      <w:r>
        <w:rPr>
          <w:rFonts w:ascii="仿宋_GB2312" w:hAnsi="仿宋_GB2312" w:eastAsia="仿宋_GB2312" w:cs="仿宋_GB2312"/>
          <w:sz w:val="28"/>
          <w:szCs w:val="28"/>
        </w:rPr>
        <w:t>3.3.3第三包</w:t>
      </w:r>
      <w:bookmarkEnd w:id="30"/>
    </w:p>
    <w:tbl>
      <w:tblPr>
        <w:tblStyle w:val="9"/>
        <w:tblW w:w="5000" w:type="pct"/>
        <w:tblInd w:w="30" w:type="dxa"/>
        <w:tblLayout w:type="autofit"/>
        <w:tblCellMar>
          <w:top w:w="15" w:type="dxa"/>
          <w:left w:w="15" w:type="dxa"/>
          <w:bottom w:w="15" w:type="dxa"/>
          <w:right w:w="15" w:type="dxa"/>
        </w:tblCellMar>
      </w:tblPr>
      <w:tblGrid>
        <w:gridCol w:w="906"/>
        <w:gridCol w:w="1632"/>
        <w:gridCol w:w="1633"/>
        <w:gridCol w:w="1633"/>
        <w:gridCol w:w="1633"/>
        <w:gridCol w:w="1633"/>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指标种类</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指标名称</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指标内容</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重要性</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是否需要证明材料</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食品必须符合国家饮食卫生标准，同时保证食品新鲜，不得出现腐烂、变质，以次充好等情况。</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食品的质量与包装应符合国家相关法律法规的规定，符合行业主管部门发布的规定、标准、规范。</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按规定必须经由法定食品检验机构检测的食品，投标人应在交货时向采购人提供同批次食品检验报告或合格证（复印件加盖公章）。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对于没有国家标准的应符合行业标准或企业标准，其中国家有强制性技术标准要求的产品，还应符合国家强制性技术标准，确保配送的货物安全、卫生。</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面条米线质量要求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不含非食品用化学物质、无杂质。以小麦、大米为原料的面条、米线颜色呈白色、乳白色、奶黄色，色亮不发灰发暗。表面结构细密、光滑。软硬适中，爽口不粘牙，口感光滑，具有清香，无异味。</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鸡蛋质量要求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一级清洁鸡蛋，蛋壳清洁完整，呈规则卵圆形，具有蛋壳固有的色泽，表面无肉眼可见污物，鸡蛋新鲜，蛋白浓稠、蛋黄圆润，单个鸡蛋重量58～68g。</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豆腐及豆制品质量要求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须保证食品干净，不含非食品用化学物质，按统一标准加工，码放整齐，无须二次处理可以直接进行熟加工。</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大米质量标准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符合GB/T 1354-2018中关于一级米的标准，加工精度为精碾，小碎米含量≤1.0%，不完善粒≤3.0%，带壳稗粒≤3粒/公斤，带谷粒≤4粒/公斤。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面粉（含面粉配料）质量标准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通用面粉达GB/T 1355-2021国家标准。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面粉（含面粉配料）质量标准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高筋面粉达GB/T 8607-1988国家标准，质量等级一级；低筋面粉达GB8608-1988标准，质量等级一级。色泽正常，干爽无异味。</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食用油通用标准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供应非转基因食用油。外观的色泽、透明度、气味滋味等无异常，定型包装。</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大豆油质量标准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符合质量标准GB/T1535-2017，质量等级一级，色泽为淡黄至浅黄色，冷冻实验澄清、透明，无异味、口感好，水分及挥发物质含量≤0.10%，不溶性杂质含量≤0.05%，酸价≤0.50ng/g，过氧化值≤5.0mmol/kg,烟点≥190℃。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其他食材质量标准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以上未详细列明的商品须符合国家食品安全卫生相关质量标准。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特殊准入认证要求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对实行食品质量（SC）安全市场准入制的食品，须在验收时提供 SC 认证的相关证明资料。（提供承诺函，格式自拟并加盖公章。）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bl>
    <w:p>
      <w:pPr>
        <w:pStyle w:val="3"/>
        <w:keepNext w:val="0"/>
        <w:spacing w:before="0" w:after="0" w:line="360" w:lineRule="auto"/>
        <w:rPr>
          <w:rFonts w:ascii="仿宋_GB2312" w:hAnsi="仿宋_GB2312" w:eastAsia="仿宋_GB2312" w:cs="仿宋_GB2312"/>
          <w:b/>
          <w:bCs/>
          <w:sz w:val="28"/>
          <w:szCs w:val="28"/>
        </w:rPr>
      </w:pPr>
      <w:bookmarkStart w:id="31" w:name="_Toc256000029"/>
      <w:r>
        <w:rPr>
          <w:rFonts w:ascii="仿宋_GB2312" w:hAnsi="仿宋_GB2312" w:eastAsia="仿宋_GB2312" w:cs="仿宋_GB2312"/>
          <w:i w:val="0"/>
          <w:iCs w:val="0"/>
        </w:rPr>
        <w:t>3.4服务要求</w:t>
      </w:r>
      <w:bookmarkEnd w:id="31"/>
    </w:p>
    <w:p>
      <w:pPr>
        <w:pStyle w:val="4"/>
        <w:keepNext w:val="0"/>
        <w:spacing w:before="0" w:after="0" w:line="360" w:lineRule="auto"/>
        <w:rPr>
          <w:rFonts w:ascii="仿宋_GB2312" w:hAnsi="仿宋_GB2312" w:eastAsia="仿宋_GB2312" w:cs="仿宋_GB2312"/>
          <w:b/>
          <w:bCs/>
          <w:sz w:val="28"/>
          <w:szCs w:val="28"/>
        </w:rPr>
      </w:pPr>
      <w:bookmarkStart w:id="32" w:name="_Toc256000030"/>
      <w:r>
        <w:rPr>
          <w:rFonts w:ascii="仿宋_GB2312" w:hAnsi="仿宋_GB2312" w:eastAsia="仿宋_GB2312" w:cs="仿宋_GB2312"/>
          <w:sz w:val="28"/>
          <w:szCs w:val="28"/>
        </w:rPr>
        <w:t>3.4.1第一包</w:t>
      </w:r>
      <w:bookmarkEnd w:id="32"/>
    </w:p>
    <w:tbl>
      <w:tblPr>
        <w:tblStyle w:val="9"/>
        <w:tblW w:w="5000" w:type="pct"/>
        <w:tblInd w:w="30" w:type="dxa"/>
        <w:tblLayout w:type="autofit"/>
        <w:tblCellMar>
          <w:top w:w="15" w:type="dxa"/>
          <w:left w:w="15" w:type="dxa"/>
          <w:bottom w:w="15" w:type="dxa"/>
          <w:right w:w="15" w:type="dxa"/>
        </w:tblCellMar>
      </w:tblPr>
      <w:tblGrid>
        <w:gridCol w:w="906"/>
        <w:gridCol w:w="1632"/>
        <w:gridCol w:w="1633"/>
        <w:gridCol w:w="1633"/>
        <w:gridCol w:w="1633"/>
        <w:gridCol w:w="1633"/>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指标种类</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指标名称</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指标内容</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重要性</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是否需要证明材料</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硬件设施要求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仓储物流设施要求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自有或租赁库房，面积不小于300平米；投标人自有或租赁冷库，吨位不小于200吨（或冷库面积不小于80平米）。能够满足按采购人需求完成配送任务，确保4个办公区同时送货。（提供产权证明或租赁合同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硬件设施要求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配送车辆要求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投标人自有或固定租赁4台以上冷藏车辆，确保24小时响应，按采购人需求完成配送任务，确保6个办公区同时送货。（自有车辆提供自有证明材料，租赁车辆提供租赁合同复印件证明。）</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水产供应链能力要求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具有自有或签约供货的水产生产工厂或者直销、代理、经销商资格之一。（提供相应证明材料复印件）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果蔬供应链能力要求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具有自有或签约供货的蔬菜、水果基地之一。（提供相应证明材料复印件）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牛奶供应链能力要求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具有自有或签约的牛奶生产工厂或者直销、代理、经销商资格之一。（提供相应证明材料复印件）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2022年 1月1日以来具有本项目拟配送食材的进货内容。（提供2022年1月1日以来的从上游供货商进货单或双方的合作协议或交易发票。合作协议或交易发票中应体现投标人名称。）</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简易加工能力要求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能够完成本项目采购食材的简易加工，如鲜冻禽畜肉切丝、丁、块、片；鱼类宰杀去鳃、去鳞、去内脏；蔬菜洗净削皮等。（提供承诺函，格式自拟，加盖公章。）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运输卫生要求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整个运输过程应采用符合卫生要求的外包装和运载工具，对运输工具做到每日清洗消毒，车厢内无不良气味、异味，确保运输过程安全卫生。冷冻制品、冷冻家禽、鲜猪肉、生鲜蛋奶等冷链食品必须使用符合规范标准的冷藏车进行运输。</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运输工具管理要求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投标人运输工具进入采购人管理范围，必须接受采购人统一管理，发生任何人员与设施损伤，均由投标人承担责任。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规范包装要求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包装产品交付时，必须保证原包装完好无损。不得使用有色、有毒塑料制品包装食材，否则采购人有权拒收。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一般配送要求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采购人按期（日/周）向投标人发布采购内容，投标人应在送货前一个工作日与采购人核对确认采购内容无误后，在次日6点前配送至采购人指定验收地点。（提供承诺函，格式自拟，加盖公章。）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应急配送要求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投标人应能按采购人要求及时补货，具备应急采购、储备、运输等能力，通讯工具24小时保持畅通，全天候备勤。在收到采购人布置的临时需求后 1 个小时内响应，2 个小时内完成配送。（提供承诺函，格式自拟，加盖公章。）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bl>
    <w:p>
      <w:pPr>
        <w:pStyle w:val="4"/>
        <w:keepNext w:val="0"/>
        <w:spacing w:before="0" w:after="0" w:line="360" w:lineRule="auto"/>
        <w:rPr>
          <w:rFonts w:ascii="仿宋_GB2312" w:hAnsi="仿宋_GB2312" w:eastAsia="仿宋_GB2312" w:cs="仿宋_GB2312"/>
          <w:b/>
          <w:bCs/>
          <w:sz w:val="28"/>
          <w:szCs w:val="28"/>
        </w:rPr>
      </w:pPr>
      <w:bookmarkStart w:id="33" w:name="_Toc256000031"/>
      <w:r>
        <w:rPr>
          <w:rFonts w:ascii="仿宋_GB2312" w:hAnsi="仿宋_GB2312" w:eastAsia="仿宋_GB2312" w:cs="仿宋_GB2312"/>
          <w:sz w:val="28"/>
          <w:szCs w:val="28"/>
        </w:rPr>
        <w:t>3.4.2第二包</w:t>
      </w:r>
      <w:bookmarkEnd w:id="33"/>
    </w:p>
    <w:tbl>
      <w:tblPr>
        <w:tblStyle w:val="9"/>
        <w:tblW w:w="5000" w:type="pct"/>
        <w:tblInd w:w="30" w:type="dxa"/>
        <w:tblLayout w:type="autofit"/>
        <w:tblCellMar>
          <w:top w:w="15" w:type="dxa"/>
          <w:left w:w="15" w:type="dxa"/>
          <w:bottom w:w="15" w:type="dxa"/>
          <w:right w:w="15" w:type="dxa"/>
        </w:tblCellMar>
      </w:tblPr>
      <w:tblGrid>
        <w:gridCol w:w="906"/>
        <w:gridCol w:w="1632"/>
        <w:gridCol w:w="1633"/>
        <w:gridCol w:w="1633"/>
        <w:gridCol w:w="1633"/>
        <w:gridCol w:w="1633"/>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指标种类</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指标名称</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指标内容</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重要性</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是否需要证明材料</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硬件设施要求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仓储物流设施要求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自有或租赁库房，面积不小于300平米；投标人自有或租赁冷库，吨位不小于200吨（或冷库面积不小于80平米）。能够满足按采购人需求完成配送任务，确保4个办公区同时送货。（提供产权证明或租赁合同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硬件设施要求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配送车辆要求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投标人自有或固定租赁4台以上冷藏车辆，确保24小时响应，按采购人需求完成配送任务，确保6个办公区同时送货。（自有车辆提供自有证明材料，租赁车辆提供租赁合同复印件证明。）</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猪肉供应链能力要求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具有自有、签约的猪肉屠宰、加工厂或者直销、代理、经销商资格之一。（提供相应证明材料复印件）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牛肉供应链能力要求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具有自有、签约的牛肉屠宰、加工厂或者直销、代理、经销商资格之一。（提供相应证明材料复印件）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羊肉供应链能力要求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具有自有、签约的羊肉屠宰、加工厂或者直销、代理、经销商资格之一。（提供相应证明材料复印件）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禽肉供应链能力要求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具有自有、签约的禽肉屠宰、加工厂或者直销、代理、经销商资格之一。（提供相应证明材料复印件）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2022年 1月1日以来具有本项目拟配送食材的进货内容。（提供2022年1月1日以来的从上游供货商进货单或双方的合作协议或交易发票。合作协议或交易发票中应体现投标人名称。）</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简易加工能力要求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能够完成本项目采购食材的简易加工，如鲜冻禽畜肉切丝、丁、块、片；鱼类宰杀去鳃、去鳞、去内脏；蔬菜洗净削皮等。（提供承诺函，格式自拟，加盖公章。）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运输卫生要求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整个运输过程应采用符合卫生要求的外包装和运载工具，对运输工具做到每日清洗消毒，车厢内无不良气味、异味，确保运输过程安全卫生。冷冻制品、冷冻家禽、鲜猪肉、生鲜蛋奶等冷链食品必须使用符合规范标准的冷藏车进行运输。</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运输工具管理要求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投标人运输工具进入采购人管理范围，必须接受采购人统一管理，发生任何人员与设施损伤，均由投标人承担责任。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规范包装要求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包装产品交付时，必须保证原包装完好无损。不得使用有色、有毒塑料制品包装食材，否则采购人有权拒收。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一般配送要求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采购人按期（日/周）向投标人发布采购内容，投标人应在送货前一个工作日与采购人核对确认采购内容无误后，在次日6点前配送至采购人指定验收地点。（提供承诺函，格式自拟，加盖公章。）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应急配送要求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投标人应能按采购人要求及时补货，具备应急采购、储备、运输等能力，通讯工具24小时保持畅通，全天候备勤。在收到采购人布置的临时需求后 1 个小时内响应，2 个小时内完成配送。（提供承诺函，格式自拟，加盖公章。）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bl>
    <w:p>
      <w:pPr>
        <w:pStyle w:val="4"/>
        <w:keepNext w:val="0"/>
        <w:spacing w:before="0" w:after="0" w:line="360" w:lineRule="auto"/>
        <w:rPr>
          <w:rFonts w:ascii="仿宋_GB2312" w:hAnsi="仿宋_GB2312" w:eastAsia="仿宋_GB2312" w:cs="仿宋_GB2312"/>
          <w:b/>
          <w:bCs/>
          <w:sz w:val="28"/>
          <w:szCs w:val="28"/>
        </w:rPr>
      </w:pPr>
      <w:bookmarkStart w:id="34" w:name="_Toc256000032"/>
      <w:r>
        <w:rPr>
          <w:rFonts w:ascii="仿宋_GB2312" w:hAnsi="仿宋_GB2312" w:eastAsia="仿宋_GB2312" w:cs="仿宋_GB2312"/>
          <w:sz w:val="28"/>
          <w:szCs w:val="28"/>
        </w:rPr>
        <w:t>3.4.3第三包</w:t>
      </w:r>
      <w:bookmarkEnd w:id="34"/>
    </w:p>
    <w:tbl>
      <w:tblPr>
        <w:tblStyle w:val="9"/>
        <w:tblW w:w="5000" w:type="pct"/>
        <w:tblInd w:w="30" w:type="dxa"/>
        <w:tblLayout w:type="autofit"/>
        <w:tblCellMar>
          <w:top w:w="15" w:type="dxa"/>
          <w:left w:w="15" w:type="dxa"/>
          <w:bottom w:w="15" w:type="dxa"/>
          <w:right w:w="15" w:type="dxa"/>
        </w:tblCellMar>
      </w:tblPr>
      <w:tblGrid>
        <w:gridCol w:w="906"/>
        <w:gridCol w:w="1632"/>
        <w:gridCol w:w="1633"/>
        <w:gridCol w:w="1633"/>
        <w:gridCol w:w="1633"/>
        <w:gridCol w:w="1633"/>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指标种类</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指标名称</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指标内容</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重要性</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是否需要证明材料</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硬件设施要求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仓储物流设施要求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自有或租赁库房，面积不小于300平米；投标人自有或租赁冷库，吨位不小于200吨（或冷库面积不小于80平米）。能够满足按采购人需求完成配送任务，确保4个办公区同时送货。（提供产权证明或租赁合同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硬件设施要求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配送车辆要求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投标人自有或固定租赁4台以上冷藏车辆，确保24小时响应，按采购人需求完成配送任务，确保6个办公区同时送货。（自有车辆提供自有证明材料，租赁车辆提供租赁合同复印件证明。）</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主食供应链能力要求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具有自有、签约的大米、面粉生产基地、加工厂或者直销、代理、经销商资格之一。（提供相应证明材料复印件）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食用油供应链能力要求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具有自有或签约的食用油加工厂或者直销、代理、经销商资格之一。（提供相应证明材料复印件）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蛋类供应链能力要求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具有自有或签约的蛋类生产工厂或者直销、代理、经销商资格之一。（提供相应证明材料复印件）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2022年 1月1日以来具有本项目拟配送食材的进货内容。（提供2022年1月1日以来的从上游供货商进货单或双方的合作协议或交易发票。合作协议或交易发票中应体现投标人名称。）</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简易加工能力要求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能够完成本项目采购食材的简易加工，如鲜冻禽畜肉切丝、丁、块、片；鱼类宰杀去鳃、去鳞、去内脏；蔬菜洗净削皮等。（提供承诺函，格式自拟，加盖公章。）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运输卫生要求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整个运输过程应采用符合卫生要求的外包装和运载工具，对运输工具做到每日清洗消毒，车厢内无不良气味、异味，确保运输过程安全卫生。冷冻制品、冷冻家禽、鲜猪肉、生鲜蛋奶等冷链食品必须使用符合规范标准的冷藏车进行运输。</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运输工具管理要求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投标人运输工具进入采购人管理范围，必须接受采购人统一管理，发生任何人员与设施损伤，均由投标人承担责任。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规范包装要求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包装产品交付时，必须保证原包装完好无损。不得使用有色、有毒塑料制品包装食材，否则采购人有权拒收。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一般配送要求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采购人按期（日/周）向投标人发布采购内容，投标人应在送货前一个工作日与采购人核对确认采购内容无误后，在次日6点前配送至采购人指定验收地点。（提供承诺函，格式自拟，加盖公章。）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应急配送要求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投标人应能按采购人要求及时补货，具备应急采购、储备、运输等能力，通讯工具24小时保持畅通，全天候备勤。在收到采购人布置的临时需求后 1 个小时内响应，2 个小时内完成配送。（提供承诺函，格式自拟，加盖公章。）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bl>
    <w:p>
      <w:pPr>
        <w:pStyle w:val="3"/>
        <w:keepNext w:val="0"/>
        <w:spacing w:before="0" w:after="0" w:line="360" w:lineRule="auto"/>
        <w:rPr>
          <w:rFonts w:ascii="仿宋_GB2312" w:hAnsi="仿宋_GB2312" w:eastAsia="仿宋_GB2312" w:cs="仿宋_GB2312"/>
          <w:b/>
          <w:bCs/>
          <w:sz w:val="28"/>
          <w:szCs w:val="28"/>
        </w:rPr>
      </w:pPr>
      <w:bookmarkStart w:id="35" w:name="_Toc256000033"/>
      <w:r>
        <w:rPr>
          <w:rFonts w:ascii="仿宋_GB2312" w:hAnsi="仿宋_GB2312" w:eastAsia="仿宋_GB2312" w:cs="仿宋_GB2312"/>
          <w:i w:val="0"/>
          <w:iCs w:val="0"/>
        </w:rPr>
        <w:t>3.5其他要求</w:t>
      </w:r>
      <w:bookmarkEnd w:id="35"/>
    </w:p>
    <w:p>
      <w:pPr>
        <w:pStyle w:val="13"/>
        <w:keepNext w:val="0"/>
        <w:keepLines w:val="0"/>
        <w:pageBreakBefore w:val="0"/>
        <w:widowControl/>
        <w:kinsoku/>
        <w:wordWrap/>
        <w:overflowPunct/>
        <w:topLinePunct w:val="0"/>
        <w:autoSpaceDE/>
        <w:autoSpaceDN/>
        <w:bidi w:val="0"/>
        <w:adjustRightInd/>
        <w:snapToGrid/>
        <w:spacing w:before="0" w:after="0" w:line="360" w:lineRule="auto"/>
        <w:ind w:firstLine="640"/>
        <w:jc w:val="both"/>
        <w:textAlignment w:val="baseline"/>
        <w:rPr>
          <w:rFonts w:ascii="Times New Roman" w:hAnsi="Times New Roman" w:eastAsia="Times New Roman" w:cs="Times New Roman"/>
        </w:rPr>
      </w:pPr>
      <w:r>
        <w:rPr>
          <w:rFonts w:ascii="FangSong_GB2312" w:hAnsi="FangSong_GB2312" w:eastAsia="FangSong_GB2312" w:cs="FangSong_GB2312"/>
          <w:sz w:val="28"/>
          <w:szCs w:val="28"/>
        </w:rPr>
        <w:t>根据《政府采购货物和服务招标投标管理办法》（财政部令第87号）第六十条的规定，评标委员会认为投标人的报价明显低于其他通过符合性审查投标人的报价，有可能影响产品质量或者不能诚信履约的，应当启动异常低价投标（响应）审查程序，要求该投标人在评标现场合理的时间内提供书面说明，必要时提交相关证明材料；投标人不能证明其报价合理性的，评标委员会应当将其作为无效投标处理。</w:t>
      </w:r>
    </w:p>
    <w:p>
      <w:pPr>
        <w:pStyle w:val="13"/>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baseline"/>
        <w:rPr>
          <w:rFonts w:ascii="Times New Roman" w:hAnsi="Times New Roman" w:eastAsia="Times New Roman" w:cs="Times New Roman"/>
        </w:rPr>
      </w:pPr>
      <w:r>
        <w:rPr>
          <w:rFonts w:ascii="FangSong_GB2312" w:hAnsi="FangSong_GB2312" w:eastAsia="FangSong_GB2312" w:cs="FangSong_GB2312"/>
          <w:sz w:val="28"/>
          <w:szCs w:val="28"/>
        </w:rPr>
        <w:t>采购产品一览表中食材数量为预估数量，在服务期中，以采购人下达的订单数量为准。采购人有权在不超过采购预算的前提下，向中标供应商下达每日具体采购订单。</w:t>
      </w:r>
    </w:p>
    <w:p>
      <w:pPr>
        <w:pStyle w:val="4"/>
        <w:keepNext w:val="0"/>
        <w:keepLines w:val="0"/>
        <w:pageBreakBefore w:val="0"/>
        <w:widowControl/>
        <w:kinsoku/>
        <w:wordWrap/>
        <w:overflowPunct/>
        <w:topLinePunct w:val="0"/>
        <w:autoSpaceDE/>
        <w:autoSpaceDN/>
        <w:bidi w:val="0"/>
        <w:adjustRightInd/>
        <w:snapToGrid/>
        <w:spacing w:before="0" w:after="0" w:line="360" w:lineRule="auto"/>
        <w:jc w:val="both"/>
        <w:rPr>
          <w:rFonts w:ascii="Times New Roman" w:hAnsi="Times New Roman" w:eastAsia="Times New Roman" w:cs="Times New Roman"/>
          <w:b/>
          <w:bCs/>
          <w:sz w:val="28"/>
          <w:szCs w:val="28"/>
        </w:rPr>
      </w:pPr>
      <w:bookmarkStart w:id="36" w:name="_Toc256000034"/>
      <w:r>
        <w:rPr>
          <w:rFonts w:ascii="仿宋_GB2312" w:hAnsi="仿宋_GB2312" w:eastAsia="仿宋_GB2312" w:cs="仿宋_GB2312"/>
          <w:sz w:val="28"/>
          <w:szCs w:val="28"/>
        </w:rPr>
        <w:t>3.5.1质量安全把控服务要求</w:t>
      </w:r>
      <w:bookmarkEnd w:id="36"/>
    </w:p>
    <w:p>
      <w:pPr>
        <w:pStyle w:val="15"/>
        <w:keepNext w:val="0"/>
        <w:keepLines w:val="0"/>
        <w:pageBreakBefore w:val="0"/>
        <w:widowControl/>
        <w:kinsoku/>
        <w:wordWrap/>
        <w:overflowPunct/>
        <w:topLinePunct w:val="0"/>
        <w:autoSpaceDE/>
        <w:autoSpaceDN/>
        <w:bidi w:val="0"/>
        <w:adjustRightInd/>
        <w:snapToGrid/>
        <w:spacing w:before="0" w:after="0" w:line="360" w:lineRule="auto"/>
        <w:ind w:firstLine="642"/>
        <w:jc w:val="both"/>
        <w:rPr>
          <w:rFonts w:ascii="Times New Roman" w:hAnsi="Times New Roman" w:eastAsia="Times New Roman" w:cs="Times New Roman"/>
        </w:rPr>
      </w:pPr>
      <w:r>
        <w:rPr>
          <w:rFonts w:ascii="FangSong_GB2312" w:hAnsi="FangSong_GB2312" w:eastAsia="FangSong_GB2312" w:cs="FangSong_GB2312"/>
          <w:sz w:val="28"/>
          <w:szCs w:val="28"/>
        </w:rPr>
        <w:t>1.投标人应提供质量安全把控方案。方案内容详细描述供应货物质量把控措施、检验检疫关键环节把控、不符合质量标准货品处置等内容，确保提供食材安全可靠。</w:t>
      </w:r>
    </w:p>
    <w:p>
      <w:pPr>
        <w:pStyle w:val="16"/>
        <w:keepNext w:val="0"/>
        <w:keepLines w:val="0"/>
        <w:pageBreakBefore w:val="0"/>
        <w:widowControl/>
        <w:kinsoku/>
        <w:wordWrap/>
        <w:overflowPunct/>
        <w:topLinePunct w:val="0"/>
        <w:autoSpaceDE/>
        <w:autoSpaceDN/>
        <w:bidi w:val="0"/>
        <w:adjustRightInd/>
        <w:snapToGrid/>
        <w:spacing w:before="0" w:after="0" w:line="360" w:lineRule="auto"/>
        <w:ind w:left="0" w:firstLine="640"/>
        <w:jc w:val="both"/>
        <w:rPr>
          <w:rFonts w:ascii="Times New Roman" w:hAnsi="Times New Roman" w:eastAsia="Times New Roman" w:cs="Times New Roman"/>
        </w:rPr>
      </w:pPr>
      <w:r>
        <w:rPr>
          <w:rFonts w:ascii="FangSong_GB2312" w:hAnsi="FangSong_GB2312" w:eastAsia="FangSong_GB2312" w:cs="FangSong_GB2312"/>
          <w:sz w:val="28"/>
          <w:szCs w:val="28"/>
        </w:rPr>
        <w:t>2.投标人供应以下食品的，采购人全部退货，投标人承担由此造成的一切经济责任和法律责任：</w:t>
      </w:r>
    </w:p>
    <w:p>
      <w:pPr>
        <w:pStyle w:val="16"/>
        <w:keepNext w:val="0"/>
        <w:keepLines w:val="0"/>
        <w:pageBreakBefore w:val="0"/>
        <w:widowControl/>
        <w:kinsoku/>
        <w:wordWrap/>
        <w:overflowPunct/>
        <w:topLinePunct w:val="0"/>
        <w:autoSpaceDE/>
        <w:autoSpaceDN/>
        <w:bidi w:val="0"/>
        <w:adjustRightInd/>
        <w:snapToGrid/>
        <w:spacing w:before="0" w:after="0" w:line="360" w:lineRule="auto"/>
        <w:ind w:left="0" w:firstLine="640"/>
        <w:jc w:val="both"/>
        <w:rPr>
          <w:rFonts w:ascii="Times New Roman" w:hAnsi="Times New Roman" w:eastAsia="Times New Roman" w:cs="Times New Roman"/>
        </w:rPr>
      </w:pPr>
      <w:r>
        <w:rPr>
          <w:rFonts w:ascii="FangSong_GB2312" w:hAnsi="FangSong_GB2312" w:eastAsia="FangSong_GB2312" w:cs="FangSong_GB2312"/>
          <w:sz w:val="28"/>
          <w:szCs w:val="28"/>
        </w:rPr>
        <w:t>（1）腐败变质、油脂酸败、霉变、生虫、污秽不洁、混有异物或者其他感官性状异常，对人体健康有害的；</w:t>
      </w:r>
    </w:p>
    <w:p>
      <w:pPr>
        <w:pStyle w:val="16"/>
        <w:keepNext w:val="0"/>
        <w:keepLines w:val="0"/>
        <w:pageBreakBefore w:val="0"/>
        <w:widowControl/>
        <w:kinsoku/>
        <w:wordWrap/>
        <w:overflowPunct/>
        <w:topLinePunct w:val="0"/>
        <w:autoSpaceDE/>
        <w:autoSpaceDN/>
        <w:bidi w:val="0"/>
        <w:adjustRightInd/>
        <w:snapToGrid/>
        <w:spacing w:before="0" w:after="0" w:line="360" w:lineRule="auto"/>
        <w:ind w:left="0" w:firstLine="640"/>
        <w:jc w:val="both"/>
        <w:rPr>
          <w:rFonts w:ascii="Times New Roman" w:hAnsi="Times New Roman" w:eastAsia="Times New Roman" w:cs="Times New Roman"/>
        </w:rPr>
      </w:pPr>
      <w:r>
        <w:rPr>
          <w:rFonts w:ascii="FangSong_GB2312" w:hAnsi="FangSong_GB2312" w:eastAsia="FangSong_GB2312" w:cs="FangSong_GB2312"/>
          <w:sz w:val="28"/>
          <w:szCs w:val="28"/>
        </w:rPr>
        <w:t>（2）含有毒、有害物质或者被有毒、有害物质污染，对人体健康有害的；</w:t>
      </w:r>
    </w:p>
    <w:p>
      <w:pPr>
        <w:pStyle w:val="16"/>
        <w:keepNext w:val="0"/>
        <w:keepLines w:val="0"/>
        <w:pageBreakBefore w:val="0"/>
        <w:widowControl/>
        <w:kinsoku/>
        <w:wordWrap/>
        <w:overflowPunct/>
        <w:topLinePunct w:val="0"/>
        <w:autoSpaceDE/>
        <w:autoSpaceDN/>
        <w:bidi w:val="0"/>
        <w:adjustRightInd/>
        <w:snapToGrid/>
        <w:spacing w:before="0" w:after="0" w:line="360" w:lineRule="auto"/>
        <w:ind w:left="0" w:firstLine="640"/>
        <w:jc w:val="both"/>
        <w:rPr>
          <w:rFonts w:ascii="Times New Roman" w:hAnsi="Times New Roman" w:eastAsia="Times New Roman" w:cs="Times New Roman"/>
        </w:rPr>
      </w:pPr>
      <w:r>
        <w:rPr>
          <w:rFonts w:ascii="FangSong_GB2312" w:hAnsi="FangSong_GB2312" w:eastAsia="FangSong_GB2312" w:cs="FangSong_GB2312"/>
          <w:sz w:val="28"/>
          <w:szCs w:val="28"/>
        </w:rPr>
        <w:t>（3）含有致病性寄生虫、微生物或者微生物含量超过国家限定标准的；</w:t>
      </w:r>
    </w:p>
    <w:p>
      <w:pPr>
        <w:pStyle w:val="16"/>
        <w:keepNext w:val="0"/>
        <w:keepLines w:val="0"/>
        <w:pageBreakBefore w:val="0"/>
        <w:widowControl/>
        <w:kinsoku/>
        <w:wordWrap/>
        <w:overflowPunct/>
        <w:topLinePunct w:val="0"/>
        <w:autoSpaceDE/>
        <w:autoSpaceDN/>
        <w:bidi w:val="0"/>
        <w:adjustRightInd/>
        <w:snapToGrid/>
        <w:spacing w:before="0" w:after="0" w:line="360" w:lineRule="auto"/>
        <w:ind w:left="0" w:firstLine="640"/>
        <w:jc w:val="both"/>
        <w:rPr>
          <w:rFonts w:ascii="Times New Roman" w:hAnsi="Times New Roman" w:eastAsia="Times New Roman" w:cs="Times New Roman"/>
        </w:rPr>
      </w:pPr>
      <w:r>
        <w:rPr>
          <w:rFonts w:ascii="FangSong_GB2312" w:hAnsi="FangSong_GB2312" w:eastAsia="FangSong_GB2312" w:cs="FangSong_GB2312"/>
          <w:sz w:val="28"/>
          <w:szCs w:val="28"/>
        </w:rPr>
        <w:t>（4）掺假、掺杂、伪造，影响营养、卫生的；</w:t>
      </w:r>
    </w:p>
    <w:p>
      <w:pPr>
        <w:pStyle w:val="17"/>
        <w:keepNext w:val="0"/>
        <w:keepLines w:val="0"/>
        <w:pageBreakBefore w:val="0"/>
        <w:widowControl/>
        <w:kinsoku/>
        <w:wordWrap/>
        <w:overflowPunct/>
        <w:topLinePunct w:val="0"/>
        <w:autoSpaceDE/>
        <w:autoSpaceDN/>
        <w:bidi w:val="0"/>
        <w:adjustRightInd/>
        <w:snapToGrid/>
        <w:spacing w:before="0" w:after="0" w:line="360" w:lineRule="auto"/>
        <w:ind w:left="0" w:firstLine="640"/>
        <w:jc w:val="both"/>
        <w:rPr>
          <w:rFonts w:ascii="Times New Roman" w:hAnsi="Times New Roman" w:eastAsia="Times New Roman" w:cs="Times New Roman"/>
        </w:rPr>
      </w:pPr>
      <w:r>
        <w:rPr>
          <w:rFonts w:ascii="FangSong_GB2312" w:hAnsi="FangSong_GB2312" w:eastAsia="FangSong_GB2312" w:cs="FangSong_GB2312"/>
          <w:sz w:val="28"/>
          <w:szCs w:val="28"/>
        </w:rPr>
        <w:t>（5）未经动物检疫部门检疫、检验或者检疫、检验不合格的肉类及其制品；</w:t>
      </w:r>
    </w:p>
    <w:p>
      <w:pPr>
        <w:pStyle w:val="17"/>
        <w:keepNext w:val="0"/>
        <w:keepLines w:val="0"/>
        <w:pageBreakBefore w:val="0"/>
        <w:widowControl/>
        <w:kinsoku/>
        <w:wordWrap/>
        <w:overflowPunct/>
        <w:topLinePunct w:val="0"/>
        <w:autoSpaceDE/>
        <w:autoSpaceDN/>
        <w:bidi w:val="0"/>
        <w:adjustRightInd/>
        <w:snapToGrid/>
        <w:spacing w:before="0" w:after="0" w:line="360" w:lineRule="auto"/>
        <w:ind w:left="0" w:firstLine="640"/>
        <w:jc w:val="both"/>
        <w:rPr>
          <w:rFonts w:ascii="Times New Roman" w:hAnsi="Times New Roman" w:eastAsia="Times New Roman" w:cs="Times New Roman"/>
        </w:rPr>
      </w:pPr>
      <w:r>
        <w:rPr>
          <w:rFonts w:ascii="FangSong_GB2312" w:hAnsi="FangSong_GB2312" w:eastAsia="FangSong_GB2312" w:cs="FangSong_GB2312"/>
          <w:sz w:val="28"/>
          <w:szCs w:val="28"/>
        </w:rPr>
        <w:t>（6）病死、毒死或者死因不明的禽、畜、兽等及其制品；</w:t>
      </w:r>
    </w:p>
    <w:p>
      <w:pPr>
        <w:pStyle w:val="16"/>
        <w:keepNext w:val="0"/>
        <w:keepLines w:val="0"/>
        <w:pageBreakBefore w:val="0"/>
        <w:widowControl/>
        <w:kinsoku/>
        <w:wordWrap/>
        <w:overflowPunct/>
        <w:topLinePunct w:val="0"/>
        <w:autoSpaceDE/>
        <w:autoSpaceDN/>
        <w:bidi w:val="0"/>
        <w:adjustRightInd/>
        <w:snapToGrid/>
        <w:spacing w:before="0" w:after="0" w:line="360" w:lineRule="auto"/>
        <w:ind w:left="0" w:firstLine="640"/>
        <w:jc w:val="both"/>
        <w:rPr>
          <w:rFonts w:ascii="Times New Roman" w:hAnsi="Times New Roman" w:eastAsia="Times New Roman" w:cs="Times New Roman"/>
        </w:rPr>
      </w:pPr>
      <w:r>
        <w:rPr>
          <w:rFonts w:ascii="FangSong_GB2312" w:hAnsi="FangSong_GB2312" w:eastAsia="FangSong_GB2312" w:cs="FangSong_GB2312"/>
          <w:sz w:val="28"/>
          <w:szCs w:val="28"/>
        </w:rPr>
        <w:t>（7）用非食品原料加工的，加入非食品用化学物质或者将非食品当作食品的；</w:t>
      </w:r>
    </w:p>
    <w:p>
      <w:pPr>
        <w:pStyle w:val="16"/>
        <w:keepNext w:val="0"/>
        <w:keepLines w:val="0"/>
        <w:pageBreakBefore w:val="0"/>
        <w:widowControl/>
        <w:kinsoku/>
        <w:wordWrap/>
        <w:overflowPunct/>
        <w:topLinePunct w:val="0"/>
        <w:autoSpaceDE/>
        <w:autoSpaceDN/>
        <w:bidi w:val="0"/>
        <w:adjustRightInd/>
        <w:snapToGrid/>
        <w:spacing w:before="0" w:after="0" w:line="360" w:lineRule="auto"/>
        <w:ind w:left="0" w:firstLine="640"/>
        <w:jc w:val="both"/>
        <w:rPr>
          <w:rFonts w:ascii="Times New Roman" w:hAnsi="Times New Roman" w:eastAsia="Times New Roman" w:cs="Times New Roman"/>
        </w:rPr>
      </w:pPr>
      <w:r>
        <w:rPr>
          <w:rFonts w:ascii="FangSong_GB2312" w:hAnsi="FangSong_GB2312" w:eastAsia="FangSong_GB2312" w:cs="FangSong_GB2312"/>
          <w:sz w:val="28"/>
          <w:szCs w:val="28"/>
        </w:rPr>
        <w:t>（8）超过保质期限的；</w:t>
      </w:r>
    </w:p>
    <w:p>
      <w:pPr>
        <w:pStyle w:val="16"/>
        <w:keepNext w:val="0"/>
        <w:keepLines w:val="0"/>
        <w:pageBreakBefore w:val="0"/>
        <w:widowControl/>
        <w:kinsoku/>
        <w:wordWrap/>
        <w:overflowPunct/>
        <w:topLinePunct w:val="0"/>
        <w:autoSpaceDE/>
        <w:autoSpaceDN/>
        <w:bidi w:val="0"/>
        <w:adjustRightInd/>
        <w:snapToGrid/>
        <w:spacing w:before="0" w:after="0" w:line="360" w:lineRule="auto"/>
        <w:ind w:left="0" w:firstLine="640"/>
        <w:jc w:val="both"/>
        <w:rPr>
          <w:rFonts w:ascii="Times New Roman" w:hAnsi="Times New Roman" w:eastAsia="Times New Roman" w:cs="Times New Roman"/>
        </w:rPr>
      </w:pPr>
      <w:r>
        <w:rPr>
          <w:rFonts w:ascii="FangSong_GB2312" w:hAnsi="FangSong_GB2312" w:eastAsia="FangSong_GB2312" w:cs="FangSong_GB2312"/>
          <w:sz w:val="28"/>
          <w:szCs w:val="28"/>
        </w:rPr>
        <w:t>（9）使用有色、有毒塑料制品、包装食材的；</w:t>
      </w:r>
    </w:p>
    <w:p>
      <w:pPr>
        <w:pStyle w:val="16"/>
        <w:keepNext w:val="0"/>
        <w:keepLines w:val="0"/>
        <w:pageBreakBefore w:val="0"/>
        <w:widowControl/>
        <w:kinsoku/>
        <w:wordWrap/>
        <w:overflowPunct/>
        <w:topLinePunct w:val="0"/>
        <w:autoSpaceDE/>
        <w:autoSpaceDN/>
        <w:bidi w:val="0"/>
        <w:adjustRightInd/>
        <w:snapToGrid/>
        <w:spacing w:before="0" w:after="0" w:line="360" w:lineRule="auto"/>
        <w:ind w:left="0" w:firstLine="640"/>
        <w:jc w:val="both"/>
        <w:rPr>
          <w:rFonts w:ascii="Times New Roman" w:hAnsi="Times New Roman" w:eastAsia="Times New Roman" w:cs="Times New Roman"/>
        </w:rPr>
      </w:pPr>
      <w:r>
        <w:rPr>
          <w:rFonts w:ascii="FangSong_GB2312" w:hAnsi="FangSong_GB2312" w:eastAsia="FangSong_GB2312" w:cs="FangSong_GB2312"/>
          <w:sz w:val="28"/>
          <w:szCs w:val="28"/>
        </w:rPr>
        <w:t>（10）其他不符合《食品安全法》、《和产品质量法》和《动物检疫管理办法》等相关规定的。</w:t>
      </w:r>
    </w:p>
    <w:p>
      <w:pPr>
        <w:pStyle w:val="13"/>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rPr>
          <w:rFonts w:ascii="FangSong_GB2312" w:hAnsi="FangSong_GB2312" w:eastAsia="FangSong_GB2312" w:cs="FangSong_GB2312"/>
          <w:sz w:val="28"/>
          <w:szCs w:val="28"/>
        </w:rPr>
      </w:pPr>
      <w:r>
        <w:rPr>
          <w:rFonts w:ascii="FangSong_GB2312" w:hAnsi="FangSong_GB2312" w:eastAsia="FangSong_GB2312" w:cs="FangSong_GB2312"/>
          <w:sz w:val="28"/>
          <w:szCs w:val="28"/>
        </w:rPr>
        <w:t>3.凡投标人所供应货物应为原箱包装，拆包或重组包装的应提前向采购人说明，定量包装批量误差不应超过实际标示的5%。1.投标人应提供质量安全把控方案。方案内容详细描述供应货物质量把控措施、检验检疫关键环节把控、不符合质量标准货品处置等内容，确保提供食材安全可靠。</w:t>
      </w:r>
    </w:p>
    <w:p>
      <w:pPr>
        <w:pStyle w:val="13"/>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rPr>
          <w:rFonts w:ascii="Times New Roman" w:hAnsi="Times New Roman" w:eastAsia="Times New Roman" w:cs="Times New Roman"/>
        </w:rPr>
      </w:pPr>
      <w:r>
        <w:rPr>
          <w:rFonts w:ascii="FangSong_GB2312" w:hAnsi="FangSong_GB2312" w:eastAsia="FangSong_GB2312" w:cs="FangSong_GB2312"/>
          <w:sz w:val="28"/>
          <w:szCs w:val="28"/>
        </w:rPr>
        <w:t>2.投标人供应以下食品的，采购人全部退货，投标人承担由此造成的一切经济责任和法律责任：</w:t>
      </w:r>
    </w:p>
    <w:p>
      <w:pPr>
        <w:pStyle w:val="16"/>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rPr>
          <w:rFonts w:ascii="Times New Roman" w:hAnsi="Times New Roman" w:eastAsia="Times New Roman" w:cs="Times New Roman"/>
        </w:rPr>
      </w:pPr>
      <w:r>
        <w:rPr>
          <w:rFonts w:ascii="FangSong_GB2312" w:hAnsi="FangSong_GB2312" w:eastAsia="FangSong_GB2312" w:cs="FangSong_GB2312"/>
          <w:sz w:val="28"/>
          <w:szCs w:val="28"/>
        </w:rPr>
        <w:t>（1）腐败变质、油脂酸败、霉变、生虫、污秽不洁、混有异物或者其他感官性状异常，对人体健康有害的；</w:t>
      </w:r>
    </w:p>
    <w:p>
      <w:pPr>
        <w:pStyle w:val="16"/>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rPr>
          <w:rFonts w:ascii="Times New Roman" w:hAnsi="Times New Roman" w:eastAsia="Times New Roman" w:cs="Times New Roman"/>
        </w:rPr>
      </w:pPr>
      <w:r>
        <w:rPr>
          <w:rFonts w:ascii="FangSong_GB2312" w:hAnsi="FangSong_GB2312" w:eastAsia="FangSong_GB2312" w:cs="FangSong_GB2312"/>
          <w:sz w:val="28"/>
          <w:szCs w:val="28"/>
        </w:rPr>
        <w:t>（2）含有毒、有害物质或者被有毒、有害物质污染，对人体健康有害的；</w:t>
      </w:r>
    </w:p>
    <w:p>
      <w:pPr>
        <w:pStyle w:val="16"/>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rPr>
          <w:rFonts w:ascii="Times New Roman" w:hAnsi="Times New Roman" w:eastAsia="Times New Roman" w:cs="Times New Roman"/>
        </w:rPr>
      </w:pPr>
      <w:r>
        <w:rPr>
          <w:rFonts w:ascii="FangSong_GB2312" w:hAnsi="FangSong_GB2312" w:eastAsia="FangSong_GB2312" w:cs="FangSong_GB2312"/>
          <w:sz w:val="28"/>
          <w:szCs w:val="28"/>
        </w:rPr>
        <w:t>（3）含有致病性寄生虫、微生物或者微生物含量超过国家限定标准的；</w:t>
      </w:r>
    </w:p>
    <w:p>
      <w:pPr>
        <w:pStyle w:val="16"/>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rPr>
          <w:rFonts w:ascii="Times New Roman" w:hAnsi="Times New Roman" w:eastAsia="Times New Roman" w:cs="Times New Roman"/>
        </w:rPr>
      </w:pPr>
      <w:r>
        <w:rPr>
          <w:rFonts w:ascii="FangSong_GB2312" w:hAnsi="FangSong_GB2312" w:eastAsia="FangSong_GB2312" w:cs="FangSong_GB2312"/>
          <w:sz w:val="28"/>
          <w:szCs w:val="28"/>
        </w:rPr>
        <w:t>（4）掺假、掺杂、伪造，影响营养、卫生的；</w:t>
      </w:r>
    </w:p>
    <w:p>
      <w:pPr>
        <w:pStyle w:val="17"/>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rPr>
          <w:rFonts w:ascii="Times New Roman" w:hAnsi="Times New Roman" w:eastAsia="Times New Roman" w:cs="Times New Roman"/>
        </w:rPr>
      </w:pPr>
      <w:r>
        <w:rPr>
          <w:rFonts w:ascii="FangSong_GB2312" w:hAnsi="FangSong_GB2312" w:eastAsia="FangSong_GB2312" w:cs="FangSong_GB2312"/>
          <w:sz w:val="28"/>
          <w:szCs w:val="28"/>
        </w:rPr>
        <w:t>（5）未经动物检疫部门检疫、检验或者检疫、检验不合格的肉类及其制品；</w:t>
      </w:r>
    </w:p>
    <w:p>
      <w:pPr>
        <w:pStyle w:val="17"/>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rPr>
          <w:rFonts w:ascii="Times New Roman" w:hAnsi="Times New Roman" w:eastAsia="Times New Roman" w:cs="Times New Roman"/>
        </w:rPr>
      </w:pPr>
      <w:r>
        <w:rPr>
          <w:rFonts w:ascii="FangSong_GB2312" w:hAnsi="FangSong_GB2312" w:eastAsia="FangSong_GB2312" w:cs="FangSong_GB2312"/>
          <w:sz w:val="28"/>
          <w:szCs w:val="28"/>
        </w:rPr>
        <w:t>（6）病死、毒死或者死因不明的禽、畜、兽等及其制品；</w:t>
      </w:r>
    </w:p>
    <w:p>
      <w:pPr>
        <w:pStyle w:val="16"/>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rPr>
          <w:rFonts w:ascii="Times New Roman" w:hAnsi="Times New Roman" w:eastAsia="Times New Roman" w:cs="Times New Roman"/>
        </w:rPr>
      </w:pPr>
      <w:r>
        <w:rPr>
          <w:rFonts w:ascii="FangSong_GB2312" w:hAnsi="FangSong_GB2312" w:eastAsia="FangSong_GB2312" w:cs="FangSong_GB2312"/>
          <w:sz w:val="28"/>
          <w:szCs w:val="28"/>
        </w:rPr>
        <w:t>（7）用非食品原料加工的，加入非食品用化学物质或者将非食品当作食品的；</w:t>
      </w:r>
    </w:p>
    <w:p>
      <w:pPr>
        <w:pStyle w:val="16"/>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rPr>
          <w:rFonts w:ascii="Times New Roman" w:hAnsi="Times New Roman" w:eastAsia="Times New Roman" w:cs="Times New Roman"/>
        </w:rPr>
      </w:pPr>
      <w:r>
        <w:rPr>
          <w:rFonts w:ascii="FangSong_GB2312" w:hAnsi="FangSong_GB2312" w:eastAsia="FangSong_GB2312" w:cs="FangSong_GB2312"/>
          <w:sz w:val="28"/>
          <w:szCs w:val="28"/>
        </w:rPr>
        <w:t>（8）超过保质期限的；</w:t>
      </w:r>
    </w:p>
    <w:p>
      <w:pPr>
        <w:pStyle w:val="16"/>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（9）使用有色、有毒塑料制品、包装食材的；</w:t>
      </w:r>
    </w:p>
    <w:p>
      <w:pPr>
        <w:pStyle w:val="16"/>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（10）其他不符合《食品安全法》、《和产品质量法》和《动物检疫管理办法》等相关规定的。</w:t>
      </w:r>
    </w:p>
    <w:p>
      <w:pPr>
        <w:pStyle w:val="13"/>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3.凡投标人所供应货物应为原箱包装，拆包或重组包装的应提前向采购人说明，定量包装批量</w:t>
      </w:r>
    </w:p>
    <w:p>
      <w:pPr>
        <w:pStyle w:val="4"/>
        <w:keepNext w:val="0"/>
        <w:keepLines w:val="0"/>
        <w:pageBreakBefore w:val="0"/>
        <w:widowControl/>
        <w:kinsoku/>
        <w:wordWrap/>
        <w:overflowPunct/>
        <w:topLinePunct w:val="0"/>
        <w:autoSpaceDE/>
        <w:autoSpaceDN/>
        <w:bidi w:val="0"/>
        <w:adjustRightInd/>
        <w:snapToGrid/>
        <w:spacing w:before="0" w:after="0" w:line="360" w:lineRule="auto"/>
        <w:jc w:val="both"/>
        <w:textAlignment w:val="auto"/>
        <w:rPr>
          <w:rFonts w:ascii="Times New Roman" w:hAnsi="Times New Roman" w:eastAsia="Times New Roman" w:cs="Times New Roman"/>
          <w:b/>
          <w:bCs/>
          <w:sz w:val="28"/>
          <w:szCs w:val="28"/>
        </w:rPr>
      </w:pPr>
      <w:bookmarkStart w:id="37" w:name="_Toc256000035"/>
      <w:r>
        <w:rPr>
          <w:rFonts w:ascii="仿宋_GB2312" w:hAnsi="仿宋_GB2312" w:eastAsia="仿宋_GB2312" w:cs="仿宋_GB2312"/>
          <w:sz w:val="28"/>
          <w:szCs w:val="28"/>
        </w:rPr>
        <w:t>3.5.2供应方案要求</w:t>
      </w:r>
      <w:bookmarkEnd w:id="37"/>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投标人应提交科学合理的供应方案。方案应包含服务团队管理措施、内部采购管理措施、储存分拣管理措施、科学合理运输措施等。</w:t>
      </w:r>
      <w:r>
        <w:rPr>
          <w:rFonts w:ascii="Times New Roman" w:hAnsi="Times New Roman" w:eastAsia="Times New Roman" w:cs="Times New Roman"/>
        </w:rPr>
        <w:t> </w:t>
      </w:r>
    </w:p>
    <w:p>
      <w:pPr>
        <w:pStyle w:val="2"/>
        <w:keepNext w:val="0"/>
        <w:spacing w:before="0" w:after="0" w:line="360" w:lineRule="auto"/>
        <w:jc w:val="center"/>
        <w:rPr>
          <w:rFonts w:ascii="仿宋_GB2312" w:hAnsi="仿宋_GB2312" w:eastAsia="仿宋_GB2312" w:cs="仿宋_GB2312"/>
          <w:b/>
          <w:bCs/>
          <w:sz w:val="32"/>
          <w:szCs w:val="32"/>
        </w:rPr>
      </w:pPr>
      <w:bookmarkStart w:id="38" w:name="_Toc256000036"/>
      <w:r>
        <w:rPr>
          <w:rFonts w:ascii="仿宋_GB2312" w:hAnsi="仿宋_GB2312" w:eastAsia="仿宋_GB2312" w:cs="仿宋_GB2312"/>
          <w:kern w:val="36"/>
        </w:rPr>
        <w:t>4人员要求</w:t>
      </w:r>
      <w:bookmarkEnd w:id="38"/>
    </w:p>
    <w:p>
      <w:pPr>
        <w:pStyle w:val="3"/>
        <w:keepNext w:val="0"/>
        <w:spacing w:before="0" w:after="0" w:line="360" w:lineRule="auto"/>
        <w:rPr>
          <w:rFonts w:ascii="仿宋_GB2312" w:hAnsi="仿宋_GB2312" w:eastAsia="仿宋_GB2312" w:cs="仿宋_GB2312"/>
          <w:b/>
          <w:bCs/>
          <w:sz w:val="28"/>
          <w:szCs w:val="28"/>
        </w:rPr>
      </w:pPr>
      <w:bookmarkStart w:id="39" w:name="_Toc256000037"/>
      <w:r>
        <w:rPr>
          <w:rFonts w:ascii="仿宋_GB2312" w:hAnsi="仿宋_GB2312" w:eastAsia="仿宋_GB2312" w:cs="仿宋_GB2312"/>
          <w:i w:val="0"/>
          <w:iCs w:val="0"/>
        </w:rPr>
        <w:t>4.1团队要求</w:t>
      </w:r>
      <w:bookmarkEnd w:id="39"/>
    </w:p>
    <w:p>
      <w:pPr>
        <w:pStyle w:val="4"/>
        <w:keepNext w:val="0"/>
        <w:spacing w:before="0" w:after="0" w:line="360" w:lineRule="auto"/>
        <w:rPr>
          <w:rFonts w:ascii="仿宋_GB2312" w:hAnsi="仿宋_GB2312" w:eastAsia="仿宋_GB2312" w:cs="仿宋_GB2312"/>
          <w:b/>
          <w:bCs/>
          <w:sz w:val="28"/>
          <w:szCs w:val="28"/>
        </w:rPr>
      </w:pPr>
      <w:bookmarkStart w:id="40" w:name="_Toc256000038"/>
      <w:r>
        <w:rPr>
          <w:rFonts w:ascii="仿宋_GB2312" w:hAnsi="仿宋_GB2312" w:eastAsia="仿宋_GB2312" w:cs="仿宋_GB2312"/>
          <w:sz w:val="28"/>
          <w:szCs w:val="28"/>
        </w:rPr>
        <w:t>4.1.1基本要求</w:t>
      </w:r>
      <w:bookmarkEnd w:id="40"/>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1. 投标人应提供专业的管理和采购团队，团队编制和人员资质务必保证运营服务质量。提供的服务团队应保持稳定，项目执行期间人员变动不超过20%。</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2. 投入以下人员：</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（1）经理1人，具有5年以上食材供应项目管理工作经验，具备卫生防疫部门或医疗机构颁发的健康证。</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（2）供应业务员4人，具有3年及以上食材供应项目工作经验，具备卫生防疫部门或医疗机构颁发的健康证。</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（3）食品安全管理员1人，具有3年及以上食品安全管理工作经验，具备卫生防疫部门或医疗机构颁发的健康证。</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（4）采购员2人，具有3年及以上食材采购工作经验，具备卫生防疫部门或医疗机构颁发的健康证。</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（5）配送司机至少4人，具有3年以上相关工作经验，具备卫生防疫部门或医疗机构颁发的健康证。</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以上人员在服务过程中应热情服务、遵规守法，具备较强的沟通能力和临时紧急配送调换的处置能力。 </w:t>
      </w:r>
    </w:p>
    <w:p>
      <w:pPr>
        <w:pStyle w:val="2"/>
        <w:keepNext w:val="0"/>
        <w:spacing w:before="0" w:after="0" w:line="360" w:lineRule="auto"/>
        <w:jc w:val="center"/>
        <w:rPr>
          <w:rFonts w:ascii="仿宋_GB2312" w:hAnsi="仿宋_GB2312" w:eastAsia="仿宋_GB2312" w:cs="仿宋_GB2312"/>
          <w:b/>
          <w:bCs/>
          <w:sz w:val="32"/>
          <w:szCs w:val="32"/>
        </w:rPr>
      </w:pPr>
      <w:bookmarkStart w:id="41" w:name="_Toc256000040"/>
      <w:r>
        <w:rPr>
          <w:rFonts w:ascii="仿宋_GB2312" w:hAnsi="仿宋_GB2312" w:eastAsia="仿宋_GB2312" w:cs="仿宋_GB2312"/>
          <w:kern w:val="36"/>
        </w:rPr>
        <w:t>5管理实施要求</w:t>
      </w:r>
      <w:bookmarkEnd w:id="41"/>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建立成熟完善的透明化责任体系，明确以上各岗位工作职责，制定岗位工作说明，确保制度能有效运转。</w:t>
      </w:r>
    </w:p>
    <w:p>
      <w:pPr>
        <w:pStyle w:val="2"/>
        <w:keepNext w:val="0"/>
        <w:spacing w:before="0" w:after="0" w:line="360" w:lineRule="auto"/>
        <w:jc w:val="center"/>
        <w:rPr>
          <w:rFonts w:ascii="仿宋_GB2312" w:hAnsi="仿宋_GB2312" w:eastAsia="仿宋_GB2312" w:cs="仿宋_GB2312"/>
          <w:b/>
          <w:bCs/>
          <w:sz w:val="32"/>
          <w:szCs w:val="32"/>
        </w:rPr>
      </w:pPr>
      <w:bookmarkStart w:id="42" w:name="_Toc256000041"/>
      <w:r>
        <w:rPr>
          <w:rFonts w:ascii="仿宋_GB2312" w:hAnsi="仿宋_GB2312" w:eastAsia="仿宋_GB2312" w:cs="仿宋_GB2312"/>
          <w:kern w:val="36"/>
        </w:rPr>
        <w:t>6风险管控要求</w:t>
      </w:r>
      <w:bookmarkEnd w:id="42"/>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sz w:val="28"/>
          <w:szCs w:val="28"/>
        </w:rPr>
      </w:pPr>
      <w:r>
        <w:rPr>
          <w:rFonts w:ascii="FangSong_GB2312" w:hAnsi="FangSong_GB2312" w:eastAsia="FangSong_GB2312" w:cs="FangSong_GB2312"/>
          <w:sz w:val="28"/>
          <w:szCs w:val="28"/>
        </w:rPr>
        <w:t>（一）应急保障方案要求</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sz w:val="28"/>
          <w:szCs w:val="28"/>
        </w:rPr>
      </w:pPr>
      <w:r>
        <w:rPr>
          <w:rFonts w:ascii="FangSong_GB2312" w:hAnsi="FangSong_GB2312" w:eastAsia="FangSong_GB2312" w:cs="FangSong_GB2312"/>
          <w:sz w:val="28"/>
          <w:szCs w:val="28"/>
        </w:rPr>
        <w:t>中标供应商应提供在自然灾害、极端事件、市场关闭、物资紧缺等突发紧急情况下拟采取的应急保障方案，包括充分供应、按时保障、质量管控等措施，确保采购人食材及时供应不间断。</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sz w:val="28"/>
          <w:szCs w:val="28"/>
        </w:rPr>
      </w:pPr>
      <w:r>
        <w:rPr>
          <w:rFonts w:ascii="FangSong_GB2312" w:hAnsi="FangSong_GB2312" w:eastAsia="FangSong_GB2312" w:cs="FangSong_GB2312"/>
          <w:sz w:val="28"/>
          <w:szCs w:val="28"/>
        </w:rPr>
        <w:t>（二）违约风险管控要求</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sz w:val="28"/>
          <w:szCs w:val="28"/>
        </w:rPr>
      </w:pPr>
      <w:r>
        <w:rPr>
          <w:rFonts w:ascii="FangSong_GB2312" w:hAnsi="FangSong_GB2312" w:eastAsia="FangSong_GB2312" w:cs="FangSong_GB2312"/>
          <w:sz w:val="28"/>
          <w:szCs w:val="28"/>
        </w:rPr>
        <w:t>1. 中标供应商采用先送货后结账的模式，采购人不收取履约保证金。有下列情形之一的，采购人有权按照以下约定及合同违约相关条款处理：</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sz w:val="28"/>
          <w:szCs w:val="28"/>
        </w:rPr>
      </w:pPr>
      <w:r>
        <w:rPr>
          <w:rFonts w:ascii="FangSong_GB2312" w:hAnsi="FangSong_GB2312" w:eastAsia="FangSong_GB2312" w:cs="FangSong_GB2312"/>
          <w:sz w:val="28"/>
          <w:szCs w:val="28"/>
        </w:rPr>
        <w:t>（1）采购人将每日组织专人对食材进行检查，若发现质量不符，采购人有权要求予以退换货。</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sz w:val="28"/>
          <w:szCs w:val="28"/>
        </w:rPr>
      </w:pPr>
      <w:r>
        <w:rPr>
          <w:rFonts w:ascii="FangSong_GB2312" w:hAnsi="FangSong_GB2312" w:eastAsia="FangSong_GB2312" w:cs="FangSong_GB2312"/>
          <w:sz w:val="28"/>
          <w:szCs w:val="28"/>
        </w:rPr>
        <w:t>（2）因中标供应商配送不及时导致采购人供餐延误并造成重大影响的，中标供应商需给予采购人本次所延误餐食总金额0.5倍至2倍的赔偿；</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sz w:val="28"/>
          <w:szCs w:val="28"/>
        </w:rPr>
      </w:pPr>
      <w:r>
        <w:rPr>
          <w:rFonts w:ascii="FangSong_GB2312" w:hAnsi="FangSong_GB2312" w:eastAsia="FangSong_GB2312" w:cs="FangSong_GB2312"/>
          <w:sz w:val="28"/>
          <w:szCs w:val="28"/>
        </w:rPr>
        <w:t>（3）凡中标供应商向采购人提供产品发生质量问题影响食用，并拒绝退换的，中标供应商需给予采购人相关产品价格0.5倍至2倍的赔偿；</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sz w:val="28"/>
          <w:szCs w:val="28"/>
        </w:rPr>
      </w:pPr>
      <w:r>
        <w:rPr>
          <w:rFonts w:ascii="FangSong_GB2312" w:hAnsi="FangSong_GB2312" w:eastAsia="FangSong_GB2312" w:cs="FangSong_GB2312"/>
          <w:sz w:val="28"/>
          <w:szCs w:val="28"/>
        </w:rPr>
        <w:t>（4）除不可抗力及采购人原因外，因中标供应商配送不及时导致采购人伙食供应延时，但经中标供应商采取补救措施未造成采购人不良影响的，出现三次终止供货合同；</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sz w:val="28"/>
          <w:szCs w:val="28"/>
        </w:rPr>
      </w:pPr>
      <w:r>
        <w:rPr>
          <w:rFonts w:ascii="FangSong_GB2312" w:hAnsi="FangSong_GB2312" w:eastAsia="FangSong_GB2312" w:cs="FangSong_GB2312"/>
          <w:sz w:val="28"/>
          <w:szCs w:val="28"/>
        </w:rPr>
        <w:t>（5）凡经相关部门认定，因中标供应商所提供的原料原因造成采购人食堂出现食物中毒等卫生安全事故的，中标供应商除必须承担全部的法律责任外，还要全额承担因食物中毒发生所造成后果的一切费用；</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sz w:val="28"/>
          <w:szCs w:val="28"/>
        </w:rPr>
      </w:pPr>
      <w:r>
        <w:rPr>
          <w:rFonts w:ascii="FangSong_GB2312" w:hAnsi="FangSong_GB2312" w:eastAsia="FangSong_GB2312" w:cs="FangSong_GB2312"/>
          <w:sz w:val="28"/>
          <w:szCs w:val="28"/>
        </w:rPr>
        <w:t>（6）采购人将定期组织人员对食材质量进行抽查并进行打分测评。测评满分为100分。测评满意度低于90分，提醒乙方应加强管理并及时进行整改。满意度低于80分，对乙方进行口头警告，并扣除1000元，要求乙方限时整改。满意度低于70分，扣除2000元，要求乙方立即整改。连续两次测评满意度低于60分，甲方有权终止合同并不予乙方赔偿。</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sz w:val="28"/>
          <w:szCs w:val="28"/>
        </w:rPr>
      </w:pPr>
      <w:r>
        <w:rPr>
          <w:rFonts w:ascii="FangSong_GB2312" w:hAnsi="FangSong_GB2312" w:eastAsia="FangSong_GB2312" w:cs="FangSong_GB2312"/>
          <w:sz w:val="28"/>
          <w:szCs w:val="28"/>
        </w:rPr>
        <w:t>（7）如遇终止合同的情形时，甲方有权自行采购直至确认新的中标供应商。</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sz w:val="28"/>
          <w:szCs w:val="28"/>
        </w:rPr>
      </w:pPr>
      <w:r>
        <w:rPr>
          <w:rFonts w:ascii="FangSong_GB2312" w:hAnsi="FangSong_GB2312" w:eastAsia="FangSong_GB2312" w:cs="FangSong_GB2312"/>
          <w:sz w:val="28"/>
          <w:szCs w:val="28"/>
        </w:rPr>
        <w:t>2. 中标供应商有下列情形之一的，采购人有权解除合同，由中标供应商承担全部经济损失和相关责任：</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sz w:val="28"/>
          <w:szCs w:val="28"/>
        </w:rPr>
      </w:pPr>
      <w:r>
        <w:rPr>
          <w:rFonts w:ascii="FangSong_GB2312" w:hAnsi="FangSong_GB2312" w:eastAsia="FangSong_GB2312" w:cs="FangSong_GB2312"/>
          <w:sz w:val="28"/>
          <w:szCs w:val="28"/>
        </w:rPr>
        <w:t>（1）中标供应商以书面、微信、短信等方式通知采购人不再供货，包括对部分食材不再供货；</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sz w:val="28"/>
          <w:szCs w:val="28"/>
        </w:rPr>
      </w:pPr>
      <w:r>
        <w:rPr>
          <w:rFonts w:ascii="FangSong_GB2312" w:hAnsi="FangSong_GB2312" w:eastAsia="FangSong_GB2312" w:cs="FangSong_GB2312"/>
          <w:sz w:val="28"/>
          <w:szCs w:val="28"/>
        </w:rPr>
        <w:t>（2）中标供应商虽未通知采购人不再供货，但1天没有供应采购人采购的货物，包括对部分食材没有供货；</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sz w:val="28"/>
          <w:szCs w:val="28"/>
        </w:rPr>
      </w:pPr>
      <w:r>
        <w:rPr>
          <w:rFonts w:ascii="FangSong_GB2312" w:hAnsi="FangSong_GB2312" w:eastAsia="FangSong_GB2312" w:cs="FangSong_GB2312"/>
          <w:sz w:val="28"/>
          <w:szCs w:val="28"/>
        </w:rPr>
        <w:t>（3）中标供应商未经采购人同意单方面提价的。</w:t>
      </w:r>
      <w:r>
        <w:rPr>
          <w:rFonts w:ascii="Times New Roman" w:hAnsi="Times New Roman" w:eastAsia="Times New Roman" w:cs="Times New Roman"/>
          <w:sz w:val="28"/>
          <w:szCs w:val="28"/>
        </w:rPr>
        <w:t> </w:t>
      </w:r>
    </w:p>
    <w:p>
      <w:pPr>
        <w:pStyle w:val="2"/>
        <w:keepNext w:val="0"/>
        <w:spacing w:before="0" w:after="0" w:line="360" w:lineRule="auto"/>
        <w:jc w:val="center"/>
        <w:rPr>
          <w:rFonts w:ascii="仿宋_GB2312" w:hAnsi="仿宋_GB2312" w:eastAsia="仿宋_GB2312" w:cs="仿宋_GB2312"/>
          <w:b/>
          <w:bCs/>
          <w:sz w:val="32"/>
          <w:szCs w:val="32"/>
        </w:rPr>
      </w:pPr>
      <w:bookmarkStart w:id="43" w:name="_Toc256000042"/>
      <w:r>
        <w:rPr>
          <w:rFonts w:ascii="仿宋_GB2312" w:hAnsi="仿宋_GB2312" w:eastAsia="仿宋_GB2312" w:cs="仿宋_GB2312"/>
          <w:kern w:val="36"/>
        </w:rPr>
        <w:t>7履约验收要求</w:t>
      </w:r>
      <w:bookmarkEnd w:id="43"/>
    </w:p>
    <w:p>
      <w:pPr>
        <w:pStyle w:val="3"/>
        <w:keepNext w:val="0"/>
        <w:spacing w:before="0" w:after="0" w:line="360" w:lineRule="auto"/>
        <w:rPr>
          <w:rFonts w:ascii="仿宋_GB2312" w:hAnsi="仿宋_GB2312" w:eastAsia="仿宋_GB2312" w:cs="仿宋_GB2312"/>
          <w:b/>
          <w:bCs/>
          <w:sz w:val="28"/>
          <w:szCs w:val="28"/>
        </w:rPr>
      </w:pPr>
      <w:bookmarkStart w:id="44" w:name="_Toc256000043"/>
      <w:r>
        <w:rPr>
          <w:rFonts w:ascii="仿宋_GB2312" w:hAnsi="仿宋_GB2312" w:eastAsia="仿宋_GB2312" w:cs="仿宋_GB2312"/>
          <w:i w:val="0"/>
          <w:iCs w:val="0"/>
        </w:rPr>
        <w:t>7.1总体要求</w:t>
      </w:r>
      <w:bookmarkEnd w:id="44"/>
    </w:p>
    <w:tbl>
      <w:tblPr>
        <w:tblStyle w:val="9"/>
        <w:tblW w:w="5000" w:type="pct"/>
        <w:tblInd w:w="30" w:type="dxa"/>
        <w:tblLayout w:type="autofit"/>
        <w:tblCellMar>
          <w:top w:w="15" w:type="dxa"/>
          <w:left w:w="15" w:type="dxa"/>
          <w:bottom w:w="15" w:type="dxa"/>
          <w:right w:w="15" w:type="dxa"/>
        </w:tblCellMar>
      </w:tblPr>
      <w:tblGrid>
        <w:gridCol w:w="4535"/>
        <w:gridCol w:w="4535"/>
      </w:tblGrid>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验收名称</w:t>
            </w:r>
          </w:p>
        </w:tc>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验收要求</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按月验收</w:t>
            </w:r>
          </w:p>
        </w:tc>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1.验收人员：由采购人食堂管理人员、库房管理人员组成验收小组，投标人送货人员应积极配合验收。</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（1）验收时间：到货当天</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（2）验收地点：合同规定的各配送点位</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（3）验收组织形式：采购人组织验收。</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（4）验收方式：现场验收。</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（5）验收内容:</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（a）质量是否符合约定标准；</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（b）重量、数量、价格是否与采购人的预定需求一致。</w:t>
            </w:r>
          </w:p>
        </w:tc>
      </w:tr>
    </w:tbl>
    <w:p>
      <w:pPr>
        <w:pStyle w:val="3"/>
        <w:keepNext w:val="0"/>
        <w:spacing w:before="0" w:after="0" w:line="360" w:lineRule="auto"/>
        <w:rPr>
          <w:rFonts w:ascii="仿宋_GB2312" w:hAnsi="仿宋_GB2312" w:eastAsia="仿宋_GB2312" w:cs="仿宋_GB2312"/>
          <w:b/>
          <w:bCs/>
          <w:sz w:val="28"/>
          <w:szCs w:val="28"/>
        </w:rPr>
      </w:pPr>
      <w:bookmarkStart w:id="45" w:name="_Toc256000044"/>
      <w:r>
        <w:rPr>
          <w:rFonts w:ascii="仿宋_GB2312" w:hAnsi="仿宋_GB2312" w:eastAsia="仿宋_GB2312" w:cs="仿宋_GB2312"/>
          <w:i w:val="0"/>
          <w:iCs w:val="0"/>
        </w:rPr>
        <w:t>7.2具体要求</w:t>
      </w:r>
      <w:bookmarkEnd w:id="45"/>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（一）总体要求</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1.验收人员：由采购人食堂管理人员、库房管理人员组成验收小组，投标人送货人员应积极配合验收。</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2.验收时间和地点</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（1）验收时间：到货当天。</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（2）验收地点：</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1.1局机关：坐落在天津市西青区杨柳青镇柳口路43号，院内面积共计16900平方米，分南北两座办公楼及一个附属楼，其中：南办公楼7层、北办公楼7层，附属楼3层。</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1.2大寺办公区：坐落在天津市西青区兴华道1号，建筑面积5300平方米，办公楼共计6层。</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1.3西营门税务所：坐落在天津市西青区中北镇中北大道镇政府东侧。</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1.4杨柳青税务所：坐落在天津市西青区欣杨道26号。</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1.5张家窝税务所：坐落在天津市西青区张家窝镇辛老路与嘉和路交口，建筑面积2969.9平方米，办公楼共计3层。</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1.6中北税务所：坐落在天津市西青区中北镇中北大道镇政府东侧，建筑面积：1500平方米，办公楼共计4层。</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（3）验收组织形式：采购人组织验收。</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（4）验收方式：现场验收。</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（5）验收内容:</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（a）质量是否符合约定标准；</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（b）重量、数量、价格是否与采购人的预定需求一致。</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（二）具体要求</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1.验收场所的准备</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应当在固定的场所进行验收，采购人定期清扫消毒，保持清洁，保证无积尘、无食品残渣，无霉斑、鼠迹、苍蝇、蟑螂，验收场所不准存放有毒、有害物品及个人生活用品。</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2.验收小组按订单对采购货物的品种、质量、数量进行检查验收，对货不对版、质量不好、价格明显过于偏高的食材不予验收，对于数量不足的食材，按照实际数量入账，填制验收记录和验收单。</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3.验收流程</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（1）投标人应在验收时提供与送货内容一致的送货单，并加盖公章。</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（2）卸货前的检查。验收人员卸货前应对货物的外观质量进行初步了解。</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（3）采取当场验收的方式，验收人认真检查货物，按核对品种→索证→抽查(检测）→数量、重量、质量、价格验收→签名确认→入库的程序完成验收。</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要求投标人提供产品质量检测报告及卫生合格报告书，蔬菜类应提供农药残留检测结果，证明内容与产品内容要一致。投标人以提供原件为主，不能留原件的提供复印件。</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（4）发现食品质量安全问题的处理：</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抽查时发现食品质量不过关或影响食用安全的，对当日所送同批次产品全部退货。</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若抽查未发现问题，按储藏要求储藏后在加工食用前发现产品质量问题的，投标人必须退货或更换。</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4.退（补）货流程</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对不符合采购要求的货物，由验收人员直接向投标人提出退（补）货，投标人按照申请内容给予退（补）货。发现质量隐患，但双方对质量或重量有争议的可送具有检验资质的部门检测，检测费用由投标人承担。对数量不足或退货的，投标人必须1小时内补送订单品种。</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5.鲜活鱼类需进行宰杀处理，如去鳞去腮去内脏等，净膛的统一按0.8的出成率计算净膛价。</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6.部分蔬菜需进行简易处理，如去皮摘叶摘筋等，统一按0.85的出成率计算净菜价。</w:t>
      </w:r>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7.包装带箱、筐的食材按照去除箱、筐后的重量计算。投标人需配合采购人库管人员进行倒筐称重，共同签字确认。</w:t>
      </w:r>
    </w:p>
    <w:p>
      <w:pPr>
        <w:pStyle w:val="2"/>
        <w:keepNext w:val="0"/>
        <w:spacing w:before="0" w:after="0" w:line="360" w:lineRule="auto"/>
        <w:jc w:val="center"/>
        <w:rPr>
          <w:rFonts w:ascii="仿宋_GB2312" w:hAnsi="仿宋_GB2312" w:eastAsia="仿宋_GB2312" w:cs="仿宋_GB2312"/>
          <w:b/>
          <w:bCs/>
          <w:sz w:val="32"/>
          <w:szCs w:val="32"/>
        </w:rPr>
      </w:pPr>
      <w:bookmarkStart w:id="46" w:name="_Toc256000045"/>
      <w:r>
        <w:rPr>
          <w:rFonts w:ascii="仿宋_GB2312" w:hAnsi="仿宋_GB2312" w:eastAsia="仿宋_GB2312" w:cs="仿宋_GB2312"/>
          <w:kern w:val="36"/>
        </w:rPr>
        <w:t>8其他要求</w:t>
      </w:r>
      <w:bookmarkEnd w:id="46"/>
    </w:p>
    <w:p>
      <w:pPr>
        <w:pStyle w:val="3"/>
        <w:keepNext w:val="0"/>
        <w:spacing w:before="0" w:after="0" w:line="360" w:lineRule="auto"/>
        <w:rPr>
          <w:rFonts w:ascii="仿宋_GB2312" w:hAnsi="仿宋_GB2312" w:eastAsia="仿宋_GB2312" w:cs="仿宋_GB2312"/>
          <w:b/>
          <w:bCs/>
          <w:sz w:val="28"/>
          <w:szCs w:val="28"/>
        </w:rPr>
      </w:pPr>
      <w:bookmarkStart w:id="47" w:name="_Toc256000046"/>
      <w:r>
        <w:rPr>
          <w:rFonts w:ascii="仿宋_GB2312" w:hAnsi="仿宋_GB2312" w:eastAsia="仿宋_GB2312" w:cs="仿宋_GB2312"/>
          <w:i w:val="0"/>
          <w:iCs w:val="0"/>
        </w:rPr>
        <w:t>8.1必备要求</w:t>
      </w:r>
      <w:bookmarkEnd w:id="47"/>
    </w:p>
    <w:p>
      <w:pPr>
        <w:pStyle w:val="4"/>
        <w:keepNext w:val="0"/>
        <w:spacing w:before="0" w:after="0" w:line="360" w:lineRule="auto"/>
        <w:rPr>
          <w:rFonts w:ascii="仿宋_GB2312" w:hAnsi="仿宋_GB2312" w:eastAsia="仿宋_GB2312" w:cs="仿宋_GB2312"/>
          <w:b/>
          <w:bCs/>
          <w:sz w:val="28"/>
          <w:szCs w:val="28"/>
        </w:rPr>
      </w:pPr>
      <w:bookmarkStart w:id="48" w:name="_Toc256000047"/>
      <w:r>
        <w:rPr>
          <w:rFonts w:ascii="仿宋_GB2312" w:hAnsi="仿宋_GB2312" w:eastAsia="仿宋_GB2312" w:cs="仿宋_GB2312"/>
          <w:sz w:val="28"/>
          <w:szCs w:val="28"/>
        </w:rPr>
        <w:t>8.1.1通用必备要求</w:t>
      </w:r>
      <w:bookmarkEnd w:id="48"/>
    </w:p>
    <w:p>
      <w:pPr>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 xml:space="preserve">3.本项目中如涉及国家强制性产品认证证书（CCC 认证证书）、电信设备进网许可证、无线电发射设备核准证等市场准入类资质的，应严格执行国家相关法律法规的要求。 </w:t>
      </w:r>
    </w:p>
    <w:p>
      <w:pPr>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rPr>
          <w:rFonts w:ascii="仿宋_GB2312" w:hAnsi="仿宋_GB2312" w:eastAsia="仿宋_GB2312" w:cs="仿宋_GB2312"/>
          <w:sz w:val="28"/>
          <w:szCs w:val="28"/>
        </w:rPr>
      </w:pPr>
      <w:r>
        <w:rPr>
          <w:rFonts w:ascii="仿宋_GB2312" w:hAnsi="仿宋_GB2312" w:eastAsia="仿宋_GB2312" w:cs="仿宋_GB2312"/>
          <w:sz w:val="28"/>
          <w:szCs w:val="28"/>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3"/>
        <w:keepNext w:val="0"/>
        <w:keepLines w:val="0"/>
        <w:pageBreakBefore w:val="0"/>
        <w:widowControl/>
        <w:kinsoku/>
        <w:wordWrap/>
        <w:overflowPunct/>
        <w:topLinePunct w:val="0"/>
        <w:autoSpaceDE/>
        <w:autoSpaceDN/>
        <w:bidi w:val="0"/>
        <w:adjustRightInd/>
        <w:snapToGrid/>
        <w:spacing w:before="0" w:after="0" w:line="360" w:lineRule="auto"/>
        <w:jc w:val="both"/>
        <w:rPr>
          <w:rFonts w:ascii="Times New Roman" w:hAnsi="Times New Roman" w:eastAsia="Times New Roman" w:cs="Times New Roman"/>
          <w:b/>
          <w:bCs/>
          <w:sz w:val="36"/>
          <w:szCs w:val="36"/>
        </w:rPr>
      </w:pPr>
      <w:r>
        <w:rPr>
          <w:rFonts w:ascii="仿宋_GB2312" w:hAnsi="仿宋_GB2312" w:eastAsia="仿宋_GB2312" w:cs="仿宋_GB2312"/>
          <w:i w:val="0"/>
          <w:iCs w:val="0"/>
        </w:rPr>
        <w:t xml:space="preserve">    </w:t>
      </w:r>
      <w:bookmarkStart w:id="49" w:name="_Toc256000048"/>
      <w:r>
        <w:rPr>
          <w:rFonts w:hint="eastAsia" w:ascii="仿宋_GB2312" w:hAnsi="仿宋_GB2312" w:eastAsia="仿宋_GB2312" w:cs="仿宋_GB2312"/>
          <w:i w:val="0"/>
          <w:iCs w:val="0"/>
          <w:lang w:val="en-US" w:eastAsia="zh-CN"/>
        </w:rPr>
        <w:t xml:space="preserve"> </w:t>
      </w:r>
      <w:r>
        <w:rPr>
          <w:rFonts w:ascii="仿宋_GB2312" w:hAnsi="仿宋_GB2312" w:eastAsia="仿宋_GB2312" w:cs="仿宋_GB2312"/>
          <w:i w:val="0"/>
          <w:iCs w:val="0"/>
        </w:rPr>
        <w:t>定价和结算要求</w:t>
      </w:r>
      <w:bookmarkEnd w:id="49"/>
    </w:p>
    <w:p>
      <w:pPr>
        <w:pStyle w:val="13"/>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baseline"/>
        <w:rPr>
          <w:rFonts w:ascii="Times New Roman" w:hAnsi="Times New Roman" w:eastAsia="Times New Roman" w:cs="Times New Roman"/>
        </w:rPr>
      </w:pPr>
      <w:r>
        <w:rPr>
          <w:rFonts w:ascii="仿宋_GB2312" w:hAnsi="仿宋_GB2312" w:eastAsia="仿宋_GB2312" w:cs="仿宋_GB2312"/>
          <w:sz w:val="28"/>
          <w:szCs w:val="28"/>
        </w:rPr>
        <w:t>费率=投标总价/预算金额，</w:t>
      </w:r>
    </w:p>
    <w:p>
      <w:pPr>
        <w:pStyle w:val="13"/>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baseline"/>
        <w:rPr>
          <w:rFonts w:ascii="Times New Roman" w:hAnsi="Times New Roman" w:eastAsia="Times New Roman" w:cs="Times New Roman"/>
        </w:rPr>
      </w:pPr>
      <w:r>
        <w:rPr>
          <w:rFonts w:ascii="仿宋_GB2312" w:hAnsi="仿宋_GB2312" w:eastAsia="仿宋_GB2312" w:cs="仿宋_GB2312"/>
          <w:sz w:val="28"/>
          <w:szCs w:val="28"/>
        </w:rPr>
        <w:t>结算价格=费率×基础价格A×1.1（或</w:t>
      </w:r>
      <w:r>
        <w:rPr>
          <w:rFonts w:ascii="仿宋_GB2312" w:hAnsi="仿宋_GB2312" w:eastAsia="仿宋_GB2312" w:cs="仿宋_GB2312"/>
        </w:rPr>
        <w:t>结算价格</w:t>
      </w:r>
      <w:r>
        <w:rPr>
          <w:rFonts w:ascii="仿宋_GB2312" w:hAnsi="仿宋_GB2312" w:eastAsia="仿宋_GB2312" w:cs="仿宋_GB2312"/>
          <w:sz w:val="28"/>
          <w:szCs w:val="28"/>
        </w:rPr>
        <w:t>=费率×基础价格B×1)。</w:t>
      </w:r>
    </w:p>
    <w:p>
      <w:pPr>
        <w:pStyle w:val="13"/>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baseline"/>
        <w:rPr>
          <w:rFonts w:ascii="Times New Roman" w:hAnsi="Times New Roman" w:eastAsia="Times New Roman" w:cs="Times New Roman"/>
        </w:rPr>
      </w:pPr>
      <w:r>
        <w:rPr>
          <w:rFonts w:ascii="仿宋_GB2312" w:hAnsi="仿宋_GB2312" w:eastAsia="仿宋_GB2312" w:cs="仿宋_GB2312"/>
          <w:sz w:val="28"/>
          <w:szCs w:val="28"/>
        </w:rPr>
        <w:t>基础价格A：依次参照“全国农产品批发市场价格信息系统（https://pfsc.argi.cn/portal-app/#/indexpage）”发布的天津何庄子农产品批发市场、天津市金钟河蔬菜贸易中心、天津韩家墅海吉星农产品批发市场同等食材的“大宗价”确定为“基础价格A”，定价单位为500克。基础价格为配送食材当日价格。</w:t>
      </w:r>
    </w:p>
    <w:p>
      <w:pPr>
        <w:pStyle w:val="13"/>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baseline"/>
        <w:rPr>
          <w:rFonts w:ascii="Times New Roman" w:hAnsi="Times New Roman" w:eastAsia="Times New Roman" w:cs="Times New Roman"/>
        </w:rPr>
      </w:pPr>
      <w:r>
        <w:rPr>
          <w:rFonts w:ascii="仿宋_GB2312" w:hAnsi="仿宋_GB2312" w:eastAsia="仿宋_GB2312" w:cs="仿宋_GB2312"/>
          <w:sz w:val="28"/>
          <w:szCs w:val="28"/>
        </w:rPr>
        <w:t>基础价格B：当</w:t>
      </w:r>
      <w:r>
        <w:rPr>
          <w:rFonts w:ascii="仿宋_GB2312" w:hAnsi="仿宋_GB2312" w:eastAsia="仿宋_GB2312" w:cs="仿宋_GB2312"/>
        </w:rPr>
        <w:t>“</w:t>
      </w:r>
      <w:r>
        <w:rPr>
          <w:rFonts w:ascii="仿宋_GB2312" w:hAnsi="仿宋_GB2312" w:eastAsia="仿宋_GB2312" w:cs="仿宋_GB2312"/>
          <w:sz w:val="28"/>
          <w:szCs w:val="28"/>
        </w:rPr>
        <w:t>全国农产品批发市场价格信息系统”上述3个市场中没有列明所采购食材的大宗价格时，依次参照多点APP、七鲜APP、华润万家进行定价，定价单位为500克，零售商品有多个规格的，以最大规格的每500克价格为定价依据，确定具体的“基础价格B”。基础价格为配送食材当日价格。</w:t>
      </w:r>
    </w:p>
    <w:p>
      <w:pPr>
        <w:pStyle w:val="13"/>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baseline"/>
        <w:rPr>
          <w:rFonts w:ascii="Times New Roman" w:hAnsi="Times New Roman" w:eastAsia="Times New Roman" w:cs="Times New Roman"/>
        </w:rPr>
      </w:pPr>
      <w:r>
        <w:rPr>
          <w:rFonts w:ascii="仿宋_GB2312" w:hAnsi="仿宋_GB2312" w:eastAsia="仿宋_GB2312" w:cs="仿宋_GB2312"/>
          <w:sz w:val="28"/>
          <w:szCs w:val="28"/>
        </w:rPr>
        <w:t>费率＞100%，视为无效投标。</w:t>
      </w:r>
    </w:p>
    <w:p>
      <w:pPr>
        <w:pStyle w:val="3"/>
        <w:keepNext w:val="0"/>
        <w:spacing w:before="0" w:after="0" w:line="360" w:lineRule="auto"/>
        <w:rPr>
          <w:rFonts w:ascii="仿宋_GB2312" w:hAnsi="仿宋_GB2312" w:eastAsia="仿宋_GB2312" w:cs="仿宋_GB2312"/>
          <w:b/>
          <w:bCs/>
          <w:sz w:val="28"/>
          <w:szCs w:val="28"/>
        </w:rPr>
      </w:pPr>
      <w:bookmarkStart w:id="50" w:name="_Toc256000049"/>
      <w:r>
        <w:rPr>
          <w:rFonts w:ascii="仿宋_GB2312" w:hAnsi="仿宋_GB2312" w:eastAsia="仿宋_GB2312" w:cs="仿宋_GB2312"/>
          <w:i w:val="0"/>
          <w:iCs w:val="0"/>
        </w:rPr>
        <w:t>8.2付款安排建议</w:t>
      </w:r>
      <w:bookmarkEnd w:id="50"/>
    </w:p>
    <w:tbl>
      <w:tblPr>
        <w:tblStyle w:val="9"/>
        <w:tblW w:w="5000" w:type="pct"/>
        <w:tblInd w:w="30" w:type="dxa"/>
        <w:tblLayout w:type="autofit"/>
        <w:tblCellMar>
          <w:top w:w="15" w:type="dxa"/>
          <w:left w:w="15" w:type="dxa"/>
          <w:bottom w:w="15" w:type="dxa"/>
          <w:right w:w="15" w:type="dxa"/>
        </w:tblCellMar>
      </w:tblPr>
      <w:tblGrid>
        <w:gridCol w:w="1814"/>
        <w:gridCol w:w="5442"/>
        <w:gridCol w:w="1814"/>
      </w:tblGrid>
      <w:tr>
        <w:tblPrEx>
          <w:tblCellMar>
            <w:top w:w="15" w:type="dxa"/>
            <w:left w:w="15" w:type="dxa"/>
            <w:bottom w:w="15" w:type="dxa"/>
            <w:right w:w="15" w:type="dxa"/>
          </w:tblCellMar>
        </w:tblPrEx>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付款名称</w:t>
            </w:r>
          </w:p>
        </w:tc>
        <w:tc>
          <w:tcPr>
            <w:tcW w:w="3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付款要求</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付款比例(%)</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第2次付款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第3次付款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第4次付款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第5次付款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第6次付款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第7次付款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第8次付款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第9次付款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第10次付款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第11次付款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第12次付款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8.37</w:t>
            </w:r>
          </w:p>
        </w:tc>
      </w:tr>
    </w:tbl>
    <w:p>
      <w:pPr>
        <w:pStyle w:val="3"/>
        <w:keepNext w:val="0"/>
        <w:spacing w:before="0" w:after="0" w:line="360" w:lineRule="auto"/>
        <w:rPr>
          <w:rFonts w:ascii="仿宋_GB2312" w:hAnsi="仿宋_GB2312" w:eastAsia="仿宋_GB2312" w:cs="仿宋_GB2312"/>
          <w:b/>
          <w:bCs/>
          <w:sz w:val="28"/>
          <w:szCs w:val="28"/>
        </w:rPr>
      </w:pPr>
      <w:bookmarkStart w:id="51" w:name="_Toc256000050"/>
      <w:r>
        <w:rPr>
          <w:rFonts w:ascii="仿宋_GB2312" w:hAnsi="仿宋_GB2312" w:eastAsia="仿宋_GB2312" w:cs="仿宋_GB2312"/>
          <w:i w:val="0"/>
          <w:iCs w:val="0"/>
        </w:rPr>
        <w:t>8.3其他要求</w:t>
      </w:r>
      <w:bookmarkEnd w:id="51"/>
    </w:p>
    <w:p>
      <w:pPr>
        <w:pStyle w:val="4"/>
        <w:keepNext w:val="0"/>
        <w:spacing w:before="0" w:after="0" w:line="360" w:lineRule="auto"/>
        <w:rPr>
          <w:rFonts w:ascii="仿宋_GB2312" w:hAnsi="仿宋_GB2312" w:eastAsia="仿宋_GB2312" w:cs="仿宋_GB2312"/>
          <w:b/>
          <w:bCs/>
          <w:sz w:val="28"/>
          <w:szCs w:val="28"/>
        </w:rPr>
      </w:pPr>
      <w:bookmarkStart w:id="52" w:name="_Toc256000051"/>
      <w:r>
        <w:rPr>
          <w:rFonts w:ascii="仿宋_GB2312" w:hAnsi="仿宋_GB2312" w:eastAsia="仿宋_GB2312" w:cs="仿宋_GB2312"/>
          <w:sz w:val="28"/>
          <w:szCs w:val="28"/>
        </w:rPr>
        <w:t>8.3.1保密要求</w:t>
      </w:r>
      <w:bookmarkEnd w:id="52"/>
    </w:p>
    <w:p>
      <w:pPr>
        <w:pStyle w:val="12"/>
        <w:keepNext w:val="0"/>
        <w:keepLines w:val="0"/>
        <w:pageBreakBefore w:val="0"/>
        <w:widowControl/>
        <w:kinsoku/>
        <w:wordWrap/>
        <w:overflowPunct/>
        <w:topLinePunct w:val="0"/>
        <w:autoSpaceDE/>
        <w:autoSpaceDN/>
        <w:bidi w:val="0"/>
        <w:adjustRightInd/>
        <w:snapToGrid/>
        <w:spacing w:before="0" w:after="0" w:line="360" w:lineRule="auto"/>
        <w:ind w:firstLine="560" w:firstLineChars="200"/>
        <w:jc w:val="both"/>
        <w:textAlignment w:val="auto"/>
        <w:rPr>
          <w:rFonts w:ascii="Times New Roman" w:hAnsi="Times New Roman" w:eastAsia="Times New Roman" w:cs="Times New Roman"/>
        </w:rPr>
      </w:pPr>
      <w:r>
        <w:rPr>
          <w:rFonts w:ascii="FangSong_GB2312" w:hAnsi="FangSong_GB2312" w:eastAsia="FangSong_GB2312" w:cs="FangSong_GB2312"/>
          <w:sz w:val="28"/>
          <w:szCs w:val="28"/>
        </w:rPr>
        <w:t>中标供应商应提供遵守国家税务总局天津市西青区税务局相关安全保密制度规定的承诺函，并签订保密协议。若中标供应商服务人员违反信息安全保密制度相关规定，对税务机关造成利益损害的，中标供应商应承担相关法律责任。</w:t>
      </w:r>
    </w:p>
    <w:p>
      <w:pPr>
        <w:pStyle w:val="4"/>
        <w:keepNext w:val="0"/>
        <w:spacing w:before="0" w:after="0" w:line="360" w:lineRule="auto"/>
        <w:rPr>
          <w:rFonts w:ascii="仿宋_GB2312" w:hAnsi="仿宋_GB2312" w:eastAsia="仿宋_GB2312" w:cs="仿宋_GB2312"/>
          <w:sz w:val="28"/>
          <w:szCs w:val="28"/>
        </w:rPr>
      </w:pPr>
      <w:bookmarkStart w:id="53" w:name="_Toc256000052"/>
      <w:r>
        <w:rPr>
          <w:rFonts w:ascii="仿宋_GB2312" w:hAnsi="仿宋_GB2312" w:eastAsia="仿宋_GB2312" w:cs="仿宋_GB2312"/>
          <w:sz w:val="28"/>
          <w:szCs w:val="28"/>
        </w:rPr>
        <w:t>8.3.2知识产权要求</w:t>
      </w:r>
      <w:bookmarkEnd w:id="53"/>
    </w:p>
    <w:p>
      <w:pPr>
        <w:ind w:firstLine="560" w:firstLineChars="200"/>
        <w:rPr>
          <w:rFonts w:hint="eastAsia" w:eastAsia="仿宋_GB2312"/>
          <w:lang w:eastAsia="zh-CN"/>
        </w:rPr>
      </w:pPr>
      <w:r>
        <w:rPr>
          <w:rFonts w:hint="eastAsia" w:ascii="仿宋_GB2312" w:hAnsi="仿宋_GB2312" w:eastAsia="仿宋_GB2312" w:cs="仿宋_GB2312"/>
          <w:sz w:val="28"/>
          <w:szCs w:val="28"/>
          <w:lang w:eastAsia="zh-CN"/>
        </w:rPr>
        <w:t>无</w:t>
      </w:r>
    </w:p>
    <w:p>
      <w:pPr>
        <w:spacing w:before="0" w:after="0" w:line="360" w:lineRule="auto"/>
        <w:rPr>
          <w:rFonts w:ascii="仿宋_GB2312" w:hAnsi="仿宋_GB2312" w:eastAsia="仿宋_GB2312" w:cs="仿宋_GB2312"/>
          <w:sz w:val="28"/>
          <w:szCs w:val="28"/>
        </w:rPr>
      </w:pPr>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360" w:lineRule="auto"/>
      <w:jc w:val="center"/>
    </w:pPr>
    <w:r>
      <w:fldChar w:fldCharType="begin"/>
    </w:r>
    <w:r>
      <w:instrText xml:space="preserve"> PAGE </w:instrText>
    </w:r>
    <w:r>
      <w:fldChar w:fldCharType="separate"/>
    </w:r>
    <w:r>
      <w:t>26</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A77B3E"/>
    <w:rsid w:val="00CA2A55"/>
    <w:rsid w:val="03DD11BA"/>
    <w:rsid w:val="04490CBF"/>
    <w:rsid w:val="08730395"/>
    <w:rsid w:val="098B53E0"/>
    <w:rsid w:val="0F807136"/>
    <w:rsid w:val="12CE3563"/>
    <w:rsid w:val="156A6941"/>
    <w:rsid w:val="163813CF"/>
    <w:rsid w:val="1CEE7883"/>
    <w:rsid w:val="21F371B9"/>
    <w:rsid w:val="3098115B"/>
    <w:rsid w:val="33F15C0E"/>
    <w:rsid w:val="34A67383"/>
    <w:rsid w:val="36C10311"/>
    <w:rsid w:val="39772978"/>
    <w:rsid w:val="3B1143B7"/>
    <w:rsid w:val="45B85BF0"/>
    <w:rsid w:val="491017D0"/>
    <w:rsid w:val="4A8719F9"/>
    <w:rsid w:val="4BC45442"/>
    <w:rsid w:val="4C245C11"/>
    <w:rsid w:val="4F1B3803"/>
    <w:rsid w:val="5FC13A67"/>
    <w:rsid w:val="6A205329"/>
    <w:rsid w:val="7069790A"/>
    <w:rsid w:val="740F36ED"/>
    <w:rsid w:val="7B8E62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qFormat/>
    <w:uiPriority w:val="0"/>
    <w:pPr>
      <w:keepNext/>
      <w:spacing w:before="240" w:after="60"/>
      <w:outlineLvl w:val="0"/>
    </w:pPr>
    <w:rPr>
      <w:rFonts w:ascii="Arial" w:hAnsi="Arial" w:cs="Arial"/>
      <w:b/>
      <w:bCs/>
      <w:kern w:val="32"/>
      <w:sz w:val="32"/>
      <w:szCs w:val="32"/>
    </w:rPr>
  </w:style>
  <w:style w:type="paragraph" w:styleId="3">
    <w:name w:val="heading 2"/>
    <w:basedOn w:val="1"/>
    <w:next w:val="1"/>
    <w:qFormat/>
    <w:uiPriority w:val="0"/>
    <w:pPr>
      <w:keepNext/>
      <w:spacing w:before="240" w:after="60"/>
      <w:outlineLvl w:val="1"/>
    </w:pPr>
    <w:rPr>
      <w:rFonts w:ascii="Arial" w:hAnsi="Arial" w:cs="Arial"/>
      <w:b/>
      <w:bCs/>
      <w:i/>
      <w:iCs/>
      <w:sz w:val="28"/>
      <w:szCs w:val="28"/>
    </w:rPr>
  </w:style>
  <w:style w:type="paragraph" w:styleId="4">
    <w:name w:val="heading 3"/>
    <w:basedOn w:val="1"/>
    <w:next w:val="1"/>
    <w:qFormat/>
    <w:uiPriority w:val="0"/>
    <w:pPr>
      <w:keepNext/>
      <w:spacing w:before="240" w:after="60"/>
      <w:outlineLvl w:val="2"/>
    </w:pPr>
    <w:rPr>
      <w:rFonts w:ascii="Arial" w:hAnsi="Arial" w:cs="Arial"/>
      <w:b/>
      <w:bCs/>
      <w:sz w:val="26"/>
      <w:szCs w:val="26"/>
    </w:rPr>
  </w:style>
  <w:style w:type="paragraph" w:styleId="5">
    <w:name w:val="heading 4"/>
    <w:basedOn w:val="1"/>
    <w:next w:val="1"/>
    <w:qFormat/>
    <w:uiPriority w:val="0"/>
    <w:pPr>
      <w:keepNext/>
      <w:spacing w:before="240" w:after="60"/>
      <w:outlineLvl w:val="3"/>
    </w:pPr>
    <w:rPr>
      <w:b/>
      <w:bCs/>
      <w:sz w:val="28"/>
      <w:szCs w:val="28"/>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toc 3"/>
    <w:basedOn w:val="1"/>
    <w:next w:val="1"/>
    <w:qFormat/>
    <w:uiPriority w:val="0"/>
    <w:pPr>
      <w:ind w:left="480"/>
    </w:pPr>
  </w:style>
  <w:style w:type="paragraph" w:styleId="7">
    <w:name w:val="toc 1"/>
    <w:basedOn w:val="1"/>
    <w:next w:val="1"/>
    <w:qFormat/>
    <w:uiPriority w:val="0"/>
  </w:style>
  <w:style w:type="paragraph" w:styleId="8">
    <w:name w:val="toc 2"/>
    <w:basedOn w:val="1"/>
    <w:next w:val="1"/>
    <w:qFormat/>
    <w:uiPriority w:val="0"/>
    <w:pPr>
      <w:ind w:left="240"/>
    </w:pPr>
  </w:style>
  <w:style w:type="character" w:styleId="11">
    <w:name w:val="Hyperlink"/>
    <w:basedOn w:val="10"/>
    <w:qFormat/>
    <w:uiPriority w:val="0"/>
    <w:rPr>
      <w:color w:val="0000FF"/>
      <w:u w:val="single"/>
    </w:rPr>
  </w:style>
  <w:style w:type="paragraph" w:customStyle="1" w:styleId="12">
    <w:name w:val="MsoNormal"/>
    <w:basedOn w:val="1"/>
    <w:qFormat/>
    <w:uiPriority w:val="0"/>
  </w:style>
  <w:style w:type="paragraph" w:customStyle="1" w:styleId="13">
    <w:name w:val="15"/>
    <w:basedOn w:val="1"/>
    <w:qFormat/>
    <w:uiPriority w:val="0"/>
  </w:style>
  <w:style w:type="table" w:customStyle="1" w:styleId="14">
    <w:name w:val="MsoNormalTable"/>
    <w:basedOn w:val="9"/>
    <w:qFormat/>
    <w:uiPriority w:val="0"/>
  </w:style>
  <w:style w:type="paragraph" w:customStyle="1" w:styleId="15">
    <w:name w:val="18"/>
    <w:basedOn w:val="1"/>
    <w:qFormat/>
    <w:uiPriority w:val="0"/>
  </w:style>
  <w:style w:type="paragraph" w:customStyle="1" w:styleId="16">
    <w:name w:val="17"/>
    <w:basedOn w:val="1"/>
    <w:qFormat/>
    <w:uiPriority w:val="0"/>
  </w:style>
  <w:style w:type="paragraph" w:customStyle="1" w:styleId="17">
    <w:name w:val="19"/>
    <w:basedOn w:v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26</Pages>
  <Words>0</Words>
  <Characters>0</Characters>
  <Lines>1</Lines>
  <Paragraphs>1</Paragraphs>
  <TotalTime>1</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2025-10-30T08:21:00Z</dcterms:created>
  <dc:creator>xqsw</dc:creator>
  <cp:lastModifiedBy>董正</cp:lastModifiedBy>
  <dcterms:modified xsi:type="dcterms:W3CDTF">2025-10-31T05:52:56Z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