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bookmarkStart w:id="55" w:name="_GoBack"/>
      <w:bookmarkEnd w:id="55"/>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国家税务总局天津市和平区税务局2025年食堂食材采购项目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2025年11月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rPr>
        <w:t>1.3其他要求</w:t>
      </w:r>
      <w:r>
        <w:tab/>
      </w:r>
      <w:r>
        <w:fldChar w:fldCharType="begin"/>
      </w:r>
      <w:r>
        <w:instrText xml:space="preserve"> PAGEREF _Toc256000007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_Toc256000010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_Toc256000011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_Toc256000015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_Toc256000020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3.2采购产品一览表</w:t>
      </w:r>
      <w:r>
        <w:tab/>
      </w:r>
      <w:r>
        <w:fldChar w:fldCharType="begin"/>
      </w:r>
      <w:r>
        <w:instrText xml:space="preserve"> PAGEREF _Toc256000021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3.2.1第1包</w:t>
      </w:r>
      <w:r>
        <w:tab/>
      </w:r>
      <w:r>
        <w:fldChar w:fldCharType="begin"/>
      </w:r>
      <w:r>
        <w:instrText xml:space="preserve"> PAGEREF _Toc256000022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3.2.2第2包</w:t>
      </w:r>
      <w:r>
        <w:tab/>
      </w:r>
      <w:r>
        <w:fldChar w:fldCharType="begin"/>
      </w:r>
      <w:r>
        <w:instrText xml:space="preserve"> PAGEREF _Toc256000023 \h </w:instrText>
      </w:r>
      <w:r>
        <w:fldChar w:fldCharType="separate"/>
      </w:r>
      <w:r>
        <w:t>9</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rPr>
        <w:t>3.2.3第3包</w:t>
      </w:r>
      <w:r>
        <w:tab/>
      </w:r>
      <w:r>
        <w:fldChar w:fldCharType="begin"/>
      </w:r>
      <w:r>
        <w:instrText xml:space="preserve"> PAGEREF _Toc256000024 \h </w:instrText>
      </w:r>
      <w:r>
        <w:fldChar w:fldCharType="separate"/>
      </w:r>
      <w:r>
        <w:t>9</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3.3采购产品详细清单及技术指标</w:t>
      </w:r>
      <w:r>
        <w:tab/>
      </w:r>
      <w:r>
        <w:fldChar w:fldCharType="begin"/>
      </w:r>
      <w:r>
        <w:instrText xml:space="preserve"> PAGEREF _Toc256000025 \h </w:instrText>
      </w:r>
      <w:r>
        <w:fldChar w:fldCharType="separate"/>
      </w:r>
      <w:r>
        <w:t>11</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3.3.1第1包</w:t>
      </w:r>
      <w:r>
        <w:tab/>
      </w:r>
      <w:r>
        <w:fldChar w:fldCharType="begin"/>
      </w:r>
      <w:r>
        <w:instrText xml:space="preserve"> PAGEREF _Toc256000026 \h </w:instrText>
      </w:r>
      <w:r>
        <w:fldChar w:fldCharType="separate"/>
      </w:r>
      <w:r>
        <w:t>11</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3.3.2第2包</w:t>
      </w:r>
      <w:r>
        <w:tab/>
      </w:r>
      <w:r>
        <w:fldChar w:fldCharType="begin"/>
      </w:r>
      <w:r>
        <w:instrText xml:space="preserve"> PAGEREF _Toc256000027 \h </w:instrText>
      </w:r>
      <w:r>
        <w:fldChar w:fldCharType="separate"/>
      </w:r>
      <w:r>
        <w:t>12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3.3.3第3包</w:t>
      </w:r>
      <w:r>
        <w:tab/>
      </w:r>
      <w:r>
        <w:fldChar w:fldCharType="begin"/>
      </w:r>
      <w:r>
        <w:instrText xml:space="preserve"> PAGEREF _Toc256000028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rPr>
        <w:t>3.4服务要求</w:t>
      </w:r>
      <w:r>
        <w:tab/>
      </w:r>
      <w:r>
        <w:fldChar w:fldCharType="begin"/>
      </w:r>
      <w:r>
        <w:instrText xml:space="preserve"> PAGEREF _Toc256000029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rPr>
        <w:t>3.4.1第1包</w:t>
      </w:r>
      <w:r>
        <w:tab/>
      </w:r>
      <w:r>
        <w:fldChar w:fldCharType="begin"/>
      </w:r>
      <w:r>
        <w:instrText xml:space="preserve"> PAGEREF _Toc256000030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rPr>
        <w:t>3.4.2第2包</w:t>
      </w:r>
      <w:r>
        <w:tab/>
      </w:r>
      <w:r>
        <w:fldChar w:fldCharType="begin"/>
      </w:r>
      <w:r>
        <w:instrText xml:space="preserve"> PAGEREF _Toc256000031 \h </w:instrText>
      </w:r>
      <w:r>
        <w:fldChar w:fldCharType="separate"/>
      </w:r>
      <w:r>
        <w:t>14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rPr>
        <w:t>3.4.3第3包</w:t>
      </w:r>
      <w:r>
        <w:tab/>
      </w:r>
      <w:r>
        <w:fldChar w:fldCharType="begin"/>
      </w:r>
      <w:r>
        <w:instrText xml:space="preserve"> PAGEREF _Toc256000032 \h </w:instrText>
      </w:r>
      <w:r>
        <w:fldChar w:fldCharType="separate"/>
      </w:r>
      <w:r>
        <w:t>14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rPr>
        <w:t>3.5其他要求</w:t>
      </w:r>
      <w:r>
        <w:tab/>
      </w:r>
      <w:r>
        <w:fldChar w:fldCharType="begin"/>
      </w:r>
      <w:r>
        <w:instrText xml:space="preserve"> PAGEREF _Toc256000033 \h </w:instrText>
      </w:r>
      <w:r>
        <w:fldChar w:fldCharType="separate"/>
      </w:r>
      <w:r>
        <w:t>15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3.5.1质量安全把控服务要求</w:t>
      </w:r>
      <w:r>
        <w:tab/>
      </w:r>
      <w:r>
        <w:fldChar w:fldCharType="begin"/>
      </w:r>
      <w:r>
        <w:instrText xml:space="preserve"> PAGEREF _Toc256000034 \h </w:instrText>
      </w:r>
      <w:r>
        <w:fldChar w:fldCharType="separate"/>
      </w:r>
      <w:r>
        <w:t>15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rPr>
        <w:t>3.5.2供应方案要求</w:t>
      </w:r>
      <w:r>
        <w:tab/>
      </w:r>
      <w:r>
        <w:fldChar w:fldCharType="begin"/>
      </w:r>
      <w:r>
        <w:instrText xml:space="preserve"> PAGEREF _Toc256000035 \h </w:instrText>
      </w:r>
      <w:r>
        <w:fldChar w:fldCharType="separate"/>
      </w:r>
      <w:r>
        <w:t>16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_Toc256000036 \h </w:instrText>
      </w:r>
      <w:r>
        <w:fldChar w:fldCharType="separate"/>
      </w:r>
      <w:r>
        <w:t>16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4.1团队要求</w:t>
      </w:r>
      <w:r>
        <w:tab/>
      </w:r>
      <w:r>
        <w:fldChar w:fldCharType="begin"/>
      </w:r>
      <w:r>
        <w:instrText xml:space="preserve"> PAGEREF _Toc256000037 \h </w:instrText>
      </w:r>
      <w:r>
        <w:fldChar w:fldCharType="separate"/>
      </w:r>
      <w:r>
        <w:t>16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4.1.1基本要求</w:t>
      </w:r>
      <w:r>
        <w:tab/>
      </w:r>
      <w:r>
        <w:fldChar w:fldCharType="begin"/>
      </w:r>
      <w:r>
        <w:instrText xml:space="preserve"> PAGEREF _Toc256000038 \h </w:instrText>
      </w:r>
      <w:r>
        <w:fldChar w:fldCharType="separate"/>
      </w:r>
      <w:r>
        <w:t>16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11"/>
          <w:rFonts w:ascii="仿宋_GB2312" w:hAnsi="仿宋_GB2312" w:eastAsia="仿宋_GB2312" w:cs="仿宋_GB2312"/>
        </w:rPr>
        <w:t>4.1.2优选资质/优选指标</w:t>
      </w:r>
      <w:r>
        <w:tab/>
      </w:r>
      <w:r>
        <w:fldChar w:fldCharType="begin"/>
      </w:r>
      <w:r>
        <w:instrText xml:space="preserve"> PAGEREF _Toc256000039 \h </w:instrText>
      </w:r>
      <w:r>
        <w:fldChar w:fldCharType="separate"/>
      </w:r>
      <w:r>
        <w:t>16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_Toc256000040 \h </w:instrText>
      </w:r>
      <w:r>
        <w:fldChar w:fldCharType="separate"/>
      </w:r>
      <w:r>
        <w:t>16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_Toc256000041 \h </w:instrText>
      </w:r>
      <w:r>
        <w:fldChar w:fldCharType="separate"/>
      </w:r>
      <w:r>
        <w:t>17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_Toc256000042 \h </w:instrText>
      </w:r>
      <w:r>
        <w:fldChar w:fldCharType="separate"/>
      </w:r>
      <w:r>
        <w:t>18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"_Toc256000043"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_Toc256000043 \h </w:instrText>
      </w:r>
      <w:r>
        <w:fldChar w:fldCharType="separate"/>
      </w:r>
      <w:r>
        <w:t>18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"_Toc256000044"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_Toc256000044 \h </w:instrText>
      </w:r>
      <w:r>
        <w:fldChar w:fldCharType="separate"/>
      </w:r>
      <w:r>
        <w:t>18</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"_Toc256000045"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_Toc256000045 \h </w:instrText>
      </w:r>
      <w:r>
        <w:fldChar w:fldCharType="separate"/>
      </w:r>
      <w:r>
        <w:t>20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"_Toc256000046"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_Toc256000046 \h </w:instrText>
      </w:r>
      <w:r>
        <w:fldChar w:fldCharType="separate"/>
      </w:r>
      <w:r>
        <w:t>20</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"_Toc256000047"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_Toc256000047 \h </w:instrText>
      </w:r>
      <w:r>
        <w:fldChar w:fldCharType="separate"/>
      </w:r>
      <w:r>
        <w:t>20</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"_Toc256000048" </w:instrText>
      </w:r>
      <w:r>
        <w:fldChar w:fldCharType="separate"/>
      </w:r>
      <w:r>
        <w:rPr>
          <w:rStyle w:val="11"/>
          <w:rFonts w:ascii="仿宋_GB2312" w:hAnsi="仿宋_GB2312" w:eastAsia="仿宋_GB2312" w:cs="仿宋_GB2312"/>
        </w:rPr>
        <w:t>8.1.2定价和结算要求</w:t>
      </w:r>
      <w:r>
        <w:tab/>
      </w:r>
      <w:r>
        <w:fldChar w:fldCharType="begin"/>
      </w:r>
      <w:r>
        <w:instrText xml:space="preserve"> PAGEREF _Toc256000048 \h </w:instrText>
      </w:r>
      <w:r>
        <w:fldChar w:fldCharType="separate"/>
      </w:r>
      <w:r>
        <w:t>21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"_Toc256000049"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_Toc256000049 \h </w:instrText>
      </w:r>
      <w:r>
        <w:fldChar w:fldCharType="separate"/>
      </w:r>
      <w:r>
        <w:t>22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"_Toc256000050"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_Toc256000050 \h </w:instrText>
      </w:r>
      <w:r>
        <w:fldChar w:fldCharType="separate"/>
      </w:r>
      <w:r>
        <w:t>22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"_Toc256000051"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_Toc256000051 \h </w:instrText>
      </w:r>
      <w:r>
        <w:fldChar w:fldCharType="separate"/>
      </w:r>
      <w:r>
        <w:t>23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"_Toc256000052" </w:instrText>
      </w:r>
      <w:r>
        <w:fldChar w:fldCharType="separate"/>
      </w:r>
      <w:r>
        <w:rPr>
          <w:rStyle w:val="11"/>
          <w:rFonts w:ascii="仿宋_GB2312" w:hAnsi="仿宋_GB2312" w:eastAsia="仿宋_GB2312" w:cs="仿宋_GB2312"/>
        </w:rPr>
        <w:t>8.3.2知识产权要求</w:t>
      </w:r>
      <w:r>
        <w:tab/>
      </w:r>
      <w:r>
        <w:fldChar w:fldCharType="begin"/>
      </w:r>
      <w:r>
        <w:instrText xml:space="preserve"> PAGEREF _Toc256000052 \h </w:instrText>
      </w:r>
      <w:r>
        <w:fldChar w:fldCharType="separate"/>
      </w:r>
      <w:r>
        <w:t>23</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left="0" w:right="0"/>
        <w:jc w:val="both"/>
        <w:rPr>
          <w:rFonts w:ascii="Times New Roman" w:hAnsi="Times New Roman" w:eastAsia="Times New Roman" w:cs="Times New Roman"/>
        </w:rPr>
      </w:pPr>
      <w:r>
        <w:rPr>
          <w:rFonts w:ascii="仿宋_GB2312" w:hAnsi="仿宋_GB2312" w:eastAsia="仿宋_GB2312" w:cs="仿宋_GB2312"/>
          <w:sz w:val="28"/>
          <w:szCs w:val="28"/>
        </w:rPr>
        <w:t>    2025年和平区税务局食堂食材采购项目，为和平区税务局食堂提供食材。第1包食堂食材采购项目包含蔬菜水果类、水产类、奶制品类、豆制品类，采购预算为人民币130.00万元；第2包食堂食材采购项目包含鲜冻禽畜肉类，采购预算为人民币120.00万元；第3包食堂食材采购项目包含主副食类、蛋类、调料类，采购预算为人民币110.00万元。供应商按照各分包金额进行投标报价，投标价格不得超过预算。投标价格不作为最终合同金额，采购食材按实际采购量进行结算，总结算金额不超过采购预算。</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pacing w:val="0"/>
          <w:sz w:val="28"/>
          <w:szCs w:val="28"/>
        </w:rPr>
        <w:t>本项目旨在为和平区税务局食堂提供质优价廉食材，在确保和平区税务局食品安全的基础上，提供高效便捷的服务。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本包采购和平区税务局食堂所需食材，含相应配送。</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ind w:firstLine="480"/>
        <w:jc w:val="both"/>
        <w:textAlignment w:val="baseline"/>
        <w:rPr>
          <w:rFonts w:ascii="Times New Roman" w:hAnsi="Times New Roman" w:eastAsia="Times New Roman" w:cs="Times New Roman"/>
        </w:rPr>
      </w:pPr>
      <w:r>
        <w:rPr>
          <w:rFonts w:ascii="仿宋_GB2312" w:hAnsi="仿宋_GB2312" w:eastAsia="仿宋_GB2312" w:cs="仿宋_GB2312"/>
          <w:spacing w:val="0"/>
          <w:sz w:val="28"/>
          <w:szCs w:val="28"/>
        </w:rPr>
        <w:t>按照采购人需求，为和平区税务局机关提供2025年度食堂食材，并提供简单加工及配送服务。</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2"/>
        <w:spacing w:before="0" w:after="0" w:line="360" w:lineRule="auto"/>
        <w:ind w:left="0" w:right="0" w:firstLine="480"/>
        <w:jc w:val="both"/>
        <w:rPr>
          <w:rFonts w:ascii="Times New Roman" w:hAnsi="Times New Roman" w:eastAsia="Times New Roman" w:cs="Times New Roman"/>
        </w:rPr>
      </w:pPr>
      <w:r>
        <w:rPr>
          <w:rFonts w:ascii="FangSong_GB2312" w:hAnsi="FangSong_GB2312" w:eastAsia="FangSong_GB2312" w:cs="FangSong_GB2312"/>
          <w:sz w:val="28"/>
          <w:szCs w:val="28"/>
        </w:rPr>
        <w:t>合同规定的服务起始之日起一年的服务期，签订合同之日起</w:t>
      </w:r>
      <w:r>
        <w:rPr>
          <w:rFonts w:ascii="Times New Roman" w:hAnsi="Times New Roman" w:eastAsia="Times New Roman" w:cs="Times New Roman"/>
          <w:sz w:val="28"/>
          <w:szCs w:val="28"/>
        </w:rPr>
        <w:t>10日内开启食材配送服务。若在服务期内，预算执行完毕，则服务期提前结束（特殊情况以合同为准）。</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云南路办公区食堂（天津市和平区云南路4号）、新兴路办公区食堂（天津市和平区新兴路52号）。</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rPr>
        <w:t>   </w:t>
      </w:r>
      <w:r>
        <w:rPr>
          <w:rFonts w:ascii="仿宋_GB2312" w:hAnsi="仿宋_GB2312" w:eastAsia="仿宋_GB2312" w:cs="仿宋_GB2312"/>
          <w:sz w:val="28"/>
          <w:szCs w:val="28"/>
        </w:rPr>
        <w:t>投标人应遵守有关国家法律、法规和条例,具备《中华人民共和国政府采购法》第二十二条的规定和本文件中规定的条件。</w:t>
      </w:r>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投标人具有《食品经营许可证》，主体业态至少包含食品销售经营者，提供证书扫描件。</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tbl>
      <w:tblPr>
        <w:tblStyle w:val="9"/>
        <w:tblW w:w="5000" w:type="pct"/>
        <w:tblInd w:w="30" w:type="dxa"/>
        <w:tblLayout w:type="autofit"/>
        <w:tblCellMar>
          <w:top w:w="15" w:type="dxa"/>
          <w:left w:w="15" w:type="dxa"/>
          <w:bottom w:w="15" w:type="dxa"/>
          <w:right w:w="15" w:type="dxa"/>
        </w:tblCellMar>
      </w:tblPr>
      <w:tblGrid>
        <w:gridCol w:w="906"/>
        <w:gridCol w:w="4082"/>
        <w:gridCol w:w="408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证书名称</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质量管理体系认证证书(ISO9001)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食品安全管理体系认证证书（ISO 22000）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职业健康安全管理体系认证证书（ISO45001）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第1包有效案例为2021年1月1日以来（以合同签订日期为准），供应商独立承担的食材供应项目案例（蔬菜水果类、水产类、奶制品类、豆制品类食材），予以加分考虑。</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第2包有效案例为2021年1月1日以来（以合同签订日期为准），供应商独立承担的食材供应项目案例（必须包含本包采购的鲜冻禽畜肉类食材），予以加分考虑。</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第3包有效案例为2021年1月1日以来（以合同签订日期为准），供应商独立承担的食材供应项目案例（必须包含本包采购的主副食类、蛋类、调料类），予以加分考虑。</w:t>
      </w:r>
    </w:p>
    <w:p>
      <w:pPr>
        <w:pStyle w:val="4"/>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2.1.3是否允许联合体</w:t>
      </w:r>
      <w:bookmarkEnd w:id="15"/>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本项目不专门面向中小企业采购项目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pStyle w:val="12"/>
        <w:spacing w:before="0" w:after="0" w:line="360" w:lineRule="auto"/>
        <w:ind w:left="0" w:right="0" w:firstLine="480"/>
        <w:rPr>
          <w:rFonts w:ascii="Times New Roman" w:hAnsi="Times New Roman" w:eastAsia="Times New Roman" w:cs="Times New Roman"/>
        </w:rPr>
      </w:pPr>
      <w:r>
        <w:rPr>
          <w:rFonts w:ascii="仿宋_GB2312" w:hAnsi="仿宋_GB2312" w:eastAsia="仿宋_GB2312" w:cs="仿宋_GB2312"/>
          <w:sz w:val="28"/>
          <w:szCs w:val="28"/>
        </w:rPr>
        <w:t>符合和满足本项目技术要求和其他有关要求。</w:t>
      </w:r>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2"/>
        <w:spacing w:before="0" w:after="0" w:line="360" w:lineRule="auto"/>
        <w:ind w:firstLine="480"/>
        <w:jc w:val="both"/>
        <w:rPr>
          <w:rFonts w:ascii="Times New Roman" w:hAnsi="Times New Roman" w:eastAsia="Times New Roman" w:cs="Times New Roman"/>
        </w:rPr>
      </w:pPr>
      <w:r>
        <w:rPr>
          <w:rFonts w:ascii="Times New Roman" w:hAnsi="Times New Roman" w:eastAsia="Times New Roman" w:cs="Times New Roman"/>
          <w:sz w:val="28"/>
          <w:szCs w:val="28"/>
        </w:rPr>
        <w:t>供应商须承诺所提供的货物、人员符合相关国家强制性规定。具体需求详见项目需求、人员要求、管理实施要求、风险管控要求、履约验收要求及其他要求。</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以下相关方案，若作为评审因素，则投标人应在满足★必备指标项要求的前提下，根据项目特点和采购需求，制定更为完整、详细、可操作性强的方案。</w:t>
      </w:r>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  无</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3.2采购产品一览表</w:t>
      </w:r>
      <w:bookmarkEnd w:id="23"/>
    </w:p>
    <w:p>
      <w:pPr>
        <w:pStyle w:val="4"/>
        <w:keepNext w:val="0"/>
        <w:spacing w:before="0" w:after="0" w:line="360" w:lineRule="auto"/>
        <w:rPr>
          <w:rFonts w:ascii="仿宋_GB2312" w:hAnsi="仿宋_GB2312" w:eastAsia="仿宋_GB2312" w:cs="仿宋_GB2312"/>
          <w:b/>
          <w:bCs/>
          <w:sz w:val="28"/>
          <w:szCs w:val="28"/>
        </w:rPr>
      </w:pPr>
      <w:bookmarkStart w:id="24" w:name="_Toc256000022"/>
      <w:r>
        <w:rPr>
          <w:rFonts w:ascii="仿宋_GB2312" w:hAnsi="仿宋_GB2312" w:eastAsia="仿宋_GB2312" w:cs="仿宋_GB2312"/>
          <w:sz w:val="28"/>
          <w:szCs w:val="28"/>
        </w:rPr>
        <w:t>3.2.1第1包</w:t>
      </w:r>
      <w:bookmarkEnd w:id="24"/>
    </w:p>
    <w:tbl>
      <w:tblPr>
        <w:tblStyle w:val="14"/>
        <w:tblW w:w="5000" w:type="pct"/>
        <w:tblCellSpacing w:w="0" w:type="dxa"/>
        <w:tblInd w:w="158" w:type="dxa"/>
        <w:tblLayout w:type="autofit"/>
        <w:tblCellMar>
          <w:top w:w="15" w:type="dxa"/>
          <w:left w:w="15" w:type="dxa"/>
          <w:bottom w:w="15" w:type="dxa"/>
          <w:right w:w="15" w:type="dxa"/>
        </w:tblCellMar>
      </w:tblPr>
      <w:tblGrid>
        <w:gridCol w:w="913"/>
        <w:gridCol w:w="1826"/>
        <w:gridCol w:w="1826"/>
        <w:gridCol w:w="1826"/>
        <w:gridCol w:w="1826"/>
        <w:gridCol w:w="913"/>
      </w:tblGrid>
      <w:tr>
        <w:tblPrEx>
          <w:tblCellMar>
            <w:top w:w="15" w:type="dxa"/>
            <w:left w:w="15" w:type="dxa"/>
            <w:bottom w:w="15" w:type="dxa"/>
            <w:right w:w="15" w:type="dxa"/>
          </w:tblCellMar>
        </w:tblPrEx>
        <w:trPr>
          <w:tblCellSpacing w:w="0" w:type="dxa"/>
        </w:trPr>
        <w:tc>
          <w:tcPr>
            <w:tcW w:w="500"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序号</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产品类别</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产品名称</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数量</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单位</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大白菜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洋白菜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小白菜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生菜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菠菜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韭菜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油菜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萝卜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7400.0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土豆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10400.0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葱头</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生姜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芹菜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莴笋</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莲藕</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蒜薹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菜花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西红柿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5300.0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西兰花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青椒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茄子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黄瓜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西葫芦</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冬瓜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南瓜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平菇</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香菇</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金针菇</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红薯</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12480.0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茼蒿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豆芽</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苦瓜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玉米棒子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芋头</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山药</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酸菜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鸭梨</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猕猴桃</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橙子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7700.0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芒果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火龙果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密瓜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柚子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苹果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桔子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目鱼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小黄鱼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鲈鱼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鲅鱼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梭鱼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黄姑鱼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带鱼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鲽鱼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草鱼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鲫鱼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鲢鱼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小平鱼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鱿鱼</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海带</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蛤蜊</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蛏子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虾</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贝肉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936.0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海蜇</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奶及奶制品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酸奶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95000.0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杯</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90ml</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奶及奶制品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鲜奶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37290.0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袋</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243ml</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豆制品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豆腐干</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豆制品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Times New Roman" w:hAnsi="Times New Roman" w:eastAsia="Times New Roman" w:cs="Times New Roman"/>
                <w:b w:val="0"/>
                <w:bCs w:val="0"/>
                <w:i w:val="0"/>
                <w:iCs w:val="0"/>
                <w:smallCaps w:val="0"/>
                <w:color w:val="000000"/>
              </w:rPr>
              <w:t> </w:t>
            </w:r>
          </w:p>
        </w:tc>
      </w:tr>
    </w:tbl>
    <w:p>
      <w:pPr>
        <w:pStyle w:val="4"/>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sz w:val="28"/>
          <w:szCs w:val="28"/>
        </w:rPr>
        <w:t>3.2.2第2包</w:t>
      </w:r>
      <w:bookmarkEnd w:id="25"/>
    </w:p>
    <w:tbl>
      <w:tblPr>
        <w:tblStyle w:val="14"/>
        <w:tblW w:w="5000" w:type="pct"/>
        <w:tblCellSpacing w:w="0" w:type="dxa"/>
        <w:tblInd w:w="158" w:type="dxa"/>
        <w:tblLayout w:type="autofit"/>
        <w:tblCellMar>
          <w:top w:w="15" w:type="dxa"/>
          <w:left w:w="15" w:type="dxa"/>
          <w:bottom w:w="15" w:type="dxa"/>
          <w:right w:w="15" w:type="dxa"/>
        </w:tblCellMar>
      </w:tblPr>
      <w:tblGrid>
        <w:gridCol w:w="825"/>
        <w:gridCol w:w="1964"/>
        <w:gridCol w:w="1794"/>
        <w:gridCol w:w="1590"/>
        <w:gridCol w:w="1514"/>
        <w:gridCol w:w="1514"/>
      </w:tblGrid>
      <w:tr>
        <w:tblPrEx>
          <w:tblCellMar>
            <w:top w:w="15" w:type="dxa"/>
            <w:left w:w="15" w:type="dxa"/>
            <w:bottom w:w="15" w:type="dxa"/>
            <w:right w:w="15" w:type="dxa"/>
          </w:tblCellMar>
        </w:tblPrEx>
        <w:trPr>
          <w:tblCellSpacing w:w="0" w:type="dxa"/>
        </w:trPr>
        <w:tc>
          <w:tcPr>
            <w:tcW w:w="500"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序号</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产品类别</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产品名称</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数量</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单位</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猪精瘦肉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3740.0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猪排骨</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8740.0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猪鲜肉馅（3:7）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猪五花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猪下水</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2750.0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猪头</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3320.0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猪蹄</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牛肋条</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5710.0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牛腱子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牛骨</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牛腩</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2840.0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3120.0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羊肋排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羊肉卷</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羊蝎子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鸡胗</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鸡翅</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整鸭</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香肠</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腌制鸡肉串</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8800.0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鸭血</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羊杂</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牛杂</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羊肉串</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鸭肉半成品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火锅丸子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343.0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Times New Roman" w:hAnsi="Times New Roman" w:eastAsia="Times New Roman" w:cs="Times New Roman"/>
                <w:b w:val="0"/>
                <w:bCs w:val="0"/>
                <w:i w:val="0"/>
                <w:iCs w:val="0"/>
                <w:smallCaps w:val="0"/>
                <w:color w:val="000000"/>
              </w:rPr>
              <w:t> </w:t>
            </w:r>
          </w:p>
        </w:tc>
      </w:tr>
    </w:tbl>
    <w:p>
      <w:pPr>
        <w:pStyle w:val="4"/>
        <w:keepNext w:val="0"/>
        <w:spacing w:before="0" w:after="0" w:line="360" w:lineRule="auto"/>
        <w:rPr>
          <w:rFonts w:ascii="仿宋_GB2312" w:hAnsi="仿宋_GB2312" w:eastAsia="仿宋_GB2312" w:cs="仿宋_GB2312"/>
          <w:b/>
          <w:bCs/>
          <w:sz w:val="28"/>
          <w:szCs w:val="28"/>
        </w:rPr>
      </w:pPr>
      <w:bookmarkStart w:id="26" w:name="_Toc256000024"/>
      <w:r>
        <w:rPr>
          <w:rFonts w:ascii="仿宋_GB2312" w:hAnsi="仿宋_GB2312" w:eastAsia="仿宋_GB2312" w:cs="仿宋_GB2312"/>
          <w:sz w:val="28"/>
          <w:szCs w:val="28"/>
        </w:rPr>
        <w:t>3.2.3第3包</w:t>
      </w:r>
      <w:bookmarkEnd w:id="26"/>
    </w:p>
    <w:tbl>
      <w:tblPr>
        <w:tblStyle w:val="14"/>
        <w:tblW w:w="5000" w:type="pct"/>
        <w:tblCellSpacing w:w="0" w:type="dxa"/>
        <w:tblInd w:w="156" w:type="dxa"/>
        <w:tblLayout w:type="autofit"/>
        <w:tblCellMar>
          <w:top w:w="15" w:type="dxa"/>
          <w:left w:w="15" w:type="dxa"/>
          <w:bottom w:w="15" w:type="dxa"/>
          <w:right w:w="15" w:type="dxa"/>
        </w:tblCellMar>
      </w:tblPr>
      <w:tblGrid>
        <w:gridCol w:w="919"/>
        <w:gridCol w:w="1840"/>
        <w:gridCol w:w="1840"/>
        <w:gridCol w:w="1840"/>
        <w:gridCol w:w="1844"/>
        <w:gridCol w:w="919"/>
      </w:tblGrid>
      <w:tr>
        <w:tblPrEx>
          <w:tblCellMar>
            <w:top w:w="15" w:type="dxa"/>
            <w:left w:w="15" w:type="dxa"/>
            <w:bottom w:w="15" w:type="dxa"/>
            <w:right w:w="15" w:type="dxa"/>
          </w:tblCellMar>
        </w:tblPrEx>
        <w:trPr>
          <w:tblCellSpacing w:w="0" w:type="dxa"/>
        </w:trPr>
        <w:tc>
          <w:tcPr>
            <w:tcW w:w="499"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序号</w:t>
            </w:r>
          </w:p>
        </w:tc>
        <w:tc>
          <w:tcPr>
            <w:tcW w:w="999"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产品类别</w:t>
            </w:r>
          </w:p>
        </w:tc>
        <w:tc>
          <w:tcPr>
            <w:tcW w:w="999"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产品名称</w:t>
            </w:r>
          </w:p>
        </w:tc>
        <w:tc>
          <w:tcPr>
            <w:tcW w:w="999"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数量</w:t>
            </w:r>
          </w:p>
        </w:tc>
        <w:tc>
          <w:tcPr>
            <w:tcW w:w="1001"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单位</w:t>
            </w:r>
          </w:p>
        </w:tc>
        <w:tc>
          <w:tcPr>
            <w:tcW w:w="499"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15600.0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玉米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1510.0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黑米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紫米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624.0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蚕豆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635.0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绿豆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红小豆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426.0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黑豆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青豆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芝麻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花生</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面粉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46800.0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食用油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20860.0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升</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食用盐</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酱油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4850.0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豆瓣酱</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料酒</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940.0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麻酱</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花生酱</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火锅底料</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蚝油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724.0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蒸鱼豉油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412.0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食用醋</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胡椒粉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104.0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椒盐</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86.0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孜然</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花椒</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八角</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干辣椒</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辣椒面</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47.0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辣椒酱</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428.0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其他干调料</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味精</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鸡精</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糖</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2950.0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淀粉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腐乳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复合调料粉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65.0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酵母</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黄油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奶油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小苏打</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泡打粉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吉利丁</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点心调味粉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酥油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速冻水饺</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8900.0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粉丝</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粉条</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春卷皮</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鸡蛋</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14400.0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鸭蛋</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鹌鹑蛋</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干木耳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干香菇</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银耳</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干腐竹</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紫菜</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大枣</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桂圆</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蛋挞皮</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个</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披萨皮</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个</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9寸/个</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奥利奥碎</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糯米粉</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瓜子仁</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果干</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干果碎</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蜂蜜</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73</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果酱</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74</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豆馅</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麦片</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76</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点心馅</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77</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面包</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咸菜</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1425.0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79</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锅巴菜</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468.0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云吞皮</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9"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3"/>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81</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米线</w:t>
            </w:r>
          </w:p>
        </w:tc>
        <w:tc>
          <w:tcPr>
            <w:tcW w:w="9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720.0</w:t>
            </w:r>
          </w:p>
        </w:tc>
        <w:tc>
          <w:tcPr>
            <w:tcW w:w="1001"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499" w:type="pct"/>
            <w:tcBorders>
              <w:bottom w:val="single" w:color="000000" w:sz="8" w:space="0"/>
              <w:right w:val="single" w:color="000000" w:sz="8" w:space="0"/>
            </w:tcBorders>
            <w:noWrap w:val="0"/>
            <w:tcMar>
              <w:top w:w="22" w:type="dxa"/>
              <w:left w:w="22" w:type="dxa"/>
              <w:bottom w:w="32" w:type="dxa"/>
              <w:right w:w="32" w:type="dxa"/>
            </w:tcMar>
            <w:vAlign w:val="center"/>
          </w:tcPr>
          <w:p>
            <w:pPr>
              <w:pStyle w:val="13"/>
              <w:rPr>
                <w:rFonts w:ascii="Times New Roman" w:hAnsi="Times New Roman" w:eastAsia="Times New Roman" w:cs="Times New Roman"/>
                <w:b w:val="0"/>
                <w:bCs w:val="0"/>
                <w:i w:val="0"/>
                <w:iCs w:val="0"/>
                <w:smallCaps w:val="0"/>
                <w:color w:val="000000"/>
              </w:rPr>
            </w:pPr>
            <w:r>
              <w:rPr>
                <w:rFonts w:ascii="Times New Roman" w:hAnsi="Times New Roman" w:eastAsia="Times New Roman" w:cs="Times New Roman"/>
                <w:b w:val="0"/>
                <w:bCs w:val="0"/>
                <w:i w:val="0"/>
                <w:iCs w:val="0"/>
                <w:smallCaps w:val="0"/>
                <w:color w:val="000000"/>
              </w:rPr>
              <w:t> </w:t>
            </w:r>
          </w:p>
        </w:tc>
      </w:tr>
    </w:tbl>
    <w:p>
      <w:pPr>
        <w:pStyle w:val="3"/>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i w:val="0"/>
          <w:iCs w:val="0"/>
        </w:rPr>
        <w:t>3.3采购产品详细清单及技术指标</w:t>
      </w:r>
      <w:bookmarkEnd w:id="27"/>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采购文件（技术部分）中有标注★号的，为必备要求，必须满足，如未作出响应，将导致响应无效；#为重要内容、△为一般内容。</w:t>
      </w:r>
    </w:p>
    <w:p>
      <w:pPr>
        <w:pStyle w:val="4"/>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sz w:val="28"/>
          <w:szCs w:val="28"/>
        </w:rPr>
        <w:t>3.3.1第1包</w:t>
      </w:r>
      <w:bookmarkEnd w:id="28"/>
    </w:p>
    <w:tbl>
      <w:tblPr>
        <w:tblStyle w:val="9"/>
        <w:tblW w:w="5000" w:type="pct"/>
        <w:tblInd w:w="30" w:type="dxa"/>
        <w:tblLayout w:type="autofit"/>
        <w:tblCellMar>
          <w:top w:w="15" w:type="dxa"/>
          <w:left w:w="15" w:type="dxa"/>
          <w:bottom w:w="15" w:type="dxa"/>
          <w:right w:w="15" w:type="dxa"/>
        </w:tblCellMar>
      </w:tblPr>
      <w:tblGrid>
        <w:gridCol w:w="496"/>
        <w:gridCol w:w="917"/>
        <w:gridCol w:w="2174"/>
        <w:gridCol w:w="24644"/>
        <w:gridCol w:w="707"/>
        <w:gridCol w:w="1761"/>
      </w:tblGrid>
      <w:tr>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 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（4）蔬菜和水果化学药物不超标，保持较好的色泽及新鲜度，无黄叶、泥沙；包装食品标注生产厂家，生产日期，并在保质期范围内，保持较好的外观；水产品品质新鲜质量安全。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（5）所有食材的来源清晰，蔬菜来源于受到地方政府部门监管的自有基地、商品菜基地或蔬菜专业流通市场，不供应散户溯源不清的蔬菜。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鲜冻鱼质量要求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(1)供应当季各类新鲜蔬菜以及大棚种植蔬菜，蔬菜类无黄叶、枯死叶，无虫，无杂质，原菜菜面干净、无明显泥土、码放整齐、无破损、大小基本统一、不得过熟或欠熟.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(2)净菜须保证菜面完全干净、无泥土、按统一标准加工、码放整齐、无须二次处理可以直接进行熟加工。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供应当季各类水果，无虫、无杂质。果面干净，无明显泥土，码放整齐，无破损，大小基本统一，不过熟或欠熟。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豆腐及豆制品质量要求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须保证食品干净，不含非食品用化学物质，按统一标准加工，码放整齐，无须二次处理可以直接进行熟加工。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29" w:name="_Toc256000027"/>
      <w:r>
        <w:rPr>
          <w:rFonts w:ascii="仿宋_GB2312" w:hAnsi="仿宋_GB2312" w:eastAsia="仿宋_GB2312" w:cs="仿宋_GB2312"/>
          <w:sz w:val="28"/>
          <w:szCs w:val="28"/>
        </w:rPr>
        <w:t>3.3.2第2包</w:t>
      </w:r>
      <w:bookmarkEnd w:id="29"/>
    </w:p>
    <w:tbl>
      <w:tblPr>
        <w:tblStyle w:val="9"/>
        <w:tblW w:w="5000" w:type="pct"/>
        <w:tblInd w:w="30" w:type="dxa"/>
        <w:tblLayout w:type="autofit"/>
        <w:tblCellMar>
          <w:top w:w="15" w:type="dxa"/>
          <w:left w:w="15" w:type="dxa"/>
          <w:bottom w:w="15" w:type="dxa"/>
          <w:right w:w="15" w:type="dxa"/>
        </w:tblCellMar>
      </w:tblPr>
      <w:tblGrid>
        <w:gridCol w:w="454"/>
        <w:gridCol w:w="840"/>
        <w:gridCol w:w="2376"/>
        <w:gridCol w:w="25749"/>
        <w:gridCol w:w="648"/>
        <w:gridCol w:w="161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（1）肉类的理化指标及卫生标准符合国家或采购人所在地区最新标准执行。</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（2）对于没有国家标准的应符合行业标准或企业标准，其中国家有强制性技术标准要求的产品，还应符合国家强制性技术标准，确保配送的货物安全、卫生。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（3）肉类供应商供应的动物类食品必须经过检验检疫，供货时一并提交出厂合格证复印件，必要时应按采购人要求提供生产厂家的卫生许可证。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（4）所供生鲜肉确保为出厂后48小时内；冻肉确保为出厂后3个月内。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（5）保证所供肉类渠道来源正规可溯，参考正规市场品质及来源。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（2）冻品外包装需密封、完整，无破损，商品合格证齐全。冻品在解冻后，发现质量问题承诺退货。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鲜猪肉通用质量要求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五花肉质量要求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一级五花肉，肥膘厚度≤2.0cm，肥瘦相间，肉质细腻，三层见花。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肋排质量要求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肋排去剔前排后11-13根肋骨，整块重量1.2KG-1.8KG，纹理清晰，边缘整齐。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猪脏器及副产品质量要求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心肝、腰子类：品质新鲜、外形完整、无异味、无病变、无凝血块、无血污、泥污、颜色正常。</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肚：品质新鲜、外形完整、无溃疡面及其他病变现象、无内容物、无粘膜、无边油。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大肠、肥肠类：品质新鲜、无破损、无病变组织、无肠头细毛、无内容物、去净粘膜。</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舌：品质新鲜、外形完整、无病变、无异物、无舌苔、附肉少、无血污、泥污。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耳：品质新鲜、外形完整、无溃烂、病斑、无破损。</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蹄爪类：品质新鲜、去蹄壳、不带蹄筋、刮除粗毛、细毛及趾间黑垢、无松香残留。</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蹄筋类：品质新鲜、无色透明、表面光亮、无油脂、无精肉、无充血现象、顺直、干燥。</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猪心：淡红色，脂肪乳白色稍红色，结实，有弹性，外形完整，心房内无瘀血，无凝血块，无病变，气味正常。</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猪肝：红褐色或棕黄色，有光泽，湿润，略有弹性，组织结实微密，肝叶完整，无脂肪，胆囊、粗输、胆管、无寄生虫、炎症水泡、薄膜，无胆汁污染，微有鱼腥味。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猪口条：品质新鲜，外形完整，无根附着的肌肉、舌骨、舌苔、脂肪、无病伤，无异物。</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猪尾：品质新鲜，去毛洁净，不带毛根或绒毛。</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鲜牛肉通用质量要求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牛腩质量要求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精修牛腩肉，牛腹部及靠近牛肋处的松软肌肉，带有筋、肉、油花的肉块。</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鲜羊肉质量要求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冻畜肉质量要求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外表：无杂质，无肌肉风干现象，无白、黄、绿斑、紫斑、污血、过多冰衣无白霜、</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气味：化冻时，有肉的正常味，略潮，没有熟肉味。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包装：按标准部位分割外包装无破损有生产日期。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鲜鸡（鸭、鹅）类质量要求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眼球：无干缩凹陷或晶体状浑浊现象。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外表：具有其固有表皮颜色、肌肉切面有光泽、无绿、紫等异常颜色、无残羽（在脖、翅等处无较长细毛）、无破损、无残缺、新切面不发粘。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气味：具有其固有气味、无异味。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弹性：指压后凹陷、能恢复。</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鲜鸡类各部件质量要求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鸡爪：品质新鲜、呈白色或灰白色、无黄皮趾壳、无血污、血水、无残缺、脚趾根上无黑斑、允许有少量红斑。</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鸡翅：品质新鲜、无残羽、无黄衣、无伤斑及溃烂、无血水血污、允许有少数斑、允许剪修但最大范围不超转弯关节处。</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鸡腿：无残羽、无血水、血污、品质新鲜、无残骨无伤斑及溃烂、炎症、允许有少数红斑、外形美观。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鸡胸肉：品质新鲜、无残羽、无血水、血污、无残骨、无伤斑、溃烂、炎症，允许有少数红斑。</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鸡肝：品质新鲜、外形完整、去胆、无寄生虫、炎症、水泡，无胆汁污染无血渍。</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鸡胗：品质新鲜、外形完整无内容物、鸡内金、腺胃、肠管及脂肪，无出血、瘀血、病变。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鸡心：品质新鲜、褐红色，脂肪稍红，组织结实，有弹性，心房内无瘀血、病变，气味正常。</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鸡脖：品质新鲜、去劲部皮、无羽毛、无血污。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鸡头：品质新鲜、外形完整、无伤斑、无溃烂、无血污。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蹄筋：品质新鲜，无色透明，表面光亮，无油脂，无精肉，无充血现顺直、干燥。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色泽：外观滋润，呈乳白或微黄色。</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外表：基本无血脉、风干现象，无白、黄绿、紫斑、无冰衣，解冻后与鲜禽特征相同。</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气味：无腐臭气味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包装：分割部件应符合标准，外包装完好、商标规格、产品说明清晰完整。</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其他食材质量标准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以上未详细列明的商品须符合国家食品安全卫生相关质量标准。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sz w:val="28"/>
          <w:szCs w:val="28"/>
        </w:rPr>
        <w:t>3.3.3第3包</w:t>
      </w:r>
      <w:bookmarkEnd w:id="30"/>
    </w:p>
    <w:tbl>
      <w:tblPr>
        <w:tblStyle w:val="9"/>
        <w:tblW w:w="5000" w:type="pct"/>
        <w:tblInd w:w="30" w:type="dxa"/>
        <w:tblLayout w:type="autofit"/>
        <w:tblCellMar>
          <w:top w:w="15" w:type="dxa"/>
          <w:left w:w="15" w:type="dxa"/>
          <w:bottom w:w="15" w:type="dxa"/>
          <w:right w:w="15" w:type="dxa"/>
        </w:tblCellMar>
      </w:tblPr>
      <w:tblGrid>
        <w:gridCol w:w="496"/>
        <w:gridCol w:w="917"/>
        <w:gridCol w:w="2804"/>
        <w:gridCol w:w="18554"/>
        <w:gridCol w:w="707"/>
        <w:gridCol w:w="1761"/>
      </w:tblGrid>
      <w:tr>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 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鸡蛋质量要求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一级清洁鸡蛋，蛋壳清洁完整，呈规则卵圆形，具有蛋壳固有的色泽，表面无肉眼可见污物，鸡蛋新鲜，蛋白浓稠、蛋黄圆润，单个鸡蛋重量58～68g。</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(1)通用面粉达GB/T 1355-2021国家标准。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(2)高筋面粉达GB/T 8607-1988国家标准，质量等级一级；低筋面粉达GB8608-1988标准，质量等级一级。色泽正常，干爽无异味。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食用油通用标准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供应非转基因食用油。外观的色泽、透明度、气味滋味等无异常，定型包装。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大豆油质量标准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米线质量要求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不含非食品用化学物质、无杂质。米线颜色呈白色、乳白色、奶黄色，色亮不发灰发暗。表面结构细密、光滑。软硬适中，爽口不粘牙，口感光滑，具有清香，无异味。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其他食材质量标准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以上未详细列明的商品须符合国家食品安全卫生相关质量标准。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3"/>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i w:val="0"/>
          <w:iCs w:val="0"/>
        </w:rPr>
        <w:t>3.4服务要求</w:t>
      </w:r>
      <w:bookmarkEnd w:id="31"/>
    </w:p>
    <w:p>
      <w:pPr>
        <w:pStyle w:val="4"/>
        <w:keepNext w:val="0"/>
        <w:spacing w:before="0" w:after="0" w:line="360" w:lineRule="auto"/>
        <w:rPr>
          <w:rFonts w:ascii="仿宋_GB2312" w:hAnsi="仿宋_GB2312" w:eastAsia="仿宋_GB2312" w:cs="仿宋_GB2312"/>
          <w:b/>
          <w:bCs/>
          <w:sz w:val="28"/>
          <w:szCs w:val="28"/>
        </w:rPr>
      </w:pPr>
      <w:bookmarkStart w:id="32" w:name="_Toc256000030"/>
      <w:r>
        <w:rPr>
          <w:rFonts w:ascii="仿宋_GB2312" w:hAnsi="仿宋_GB2312" w:eastAsia="仿宋_GB2312" w:cs="仿宋_GB2312"/>
          <w:sz w:val="28"/>
          <w:szCs w:val="28"/>
        </w:rPr>
        <w:t>3.4.1第1包</w:t>
      </w:r>
      <w:bookmarkEnd w:id="32"/>
    </w:p>
    <w:tbl>
      <w:tblPr>
        <w:tblStyle w:val="9"/>
        <w:tblW w:w="5000" w:type="pct"/>
        <w:tblInd w:w="30" w:type="dxa"/>
        <w:tblLayout w:type="autofit"/>
        <w:tblCellMar>
          <w:top w:w="15" w:type="dxa"/>
          <w:left w:w="15" w:type="dxa"/>
          <w:bottom w:w="15" w:type="dxa"/>
          <w:right w:w="15" w:type="dxa"/>
        </w:tblCellMar>
      </w:tblPr>
      <w:tblGrid>
        <w:gridCol w:w="496"/>
        <w:gridCol w:w="1754"/>
        <w:gridCol w:w="1964"/>
        <w:gridCol w:w="20654"/>
        <w:gridCol w:w="707"/>
        <w:gridCol w:w="1761"/>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投标人自有或租赁库房，面积不小于300平米；自有或租赁冷库，吨位不小于200吨（或面积不小于80平米）。能够满足按采购人需求完成配送任务，确保两个办公区同时送货。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投标人自有或租赁配送中心，面积不小于500平米。能够满足按采购人需求完成配送任务，确保两个办公区同时送货。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投标人应自有或固定租赁2台以上冷藏车辆，确保24小时响应，按采购人需求完成配送任务，确保两个办公区同时送货。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果蔬供应链能力要求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投标人具有自有或签约供货的蔬菜、水果基地之一。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投标人具有自有或签约供货的水产生产工厂或者直销、代理、经销商资格之一。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牛奶供应链能力要求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具有自有或签约的牛奶生产工厂或者直销、代理、经销商资格之一。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简易加工能力要求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能够完成本合同采购食材的简易加工，如鱼类宰杀去鳃去鳞去内脏、蔬菜洗净削皮等。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33" w:name="_Toc256000031"/>
      <w:r>
        <w:rPr>
          <w:rFonts w:ascii="仿宋_GB2312" w:hAnsi="仿宋_GB2312" w:eastAsia="仿宋_GB2312" w:cs="仿宋_GB2312"/>
          <w:sz w:val="28"/>
          <w:szCs w:val="28"/>
        </w:rPr>
        <w:t>3.4.2第2包</w:t>
      </w:r>
      <w:bookmarkEnd w:id="33"/>
    </w:p>
    <w:tbl>
      <w:tblPr>
        <w:tblStyle w:val="9"/>
        <w:tblW w:w="5000" w:type="pct"/>
        <w:tblInd w:w="30" w:type="dxa"/>
        <w:tblLayout w:type="autofit"/>
        <w:tblCellMar>
          <w:top w:w="15" w:type="dxa"/>
          <w:left w:w="15" w:type="dxa"/>
          <w:bottom w:w="15" w:type="dxa"/>
          <w:right w:w="15" w:type="dxa"/>
        </w:tblCellMar>
      </w:tblPr>
      <w:tblGrid>
        <w:gridCol w:w="496"/>
        <w:gridCol w:w="1754"/>
        <w:gridCol w:w="1964"/>
        <w:gridCol w:w="21704"/>
        <w:gridCol w:w="707"/>
        <w:gridCol w:w="1761"/>
      </w:tblGrid>
      <w:tr>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投标人应自有或固定租赁2台以上冷藏车辆，确保24小时响应，按采购人需求完成配送任务，确保两个办公区同时送货。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具有自有、签约的猪肉屠宰、加工厂或者直销、代理、经销商资格之一。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具有自有、签约的牛肉屠宰、加工厂或者直销、代理、经销商资格之一。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具有自有、签约的羊肉屠宰、加工厂或者直销、代理、经销商资格之一。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具有自有、签约的禽肉屠宰、加工厂或者直销、代理、经销商资格之一。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简易加工能力要求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能够完成本合同采购鲜冻禽畜肉的简易加工，如切丝、丁、块、片等。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安全完整包装要求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34" w:name="_Toc256000032"/>
      <w:r>
        <w:rPr>
          <w:rFonts w:ascii="仿宋_GB2312" w:hAnsi="仿宋_GB2312" w:eastAsia="仿宋_GB2312" w:cs="仿宋_GB2312"/>
          <w:sz w:val="28"/>
          <w:szCs w:val="28"/>
        </w:rPr>
        <w:t>3.4.3第3包</w:t>
      </w:r>
      <w:bookmarkEnd w:id="34"/>
    </w:p>
    <w:tbl>
      <w:tblPr>
        <w:tblStyle w:val="9"/>
        <w:tblW w:w="5000" w:type="pct"/>
        <w:tblInd w:w="30" w:type="dxa"/>
        <w:tblLayout w:type="autofit"/>
        <w:tblCellMar>
          <w:top w:w="15" w:type="dxa"/>
          <w:left w:w="15" w:type="dxa"/>
          <w:bottom w:w="15" w:type="dxa"/>
          <w:right w:w="15" w:type="dxa"/>
        </w:tblCellMar>
      </w:tblPr>
      <w:tblGrid>
        <w:gridCol w:w="496"/>
        <w:gridCol w:w="1754"/>
        <w:gridCol w:w="2174"/>
        <w:gridCol w:w="20654"/>
        <w:gridCol w:w="707"/>
        <w:gridCol w:w="1761"/>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投标人自有或租赁库房，面积不小于300平米。能够满足按采购人需求完成配送任务，确保两个办公区同时送货。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投标人应自有或固定租赁2台以上冷藏车辆，确保24小时响应，按采购人需求完成配送任务，确保两个办公区同时送货。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新鲜鸡蛋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采购人按期（周）向投标人发布采购内容，投标人应在送货前一个工作日与采购人核对确认采购内容无误后，在次日6点前配送至采购人指定验收地点。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主食供应链能力要求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具有自有、签约的大米、面粉生产基地、加工厂或者直销、代理、经销商资格之一。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具有自有或签约的食用油加工厂或者直销、代理、经销商资格之一。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蛋类供应链能力要求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具有自有或签约的蛋类生产工厂或者直销、代理、经销商资格之一。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3.5其他要求</w:t>
      </w:r>
      <w:bookmarkEnd w:id="35"/>
    </w:p>
    <w:p>
      <w:pPr>
        <w:pStyle w:val="12"/>
        <w:spacing w:before="0" w:after="0" w:line="360" w:lineRule="auto"/>
        <w:ind w:left="0" w:right="0" w:firstLine="480"/>
        <w:rPr>
          <w:rFonts w:ascii="Times New Roman" w:hAnsi="Times New Roman" w:eastAsia="Times New Roman" w:cs="Times New Roman"/>
        </w:rPr>
      </w:pPr>
      <w:r>
        <w:rPr>
          <w:rFonts w:ascii="Times New Roman" w:hAnsi="Times New Roman" w:eastAsia="Times New Roman" w:cs="Times New Roman"/>
          <w:sz w:val="28"/>
          <w:szCs w:val="28"/>
        </w:rPr>
        <w:t>根据《</w:t>
      </w:r>
      <w:r>
        <w:rPr>
          <w:rFonts w:ascii="FangSong_GB2312" w:hAnsi="FangSong_GB2312" w:eastAsia="FangSong_GB2312" w:cs="FangSong_GB2312"/>
          <w:sz w:val="28"/>
          <w:szCs w:val="28"/>
        </w:rPr>
        <w:t>政府采购货物和服务招标投标管理办法》（财政部令第</w:t>
      </w:r>
      <w:r>
        <w:rPr>
          <w:rFonts w:ascii="Times New Roman" w:hAnsi="Times New Roman" w:eastAsia="Times New Roman" w:cs="Times New Roman"/>
          <w:sz w:val="28"/>
          <w:szCs w:val="28"/>
        </w:rPr>
        <w:t>87号）第六十条的规定，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pPr>
        <w:pStyle w:val="4"/>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sz w:val="28"/>
          <w:szCs w:val="28"/>
        </w:rPr>
        <w:t>3.5.1质量安全把控服务要求</w:t>
      </w:r>
      <w:bookmarkEnd w:id="36"/>
    </w:p>
    <w:p>
      <w:pPr>
        <w:pStyle w:val="12"/>
        <w:spacing w:before="0" w:after="0" w:line="360" w:lineRule="auto"/>
        <w:ind w:firstLine="642"/>
        <w:rPr>
          <w:rFonts w:ascii="Times New Roman" w:hAnsi="Times New Roman" w:eastAsia="Times New Roman" w:cs="Times New Roman"/>
        </w:rPr>
      </w:pPr>
      <w:r>
        <w:rPr>
          <w:rFonts w:ascii="仿宋_GB2312" w:hAnsi="仿宋_GB2312" w:eastAsia="仿宋_GB2312" w:cs="仿宋_GB2312"/>
          <w:b/>
          <w:bCs/>
          <w:sz w:val="28"/>
          <w:szCs w:val="28"/>
        </w:rPr>
        <w:t>1.投标人应提供质量安全把控方案。</w:t>
      </w:r>
      <w:r>
        <w:rPr>
          <w:rFonts w:ascii="仿宋_GB2312" w:hAnsi="仿宋_GB2312" w:eastAsia="仿宋_GB2312" w:cs="仿宋_GB2312"/>
          <w:sz w:val="28"/>
          <w:szCs w:val="28"/>
        </w:rPr>
        <w:t>方案内容详细描述供应货物质量把控措施、检验检疫关键环节把控、不符合质量标准货品处置等内容，确保提供食材安全可靠。</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2.投标人供应以下食品的，采购人全部退货，投标人承担由此造成的一切经济责任和法律责任：</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（1）腐败变质、油脂酸败、霉变、生虫、污秽不洁、混有异物或者其他感官性状异常，对人体健康有害的；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（2）含有毒、有害物质或者被有毒、有害物质污染，对人体健康有害的；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（3）含有致病性寄生虫、微生物或者微生物含量超过国家限定标准的；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（4）掺假、掺杂、伪造，影响营养、卫生的；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（5）用非食品原料加工的，加入非食品用化学物质或者将非食品当作食品的；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（6）超过保质期限的；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（7）使用有色、有毒塑料制品、包装食材的；</w:t>
      </w:r>
    </w:p>
    <w:p>
      <w:pPr>
        <w:pStyle w:val="15"/>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（8）其他不符合《食品安全法》和《产品质量法》等相关规定的。</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3.凡投标人所供应货物应为原箱包装，拆包或重组包装的应提前向采购人说明，定量包装批量误差不应超过实际标示的5%。</w:t>
      </w:r>
    </w:p>
    <w:p>
      <w:pPr>
        <w:pStyle w:val="4"/>
        <w:keepNext w:val="0"/>
        <w:spacing w:before="0" w:after="0" w:line="360" w:lineRule="auto"/>
        <w:rPr>
          <w:rFonts w:ascii="仿宋_GB2312" w:hAnsi="仿宋_GB2312" w:eastAsia="仿宋_GB2312" w:cs="仿宋_GB2312"/>
          <w:b/>
          <w:bCs/>
          <w:sz w:val="28"/>
          <w:szCs w:val="28"/>
        </w:rPr>
      </w:pPr>
      <w:bookmarkStart w:id="37" w:name="_Toc256000035"/>
      <w:r>
        <w:rPr>
          <w:rFonts w:ascii="仿宋_GB2312" w:hAnsi="仿宋_GB2312" w:eastAsia="仿宋_GB2312" w:cs="仿宋_GB2312"/>
          <w:sz w:val="28"/>
          <w:szCs w:val="28"/>
        </w:rPr>
        <w:t>3.5.2供应方案要求</w:t>
      </w:r>
      <w:bookmarkEnd w:id="37"/>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投标人应提交科学合理的供应方案。方案应包含服务团队管理措施、内部采购管理措施、储存分拣管理措施、科学合理运输措施等。</w:t>
      </w:r>
    </w:p>
    <w:p>
      <w:pPr>
        <w:pStyle w:val="2"/>
        <w:keepNext w:val="0"/>
        <w:spacing w:before="0" w:after="0" w:line="360" w:lineRule="auto"/>
        <w:jc w:val="center"/>
        <w:rPr>
          <w:rFonts w:ascii="仿宋_GB2312" w:hAnsi="仿宋_GB2312" w:eastAsia="仿宋_GB2312" w:cs="仿宋_GB2312"/>
          <w:b/>
          <w:bCs/>
          <w:sz w:val="32"/>
          <w:szCs w:val="32"/>
        </w:rPr>
      </w:pPr>
      <w:bookmarkStart w:id="38" w:name="_Toc256000036"/>
      <w:r>
        <w:rPr>
          <w:rFonts w:ascii="仿宋_GB2312" w:hAnsi="仿宋_GB2312" w:eastAsia="仿宋_GB2312" w:cs="仿宋_GB2312"/>
          <w:kern w:val="36"/>
        </w:rPr>
        <w:t>4人员要求</w:t>
      </w:r>
      <w:bookmarkEnd w:id="38"/>
    </w:p>
    <w:p>
      <w:pPr>
        <w:pStyle w:val="3"/>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i w:val="0"/>
          <w:iCs w:val="0"/>
        </w:rPr>
        <w:t>4.1团队要求</w:t>
      </w:r>
      <w:bookmarkEnd w:id="39"/>
    </w:p>
    <w:p>
      <w:pPr>
        <w:pStyle w:val="4"/>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sz w:val="28"/>
          <w:szCs w:val="28"/>
        </w:rPr>
        <w:t>4.1.1基本要求</w:t>
      </w:r>
      <w:bookmarkEnd w:id="40"/>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1.投标人应提供专业的管理和采购团队，团队编制和人员资质务必保证运营服务质量。提供的服务团队应保持稳定，承诺项目执行期间人员变动不超过20%。</w:t>
      </w:r>
    </w:p>
    <w:p>
      <w:pPr>
        <w:pStyle w:val="15"/>
        <w:spacing w:before="0" w:after="0" w:line="360" w:lineRule="auto"/>
        <w:ind w:firstLine="642"/>
        <w:jc w:val="both"/>
        <w:rPr>
          <w:rFonts w:ascii="Times New Roman" w:hAnsi="Times New Roman" w:eastAsia="Times New Roman" w:cs="Times New Roman"/>
        </w:rPr>
      </w:pPr>
      <w:r>
        <w:rPr>
          <w:rFonts w:ascii="仿宋_GB2312" w:hAnsi="仿宋_GB2312" w:eastAsia="仿宋_GB2312" w:cs="仿宋_GB2312"/>
          <w:sz w:val="28"/>
          <w:szCs w:val="28"/>
        </w:rPr>
        <w:t>2. 投标人服务团队须配有以下人员，出具盖有投标人公章的服务团队人员名单。</w:t>
      </w:r>
    </w:p>
    <w:p>
      <w:pPr>
        <w:pStyle w:val="15"/>
        <w:spacing w:before="0" w:after="0" w:line="360" w:lineRule="auto"/>
        <w:ind w:firstLine="642"/>
        <w:jc w:val="both"/>
        <w:rPr>
          <w:rFonts w:ascii="Times New Roman" w:hAnsi="Times New Roman" w:eastAsia="Times New Roman" w:cs="Times New Roman"/>
        </w:rPr>
      </w:pPr>
      <w:r>
        <w:rPr>
          <w:rFonts w:ascii="仿宋_GB2312" w:hAnsi="仿宋_GB2312" w:eastAsia="仿宋_GB2312" w:cs="仿宋_GB2312"/>
          <w:sz w:val="28"/>
          <w:szCs w:val="28"/>
        </w:rPr>
        <w:t>为本项目提供的服务团队中所有人员必须提供缴纳社保证明材料，具有从业人员健康证明，否则不予认可。</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（1）经理1人，具有5年以上食材供应项目管理工作经验。</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（2）供应业务员2人，具有3年及以上食材供应项目工作经验。</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（3）食品安全管理员1人，具有3年及以上食品安全管理工作经验。</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（4）采购员2人，具有3年及以上食材采购工作经验。</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（5）配送司机2名，具有3年以上相关工作经验。</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以上人员在服务过程中应热情服务、遵规守法，具备较强的沟通能力和临时紧急配送调换的处置能力。</w:t>
      </w:r>
    </w:p>
    <w:p>
      <w:pPr>
        <w:pStyle w:val="4"/>
        <w:keepNext w:val="0"/>
        <w:spacing w:before="0" w:after="0" w:line="360" w:lineRule="auto"/>
        <w:rPr>
          <w:rFonts w:ascii="仿宋_GB2312" w:hAnsi="仿宋_GB2312" w:eastAsia="仿宋_GB2312" w:cs="仿宋_GB2312"/>
          <w:b/>
          <w:bCs/>
          <w:sz w:val="28"/>
          <w:szCs w:val="28"/>
        </w:rPr>
      </w:pPr>
      <w:bookmarkStart w:id="41" w:name="_Toc256000039"/>
      <w:r>
        <w:rPr>
          <w:rFonts w:ascii="仿宋_GB2312" w:hAnsi="仿宋_GB2312" w:eastAsia="仿宋_GB2312" w:cs="仿宋_GB2312"/>
          <w:sz w:val="28"/>
          <w:szCs w:val="28"/>
        </w:rPr>
        <w:t>4.1.2优选资质/优选指标</w:t>
      </w:r>
      <w:bookmarkEnd w:id="41"/>
    </w:p>
    <w:p>
      <w:pPr>
        <w:pStyle w:val="2"/>
        <w:keepNext w:val="0"/>
        <w:spacing w:before="0" w:after="0" w:line="360" w:lineRule="auto"/>
        <w:jc w:val="center"/>
        <w:rPr>
          <w:rFonts w:ascii="仿宋_GB2312" w:hAnsi="仿宋_GB2312" w:eastAsia="仿宋_GB2312" w:cs="仿宋_GB2312"/>
          <w:b/>
          <w:bCs/>
          <w:sz w:val="32"/>
          <w:szCs w:val="32"/>
        </w:rPr>
      </w:pPr>
      <w:bookmarkStart w:id="42" w:name="_Toc256000040"/>
      <w:r>
        <w:rPr>
          <w:rFonts w:ascii="仿宋_GB2312" w:hAnsi="仿宋_GB2312" w:eastAsia="仿宋_GB2312" w:cs="仿宋_GB2312"/>
          <w:kern w:val="36"/>
        </w:rPr>
        <w:t>5管理实施要求</w:t>
      </w:r>
      <w:bookmarkEnd w:id="42"/>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建立成熟完善的透明化责任体系,明确经理、供应业务员、食品安全管理员、采购员、司机等各岗位工作职责，制定岗位工作说明，确保制度能有效运转。</w:t>
      </w:r>
    </w:p>
    <w:p>
      <w:pPr>
        <w:pStyle w:val="2"/>
        <w:keepNext w:val="0"/>
        <w:spacing w:before="0" w:after="0" w:line="360" w:lineRule="auto"/>
        <w:jc w:val="center"/>
        <w:rPr>
          <w:rFonts w:ascii="仿宋_GB2312" w:hAnsi="仿宋_GB2312" w:eastAsia="仿宋_GB2312" w:cs="仿宋_GB2312"/>
          <w:b/>
          <w:bCs/>
          <w:sz w:val="32"/>
          <w:szCs w:val="32"/>
        </w:rPr>
      </w:pPr>
      <w:bookmarkStart w:id="43" w:name="_Toc256000041"/>
      <w:r>
        <w:rPr>
          <w:rFonts w:ascii="仿宋_GB2312" w:hAnsi="仿宋_GB2312" w:eastAsia="仿宋_GB2312" w:cs="仿宋_GB2312"/>
          <w:kern w:val="36"/>
        </w:rPr>
        <w:t>6风险管控要求</w:t>
      </w:r>
      <w:bookmarkEnd w:id="43"/>
    </w:p>
    <w:p>
      <w:pPr>
        <w:pStyle w:val="12"/>
        <w:spacing w:before="0" w:after="0" w:line="360" w:lineRule="auto"/>
        <w:ind w:firstLine="642"/>
        <w:rPr>
          <w:rFonts w:ascii="Times New Roman" w:hAnsi="Times New Roman" w:eastAsia="Times New Roman" w:cs="Times New Roman"/>
        </w:rPr>
      </w:pPr>
      <w:r>
        <w:rPr>
          <w:rFonts w:ascii="Times New Roman" w:hAnsi="Times New Roman" w:eastAsia="Times New Roman" w:cs="Times New Roman"/>
          <w:b/>
          <w:bCs/>
        </w:rPr>
        <w:t>（一）应急保障方案要求</w:t>
      </w:r>
    </w:p>
    <w:p>
      <w:pPr>
        <w:pStyle w:val="12"/>
        <w:spacing w:before="0" w:after="0" w:line="360" w:lineRule="auto"/>
        <w:ind w:firstLine="640"/>
        <w:rPr>
          <w:rFonts w:ascii="Times New Roman" w:hAnsi="Times New Roman" w:eastAsia="Times New Roman" w:cs="Times New Roman"/>
        </w:rPr>
      </w:pPr>
      <w:r>
        <w:rPr>
          <w:rFonts w:ascii="Times New Roman" w:hAnsi="Times New Roman" w:eastAsia="Times New Roman" w:cs="Times New Roman"/>
          <w:sz w:val="28"/>
          <w:szCs w:val="28"/>
        </w:rPr>
        <w:t>投标人应提供在自然灾害、极端事件、市场关闭、物资紧缺等突发紧急情况下拟采取的应急保障方案，包括充分供应、按时保障、质量管控等措施，确保采购人食材及时供应不间断。</w:t>
      </w:r>
    </w:p>
    <w:p>
      <w:pPr>
        <w:pStyle w:val="17"/>
        <w:spacing w:before="0" w:after="0" w:line="360" w:lineRule="auto"/>
        <w:ind w:firstLine="480"/>
        <w:rPr>
          <w:rFonts w:ascii="Times New Roman" w:hAnsi="Times New Roman" w:eastAsia="Times New Roman" w:cs="Times New Roman"/>
        </w:rPr>
      </w:pPr>
      <w:r>
        <w:rPr>
          <w:rFonts w:ascii="Times New Roman" w:hAnsi="Times New Roman" w:eastAsia="Times New Roman" w:cs="Times New Roman"/>
          <w:b/>
          <w:bCs/>
        </w:rPr>
        <w:t>（二）违约风险管控要求</w:t>
      </w:r>
    </w:p>
    <w:p>
      <w:pPr>
        <w:pStyle w:val="16"/>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1.投标人中标后采用先送货后结账的模式，</w:t>
      </w:r>
      <w:r>
        <w:rPr>
          <w:rFonts w:ascii="Times New Roman" w:hAnsi="Times New Roman" w:eastAsia="Times New Roman" w:cs="Times New Roman"/>
          <w:sz w:val="28"/>
          <w:szCs w:val="28"/>
        </w:rPr>
        <w:t>不收取履约保证金。有下列情形之一的，采购人有权按照以下约定及合同违约相关条款处理：</w:t>
      </w:r>
    </w:p>
    <w:p>
      <w:pPr>
        <w:pStyle w:val="18"/>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1）</w:t>
      </w:r>
      <w:r>
        <w:rPr>
          <w:rFonts w:ascii="Times New Roman" w:hAnsi="Times New Roman" w:eastAsia="Times New Roman" w:cs="Times New Roman"/>
          <w:sz w:val="28"/>
          <w:szCs w:val="28"/>
        </w:rPr>
        <w:t>因投标人配送不及时导致采购人供餐延误并造成重大影响的；</w:t>
      </w:r>
    </w:p>
    <w:p>
      <w:pPr>
        <w:pStyle w:val="18"/>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2）</w:t>
      </w:r>
      <w:r>
        <w:rPr>
          <w:rFonts w:ascii="Times New Roman" w:hAnsi="Times New Roman" w:eastAsia="Times New Roman" w:cs="Times New Roman"/>
          <w:sz w:val="28"/>
          <w:szCs w:val="28"/>
        </w:rPr>
        <w:t>凡经相关部门认定，因投标人所提供的原料原因造成采购人食堂出现食物中毒等卫生安全事故的，投标人除必须承担全部的法律责任外，还要全额承担因食物中毒发生所造成后果的一切费用；</w:t>
      </w:r>
    </w:p>
    <w:p>
      <w:pPr>
        <w:pStyle w:val="18"/>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3）</w:t>
      </w:r>
      <w:r>
        <w:rPr>
          <w:rFonts w:ascii="Times New Roman" w:hAnsi="Times New Roman" w:eastAsia="Times New Roman" w:cs="Times New Roman"/>
          <w:sz w:val="28"/>
          <w:szCs w:val="28"/>
        </w:rPr>
        <w:t>除不可抗力及采购人原因外，因投标人配送不及时导致采购人伙食供应延时，但经投标人采取补救措施未造成采购人不良影响的，出现三次终止供货合同；</w:t>
      </w:r>
    </w:p>
    <w:p>
      <w:pPr>
        <w:pStyle w:val="18"/>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4）</w:t>
      </w:r>
      <w:r>
        <w:rPr>
          <w:rFonts w:ascii="Times New Roman" w:hAnsi="Times New Roman" w:eastAsia="Times New Roman" w:cs="Times New Roman"/>
          <w:sz w:val="28"/>
          <w:szCs w:val="28"/>
        </w:rPr>
        <w:t>凡投标人向采购人提供产品发生质量问题影响食用，并拒绝退换的；</w:t>
      </w:r>
    </w:p>
    <w:p>
      <w:pPr>
        <w:pStyle w:val="18"/>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5）</w:t>
      </w:r>
      <w:r>
        <w:rPr>
          <w:rFonts w:ascii="Times New Roman" w:hAnsi="Times New Roman" w:eastAsia="Times New Roman" w:cs="Times New Roman"/>
          <w:sz w:val="28"/>
          <w:szCs w:val="28"/>
        </w:rPr>
        <w:t>采购人将不定期组织专人对食材进行抽检，若发现质量不符，采购人有权要求予以退换货。</w:t>
      </w:r>
    </w:p>
    <w:p>
      <w:pPr>
        <w:pStyle w:val="16"/>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2.</w:t>
      </w:r>
      <w:r>
        <w:rPr>
          <w:rFonts w:ascii="Times New Roman" w:hAnsi="Times New Roman" w:eastAsia="Times New Roman" w:cs="Times New Roman"/>
          <w:sz w:val="28"/>
          <w:szCs w:val="28"/>
        </w:rPr>
        <w:t>投标人有下列情形之一的，采购人有权解除合同，由投标人承担全部经济损失和相关责任：</w:t>
      </w:r>
    </w:p>
    <w:p>
      <w:pPr>
        <w:pStyle w:val="16"/>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1）</w:t>
      </w:r>
      <w:r>
        <w:rPr>
          <w:rFonts w:ascii="Times New Roman" w:hAnsi="Times New Roman" w:eastAsia="Times New Roman" w:cs="Times New Roman"/>
          <w:sz w:val="28"/>
          <w:szCs w:val="28"/>
        </w:rPr>
        <w:t>投标人以书面、微信、短信等方式通知采购人不再供货，包括对部分食材不再供货；</w:t>
      </w:r>
    </w:p>
    <w:p>
      <w:pPr>
        <w:pStyle w:val="16"/>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2）</w:t>
      </w:r>
      <w:r>
        <w:rPr>
          <w:rFonts w:ascii="FangSong_GB2312" w:hAnsi="FangSong_GB2312" w:eastAsia="FangSong_GB2312" w:cs="FangSong_GB2312"/>
          <w:sz w:val="28"/>
          <w:szCs w:val="28"/>
        </w:rPr>
        <w:t>投标人虽未通知采购人不再供货，但</w:t>
      </w:r>
      <w:r>
        <w:rPr>
          <w:rFonts w:ascii="Times New Roman" w:hAnsi="Times New Roman" w:eastAsia="Times New Roman" w:cs="Times New Roman"/>
          <w:sz w:val="28"/>
          <w:szCs w:val="28"/>
        </w:rPr>
        <w:t>1天没有供应采购人采购的货物，包括对部分食材没有供货；</w:t>
      </w:r>
    </w:p>
    <w:p>
      <w:pPr>
        <w:pStyle w:val="15"/>
        <w:spacing w:before="0" w:after="0" w:line="360" w:lineRule="auto"/>
        <w:ind w:left="0" w:firstLine="640"/>
        <w:jc w:val="both"/>
        <w:rPr>
          <w:rFonts w:ascii="Times New Roman" w:hAnsi="Times New Roman" w:eastAsia="Times New Roman" w:cs="Times New Roman"/>
        </w:rPr>
      </w:pPr>
      <w:r>
        <w:rPr>
          <w:rFonts w:ascii="Times New Roman" w:hAnsi="Times New Roman" w:eastAsia="Times New Roman" w:cs="Times New Roman"/>
          <w:sz w:val="28"/>
          <w:szCs w:val="28"/>
        </w:rPr>
        <w:t>（</w:t>
      </w:r>
      <w:r>
        <w:rPr>
          <w:rFonts w:ascii="仿宋_GB2312" w:hAnsi="仿宋_GB2312" w:eastAsia="仿宋_GB2312" w:cs="仿宋_GB2312"/>
          <w:sz w:val="28"/>
          <w:szCs w:val="28"/>
        </w:rPr>
        <w:t>3）</w:t>
      </w:r>
      <w:r>
        <w:rPr>
          <w:rFonts w:ascii="Times New Roman" w:hAnsi="Times New Roman" w:eastAsia="Times New Roman" w:cs="Times New Roman"/>
          <w:sz w:val="28"/>
          <w:szCs w:val="28"/>
        </w:rPr>
        <w:t>投标人未经采购人同意单方面提价的。</w:t>
      </w:r>
    </w:p>
    <w:p>
      <w:pPr>
        <w:pStyle w:val="2"/>
        <w:keepNext w:val="0"/>
        <w:spacing w:before="0" w:after="0" w:line="360" w:lineRule="auto"/>
        <w:jc w:val="center"/>
        <w:rPr>
          <w:rFonts w:ascii="仿宋_GB2312" w:hAnsi="仿宋_GB2312" w:eastAsia="仿宋_GB2312" w:cs="仿宋_GB2312"/>
          <w:b/>
          <w:bCs/>
          <w:sz w:val="32"/>
          <w:szCs w:val="32"/>
        </w:rPr>
      </w:pPr>
      <w:bookmarkStart w:id="44" w:name="_Toc256000042"/>
      <w:r>
        <w:rPr>
          <w:rFonts w:ascii="仿宋_GB2312" w:hAnsi="仿宋_GB2312" w:eastAsia="仿宋_GB2312" w:cs="仿宋_GB2312"/>
          <w:kern w:val="36"/>
        </w:rPr>
        <w:t>7履约验收要求</w:t>
      </w:r>
      <w:bookmarkEnd w:id="44"/>
    </w:p>
    <w:p>
      <w:pPr>
        <w:pStyle w:val="3"/>
        <w:keepNext w:val="0"/>
        <w:spacing w:before="0" w:after="0" w:line="360" w:lineRule="auto"/>
        <w:rPr>
          <w:rFonts w:ascii="仿宋_GB2312" w:hAnsi="仿宋_GB2312" w:eastAsia="仿宋_GB2312" w:cs="仿宋_GB2312"/>
          <w:b/>
          <w:bCs/>
          <w:sz w:val="28"/>
          <w:szCs w:val="28"/>
        </w:rPr>
      </w:pPr>
      <w:bookmarkStart w:id="45" w:name="_Toc256000043"/>
      <w:r>
        <w:rPr>
          <w:rFonts w:ascii="仿宋_GB2312" w:hAnsi="仿宋_GB2312" w:eastAsia="仿宋_GB2312" w:cs="仿宋_GB2312"/>
          <w:i w:val="0"/>
          <w:iCs w:val="0"/>
        </w:rPr>
        <w:t>7.1总体要求</w:t>
      </w:r>
      <w:bookmarkEnd w:id="45"/>
    </w:p>
    <w:tbl>
      <w:tblPr>
        <w:tblStyle w:val="9"/>
        <w:tblW w:w="5000" w:type="pct"/>
        <w:tblInd w:w="30" w:type="dxa"/>
        <w:tblLayout w:type="autofit"/>
        <w:tblCellMar>
          <w:top w:w="15" w:type="dxa"/>
          <w:left w:w="15" w:type="dxa"/>
          <w:bottom w:w="15" w:type="dxa"/>
          <w:right w:w="15" w:type="dxa"/>
        </w:tblCellMar>
      </w:tblPr>
      <w:tblGrid>
        <w:gridCol w:w="917"/>
        <w:gridCol w:w="29684"/>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（一）总体要求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2.验收时间和地点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（1）验收时间：到货当天。</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（2）验收地点：云南路办公区食堂（天津市和平区云南路4号）、新兴路办公区食堂（天津市和平区新兴路52号）。</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（3）验收组织形式：采购人组织验收。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（4）验收方式：现场验收。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（5）验收内容: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（a）质量是否符合约定标准；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（b）重量、数量、价格是否与采购人的预定需求一致。</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（二）具体要求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1.验收场所的准备</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应当在固定的场所进行验收，采购人定期清扫消毒，保持清洁，保证无积尘、无食品残渣，无霉斑、鼠迹、苍蝇、蟑螂，验收场所不准存放有毒、有害物品及个人生活用品。</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3.验收流程</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（1）投标人应在验收时提供与送货内容一致的送货单，并加盖公章。</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（2）卸货前的检查。验收人员卸货前应对货物的外观质量进行初步了解。</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（3）采取当场验收的方式，验收人认真检查货物，按核对品种→索证→抽查(检测）→数量、重量、质量、价格验收→签名确认→入库的程序完成验收。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要求投标人提供产品质量检测报告及卫生合格报告书，蔬菜类应提供农药残留检测结果，证明内容与产品内容要一致。投标人以提供原件为主，不能留原件的提供复印件。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（4）发现食品质量安全问题的处理：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抽查时发现食品质量不过关或影响食用安全的，对当日所送同批次产品全部退货。</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若抽查未发现问题，按储藏要求储藏后在加工食用前发现产品质量问题的，投标人必须退货或更换。</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4.退（补）货流程</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5.鲜活鱼类需进行宰杀处理，如去麟去腮去内脏等，净膛的统一按0.8的出成率计算净膛价。</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6.部分蔬菜需进行简易处理，如去皮摘叶摘筋等，统一按0.85的出成率计算净菜价。</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7.包装带箱、筐的食材按照去除箱、筐后的重量计算。投标人需配合采购人库管人员进行倒筐称重，共同签字确认。</w:t>
            </w:r>
          </w:p>
        </w:tc>
      </w:tr>
    </w:tbl>
    <w:p>
      <w:pPr>
        <w:pStyle w:val="3"/>
        <w:keepNext w:val="0"/>
        <w:spacing w:before="0" w:after="0" w:line="360" w:lineRule="auto"/>
        <w:rPr>
          <w:rFonts w:ascii="仿宋_GB2312" w:hAnsi="仿宋_GB2312" w:eastAsia="仿宋_GB2312" w:cs="仿宋_GB2312"/>
          <w:b/>
          <w:bCs/>
          <w:sz w:val="28"/>
          <w:szCs w:val="28"/>
        </w:rPr>
      </w:pPr>
      <w:bookmarkStart w:id="46" w:name="_Toc256000044"/>
      <w:r>
        <w:rPr>
          <w:rFonts w:ascii="仿宋_GB2312" w:hAnsi="仿宋_GB2312" w:eastAsia="仿宋_GB2312" w:cs="仿宋_GB2312"/>
          <w:i w:val="0"/>
          <w:iCs w:val="0"/>
        </w:rPr>
        <w:t>7.2具体要求</w:t>
      </w:r>
      <w:bookmarkEnd w:id="46"/>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1.验收场所的准备</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应当在固定的场所进行验收，采购人定期清扫消毒，保持清洁，保证无积尘、无食品残渣，无霉斑、鼠迹、苍蝇、蟑螂，验收场所不准存放有毒、有害物品及个人生活用品。</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2.验收小组按订单对采购货物的品种、质量、数量进行检查验收，对货不对版、质量不好、价格明显过于偏高的食材不予验收，对于数量不足的食材，按照实际数量入账，填制验收记录和验收单。</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3.验收流程</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（1）投标人应在验收时提供与送货内容一致的送货单，并加盖公章。</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（2）卸货前的检查。验收人员卸货前应对货物的外观质量进行初步了解。</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（3）采取当场验收的方式，验收人认真检查货物，按核对品种→索证→抽查(检测）→数量、重量、质量、价格验收→签名确认→入库的程序完成验收。</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要求投标人提供产品质量检测报告及卫生合格报告书，蔬菜类应提供农药残留检测结果，证明内容与产品内容要一致。投标人以提供原件为主，不能留原件的提供复印件。</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（4）发现食品质量安全问题的处理：</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抽查时发现食品质量不过关或影响食用安全的，对当日所送同批次产品全部退货。</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若抽查未发现问题，按储藏要求储藏后在加工食用前发现产品质量问题的，投标人必须退货或更换。</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4.退（补）货流程</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5.鲜活鱼类需进行宰杀处理，如去麟去腮去内脏等，净膛的统一按0.8的出成率计算净膛价。</w:t>
      </w:r>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6.部分蔬菜需进行简易处理，如去皮摘叶摘筋等，统一按0.85的出成率计算净菜价。</w:t>
      </w:r>
    </w:p>
    <w:p>
      <w:pPr>
        <w:pStyle w:val="12"/>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7.包装带箱、筐的食材按照去除箱、筐后的重量计算。投标人需配合采购人库管人员进行倒筐称重，共同签字确认。</w:t>
      </w:r>
    </w:p>
    <w:p>
      <w:pPr>
        <w:pStyle w:val="2"/>
        <w:keepNext w:val="0"/>
        <w:spacing w:before="0" w:after="0" w:line="360" w:lineRule="auto"/>
        <w:jc w:val="center"/>
        <w:rPr>
          <w:rFonts w:ascii="仿宋_GB2312" w:hAnsi="仿宋_GB2312" w:eastAsia="仿宋_GB2312" w:cs="仿宋_GB2312"/>
          <w:b/>
          <w:bCs/>
          <w:sz w:val="32"/>
          <w:szCs w:val="32"/>
        </w:rPr>
      </w:pPr>
      <w:bookmarkStart w:id="47" w:name="_Toc256000045"/>
      <w:r>
        <w:rPr>
          <w:rFonts w:ascii="仿宋_GB2312" w:hAnsi="仿宋_GB2312" w:eastAsia="仿宋_GB2312" w:cs="仿宋_GB2312"/>
          <w:kern w:val="36"/>
        </w:rPr>
        <w:t>8其他要求</w:t>
      </w:r>
      <w:bookmarkEnd w:id="47"/>
    </w:p>
    <w:p>
      <w:pPr>
        <w:pStyle w:val="3"/>
        <w:keepNext w:val="0"/>
        <w:spacing w:before="0" w:after="0" w:line="360" w:lineRule="auto"/>
        <w:rPr>
          <w:rFonts w:ascii="仿宋_GB2312" w:hAnsi="仿宋_GB2312" w:eastAsia="仿宋_GB2312" w:cs="仿宋_GB2312"/>
          <w:b/>
          <w:bCs/>
          <w:sz w:val="28"/>
          <w:szCs w:val="28"/>
        </w:rPr>
      </w:pPr>
      <w:bookmarkStart w:id="48" w:name="_Toc256000046"/>
      <w:r>
        <w:rPr>
          <w:rFonts w:ascii="仿宋_GB2312" w:hAnsi="仿宋_GB2312" w:eastAsia="仿宋_GB2312" w:cs="仿宋_GB2312"/>
          <w:i w:val="0"/>
          <w:iCs w:val="0"/>
        </w:rPr>
        <w:t>8.1必备要求</w:t>
      </w:r>
      <w:bookmarkEnd w:id="48"/>
    </w:p>
    <w:p>
      <w:pPr>
        <w:pStyle w:val="4"/>
        <w:keepNext w:val="0"/>
        <w:spacing w:before="0" w:after="0" w:line="360" w:lineRule="auto"/>
        <w:rPr>
          <w:rFonts w:ascii="仿宋_GB2312" w:hAnsi="仿宋_GB2312" w:eastAsia="仿宋_GB2312" w:cs="仿宋_GB2312"/>
          <w:b/>
          <w:bCs/>
          <w:sz w:val="28"/>
          <w:szCs w:val="28"/>
        </w:rPr>
      </w:pPr>
      <w:bookmarkStart w:id="49" w:name="_Toc256000047"/>
      <w:r>
        <w:rPr>
          <w:rFonts w:ascii="仿宋_GB2312" w:hAnsi="仿宋_GB2312" w:eastAsia="仿宋_GB2312" w:cs="仿宋_GB2312"/>
          <w:sz w:val="28"/>
          <w:szCs w:val="28"/>
        </w:rPr>
        <w:t>8.1.1通用必备要求</w:t>
      </w:r>
      <w:bookmarkEnd w:id="49"/>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4"/>
        <w:keepNext w:val="0"/>
        <w:spacing w:before="0" w:after="0" w:line="360" w:lineRule="auto"/>
        <w:rPr>
          <w:rFonts w:ascii="仿宋_GB2312" w:hAnsi="仿宋_GB2312" w:eastAsia="仿宋_GB2312" w:cs="仿宋_GB2312"/>
          <w:b/>
          <w:bCs/>
          <w:sz w:val="28"/>
          <w:szCs w:val="28"/>
        </w:rPr>
      </w:pPr>
      <w:bookmarkStart w:id="50" w:name="_Toc256000048"/>
      <w:r>
        <w:rPr>
          <w:rFonts w:ascii="仿宋_GB2312" w:hAnsi="仿宋_GB2312" w:eastAsia="仿宋_GB2312" w:cs="仿宋_GB2312"/>
          <w:sz w:val="28"/>
          <w:szCs w:val="28"/>
        </w:rPr>
        <w:t>8.1.2定价和结算要求</w:t>
      </w:r>
      <w:bookmarkEnd w:id="50"/>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（一）报价要求</w:t>
      </w:r>
    </w:p>
    <w:p>
      <w:pPr>
        <w:pStyle w:val="12"/>
        <w:spacing w:before="0" w:after="0" w:line="360" w:lineRule="auto"/>
        <w:ind w:left="0" w:right="0" w:firstLine="480"/>
        <w:jc w:val="both"/>
        <w:rPr>
          <w:rFonts w:ascii="Times New Roman" w:hAnsi="Times New Roman" w:eastAsia="Times New Roman" w:cs="Times New Roman"/>
        </w:rPr>
      </w:pPr>
      <w:r>
        <w:rPr>
          <w:sz w:val="28"/>
          <w:szCs w:val="28"/>
        </w:rPr>
        <w:t xml:space="preserve">1. </w:t>
      </w:r>
      <w:r>
        <w:rPr>
          <w:rFonts w:ascii="Times New Roman" w:hAnsi="Times New Roman" w:eastAsia="Times New Roman" w:cs="Times New Roman"/>
          <w:sz w:val="28"/>
          <w:szCs w:val="28"/>
        </w:rPr>
        <w:t>投标价格应包括：人员费用、食材费用、配送费用、运输保险费用、装卸费用、管理费、利润税金等为完成招标文件规定的一切工作所需的全部费用。</w:t>
      </w:r>
    </w:p>
    <w:p>
      <w:pPr>
        <w:pStyle w:val="12"/>
        <w:spacing w:before="0" w:after="0" w:line="360" w:lineRule="auto"/>
        <w:ind w:left="0" w:right="0" w:firstLine="480"/>
        <w:jc w:val="both"/>
        <w:rPr>
          <w:rFonts w:ascii="Times New Roman" w:hAnsi="Times New Roman" w:eastAsia="Times New Roman" w:cs="Times New Roman"/>
        </w:rPr>
      </w:pPr>
      <w:r>
        <w:rPr>
          <w:sz w:val="28"/>
          <w:szCs w:val="28"/>
        </w:rPr>
        <w:t xml:space="preserve">2. </w:t>
      </w:r>
      <w:r>
        <w:rPr>
          <w:rFonts w:ascii="Times New Roman" w:hAnsi="Times New Roman" w:eastAsia="Times New Roman" w:cs="Times New Roman"/>
          <w:sz w:val="28"/>
          <w:szCs w:val="28"/>
        </w:rPr>
        <w:t>投标报价规则：</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w:t>
      </w:r>
      <w:r>
        <w:rPr>
          <w:sz w:val="28"/>
          <w:szCs w:val="28"/>
        </w:rPr>
        <w:t>1</w:t>
      </w:r>
      <w:r>
        <w:rPr>
          <w:rFonts w:ascii="Times New Roman" w:hAnsi="Times New Roman" w:eastAsia="Times New Roman" w:cs="Times New Roman"/>
          <w:sz w:val="28"/>
          <w:szCs w:val="28"/>
        </w:rPr>
        <w:t>）投标报价以费率填列。</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w:t>
      </w:r>
      <w:r>
        <w:rPr>
          <w:sz w:val="28"/>
          <w:szCs w:val="28"/>
        </w:rPr>
        <w:t>2</w:t>
      </w:r>
      <w:r>
        <w:rPr>
          <w:rFonts w:ascii="Times New Roman" w:hAnsi="Times New Roman" w:eastAsia="Times New Roman" w:cs="Times New Roman"/>
          <w:sz w:val="28"/>
          <w:szCs w:val="28"/>
        </w:rPr>
        <w:t>）在服务期内，采购人有权在不超过采购预算的前提下，向中标供应商下达每日具体采购订单。</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w:t>
      </w:r>
      <w:r>
        <w:rPr>
          <w:sz w:val="28"/>
          <w:szCs w:val="28"/>
        </w:rPr>
        <w:t>3</w:t>
      </w:r>
      <w:r>
        <w:rPr>
          <w:rFonts w:ascii="Times New Roman" w:hAnsi="Times New Roman" w:eastAsia="Times New Roman" w:cs="Times New Roman"/>
          <w:sz w:val="28"/>
          <w:szCs w:val="28"/>
        </w:rPr>
        <w:t>）按以下原则确定结算价格</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结算价格</w:t>
      </w:r>
      <w:r>
        <w:rPr>
          <w:sz w:val="28"/>
          <w:szCs w:val="28"/>
        </w:rPr>
        <w:t>=</w:t>
      </w:r>
      <w:r>
        <w:rPr>
          <w:rFonts w:ascii="FangSong_GB2312" w:hAnsi="FangSong_GB2312" w:eastAsia="FangSong_GB2312" w:cs="FangSong_GB2312"/>
          <w:sz w:val="28"/>
          <w:szCs w:val="28"/>
        </w:rPr>
        <w:t>中标供应商所报费率</w:t>
      </w:r>
      <w:r>
        <w:rPr>
          <w:rFonts w:ascii="Times New Roman" w:hAnsi="Times New Roman" w:eastAsia="Times New Roman" w:cs="Times New Roman"/>
          <w:sz w:val="28"/>
          <w:szCs w:val="28"/>
        </w:rPr>
        <w:t>×基础价格</w:t>
      </w:r>
      <w:r>
        <w:rPr>
          <w:sz w:val="28"/>
          <w:szCs w:val="28"/>
        </w:rPr>
        <w:t>A</w:t>
      </w:r>
      <w:r>
        <w:rPr>
          <w:rFonts w:ascii="Times New Roman" w:hAnsi="Times New Roman" w:eastAsia="Times New Roman" w:cs="Times New Roman"/>
          <w:sz w:val="28"/>
          <w:szCs w:val="28"/>
        </w:rPr>
        <w:t>×</w:t>
      </w:r>
      <w:r>
        <w:rPr>
          <w:sz w:val="28"/>
          <w:szCs w:val="28"/>
        </w:rPr>
        <w:t>1.1</w:t>
      </w:r>
      <w:r>
        <w:rPr>
          <w:rFonts w:ascii="Times New Roman" w:hAnsi="Times New Roman" w:eastAsia="Times New Roman" w:cs="Times New Roman"/>
          <w:sz w:val="28"/>
          <w:szCs w:val="28"/>
        </w:rPr>
        <w:t>。</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结算价格</w:t>
      </w:r>
      <w:r>
        <w:rPr>
          <w:sz w:val="28"/>
          <w:szCs w:val="28"/>
        </w:rPr>
        <w:t>=</w:t>
      </w:r>
      <w:r>
        <w:rPr>
          <w:rFonts w:ascii="FangSong_GB2312" w:hAnsi="FangSong_GB2312" w:eastAsia="FangSong_GB2312" w:cs="FangSong_GB2312"/>
          <w:sz w:val="28"/>
          <w:szCs w:val="28"/>
        </w:rPr>
        <w:t>中标供应商所报费率</w:t>
      </w:r>
      <w:r>
        <w:rPr>
          <w:rFonts w:ascii="Times New Roman" w:hAnsi="Times New Roman" w:eastAsia="Times New Roman" w:cs="Times New Roman"/>
          <w:sz w:val="28"/>
          <w:szCs w:val="28"/>
        </w:rPr>
        <w:t>×基础价格</w:t>
      </w:r>
      <w:r>
        <w:rPr>
          <w:sz w:val="28"/>
          <w:szCs w:val="28"/>
        </w:rPr>
        <w:t>B</w:t>
      </w:r>
      <w:r>
        <w:rPr>
          <w:rFonts w:ascii="Times New Roman" w:hAnsi="Times New Roman" w:eastAsia="Times New Roman" w:cs="Times New Roman"/>
          <w:sz w:val="28"/>
          <w:szCs w:val="28"/>
        </w:rPr>
        <w:t>×</w:t>
      </w:r>
      <w:r>
        <w:rPr>
          <w:sz w:val="28"/>
          <w:szCs w:val="28"/>
        </w:rPr>
        <w:t>1.0</w:t>
      </w:r>
      <w:r>
        <w:rPr>
          <w:rFonts w:ascii="Times New Roman" w:hAnsi="Times New Roman" w:eastAsia="Times New Roman" w:cs="Times New Roman"/>
          <w:sz w:val="28"/>
          <w:szCs w:val="28"/>
        </w:rPr>
        <w:t>。</w:t>
      </w:r>
    </w:p>
    <w:p>
      <w:pPr>
        <w:pStyle w:val="12"/>
        <w:spacing w:before="0" w:after="0" w:line="360" w:lineRule="auto"/>
        <w:ind w:left="0" w:right="0" w:firstLine="480"/>
        <w:jc w:val="both"/>
        <w:rPr>
          <w:rFonts w:ascii="Times New Roman" w:hAnsi="Times New Roman" w:eastAsia="Times New Roman" w:cs="Times New Roman"/>
        </w:rPr>
      </w:pPr>
      <w:r>
        <w:rPr>
          <w:sz w:val="28"/>
          <w:szCs w:val="28"/>
        </w:rPr>
        <w:t xml:space="preserve">A. </w:t>
      </w:r>
      <w:r>
        <w:rPr>
          <w:rFonts w:ascii="Times New Roman" w:hAnsi="Times New Roman" w:eastAsia="Times New Roman" w:cs="Times New Roman"/>
          <w:sz w:val="28"/>
          <w:szCs w:val="28"/>
        </w:rPr>
        <w:t>基础价格</w:t>
      </w:r>
      <w:r>
        <w:rPr>
          <w:sz w:val="28"/>
          <w:szCs w:val="28"/>
        </w:rPr>
        <w:t>A</w:t>
      </w:r>
      <w:r>
        <w:rPr>
          <w:rFonts w:ascii="FangSong_GB2312" w:hAnsi="FangSong_GB2312" w:eastAsia="FangSong_GB2312" w:cs="FangSong_GB2312"/>
          <w:sz w:val="28"/>
          <w:szCs w:val="28"/>
        </w:rPr>
        <w:t>：依次参照</w:t>
      </w:r>
      <w:r>
        <w:rPr>
          <w:rFonts w:ascii="Times New Roman" w:hAnsi="Times New Roman" w:eastAsia="Times New Roman" w:cs="Times New Roman"/>
          <w:sz w:val="28"/>
          <w:szCs w:val="28"/>
        </w:rPr>
        <w:t>“全国农产品批发市场价格信息系统（</w:t>
      </w:r>
      <w:r>
        <w:rPr>
          <w:sz w:val="28"/>
          <w:szCs w:val="28"/>
        </w:rPr>
        <w:t>https://pfsc.argi.cn/portal-app/#/indexpage</w:t>
      </w:r>
      <w:r>
        <w:rPr>
          <w:rFonts w:ascii="FangSong_GB2312" w:hAnsi="FangSong_GB2312" w:eastAsia="FangSong_GB2312" w:cs="FangSong_GB2312"/>
          <w:sz w:val="28"/>
          <w:szCs w:val="28"/>
        </w:rPr>
        <w:t>）</w:t>
      </w:r>
      <w:r>
        <w:rPr>
          <w:rFonts w:ascii="Times New Roman" w:hAnsi="Times New Roman" w:eastAsia="Times New Roman" w:cs="Times New Roman"/>
          <w:sz w:val="28"/>
          <w:szCs w:val="28"/>
        </w:rPr>
        <w:t>”食材配送当日发布的天津市金钟河蔬菜贸易中心、天津韩家墅海吉星农产品批发市场、天津何庄子农产品批发市场同等食材的“大宗价”确定为“基础价格</w:t>
      </w:r>
      <w:r>
        <w:rPr>
          <w:sz w:val="28"/>
          <w:szCs w:val="28"/>
        </w:rPr>
        <w:t>A</w:t>
      </w:r>
      <w:r>
        <w:rPr>
          <w:rFonts w:ascii="Times New Roman" w:hAnsi="Times New Roman" w:eastAsia="Times New Roman" w:cs="Times New Roman"/>
          <w:sz w:val="28"/>
          <w:szCs w:val="28"/>
        </w:rPr>
        <w:t>”，定价单位为</w:t>
      </w:r>
      <w:r>
        <w:rPr>
          <w:sz w:val="28"/>
          <w:szCs w:val="28"/>
        </w:rPr>
        <w:t>500</w:t>
      </w:r>
      <w:r>
        <w:rPr>
          <w:rFonts w:ascii="Times New Roman" w:hAnsi="Times New Roman" w:eastAsia="Times New Roman" w:cs="Times New Roman"/>
          <w:sz w:val="28"/>
          <w:szCs w:val="28"/>
        </w:rPr>
        <w:t>克。</w:t>
      </w:r>
    </w:p>
    <w:p>
      <w:pPr>
        <w:pStyle w:val="12"/>
        <w:spacing w:before="0" w:after="0" w:line="360" w:lineRule="auto"/>
        <w:ind w:left="0" w:right="0" w:firstLine="480"/>
        <w:jc w:val="both"/>
        <w:rPr>
          <w:rFonts w:ascii="Times New Roman" w:hAnsi="Times New Roman" w:eastAsia="Times New Roman" w:cs="Times New Roman"/>
        </w:rPr>
      </w:pPr>
      <w:r>
        <w:rPr>
          <w:sz w:val="28"/>
          <w:szCs w:val="28"/>
        </w:rPr>
        <w:t xml:space="preserve">B. </w:t>
      </w:r>
      <w:r>
        <w:rPr>
          <w:rFonts w:ascii="Times New Roman" w:hAnsi="Times New Roman" w:eastAsia="Times New Roman" w:cs="Times New Roman"/>
          <w:sz w:val="28"/>
          <w:szCs w:val="28"/>
        </w:rPr>
        <w:t>基础价格</w:t>
      </w:r>
      <w:r>
        <w:rPr>
          <w:sz w:val="28"/>
          <w:szCs w:val="28"/>
        </w:rPr>
        <w:t>B</w:t>
      </w:r>
      <w:r>
        <w:rPr>
          <w:rFonts w:ascii="FangSong_GB2312" w:hAnsi="FangSong_GB2312" w:eastAsia="FangSong_GB2312" w:cs="FangSong_GB2312"/>
          <w:sz w:val="28"/>
          <w:szCs w:val="28"/>
        </w:rPr>
        <w:t>：当</w:t>
      </w:r>
      <w:r>
        <w:rPr>
          <w:rFonts w:ascii="Times New Roman" w:hAnsi="Times New Roman" w:eastAsia="Times New Roman" w:cs="Times New Roman"/>
          <w:sz w:val="28"/>
          <w:szCs w:val="28"/>
        </w:rPr>
        <w:t>“全国农产品批发市场价格信息系统”上述</w:t>
      </w:r>
      <w:r>
        <w:rPr>
          <w:sz w:val="28"/>
          <w:szCs w:val="28"/>
        </w:rPr>
        <w:t>3</w:t>
      </w:r>
      <w:r>
        <w:rPr>
          <w:rFonts w:ascii="Times New Roman" w:hAnsi="Times New Roman" w:eastAsia="Times New Roman" w:cs="Times New Roman"/>
          <w:sz w:val="28"/>
          <w:szCs w:val="28"/>
        </w:rPr>
        <w:t>个市场中没有列明所采购食材的大宗价格时，依次参照食材配送当日的多点</w:t>
      </w:r>
      <w:r>
        <w:rPr>
          <w:sz w:val="28"/>
          <w:szCs w:val="28"/>
        </w:rPr>
        <w:t>APP</w:t>
      </w:r>
      <w:r>
        <w:rPr>
          <w:rFonts w:ascii="Times New Roman" w:hAnsi="Times New Roman" w:eastAsia="Times New Roman" w:cs="Times New Roman"/>
          <w:sz w:val="28"/>
          <w:szCs w:val="28"/>
        </w:rPr>
        <w:t>、七鲜</w:t>
      </w:r>
      <w:r>
        <w:rPr>
          <w:sz w:val="28"/>
          <w:szCs w:val="28"/>
        </w:rPr>
        <w:t>APP</w:t>
      </w:r>
      <w:r>
        <w:rPr>
          <w:rFonts w:ascii="FangSong_GB2312" w:hAnsi="FangSong_GB2312" w:eastAsia="FangSong_GB2312" w:cs="FangSong_GB2312"/>
          <w:sz w:val="28"/>
          <w:szCs w:val="28"/>
        </w:rPr>
        <w:t>、华润万家超市的同等食材价格确定为</w:t>
      </w:r>
      <w:r>
        <w:rPr>
          <w:rFonts w:ascii="Times New Roman" w:hAnsi="Times New Roman" w:eastAsia="Times New Roman" w:cs="Times New Roman"/>
          <w:sz w:val="28"/>
          <w:szCs w:val="28"/>
        </w:rPr>
        <w:t>“基础价格</w:t>
      </w:r>
      <w:r>
        <w:rPr>
          <w:sz w:val="28"/>
          <w:szCs w:val="28"/>
        </w:rPr>
        <w:t>B</w:t>
      </w:r>
      <w:r>
        <w:rPr>
          <w:rFonts w:ascii="Times New Roman" w:hAnsi="Times New Roman" w:eastAsia="Times New Roman" w:cs="Times New Roman"/>
          <w:sz w:val="28"/>
          <w:szCs w:val="28"/>
        </w:rPr>
        <w:t>”，定价单位为</w:t>
      </w:r>
      <w:r>
        <w:rPr>
          <w:sz w:val="28"/>
          <w:szCs w:val="28"/>
        </w:rPr>
        <w:t>500</w:t>
      </w:r>
      <w:r>
        <w:rPr>
          <w:rFonts w:ascii="Times New Roman" w:hAnsi="Times New Roman" w:eastAsia="Times New Roman" w:cs="Times New Roman"/>
          <w:sz w:val="28"/>
          <w:szCs w:val="28"/>
        </w:rPr>
        <w:t>克。零售商品有多个规格的，以最大规格的每</w:t>
      </w:r>
      <w:r>
        <w:rPr>
          <w:sz w:val="28"/>
          <w:szCs w:val="28"/>
        </w:rPr>
        <w:t>500</w:t>
      </w:r>
      <w:r>
        <w:rPr>
          <w:rFonts w:ascii="Times New Roman" w:hAnsi="Times New Roman" w:eastAsia="Times New Roman" w:cs="Times New Roman"/>
          <w:sz w:val="28"/>
          <w:szCs w:val="28"/>
        </w:rPr>
        <w:t>克价格为定价依据。</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所报费率＞</w:t>
      </w:r>
      <w:r>
        <w:rPr>
          <w:sz w:val="28"/>
          <w:szCs w:val="28"/>
        </w:rPr>
        <w:t>100%</w:t>
      </w:r>
      <w:r>
        <w:rPr>
          <w:rFonts w:ascii="Times New Roman" w:hAnsi="Times New Roman" w:eastAsia="Times New Roman" w:cs="Times New Roman"/>
          <w:sz w:val="28"/>
          <w:szCs w:val="28"/>
        </w:rPr>
        <w:t>的，视为无效投标。</w:t>
      </w:r>
    </w:p>
    <w:p>
      <w:pPr>
        <w:pStyle w:val="12"/>
        <w:spacing w:before="0" w:after="0" w:line="360" w:lineRule="auto"/>
        <w:ind w:left="0" w:right="0" w:firstLine="480"/>
        <w:jc w:val="both"/>
        <w:rPr>
          <w:rFonts w:ascii="Times New Roman" w:hAnsi="Times New Roman" w:eastAsia="Times New Roman" w:cs="Times New Roman"/>
        </w:rPr>
      </w:pPr>
      <w:r>
        <w:rPr>
          <w:rFonts w:ascii="Times New Roman" w:hAnsi="Times New Roman" w:eastAsia="Times New Roman" w:cs="Times New Roman"/>
          <w:sz w:val="28"/>
          <w:szCs w:val="28"/>
        </w:rPr>
        <w:t>注：网上应答报价仅填写费率</w:t>
      </w:r>
      <w:r>
        <w:rPr>
          <w:sz w:val="28"/>
          <w:szCs w:val="28"/>
        </w:rPr>
        <w:t>%</w:t>
      </w:r>
      <w:r>
        <w:rPr>
          <w:rFonts w:ascii="Times New Roman" w:hAnsi="Times New Roman" w:eastAsia="Times New Roman" w:cs="Times New Roman"/>
          <w:sz w:val="28"/>
          <w:szCs w:val="28"/>
        </w:rPr>
        <w:t>左侧数字，如所报费率为</w:t>
      </w:r>
      <w:r>
        <w:rPr>
          <w:sz w:val="28"/>
          <w:szCs w:val="28"/>
        </w:rPr>
        <w:t>95%</w:t>
      </w:r>
      <w:r>
        <w:rPr>
          <w:rFonts w:ascii="FangSong_GB2312" w:hAnsi="FangSong_GB2312" w:eastAsia="FangSong_GB2312" w:cs="FangSong_GB2312"/>
          <w:sz w:val="28"/>
          <w:szCs w:val="28"/>
        </w:rPr>
        <w:t>，网上应答仅填写</w:t>
      </w:r>
      <w:r>
        <w:rPr>
          <w:rFonts w:ascii="Times New Roman" w:hAnsi="Times New Roman" w:eastAsia="Times New Roman" w:cs="Times New Roman"/>
          <w:sz w:val="28"/>
          <w:szCs w:val="28"/>
        </w:rPr>
        <w:t>“</w:t>
      </w:r>
      <w:r>
        <w:rPr>
          <w:sz w:val="28"/>
          <w:szCs w:val="28"/>
        </w:rPr>
        <w:t>95</w:t>
      </w:r>
      <w:r>
        <w:rPr>
          <w:rFonts w:ascii="Times New Roman" w:hAnsi="Times New Roman" w:eastAsia="Times New Roman" w:cs="Times New Roman"/>
          <w:sz w:val="28"/>
          <w:szCs w:val="28"/>
        </w:rPr>
        <w:t>”。</w:t>
      </w:r>
    </w:p>
    <w:p>
      <w:pPr>
        <w:pStyle w:val="3"/>
        <w:keepNext w:val="0"/>
        <w:spacing w:before="0" w:after="0" w:line="360" w:lineRule="auto"/>
        <w:rPr>
          <w:rFonts w:ascii="仿宋_GB2312" w:hAnsi="仿宋_GB2312" w:eastAsia="仿宋_GB2312" w:cs="仿宋_GB2312"/>
          <w:b/>
          <w:bCs/>
          <w:sz w:val="28"/>
          <w:szCs w:val="28"/>
        </w:rPr>
      </w:pPr>
      <w:bookmarkStart w:id="51" w:name="_Toc256000049"/>
      <w:r>
        <w:rPr>
          <w:rFonts w:ascii="仿宋_GB2312" w:hAnsi="仿宋_GB2312" w:eastAsia="仿宋_GB2312" w:cs="仿宋_GB2312"/>
          <w:i w:val="0"/>
          <w:iCs w:val="0"/>
        </w:rPr>
        <w:t>8.2付款安排建议</w:t>
      </w:r>
      <w:bookmarkEnd w:id="51"/>
    </w:p>
    <w:tbl>
      <w:tblPr>
        <w:tblStyle w:val="9"/>
        <w:tblW w:w="5000" w:type="pct"/>
        <w:tblInd w:w="30" w:type="dxa"/>
        <w:tblLayout w:type="autofit"/>
        <w:tblCellMar>
          <w:top w:w="15" w:type="dxa"/>
          <w:left w:w="15" w:type="dxa"/>
          <w:bottom w:w="15" w:type="dxa"/>
          <w:right w:w="15" w:type="dxa"/>
        </w:tblCellMar>
      </w:tblPr>
      <w:tblGrid>
        <w:gridCol w:w="1124"/>
        <w:gridCol w:w="13304"/>
        <w:gridCol w:w="1235"/>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8.37</w:t>
            </w:r>
          </w:p>
        </w:tc>
      </w:tr>
    </w:tbl>
    <w:p>
      <w:pPr>
        <w:pStyle w:val="3"/>
        <w:keepNext w:val="0"/>
        <w:spacing w:before="0" w:after="0" w:line="360" w:lineRule="auto"/>
        <w:rPr>
          <w:rFonts w:ascii="仿宋_GB2312" w:hAnsi="仿宋_GB2312" w:eastAsia="仿宋_GB2312" w:cs="仿宋_GB2312"/>
          <w:b/>
          <w:bCs/>
          <w:sz w:val="28"/>
          <w:szCs w:val="28"/>
        </w:rPr>
      </w:pPr>
      <w:bookmarkStart w:id="52" w:name="_Toc256000050"/>
      <w:r>
        <w:rPr>
          <w:rFonts w:ascii="仿宋_GB2312" w:hAnsi="仿宋_GB2312" w:eastAsia="仿宋_GB2312" w:cs="仿宋_GB2312"/>
          <w:i w:val="0"/>
          <w:iCs w:val="0"/>
        </w:rPr>
        <w:t>8.3其他要求</w:t>
      </w:r>
      <w:bookmarkEnd w:id="52"/>
    </w:p>
    <w:p>
      <w:pPr>
        <w:pStyle w:val="4"/>
        <w:keepNext w:val="0"/>
        <w:spacing w:before="0" w:after="0" w:line="360" w:lineRule="auto"/>
        <w:rPr>
          <w:rFonts w:ascii="仿宋_GB2312" w:hAnsi="仿宋_GB2312" w:eastAsia="仿宋_GB2312" w:cs="仿宋_GB2312"/>
          <w:b/>
          <w:bCs/>
          <w:sz w:val="28"/>
          <w:szCs w:val="28"/>
        </w:rPr>
      </w:pPr>
      <w:bookmarkStart w:id="53" w:name="_Toc256000051"/>
      <w:r>
        <w:rPr>
          <w:rFonts w:ascii="仿宋_GB2312" w:hAnsi="仿宋_GB2312" w:eastAsia="仿宋_GB2312" w:cs="仿宋_GB2312"/>
          <w:sz w:val="28"/>
          <w:szCs w:val="28"/>
        </w:rPr>
        <w:t>8.3.1保密要求</w:t>
      </w:r>
      <w:bookmarkEnd w:id="53"/>
    </w:p>
    <w:p>
      <w:pPr>
        <w:pStyle w:val="12"/>
        <w:spacing w:before="0" w:after="0" w:line="360" w:lineRule="auto"/>
        <w:ind w:firstLine="640"/>
        <w:jc w:val="both"/>
        <w:textAlignment w:val="baseline"/>
        <w:rPr>
          <w:rFonts w:ascii="Times New Roman" w:hAnsi="Times New Roman" w:eastAsia="Times New Roman" w:cs="Times New Roman"/>
        </w:rPr>
      </w:pPr>
      <w:r>
        <w:rPr>
          <w:rFonts w:ascii="仿宋_GB2312" w:hAnsi="仿宋_GB2312" w:eastAsia="仿宋_GB2312" w:cs="仿宋_GB2312"/>
          <w:spacing w:val="0"/>
          <w:sz w:val="28"/>
          <w:szCs w:val="28"/>
        </w:rPr>
        <w:t>中标供应商应提供遵守相关安全保密制度规定的承诺函，并签订保密协议。若中标供应商服务人员违反信息安全保密制度相关规定，对税务机关造成利益损害的，中标供应商应承担相关法律责任。</w:t>
      </w:r>
    </w:p>
    <w:p>
      <w:pPr>
        <w:pStyle w:val="4"/>
        <w:keepNext w:val="0"/>
        <w:spacing w:before="0" w:after="0" w:line="360" w:lineRule="auto"/>
        <w:rPr>
          <w:rFonts w:ascii="仿宋_GB2312" w:hAnsi="仿宋_GB2312" w:eastAsia="仿宋_GB2312" w:cs="仿宋_GB2312"/>
          <w:b/>
          <w:bCs/>
          <w:sz w:val="28"/>
          <w:szCs w:val="28"/>
        </w:rPr>
      </w:pPr>
      <w:bookmarkStart w:id="54" w:name="_Toc256000052"/>
      <w:r>
        <w:rPr>
          <w:rFonts w:ascii="仿宋_GB2312" w:hAnsi="仿宋_GB2312" w:eastAsia="仿宋_GB2312" w:cs="仿宋_GB2312"/>
          <w:sz w:val="28"/>
          <w:szCs w:val="28"/>
        </w:rPr>
        <w:t>8.3.2知识产权要求</w:t>
      </w:r>
      <w:bookmarkEnd w:id="54"/>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    无</w:t>
      </w:r>
    </w:p>
    <w:p>
      <w:pPr>
        <w:spacing w:before="0" w:after="0" w:line="360" w:lineRule="auto"/>
        <w:ind w:firstLine="561"/>
        <w:rPr>
          <w:rFonts w:ascii="仿宋_GB2312" w:hAnsi="仿宋_GB2312" w:eastAsia="仿宋_GB2312" w:cs="仿宋_GB2312"/>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23</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34E562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15"/>
    <w:basedOn w:val="1"/>
    <w:qFormat/>
    <w:uiPriority w:val="0"/>
  </w:style>
  <w:style w:type="paragraph" w:customStyle="1" w:styleId="13">
    <w:name w:val="MsoNormal"/>
    <w:basedOn w:val="1"/>
    <w:qFormat/>
    <w:uiPriority w:val="0"/>
  </w:style>
  <w:style w:type="table" w:customStyle="1" w:styleId="14">
    <w:name w:val="MsoNormalTable"/>
    <w:basedOn w:val="9"/>
    <w:qFormat/>
    <w:uiPriority w:val="0"/>
  </w:style>
  <w:style w:type="paragraph" w:customStyle="1" w:styleId="15">
    <w:name w:val="16"/>
    <w:basedOn w:val="1"/>
    <w:qFormat/>
    <w:uiPriority w:val="0"/>
  </w:style>
  <w:style w:type="paragraph" w:customStyle="1" w:styleId="16">
    <w:name w:val="17"/>
    <w:basedOn w:val="1"/>
    <w:qFormat/>
    <w:uiPriority w:val="0"/>
  </w:style>
  <w:style w:type="paragraph" w:customStyle="1" w:styleId="17">
    <w:name w:val="18"/>
    <w:basedOn w:val="1"/>
    <w:qFormat/>
    <w:uiPriority w:val="0"/>
  </w:style>
  <w:style w:type="paragraph" w:customStyle="1" w:styleId="18">
    <w:name w:val="19"/>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23</Pages>
  <Words>0</Words>
  <Characters>0</Characters>
  <Lines>1</Lines>
  <Paragraphs>1</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2025-11-27T03:02:53Z</dcterms:created>
  <dc:creator>Xiang</dc:creator>
  <cp:lastModifiedBy>吴乃琼</cp:lastModifiedBy>
  <dcterms:modified xsi:type="dcterms:W3CDTF">2025-11-27T03:03:16Z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