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48C5A">
      <w:pPr>
        <w:rPr>
          <w:rFonts w:hint="eastAsia" w:eastAsia="仿宋_GB2312"/>
          <w:sz w:val="84"/>
        </w:rPr>
      </w:pPr>
    </w:p>
    <w:p w14:paraId="6DB8F769">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840740</wp:posOffset>
                </wp:positionV>
                <wp:extent cx="719455"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2pt;height:0pt;width:56.65pt;z-index:251659264;mso-width-relative:page;mso-height-relative:page;" filled="f" stroked="t" coordsize="21600,21600" o:gfxdata="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IDWro&#10;1wAAAAoBAAAPAAAAAAAAAAEAIAAAACIAAABkcnMvZG93bnJldi54bWxQSwECFAAUAAAACACHTuJA&#10;1ECYeekBAACrAwAADgAAAAAAAAABACAAAAAmAQAAZHJzL2Uyb0RvYy54bWxQSwUGAAAAAAYABgBZ&#10;AQAAgQ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国家税务总局天津市税务局税务人端</w:t>
      </w:r>
    </w:p>
    <w:p w14:paraId="7551789B">
      <w:pPr>
        <w:ind w:right="105"/>
        <w:jc w:val="right"/>
        <w:rPr>
          <w:rFonts w:eastAsia="黑体"/>
          <w:b/>
          <w:spacing w:val="40"/>
          <w:w w:val="66"/>
          <w:sz w:val="60"/>
          <w:szCs w:val="60"/>
        </w:rPr>
      </w:pPr>
      <w:r>
        <w:rPr>
          <w:rFonts w:hint="eastAsia" w:eastAsia="黑体"/>
          <w:b/>
          <w:spacing w:val="40"/>
          <w:w w:val="66"/>
          <w:sz w:val="60"/>
          <w:szCs w:val="60"/>
        </w:rPr>
        <w:t>慧办平台等系统运行维护项目</w:t>
      </w:r>
    </w:p>
    <w:p w14:paraId="1853CCDD">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216548AD">
      <w:pPr>
        <w:ind w:right="1025"/>
        <w:jc w:val="center"/>
        <w:rPr>
          <w:rFonts w:eastAsia="黑体"/>
          <w:b/>
          <w:spacing w:val="40"/>
          <w:w w:val="66"/>
          <w:sz w:val="60"/>
          <w:szCs w:val="60"/>
        </w:rPr>
      </w:pPr>
    </w:p>
    <w:p w14:paraId="3075A1BC">
      <w:pPr>
        <w:jc w:val="center"/>
        <w:rPr>
          <w:rFonts w:eastAsia="黑体"/>
          <w:b/>
          <w:spacing w:val="40"/>
          <w:w w:val="66"/>
          <w:sz w:val="15"/>
          <w:szCs w:val="15"/>
        </w:rPr>
      </w:pPr>
      <w:r>
        <w:rPr>
          <w:rFonts w:eastAsia="黑体"/>
          <w:b/>
          <w:spacing w:val="40"/>
          <w:w w:val="66"/>
          <w:sz w:val="56"/>
          <w:szCs w:val="56"/>
        </w:rPr>
        <w:t xml:space="preserve">            </w:t>
      </w:r>
    </w:p>
    <w:p w14:paraId="1051F53A">
      <w:pPr>
        <w:jc w:val="center"/>
        <w:rPr>
          <w:rFonts w:eastAsia="黑体"/>
          <w:spacing w:val="40"/>
          <w:w w:val="66"/>
          <w:sz w:val="32"/>
          <w:szCs w:val="32"/>
        </w:rPr>
      </w:pPr>
      <w:r>
        <w:rPr>
          <w:rFonts w:eastAsia="黑体"/>
          <w:spacing w:val="40"/>
          <w:w w:val="66"/>
          <w:sz w:val="32"/>
          <w:szCs w:val="32"/>
        </w:rPr>
        <w:t>（项目编号：TGPC-2025-D-1327）</w:t>
      </w:r>
    </w:p>
    <w:p w14:paraId="1D4AE2A7">
      <w:pPr>
        <w:rPr>
          <w:sz w:val="40"/>
        </w:rPr>
      </w:pPr>
    </w:p>
    <w:p w14:paraId="6626DC20">
      <w:pPr>
        <w:rPr>
          <w:sz w:val="36"/>
        </w:rPr>
      </w:pPr>
    </w:p>
    <w:p w14:paraId="450DB42D">
      <w:pPr>
        <w:rPr>
          <w:sz w:val="36"/>
        </w:rPr>
      </w:pPr>
    </w:p>
    <w:p w14:paraId="46253B73">
      <w:pPr>
        <w:rPr>
          <w:sz w:val="36"/>
        </w:rPr>
      </w:pPr>
    </w:p>
    <w:p w14:paraId="368065A5">
      <w:pPr>
        <w:rPr>
          <w:sz w:val="36"/>
        </w:rPr>
      </w:pPr>
    </w:p>
    <w:p w14:paraId="159AEFEE">
      <w:pPr>
        <w:rPr>
          <w:sz w:val="36"/>
        </w:rPr>
      </w:pPr>
    </w:p>
    <w:p w14:paraId="3B5C2705">
      <w:pPr>
        <w:rPr>
          <w:sz w:val="36"/>
        </w:rPr>
      </w:pPr>
    </w:p>
    <w:p w14:paraId="79595EA5">
      <w:pPr>
        <w:rPr>
          <w:sz w:val="36"/>
        </w:rPr>
      </w:pPr>
    </w:p>
    <w:p w14:paraId="3012BD03">
      <w:pPr>
        <w:rPr>
          <w:sz w:val="36"/>
        </w:rPr>
      </w:pPr>
    </w:p>
    <w:p w14:paraId="29390F3C">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17285F96">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5.12</w:t>
      </w:r>
    </w:p>
    <w:p w14:paraId="109596D6">
      <w:pPr>
        <w:widowControl/>
        <w:jc w:val="left"/>
        <w:rPr>
          <w:rFonts w:eastAsia="仿宋_GB2312"/>
          <w:b/>
          <w:bCs/>
          <w:kern w:val="0"/>
          <w:sz w:val="44"/>
          <w:szCs w:val="44"/>
        </w:rPr>
      </w:pPr>
    </w:p>
    <w:p w14:paraId="6AF063AE">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5341C6E6">
      <w:pPr>
        <w:ind w:firstLine="408" w:firstLineChars="100"/>
        <w:jc w:val="center"/>
        <w:rPr>
          <w:b/>
          <w:spacing w:val="20"/>
          <w:w w:val="80"/>
          <w:sz w:val="48"/>
          <w:szCs w:val="48"/>
        </w:rPr>
      </w:pPr>
      <w:r>
        <w:rPr>
          <w:b/>
          <w:spacing w:val="20"/>
          <w:w w:val="80"/>
          <w:sz w:val="48"/>
          <w:szCs w:val="48"/>
        </w:rPr>
        <w:t>目  录</w:t>
      </w:r>
    </w:p>
    <w:p w14:paraId="615FABB5">
      <w:pPr>
        <w:spacing w:line="560" w:lineRule="exact"/>
        <w:ind w:right="-141" w:rightChars="-73"/>
        <w:rPr>
          <w:b/>
          <w:sz w:val="24"/>
        </w:rPr>
      </w:pPr>
      <w:r>
        <w:rPr>
          <w:b/>
          <w:sz w:val="24"/>
        </w:rPr>
        <w:t>第一部分  投标邀请函</w:t>
      </w:r>
    </w:p>
    <w:p w14:paraId="638935DE">
      <w:pPr>
        <w:spacing w:line="560" w:lineRule="exact"/>
        <w:ind w:right="-141" w:rightChars="-73"/>
        <w:rPr>
          <w:b/>
          <w:sz w:val="24"/>
        </w:rPr>
      </w:pPr>
    </w:p>
    <w:p w14:paraId="672C521E">
      <w:pPr>
        <w:spacing w:line="560" w:lineRule="exact"/>
        <w:ind w:right="-141" w:rightChars="-73"/>
        <w:rPr>
          <w:b/>
          <w:sz w:val="24"/>
        </w:rPr>
      </w:pPr>
      <w:r>
        <w:rPr>
          <w:b/>
          <w:sz w:val="24"/>
        </w:rPr>
        <w:t>第二部分  招标项目要求</w:t>
      </w:r>
    </w:p>
    <w:p w14:paraId="46A2C1D9">
      <w:pPr>
        <w:spacing w:line="560" w:lineRule="exact"/>
        <w:ind w:right="-141" w:rightChars="-73"/>
        <w:rPr>
          <w:b/>
          <w:sz w:val="24"/>
        </w:rPr>
      </w:pPr>
    </w:p>
    <w:p w14:paraId="43DACC87">
      <w:pPr>
        <w:spacing w:line="560" w:lineRule="exact"/>
        <w:ind w:right="-141" w:rightChars="-73"/>
        <w:rPr>
          <w:b/>
          <w:sz w:val="24"/>
        </w:rPr>
      </w:pPr>
      <w:r>
        <w:rPr>
          <w:b/>
          <w:sz w:val="24"/>
        </w:rPr>
        <w:t>第三部分  投标须知</w:t>
      </w:r>
    </w:p>
    <w:p w14:paraId="4BDC8B44">
      <w:pPr>
        <w:spacing w:line="560" w:lineRule="exact"/>
        <w:ind w:right="-141" w:rightChars="-73"/>
        <w:rPr>
          <w:sz w:val="24"/>
        </w:rPr>
      </w:pPr>
    </w:p>
    <w:p w14:paraId="41E6C9F1">
      <w:pPr>
        <w:spacing w:line="560" w:lineRule="exact"/>
        <w:rPr>
          <w:b/>
          <w:sz w:val="24"/>
        </w:rPr>
      </w:pPr>
      <w:r>
        <w:rPr>
          <w:b/>
          <w:sz w:val="24"/>
        </w:rPr>
        <w:t>第四部分  合同条款</w:t>
      </w:r>
    </w:p>
    <w:p w14:paraId="5CECAE96">
      <w:pPr>
        <w:spacing w:line="560" w:lineRule="exact"/>
        <w:rPr>
          <w:sz w:val="24"/>
        </w:rPr>
      </w:pPr>
    </w:p>
    <w:p w14:paraId="718B8960">
      <w:pPr>
        <w:spacing w:line="560" w:lineRule="exact"/>
        <w:rPr>
          <w:sz w:val="24"/>
        </w:rPr>
      </w:pPr>
      <w:r>
        <w:rPr>
          <w:b/>
          <w:sz w:val="24"/>
        </w:rPr>
        <w:t>第五部分  投标文件格式</w:t>
      </w:r>
    </w:p>
    <w:p w14:paraId="64C3C716">
      <w:pPr>
        <w:rPr>
          <w:sz w:val="24"/>
        </w:rPr>
      </w:pPr>
    </w:p>
    <w:p w14:paraId="56BD9241">
      <w:pPr>
        <w:rPr>
          <w:sz w:val="24"/>
        </w:rPr>
      </w:pPr>
    </w:p>
    <w:p w14:paraId="20FD1416">
      <w:pPr>
        <w:rPr>
          <w:sz w:val="24"/>
        </w:rPr>
      </w:pPr>
    </w:p>
    <w:p w14:paraId="28BD0BB8">
      <w:pPr>
        <w:rPr>
          <w:sz w:val="24"/>
        </w:rPr>
      </w:pPr>
    </w:p>
    <w:p w14:paraId="4AD058BB">
      <w:pPr>
        <w:rPr>
          <w:sz w:val="24"/>
        </w:rPr>
      </w:pPr>
    </w:p>
    <w:p w14:paraId="27383C87">
      <w:pPr>
        <w:rPr>
          <w:sz w:val="24"/>
        </w:rPr>
      </w:pPr>
    </w:p>
    <w:p w14:paraId="5687C525">
      <w:pPr>
        <w:rPr>
          <w:b/>
        </w:rPr>
      </w:pPr>
    </w:p>
    <w:p w14:paraId="357D057A">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76FB2A96">
      <w:pPr>
        <w:pStyle w:val="16"/>
        <w:rPr>
          <w:rFonts w:ascii="Times New Roman" w:hAnsi="Times New Roman"/>
        </w:rPr>
      </w:pPr>
      <w:r>
        <w:rPr>
          <w:rFonts w:ascii="Times New Roman" w:hAnsi="Times New Roman"/>
        </w:rPr>
        <w:t>第一部分  投标邀请函</w:t>
      </w:r>
      <w:bookmarkEnd w:id="0"/>
    </w:p>
    <w:p w14:paraId="14BC20B6">
      <w:pPr>
        <w:pStyle w:val="30"/>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国家税务总局天津市税务局税务人端慧办平台等系统运行维护项目</w:t>
      </w:r>
      <w:r>
        <w:rPr>
          <w:rFonts w:ascii="Times New Roman" w:hAnsi="Times New Roman" w:cs="Times New Roman" w:eastAsiaTheme="minorEastAsia"/>
          <w:color w:val="auto"/>
          <w:szCs w:val="32"/>
        </w:rPr>
        <w:t>实施采购。现欢迎合格的供应商参加投标。</w:t>
      </w:r>
    </w:p>
    <w:p w14:paraId="342F16D9">
      <w:pPr>
        <w:pStyle w:val="30"/>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1399565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19756A3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国家税务总局天津市税务局税务人端慧办平台等系统运行维护项目</w:t>
      </w:r>
    </w:p>
    <w:p w14:paraId="28EAA40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（二）项目编号：TGPC-2025-D-1327</w:t>
      </w:r>
      <w:r>
        <w:rPr>
          <w:rFonts w:hint="eastAsia" w:ascii="Times New Roman" w:hAnsi="Times New Roman" w:eastAsia="宋体" w:cs="Times New Roman"/>
          <w:color w:val="auto"/>
        </w:rPr>
        <w:t xml:space="preserve"> </w:t>
      </w:r>
    </w:p>
    <w:p w14:paraId="7C859D0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3F12FA0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天津税务2025年税务人端慧办平台等系统运行维护1项，合同履行期限：合同规定的服务起始之日起6个月的服务期。</w:t>
      </w:r>
    </w:p>
    <w:p w14:paraId="668BA47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2F25997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第一包：792000</w:t>
      </w:r>
      <w:r>
        <w:rPr>
          <w:rFonts w:hint="eastAsia" w:ascii="Times New Roman" w:hAnsi="Times New Roman" w:eastAsia="宋体" w:cs="Times New Roman"/>
          <w:color w:val="auto"/>
        </w:rPr>
        <w:t>元</w:t>
      </w:r>
    </w:p>
    <w:p w14:paraId="6C4360D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377A404F">
      <w:pPr>
        <w:pStyle w:val="30"/>
        <w:spacing w:line="360" w:lineRule="auto"/>
        <w:ind w:firstLine="448" w:firstLineChars="200"/>
        <w:rPr>
          <w:rFonts w:ascii="Times New Roman" w:hAnsi="Times New Roman" w:eastAsia="宋体" w:cs="Times New Roman"/>
          <w:color w:val="auto"/>
        </w:rPr>
      </w:pPr>
      <w:bookmarkStart w:id="1" w:name="OLE_LINK2"/>
      <w:bookmarkStart w:id="2" w:name="OLE_LINK1"/>
      <w:r>
        <w:rPr>
          <w:rFonts w:hint="eastAsia" w:ascii="Times New Roman" w:hAnsi="Times New Roman" w:eastAsia="宋体" w:cs="Times New Roman"/>
          <w:color w:val="auto"/>
        </w:rPr>
        <w:t>（一）供应商应具备《中华人民共和国政府采购法》第二十二条第一款和《政府采购法实施条例》第十八条规定的条件，提供以下材料：</w:t>
      </w:r>
    </w:p>
    <w:p w14:paraId="6A72B03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1B6A796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bookmarkEnd w:id="1"/>
    <w:bookmarkEnd w:id="2"/>
    <w:p w14:paraId="5FEBEE6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（二）本项目接受联合体投标。若为联合体投标，投标文件应</w:t>
      </w:r>
      <w:r>
        <w:rPr>
          <w:rFonts w:hint="eastAsia" w:ascii="Times New Roman" w:hAnsi="Times New Roman" w:eastAsia="宋体" w:cs="Times New Roman"/>
          <w:color w:val="auto"/>
          <w:szCs w:val="32"/>
        </w:rPr>
        <w:t>加盖联合体主体方的电子签章，并提供联合体各方均盖章共同投标协议扫描件；联合体各方均应满足第（一）条的规定，并提供相关证明材料和</w:t>
      </w:r>
      <w:r>
        <w:rPr>
          <w:rFonts w:hint="eastAsia" w:ascii="Times New Roman" w:hAnsi="Times New Roman" w:eastAsia="宋体" w:cs="Times New Roman"/>
          <w:color w:val="auto"/>
        </w:rPr>
        <w:t>《供应商资格声明函》（格式见附件2）。</w:t>
      </w:r>
    </w:p>
    <w:p w14:paraId="25D538D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3C07B48A">
      <w:pPr>
        <w:pStyle w:val="30"/>
        <w:spacing w:line="360" w:lineRule="auto"/>
        <w:ind w:firstLine="448" w:firstLineChars="200"/>
        <w:rPr>
          <w:rFonts w:ascii="Times New Roman" w:hAnsi="Times New Roman" w:cs="Times New Roman" w:eastAsiaTheme="minorEastAsia"/>
          <w:color w:val="auto"/>
        </w:rPr>
      </w:pPr>
      <w:bookmarkStart w:id="3" w:name="OLE_LINK4"/>
      <w:bookmarkStart w:id="4"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对小微企业报价给予20%的扣除。若为联合体投标，联合体的组成各方均为小微企业的，对该联合体报价给予20%的扣除；大中型企业与小微企业组成联合体共同参加本项目政府采购活动的，联合协议中约定，对于联合协议约定小微企业的合同份额占到合同总金额30%以上的，给予联合体报价6%的扣除。</w:t>
      </w:r>
    </w:p>
    <w:p w14:paraId="274DDD7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226BA87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5BF24FE4">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09D53B8D">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36A8CA4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6290A86A">
      <w:pPr>
        <w:pStyle w:val="30"/>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36D6033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797447A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4DB6D48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color w:val="auto"/>
        </w:rPr>
        <w:t>http://tjgpc.zwfwb.tj.gov.cn</w:t>
      </w:r>
      <w:r>
        <w:rPr>
          <w:rStyle w:val="27"/>
          <w:rFonts w:hint="eastAsia" w:ascii="Times New Roman" w:hAnsi="Times New Roman" w:eastAsia="宋体" w:cs="Times New Roman"/>
          <w:color w:val="auto"/>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103B6C4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4813266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581C6F4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7D1C358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34653A1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7B33265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14:paraId="7968E1C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5D1EEA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4061C99E">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70A6BB5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67D75DA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59CD83B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328919C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79370B6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32D50DC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557E206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161FA0B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413C63D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4A27F7D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0B25BEC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w:t>
      </w:r>
      <w:r>
        <w:rPr>
          <w:rFonts w:hint="eastAsia" w:ascii="Times New Roman" w:hAnsi="Times New Roman" w:eastAsia="宋体" w:cs="Times New Roman"/>
          <w:color w:val="auto"/>
        </w:rPr>
        <w:t>张艳</w:t>
      </w:r>
      <w:r>
        <w:rPr>
          <w:rFonts w:ascii="Times New Roman" w:hAnsi="Times New Roman" w:eastAsia="宋体" w:cs="Times New Roman"/>
          <w:color w:val="auto"/>
        </w:rPr>
        <w:t>、李楠、杨光</w:t>
      </w:r>
    </w:p>
    <w:p w14:paraId="3C345CB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3C9CD99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3DA0B46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4BC63A2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481FEFE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2F9A84E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8176</w:t>
      </w:r>
    </w:p>
    <w:p w14:paraId="0840821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2E69F7E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59CC3715">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6F68EE4C">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00742271">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4E02C11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52A05CF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52B4399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4FD1F41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65F7CC6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7A4D19F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4E22FFA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161983C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4EA72D1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3C16C4D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4A61889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74841FD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15CBD76">
        <w:trPr>
          <w:trHeight w:val="440" w:hRule="atLeast"/>
          <w:tblHeader/>
          <w:jc w:val="center"/>
        </w:trPr>
        <w:tc>
          <w:tcPr>
            <w:tcW w:w="3656" w:type="dxa"/>
            <w:vAlign w:val="center"/>
          </w:tcPr>
          <w:p w14:paraId="060018B2">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00F4F21C">
            <w:pPr>
              <w:tabs>
                <w:tab w:val="left" w:pos="750"/>
                <w:tab w:val="left" w:pos="840"/>
              </w:tabs>
              <w:adjustRightInd w:val="0"/>
              <w:snapToGrid w:val="0"/>
              <w:jc w:val="center"/>
              <w:rPr>
                <w:sz w:val="24"/>
              </w:rPr>
            </w:pPr>
            <w:r>
              <w:rPr>
                <w:sz w:val="24"/>
              </w:rPr>
              <w:t>费率</w:t>
            </w:r>
          </w:p>
        </w:tc>
      </w:tr>
      <w:tr w14:paraId="31D2EAC1">
        <w:trPr>
          <w:trHeight w:val="440" w:hRule="atLeast"/>
          <w:jc w:val="center"/>
        </w:trPr>
        <w:tc>
          <w:tcPr>
            <w:tcW w:w="3656" w:type="dxa"/>
            <w:vAlign w:val="center"/>
          </w:tcPr>
          <w:p w14:paraId="78647091">
            <w:pPr>
              <w:tabs>
                <w:tab w:val="left" w:pos="750"/>
                <w:tab w:val="left" w:pos="840"/>
              </w:tabs>
              <w:adjustRightInd w:val="0"/>
              <w:snapToGrid w:val="0"/>
              <w:jc w:val="center"/>
              <w:rPr>
                <w:sz w:val="24"/>
              </w:rPr>
            </w:pPr>
            <w:r>
              <w:rPr>
                <w:sz w:val="24"/>
              </w:rPr>
              <w:t>100以下</w:t>
            </w:r>
          </w:p>
        </w:tc>
        <w:tc>
          <w:tcPr>
            <w:tcW w:w="3657" w:type="dxa"/>
            <w:vAlign w:val="center"/>
          </w:tcPr>
          <w:p w14:paraId="03B38902">
            <w:pPr>
              <w:tabs>
                <w:tab w:val="left" w:pos="750"/>
                <w:tab w:val="left" w:pos="840"/>
              </w:tabs>
              <w:adjustRightInd w:val="0"/>
              <w:snapToGrid w:val="0"/>
              <w:jc w:val="center"/>
              <w:rPr>
                <w:sz w:val="24"/>
              </w:rPr>
            </w:pPr>
            <w:r>
              <w:rPr>
                <w:sz w:val="24"/>
              </w:rPr>
              <w:t>1%</w:t>
            </w:r>
          </w:p>
        </w:tc>
      </w:tr>
      <w:tr w14:paraId="724C8DAE">
        <w:trPr>
          <w:trHeight w:val="440" w:hRule="atLeast"/>
          <w:jc w:val="center"/>
        </w:trPr>
        <w:tc>
          <w:tcPr>
            <w:tcW w:w="3656" w:type="dxa"/>
            <w:vAlign w:val="center"/>
          </w:tcPr>
          <w:p w14:paraId="68C9FB30">
            <w:pPr>
              <w:tabs>
                <w:tab w:val="left" w:pos="750"/>
                <w:tab w:val="left" w:pos="840"/>
              </w:tabs>
              <w:adjustRightInd w:val="0"/>
              <w:snapToGrid w:val="0"/>
              <w:jc w:val="center"/>
              <w:rPr>
                <w:sz w:val="24"/>
              </w:rPr>
            </w:pPr>
            <w:r>
              <w:rPr>
                <w:sz w:val="24"/>
              </w:rPr>
              <w:t>100-500</w:t>
            </w:r>
          </w:p>
        </w:tc>
        <w:tc>
          <w:tcPr>
            <w:tcW w:w="3657" w:type="dxa"/>
            <w:vAlign w:val="center"/>
          </w:tcPr>
          <w:p w14:paraId="14A4314B">
            <w:pPr>
              <w:tabs>
                <w:tab w:val="left" w:pos="750"/>
                <w:tab w:val="left" w:pos="840"/>
              </w:tabs>
              <w:adjustRightInd w:val="0"/>
              <w:snapToGrid w:val="0"/>
              <w:jc w:val="center"/>
              <w:rPr>
                <w:sz w:val="24"/>
              </w:rPr>
            </w:pPr>
            <w:r>
              <w:rPr>
                <w:rFonts w:hint="eastAsia"/>
                <w:sz w:val="24"/>
              </w:rPr>
              <w:t>0.8</w:t>
            </w:r>
            <w:r>
              <w:rPr>
                <w:sz w:val="24"/>
              </w:rPr>
              <w:t>%</w:t>
            </w:r>
          </w:p>
        </w:tc>
      </w:tr>
      <w:tr w14:paraId="74FEB9FF">
        <w:trPr>
          <w:trHeight w:val="440" w:hRule="atLeast"/>
          <w:jc w:val="center"/>
        </w:trPr>
        <w:tc>
          <w:tcPr>
            <w:tcW w:w="3656" w:type="dxa"/>
            <w:vAlign w:val="center"/>
          </w:tcPr>
          <w:p w14:paraId="16D42C1E">
            <w:pPr>
              <w:tabs>
                <w:tab w:val="left" w:pos="750"/>
                <w:tab w:val="left" w:pos="840"/>
              </w:tabs>
              <w:adjustRightInd w:val="0"/>
              <w:snapToGrid w:val="0"/>
              <w:jc w:val="center"/>
              <w:rPr>
                <w:sz w:val="24"/>
              </w:rPr>
            </w:pPr>
            <w:r>
              <w:rPr>
                <w:sz w:val="24"/>
              </w:rPr>
              <w:t>500-1000</w:t>
            </w:r>
          </w:p>
        </w:tc>
        <w:tc>
          <w:tcPr>
            <w:tcW w:w="3657" w:type="dxa"/>
            <w:vAlign w:val="center"/>
          </w:tcPr>
          <w:p w14:paraId="53EEEBEA">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5EC18A3F">
        <w:trPr>
          <w:trHeight w:val="440" w:hRule="atLeast"/>
          <w:jc w:val="center"/>
        </w:trPr>
        <w:tc>
          <w:tcPr>
            <w:tcW w:w="3656" w:type="dxa"/>
            <w:vAlign w:val="center"/>
          </w:tcPr>
          <w:p w14:paraId="332D6082">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149FD7CA">
            <w:pPr>
              <w:tabs>
                <w:tab w:val="left" w:pos="750"/>
                <w:tab w:val="left" w:pos="840"/>
              </w:tabs>
              <w:adjustRightInd w:val="0"/>
              <w:snapToGrid w:val="0"/>
              <w:jc w:val="center"/>
              <w:rPr>
                <w:sz w:val="24"/>
              </w:rPr>
            </w:pPr>
            <w:r>
              <w:rPr>
                <w:rFonts w:hint="eastAsia"/>
                <w:sz w:val="24"/>
              </w:rPr>
              <w:t>0.25%</w:t>
            </w:r>
          </w:p>
        </w:tc>
      </w:tr>
      <w:tr w14:paraId="4933B681">
        <w:trPr>
          <w:trHeight w:val="440" w:hRule="atLeast"/>
          <w:jc w:val="center"/>
        </w:trPr>
        <w:tc>
          <w:tcPr>
            <w:tcW w:w="3656" w:type="dxa"/>
            <w:vAlign w:val="center"/>
          </w:tcPr>
          <w:p w14:paraId="2D77B487">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0C394EFD">
            <w:pPr>
              <w:tabs>
                <w:tab w:val="left" w:pos="750"/>
                <w:tab w:val="left" w:pos="840"/>
              </w:tabs>
              <w:adjustRightInd w:val="0"/>
              <w:snapToGrid w:val="0"/>
              <w:jc w:val="center"/>
              <w:rPr>
                <w:sz w:val="24"/>
              </w:rPr>
            </w:pPr>
            <w:r>
              <w:rPr>
                <w:rFonts w:hint="eastAsia"/>
                <w:sz w:val="24"/>
              </w:rPr>
              <w:t>0.1%</w:t>
            </w:r>
          </w:p>
        </w:tc>
      </w:tr>
      <w:tr w14:paraId="50409296">
        <w:trPr>
          <w:trHeight w:val="440" w:hRule="atLeast"/>
          <w:jc w:val="center"/>
        </w:trPr>
        <w:tc>
          <w:tcPr>
            <w:tcW w:w="3656" w:type="dxa"/>
            <w:vAlign w:val="center"/>
          </w:tcPr>
          <w:p w14:paraId="6BDDE41B">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62D953C5">
            <w:pPr>
              <w:tabs>
                <w:tab w:val="left" w:pos="750"/>
                <w:tab w:val="left" w:pos="840"/>
              </w:tabs>
              <w:adjustRightInd w:val="0"/>
              <w:snapToGrid w:val="0"/>
              <w:jc w:val="center"/>
              <w:rPr>
                <w:sz w:val="24"/>
              </w:rPr>
            </w:pPr>
            <w:r>
              <w:rPr>
                <w:rFonts w:hint="eastAsia"/>
                <w:sz w:val="24"/>
              </w:rPr>
              <w:t>0.05%</w:t>
            </w:r>
          </w:p>
        </w:tc>
      </w:tr>
    </w:tbl>
    <w:p w14:paraId="1C462259">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13083AFC">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7E3EDA4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0932506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24522AC7">
      <w:pPr>
        <w:pStyle w:val="30"/>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06E3024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2CA1B56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5C1CD83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0F2A67B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2437E91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047C770C">
      <w:pPr>
        <w:pStyle w:val="30"/>
        <w:spacing w:line="360" w:lineRule="auto"/>
        <w:ind w:right="892" w:firstLine="5620" w:firstLineChars="2509"/>
        <w:rPr>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p>
    <w:p w14:paraId="42D9C54A">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16412A18">
      <w:pPr>
        <w:tabs>
          <w:tab w:val="left" w:pos="210"/>
        </w:tabs>
        <w:autoSpaceDE w:val="0"/>
        <w:autoSpaceDN w:val="0"/>
        <w:spacing w:line="360" w:lineRule="auto"/>
        <w:ind w:firstLine="448" w:firstLineChars="200"/>
        <w:outlineLvl w:val="0"/>
        <w:rPr>
          <w:sz w:val="24"/>
          <w:szCs w:val="24"/>
        </w:rPr>
      </w:pPr>
      <w:r>
        <w:rPr>
          <w:sz w:val="24"/>
          <w:szCs w:val="24"/>
        </w:rPr>
        <w:t>一、商务要求</w:t>
      </w:r>
    </w:p>
    <w:p w14:paraId="05DF9A0D">
      <w:pPr>
        <w:tabs>
          <w:tab w:val="left" w:pos="210"/>
        </w:tabs>
        <w:autoSpaceDE w:val="0"/>
        <w:autoSpaceDN w:val="0"/>
        <w:spacing w:line="360" w:lineRule="auto"/>
        <w:ind w:firstLine="448" w:firstLineChars="200"/>
        <w:outlineLvl w:val="0"/>
        <w:rPr>
          <w:sz w:val="24"/>
          <w:szCs w:val="24"/>
        </w:rPr>
      </w:pPr>
      <w:r>
        <w:rPr>
          <w:sz w:val="24"/>
          <w:szCs w:val="24"/>
        </w:rPr>
        <w:t>（一）报价要求</w:t>
      </w:r>
    </w:p>
    <w:p w14:paraId="14645281">
      <w:pPr>
        <w:autoSpaceDE w:val="0"/>
        <w:autoSpaceDN w:val="0"/>
        <w:spacing w:line="360" w:lineRule="auto"/>
        <w:ind w:firstLine="448" w:firstLineChars="200"/>
        <w:rPr>
          <w:sz w:val="24"/>
        </w:rPr>
      </w:pPr>
      <w:r>
        <w:rPr>
          <w:sz w:val="24"/>
        </w:rPr>
        <w:t>1. 投标报价以人民币填列。</w:t>
      </w:r>
    </w:p>
    <w:p w14:paraId="322E1B8F">
      <w:pPr>
        <w:autoSpaceDE w:val="0"/>
        <w:autoSpaceDN w:val="0"/>
        <w:spacing w:line="360" w:lineRule="auto"/>
        <w:ind w:firstLine="448" w:firstLineChars="200"/>
        <w:rPr>
          <w:sz w:val="24"/>
        </w:rPr>
      </w:pPr>
      <w:r>
        <w:rPr>
          <w:sz w:val="24"/>
        </w:rPr>
        <w:t>2. 投标人的报价应包括：人员费用、服务费用、利润税金等为完成招标文件规定的一切工作所需的全部费用。投标人所报价格应为最终优惠价格。</w:t>
      </w:r>
    </w:p>
    <w:p w14:paraId="3C9FEED5">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168A4945">
      <w:pPr>
        <w:autoSpaceDE w:val="0"/>
        <w:autoSpaceDN w:val="0"/>
        <w:spacing w:line="360" w:lineRule="auto"/>
        <w:ind w:firstLine="448" w:firstLineChars="200"/>
        <w:rPr>
          <w:sz w:val="24"/>
        </w:rPr>
      </w:pPr>
      <w:r>
        <w:rPr>
          <w:sz w:val="24"/>
        </w:rPr>
        <w:t>（</w:t>
      </w:r>
      <w:r>
        <w:rPr>
          <w:rFonts w:hint="eastAsia"/>
          <w:sz w:val="24"/>
        </w:rPr>
        <w:t>二</w:t>
      </w:r>
      <w:r>
        <w:rPr>
          <w:sz w:val="24"/>
        </w:rPr>
        <w:t>）时间、地点要求</w:t>
      </w:r>
    </w:p>
    <w:p w14:paraId="06E5FBC7">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合同规定的服务起始之日起6个月的服务期</w:t>
      </w:r>
      <w:r>
        <w:rPr>
          <w:sz w:val="24"/>
        </w:rPr>
        <w:t>（特殊情况以合同为准）。</w:t>
      </w:r>
    </w:p>
    <w:p w14:paraId="54B73C56">
      <w:pPr>
        <w:autoSpaceDE w:val="0"/>
        <w:autoSpaceDN w:val="0"/>
        <w:adjustRightInd w:val="0"/>
        <w:spacing w:line="360" w:lineRule="auto"/>
        <w:ind w:firstLine="448" w:firstLineChars="200"/>
        <w:rPr>
          <w:sz w:val="24"/>
        </w:rPr>
      </w:pPr>
      <w:r>
        <w:rPr>
          <w:sz w:val="24"/>
        </w:rPr>
        <w:t>2. 服务地点：</w:t>
      </w:r>
      <w:r>
        <w:rPr>
          <w:rFonts w:hint="eastAsia"/>
          <w:sz w:val="24"/>
        </w:rPr>
        <w:t>天津市河北区民主道16号</w:t>
      </w:r>
      <w:r>
        <w:rPr>
          <w:sz w:val="24"/>
        </w:rPr>
        <w:t>（特殊情况以合同为准）。</w:t>
      </w:r>
    </w:p>
    <w:p w14:paraId="66CAB806">
      <w:pPr>
        <w:autoSpaceDE w:val="0"/>
        <w:autoSpaceDN w:val="0"/>
        <w:spacing w:line="360" w:lineRule="auto"/>
        <w:ind w:firstLine="448" w:firstLineChars="200"/>
        <w:rPr>
          <w:sz w:val="24"/>
        </w:rPr>
      </w:pPr>
      <w:r>
        <w:rPr>
          <w:sz w:val="24"/>
        </w:rPr>
        <w:t>（</w:t>
      </w:r>
      <w:r>
        <w:rPr>
          <w:rFonts w:hint="eastAsia"/>
          <w:sz w:val="24"/>
        </w:rPr>
        <w:t>三</w:t>
      </w:r>
      <w:r>
        <w:rPr>
          <w:sz w:val="24"/>
        </w:rPr>
        <w:t>）付款方式</w:t>
      </w:r>
    </w:p>
    <w:p w14:paraId="207E7788">
      <w:pPr>
        <w:autoSpaceDE w:val="0"/>
        <w:autoSpaceDN w:val="0"/>
        <w:spacing w:line="360" w:lineRule="auto"/>
        <w:ind w:firstLine="448" w:firstLineChars="200"/>
        <w:rPr>
          <w:sz w:val="24"/>
        </w:rPr>
      </w:pPr>
      <w:r>
        <w:rPr>
          <w:rFonts w:hint="eastAsia"/>
          <w:sz w:val="24"/>
        </w:rPr>
        <w:t>合同签订之日起15个工作日内支付合同总额的30%，服务期过半阶段性验收合格之日起15个工作日内支付合同总额的40%，服务期结束终验合格后15个工作日内支付合同总额的30%</w:t>
      </w:r>
      <w:r>
        <w:rPr>
          <w:sz w:val="24"/>
        </w:rPr>
        <w:t>（特殊情况以合同为准）。</w:t>
      </w:r>
    </w:p>
    <w:p w14:paraId="026CA21A">
      <w:pPr>
        <w:autoSpaceDE w:val="0"/>
        <w:autoSpaceDN w:val="0"/>
        <w:spacing w:line="360" w:lineRule="auto"/>
        <w:ind w:firstLine="448" w:firstLineChars="200"/>
        <w:rPr>
          <w:sz w:val="24"/>
        </w:rPr>
      </w:pPr>
      <w:r>
        <w:rPr>
          <w:sz w:val="24"/>
        </w:rPr>
        <w:t>（</w:t>
      </w:r>
      <w:r>
        <w:rPr>
          <w:rFonts w:hint="eastAsia"/>
          <w:sz w:val="24"/>
        </w:rPr>
        <w:t>四</w:t>
      </w:r>
      <w:r>
        <w:rPr>
          <w:sz w:val="24"/>
        </w:rPr>
        <w:t>）投标保证金和履约保证金</w:t>
      </w:r>
    </w:p>
    <w:p w14:paraId="40B91E62">
      <w:pPr>
        <w:autoSpaceDE w:val="0"/>
        <w:autoSpaceDN w:val="0"/>
        <w:spacing w:line="360" w:lineRule="auto"/>
        <w:ind w:firstLine="448" w:firstLineChars="200"/>
        <w:rPr>
          <w:sz w:val="24"/>
        </w:rPr>
      </w:pPr>
      <w:r>
        <w:rPr>
          <w:sz w:val="24"/>
        </w:rPr>
        <w:t>本项目不收取投标保证金和履约保证金。</w:t>
      </w:r>
    </w:p>
    <w:p w14:paraId="705C32E8">
      <w:pPr>
        <w:autoSpaceDE w:val="0"/>
        <w:autoSpaceDN w:val="0"/>
        <w:spacing w:line="360" w:lineRule="auto"/>
        <w:ind w:firstLine="448" w:firstLineChars="200"/>
        <w:rPr>
          <w:sz w:val="24"/>
        </w:rPr>
      </w:pPr>
      <w:r>
        <w:rPr>
          <w:rFonts w:hint="eastAsia"/>
          <w:sz w:val="24"/>
        </w:rPr>
        <w:t>（五）验收方法及标准</w:t>
      </w:r>
    </w:p>
    <w:p w14:paraId="46A4DA05">
      <w:pPr>
        <w:autoSpaceDE w:val="0"/>
        <w:autoSpaceDN w:val="0"/>
        <w:spacing w:line="360" w:lineRule="auto"/>
        <w:ind w:firstLine="448" w:firstLineChars="200"/>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D309817">
      <w:pPr>
        <w:autoSpaceDE w:val="0"/>
        <w:autoSpaceDN w:val="0"/>
        <w:spacing w:line="360" w:lineRule="auto"/>
        <w:ind w:firstLine="448" w:firstLineChars="200"/>
        <w:rPr>
          <w:bCs/>
          <w:sz w:val="24"/>
        </w:rPr>
      </w:pPr>
      <w:r>
        <w:rPr>
          <w:sz w:val="24"/>
        </w:rPr>
        <w:t>二</w:t>
      </w:r>
      <w:r>
        <w:rPr>
          <w:bCs/>
          <w:sz w:val="24"/>
        </w:rPr>
        <w:t>、技术要求</w:t>
      </w:r>
    </w:p>
    <w:p w14:paraId="6D3F2EAB">
      <w:pPr>
        <w:autoSpaceDE w:val="0"/>
        <w:autoSpaceDN w:val="0"/>
        <w:spacing w:line="360" w:lineRule="auto"/>
        <w:ind w:firstLine="448" w:firstLineChars="200"/>
        <w:rPr>
          <w:sz w:val="24"/>
        </w:rPr>
      </w:pPr>
      <w:r>
        <w:rPr>
          <w:rFonts w:hint="eastAsia"/>
          <w:kern w:val="0"/>
          <w:sz w:val="24"/>
          <w:szCs w:val="24"/>
        </w:rPr>
        <w:t>★</w:t>
      </w:r>
      <w:r>
        <w:rPr>
          <w:sz w:val="24"/>
        </w:rPr>
        <w:t>（一）投标人须承诺所提供的服务、人员及设备符合相关国家强制性规定。</w:t>
      </w:r>
      <w:r>
        <w:rPr>
          <w:rFonts w:hint="eastAsia"/>
          <w:sz w:val="24"/>
        </w:rPr>
        <w:t>相关服务需在采购人指定环境下进行。</w:t>
      </w:r>
    </w:p>
    <w:p w14:paraId="1528F86D">
      <w:pPr>
        <w:autoSpaceDE w:val="0"/>
        <w:autoSpaceDN w:val="0"/>
        <w:spacing w:line="360" w:lineRule="auto"/>
        <w:ind w:firstLine="448" w:firstLineChars="200"/>
        <w:rPr>
          <w:sz w:val="24"/>
        </w:rPr>
      </w:pPr>
      <w:r>
        <w:rPr>
          <w:sz w:val="24"/>
        </w:rPr>
        <w:t>（</w:t>
      </w:r>
      <w:r>
        <w:rPr>
          <w:rFonts w:hint="eastAsia"/>
          <w:sz w:val="24"/>
        </w:rPr>
        <w:t>二</w:t>
      </w:r>
      <w:r>
        <w:rPr>
          <w:sz w:val="24"/>
        </w:rPr>
        <w:t>）具体需求详见本部分项目需求书。</w:t>
      </w:r>
    </w:p>
    <w:p w14:paraId="22AE1C2B">
      <w:pPr>
        <w:spacing w:line="360" w:lineRule="auto"/>
        <w:ind w:firstLine="448" w:firstLineChars="200"/>
        <w:outlineLvl w:val="0"/>
        <w:rPr>
          <w:sz w:val="24"/>
        </w:rPr>
      </w:pPr>
      <w:r>
        <w:rPr>
          <w:sz w:val="24"/>
        </w:rPr>
        <w:t>三、评分因素及评标标准</w:t>
      </w:r>
    </w:p>
    <w:p w14:paraId="48C026C5">
      <w:pPr>
        <w:spacing w:line="360" w:lineRule="auto"/>
        <w:ind w:firstLine="448" w:firstLineChars="200"/>
        <w:outlineLvl w:val="0"/>
        <w:rPr>
          <w:sz w:val="24"/>
        </w:rPr>
      </w:pPr>
      <w:r>
        <w:rPr>
          <w:rFonts w:hint="eastAsia"/>
          <w:sz w:val="24"/>
        </w:rPr>
        <w:t>如若为联合体投标，联合体中任意一方满足要求，即可得分。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88"/>
        <w:gridCol w:w="1143"/>
      </w:tblGrid>
      <w:tr w14:paraId="423D873D">
        <w:trPr>
          <w:trHeight w:val="285" w:hRule="atLeast"/>
          <w:jc w:val="center"/>
        </w:trPr>
        <w:tc>
          <w:tcPr>
            <w:tcW w:w="9393" w:type="dxa"/>
            <w:gridSpan w:val="3"/>
            <w:tcBorders>
              <w:top w:val="single" w:color="auto" w:sz="4" w:space="0"/>
              <w:left w:val="single" w:color="auto" w:sz="4" w:space="0"/>
              <w:bottom w:val="single" w:color="auto" w:sz="4" w:space="0"/>
              <w:right w:val="single" w:color="auto" w:sz="4" w:space="0"/>
            </w:tcBorders>
            <w:vAlign w:val="center"/>
          </w:tcPr>
          <w:p w14:paraId="3FA5949F">
            <w:pPr>
              <w:widowControl/>
              <w:adjustRightInd w:val="0"/>
              <w:snapToGrid w:val="0"/>
              <w:jc w:val="center"/>
              <w:rPr>
                <w:kern w:val="0"/>
                <w:sz w:val="24"/>
                <w:szCs w:val="24"/>
              </w:rPr>
            </w:pPr>
            <w:r>
              <w:rPr>
                <w:kern w:val="0"/>
                <w:sz w:val="24"/>
                <w:szCs w:val="24"/>
              </w:rPr>
              <w:t>第一部分 价格（10分）</w:t>
            </w:r>
          </w:p>
        </w:tc>
        <w:tc>
          <w:tcPr>
            <w:tcW w:w="1143" w:type="dxa"/>
            <w:tcBorders>
              <w:top w:val="single" w:color="auto" w:sz="4" w:space="0"/>
              <w:left w:val="single" w:color="auto" w:sz="4" w:space="0"/>
              <w:bottom w:val="single" w:color="auto" w:sz="4" w:space="0"/>
              <w:right w:val="single" w:color="auto" w:sz="4" w:space="0"/>
            </w:tcBorders>
            <w:vAlign w:val="center"/>
          </w:tcPr>
          <w:p w14:paraId="6267ED25">
            <w:pPr>
              <w:widowControl/>
              <w:adjustRightInd w:val="0"/>
              <w:snapToGrid w:val="0"/>
              <w:jc w:val="center"/>
              <w:rPr>
                <w:kern w:val="0"/>
                <w:sz w:val="24"/>
                <w:szCs w:val="24"/>
              </w:rPr>
            </w:pPr>
            <w:r>
              <w:rPr>
                <w:kern w:val="0"/>
                <w:sz w:val="24"/>
                <w:szCs w:val="24"/>
              </w:rPr>
              <w:t>分值</w:t>
            </w:r>
          </w:p>
        </w:tc>
      </w:tr>
      <w:tr w14:paraId="7115807E">
        <w:trPr>
          <w:trHeight w:val="274"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A6CA6B1">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09FE8B1F">
            <w:pPr>
              <w:widowControl/>
              <w:adjustRightInd w:val="0"/>
              <w:snapToGrid w:val="0"/>
              <w:jc w:val="center"/>
              <w:rPr>
                <w:kern w:val="0"/>
                <w:sz w:val="24"/>
                <w:szCs w:val="24"/>
              </w:rPr>
            </w:pPr>
            <w:r>
              <w:rPr>
                <w:kern w:val="0"/>
                <w:sz w:val="24"/>
                <w:szCs w:val="24"/>
              </w:rPr>
              <w:t>价格</w:t>
            </w:r>
          </w:p>
        </w:tc>
        <w:tc>
          <w:tcPr>
            <w:tcW w:w="7288" w:type="dxa"/>
            <w:tcBorders>
              <w:top w:val="single" w:color="auto" w:sz="4" w:space="0"/>
              <w:left w:val="single" w:color="auto" w:sz="4" w:space="0"/>
              <w:bottom w:val="single" w:color="auto" w:sz="4" w:space="0"/>
              <w:right w:val="single" w:color="auto" w:sz="4" w:space="0"/>
            </w:tcBorders>
            <w:vAlign w:val="center"/>
          </w:tcPr>
          <w:p w14:paraId="5344D332">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423604C3">
            <w:pPr>
              <w:widowControl/>
              <w:adjustRightInd w:val="0"/>
              <w:snapToGrid w:val="0"/>
              <w:rPr>
                <w:kern w:val="0"/>
                <w:sz w:val="24"/>
                <w:szCs w:val="24"/>
              </w:rPr>
            </w:pPr>
            <w:r>
              <w:rPr>
                <w:kern w:val="0"/>
                <w:sz w:val="24"/>
                <w:szCs w:val="24"/>
              </w:rPr>
              <w:t>（2）投标报价得分=（评标基准价/投标报价）×10</w:t>
            </w:r>
          </w:p>
          <w:p w14:paraId="2088613F">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tcBorders>
              <w:top w:val="single" w:color="auto" w:sz="4" w:space="0"/>
              <w:left w:val="single" w:color="auto" w:sz="4" w:space="0"/>
              <w:bottom w:val="single" w:color="auto" w:sz="4" w:space="0"/>
              <w:right w:val="single" w:color="auto" w:sz="4" w:space="0"/>
            </w:tcBorders>
            <w:vAlign w:val="center"/>
          </w:tcPr>
          <w:p w14:paraId="35E703D0">
            <w:pPr>
              <w:widowControl/>
              <w:adjustRightInd w:val="0"/>
              <w:snapToGrid w:val="0"/>
              <w:jc w:val="center"/>
              <w:rPr>
                <w:kern w:val="0"/>
                <w:sz w:val="24"/>
                <w:szCs w:val="24"/>
              </w:rPr>
            </w:pPr>
            <w:r>
              <w:rPr>
                <w:kern w:val="0"/>
                <w:sz w:val="24"/>
                <w:szCs w:val="24"/>
              </w:rPr>
              <w:t>10</w:t>
            </w:r>
          </w:p>
        </w:tc>
      </w:tr>
      <w:tr w14:paraId="0ECF1E24">
        <w:trPr>
          <w:trHeight w:val="15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204CAEBB">
            <w:pPr>
              <w:widowControl/>
              <w:adjustRightInd w:val="0"/>
              <w:snapToGrid w:val="0"/>
              <w:jc w:val="center"/>
              <w:rPr>
                <w:kern w:val="0"/>
                <w:sz w:val="24"/>
                <w:szCs w:val="24"/>
              </w:rPr>
            </w:pPr>
            <w:r>
              <w:rPr>
                <w:kern w:val="0"/>
                <w:sz w:val="24"/>
                <w:szCs w:val="24"/>
              </w:rPr>
              <w:t>第二部分 客观分（</w:t>
            </w:r>
            <w:r>
              <w:rPr>
                <w:rFonts w:hint="eastAsia"/>
                <w:kern w:val="0"/>
                <w:sz w:val="24"/>
                <w:szCs w:val="24"/>
              </w:rPr>
              <w:t>2</w:t>
            </w:r>
            <w:r>
              <w:rPr>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14:paraId="78250995">
            <w:pPr>
              <w:widowControl/>
              <w:adjustRightInd w:val="0"/>
              <w:snapToGrid w:val="0"/>
              <w:jc w:val="center"/>
              <w:rPr>
                <w:kern w:val="0"/>
                <w:sz w:val="24"/>
                <w:szCs w:val="24"/>
              </w:rPr>
            </w:pPr>
            <w:r>
              <w:rPr>
                <w:kern w:val="0"/>
                <w:sz w:val="24"/>
                <w:szCs w:val="24"/>
              </w:rPr>
              <w:t>分值</w:t>
            </w:r>
          </w:p>
        </w:tc>
      </w:tr>
      <w:tr w14:paraId="14B9B77B">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5FDE19A5">
            <w:pPr>
              <w:widowControl/>
              <w:adjustRightInd w:val="0"/>
              <w:snapToGrid w:val="0"/>
              <w:jc w:val="center"/>
              <w:rPr>
                <w:kern w:val="0"/>
                <w:sz w:val="24"/>
                <w:szCs w:val="24"/>
              </w:rPr>
            </w:pPr>
            <w:r>
              <w:rPr>
                <w:rFonts w:hint="eastAsia"/>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14E346CB">
            <w:pPr>
              <w:widowControl/>
              <w:adjustRightInd w:val="0"/>
              <w:snapToGrid w:val="0"/>
              <w:jc w:val="center"/>
              <w:rPr>
                <w:sz w:val="24"/>
              </w:rPr>
            </w:pPr>
            <w:r>
              <w:rPr>
                <w:sz w:val="24"/>
              </w:rPr>
              <w:t>投标人业绩评价</w:t>
            </w:r>
          </w:p>
        </w:tc>
        <w:tc>
          <w:tcPr>
            <w:tcW w:w="7288" w:type="dxa"/>
            <w:tcBorders>
              <w:top w:val="single" w:color="auto" w:sz="4" w:space="0"/>
              <w:left w:val="single" w:color="auto" w:sz="4" w:space="0"/>
              <w:bottom w:val="single" w:color="auto" w:sz="4" w:space="0"/>
              <w:right w:val="single" w:color="auto" w:sz="4" w:space="0"/>
            </w:tcBorders>
            <w:vAlign w:val="center"/>
          </w:tcPr>
          <w:p w14:paraId="4BB8C00C">
            <w:pPr>
              <w:widowControl/>
              <w:adjustRightInd w:val="0"/>
              <w:snapToGrid w:val="0"/>
              <w:rPr>
                <w:kern w:val="0"/>
                <w:sz w:val="24"/>
                <w:szCs w:val="21"/>
              </w:rPr>
            </w:pPr>
            <w:r>
              <w:rPr>
                <w:kern w:val="0"/>
                <w:sz w:val="24"/>
                <w:szCs w:val="21"/>
              </w:rPr>
              <w:t>完全按照以下要求提供投标人曾实施</w:t>
            </w:r>
            <w:r>
              <w:rPr>
                <w:rFonts w:hint="eastAsia"/>
                <w:kern w:val="0"/>
                <w:sz w:val="24"/>
                <w:szCs w:val="21"/>
              </w:rPr>
              <w:t>的</w:t>
            </w:r>
            <w:r>
              <w:rPr>
                <w:kern w:val="0"/>
                <w:sz w:val="24"/>
                <w:szCs w:val="21"/>
              </w:rPr>
              <w:t>软件运行维护服务业绩，提供的证明材料均不得遮挡涂黑，否则不予认定加分。</w:t>
            </w:r>
          </w:p>
          <w:p w14:paraId="3668F997">
            <w:pPr>
              <w:widowControl/>
              <w:adjustRightInd w:val="0"/>
              <w:snapToGrid w:val="0"/>
              <w:rPr>
                <w:kern w:val="0"/>
                <w:sz w:val="24"/>
                <w:szCs w:val="21"/>
              </w:rPr>
            </w:pPr>
            <w:r>
              <w:rPr>
                <w:kern w:val="0"/>
                <w:sz w:val="24"/>
                <w:szCs w:val="21"/>
              </w:rPr>
              <w:t>A. 合同原件扫描件。包括合同金额、买卖双方名称及盖章、服务内容、合同签订日期（应为2022年1月1日或以后）。</w:t>
            </w:r>
          </w:p>
          <w:p w14:paraId="794BABE9">
            <w:pPr>
              <w:widowControl/>
              <w:adjustRightInd w:val="0"/>
              <w:snapToGrid w:val="0"/>
              <w:rPr>
                <w:kern w:val="0"/>
                <w:sz w:val="24"/>
                <w:szCs w:val="21"/>
              </w:rPr>
            </w:pPr>
            <w:r>
              <w:rPr>
                <w:kern w:val="0"/>
                <w:sz w:val="24"/>
                <w:szCs w:val="21"/>
              </w:rPr>
              <w:t>B. 上述合同履行良好的相关证明材料原件扫描件（加盖上述合同甲方单位公章或上述合同中所盖的甲方印章）。</w:t>
            </w:r>
          </w:p>
          <w:p w14:paraId="616227FF">
            <w:pPr>
              <w:widowControl/>
              <w:adjustRightInd w:val="0"/>
              <w:snapToGrid w:val="0"/>
              <w:rPr>
                <w:kern w:val="0"/>
                <w:sz w:val="24"/>
                <w:szCs w:val="24"/>
              </w:rPr>
            </w:pPr>
            <w:r>
              <w:rPr>
                <w:kern w:val="0"/>
                <w:sz w:val="24"/>
                <w:szCs w:val="21"/>
              </w:rPr>
              <w:t>每个业绩</w:t>
            </w:r>
            <w:r>
              <w:rPr>
                <w:rFonts w:hint="eastAsia"/>
                <w:kern w:val="0"/>
                <w:sz w:val="24"/>
                <w:szCs w:val="21"/>
              </w:rPr>
              <w:t>1</w:t>
            </w:r>
            <w:r>
              <w:rPr>
                <w:kern w:val="0"/>
                <w:sz w:val="24"/>
                <w:szCs w:val="21"/>
              </w:rPr>
              <w:t>分，最多</w:t>
            </w:r>
            <w:r>
              <w:rPr>
                <w:rFonts w:hint="eastAsia"/>
                <w:kern w:val="0"/>
                <w:sz w:val="24"/>
                <w:szCs w:val="21"/>
              </w:rPr>
              <w:t>5</w:t>
            </w:r>
            <w:r>
              <w:rPr>
                <w:kern w:val="0"/>
                <w:sz w:val="24"/>
                <w:szCs w:val="21"/>
              </w:rPr>
              <w:t>分。</w:t>
            </w:r>
          </w:p>
        </w:tc>
        <w:tc>
          <w:tcPr>
            <w:tcW w:w="1143" w:type="dxa"/>
            <w:tcBorders>
              <w:top w:val="single" w:color="auto" w:sz="4" w:space="0"/>
              <w:left w:val="single" w:color="auto" w:sz="4" w:space="0"/>
              <w:bottom w:val="single" w:color="auto" w:sz="4" w:space="0"/>
              <w:right w:val="single" w:color="auto" w:sz="4" w:space="0"/>
            </w:tcBorders>
            <w:vAlign w:val="center"/>
          </w:tcPr>
          <w:p w14:paraId="4015B083">
            <w:pPr>
              <w:widowControl/>
              <w:adjustRightInd w:val="0"/>
              <w:snapToGrid w:val="0"/>
              <w:jc w:val="center"/>
              <w:rPr>
                <w:kern w:val="0"/>
                <w:sz w:val="24"/>
                <w:szCs w:val="24"/>
              </w:rPr>
            </w:pPr>
            <w:r>
              <w:rPr>
                <w:rFonts w:hint="eastAsia"/>
                <w:kern w:val="0"/>
                <w:sz w:val="24"/>
                <w:szCs w:val="24"/>
              </w:rPr>
              <w:t>5</w:t>
            </w:r>
          </w:p>
        </w:tc>
      </w:tr>
      <w:tr w14:paraId="2BF01F6B">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5BDF7ABD">
            <w:pPr>
              <w:widowControl/>
              <w:adjustRightInd w:val="0"/>
              <w:snapToGrid w:val="0"/>
              <w:jc w:val="center"/>
              <w:rPr>
                <w:kern w:val="0"/>
                <w:sz w:val="24"/>
                <w:szCs w:val="24"/>
              </w:rPr>
            </w:pPr>
            <w:r>
              <w:rPr>
                <w:rFonts w:hint="eastAsia"/>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1A36AFBB">
            <w:pPr>
              <w:widowControl/>
              <w:adjustRightInd w:val="0"/>
              <w:snapToGrid w:val="0"/>
              <w:jc w:val="center"/>
              <w:rPr>
                <w:sz w:val="24"/>
              </w:rPr>
            </w:pPr>
            <w:r>
              <w:rPr>
                <w:sz w:val="24"/>
              </w:rPr>
              <w:t>投标人承诺评价</w:t>
            </w:r>
          </w:p>
        </w:tc>
        <w:tc>
          <w:tcPr>
            <w:tcW w:w="7288" w:type="dxa"/>
            <w:tcBorders>
              <w:top w:val="single" w:color="auto" w:sz="4" w:space="0"/>
              <w:left w:val="single" w:color="auto" w:sz="4" w:space="0"/>
              <w:bottom w:val="single" w:color="auto" w:sz="4" w:space="0"/>
              <w:right w:val="single" w:color="auto" w:sz="4" w:space="0"/>
            </w:tcBorders>
            <w:vAlign w:val="center"/>
          </w:tcPr>
          <w:p w14:paraId="0727099B">
            <w:pPr>
              <w:widowControl/>
              <w:adjustRightInd w:val="0"/>
              <w:snapToGrid w:val="0"/>
              <w:rPr>
                <w:kern w:val="0"/>
                <w:sz w:val="24"/>
                <w:szCs w:val="24"/>
              </w:rPr>
            </w:pPr>
            <w:r>
              <w:rPr>
                <w:kern w:val="0"/>
                <w:sz w:val="24"/>
                <w:szCs w:val="24"/>
              </w:rPr>
              <w:t>承诺完全满足招标文件“报价要求”、“时间地点要求”、“付款方式要求”和技术要求中非“</w:t>
            </w:r>
            <w:r>
              <w:rPr>
                <w:rFonts w:hint="eastAsia" w:ascii="宋体" w:hAnsi="宋体" w:cs="宋体"/>
                <w:kern w:val="0"/>
                <w:sz w:val="24"/>
                <w:szCs w:val="24"/>
              </w:rPr>
              <w:t>★</w:t>
            </w:r>
            <w:r>
              <w:rPr>
                <w:kern w:val="0"/>
                <w:sz w:val="24"/>
                <w:szCs w:val="24"/>
              </w:rPr>
              <w:t>”号要求的：</w:t>
            </w:r>
            <w:r>
              <w:rPr>
                <w:rFonts w:hint="eastAsia"/>
                <w:kern w:val="0"/>
                <w:sz w:val="24"/>
                <w:szCs w:val="24"/>
              </w:rPr>
              <w:t>15</w:t>
            </w:r>
            <w:r>
              <w:rPr>
                <w:kern w:val="0"/>
                <w:sz w:val="24"/>
                <w:szCs w:val="24"/>
              </w:rPr>
              <w:t>分，其他0分。</w:t>
            </w:r>
          </w:p>
        </w:tc>
        <w:tc>
          <w:tcPr>
            <w:tcW w:w="1143" w:type="dxa"/>
            <w:tcBorders>
              <w:top w:val="single" w:color="auto" w:sz="4" w:space="0"/>
              <w:left w:val="single" w:color="auto" w:sz="4" w:space="0"/>
              <w:bottom w:val="single" w:color="auto" w:sz="4" w:space="0"/>
              <w:right w:val="single" w:color="auto" w:sz="4" w:space="0"/>
            </w:tcBorders>
            <w:vAlign w:val="center"/>
          </w:tcPr>
          <w:p w14:paraId="1D4C2A26">
            <w:pPr>
              <w:widowControl/>
              <w:adjustRightInd w:val="0"/>
              <w:snapToGrid w:val="0"/>
              <w:jc w:val="center"/>
              <w:rPr>
                <w:kern w:val="0"/>
                <w:sz w:val="24"/>
                <w:szCs w:val="24"/>
              </w:rPr>
            </w:pPr>
            <w:r>
              <w:rPr>
                <w:rFonts w:hint="eastAsia"/>
                <w:kern w:val="0"/>
                <w:sz w:val="24"/>
                <w:szCs w:val="24"/>
              </w:rPr>
              <w:t>15</w:t>
            </w:r>
          </w:p>
        </w:tc>
      </w:tr>
      <w:tr w14:paraId="4F354327">
        <w:trPr>
          <w:trHeight w:val="6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1F027B7F">
            <w:pPr>
              <w:widowControl/>
              <w:adjustRightInd w:val="0"/>
              <w:snapToGrid w:val="0"/>
              <w:jc w:val="center"/>
              <w:rPr>
                <w:kern w:val="0"/>
                <w:sz w:val="24"/>
                <w:szCs w:val="24"/>
              </w:rPr>
            </w:pPr>
            <w:r>
              <w:rPr>
                <w:kern w:val="0"/>
                <w:sz w:val="24"/>
                <w:szCs w:val="24"/>
              </w:rPr>
              <w:t>第三部分 主观分（</w:t>
            </w:r>
            <w:r>
              <w:rPr>
                <w:rFonts w:hint="eastAsia"/>
                <w:kern w:val="0"/>
                <w:sz w:val="24"/>
                <w:szCs w:val="24"/>
              </w:rPr>
              <w:t>7</w:t>
            </w:r>
            <w:r>
              <w:rPr>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14:paraId="3EF9ABBA">
            <w:pPr>
              <w:widowControl/>
              <w:adjustRightInd w:val="0"/>
              <w:snapToGrid w:val="0"/>
              <w:jc w:val="center"/>
              <w:rPr>
                <w:kern w:val="0"/>
                <w:sz w:val="24"/>
                <w:szCs w:val="24"/>
              </w:rPr>
            </w:pPr>
            <w:r>
              <w:rPr>
                <w:kern w:val="0"/>
                <w:sz w:val="24"/>
                <w:szCs w:val="24"/>
              </w:rPr>
              <w:t>分值</w:t>
            </w:r>
          </w:p>
        </w:tc>
      </w:tr>
      <w:tr w14:paraId="7613C4F6">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563EEBE9">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59312C5B">
            <w:pPr>
              <w:widowControl/>
              <w:adjustRightInd w:val="0"/>
              <w:snapToGrid w:val="0"/>
              <w:jc w:val="center"/>
              <w:rPr>
                <w:kern w:val="0"/>
                <w:sz w:val="24"/>
                <w:szCs w:val="24"/>
              </w:rPr>
            </w:pPr>
            <w:r>
              <w:rPr>
                <w:kern w:val="0"/>
                <w:sz w:val="24"/>
                <w:szCs w:val="24"/>
              </w:rPr>
              <w:t>项目需求理解方案评价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1B829D4E">
            <w:pPr>
              <w:widowControl/>
              <w:adjustRightInd w:val="0"/>
              <w:snapToGrid w:val="0"/>
              <w:rPr>
                <w:kern w:val="0"/>
                <w:sz w:val="24"/>
                <w:szCs w:val="24"/>
              </w:rPr>
            </w:pPr>
            <w:r>
              <w:rPr>
                <w:rFonts w:hint="eastAsia"/>
                <w:kern w:val="0"/>
                <w:sz w:val="24"/>
                <w:szCs w:val="24"/>
              </w:rPr>
              <w:t>至少包含项目建设背景、目标需求（包括数据需求、功能需求、业务需求、对接需求）和现状情况（包括机构情况、角色情况、业务管理情况、现有系统情况等）的理解和分析</w:t>
            </w:r>
          </w:p>
          <w:p w14:paraId="5ACCEFB1">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2B0829E9">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5982F8C5">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6B8A870C">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07AA7764">
            <w:pPr>
              <w:widowControl/>
              <w:adjustRightInd w:val="0"/>
              <w:snapToGrid w:val="0"/>
              <w:rPr>
                <w:kern w:val="0"/>
                <w:sz w:val="24"/>
                <w:szCs w:val="24"/>
              </w:rPr>
            </w:pPr>
            <w:r>
              <w:rPr>
                <w:kern w:val="0"/>
                <w:sz w:val="24"/>
                <w:szCs w:val="24"/>
              </w:rPr>
              <w:t>未提供方案或不满足招标文件要求或内容存在4处及以上瑕疵：0分；</w:t>
            </w:r>
          </w:p>
          <w:p w14:paraId="33C376B3">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7CECAC8B">
            <w:pPr>
              <w:widowControl/>
              <w:adjustRightInd w:val="0"/>
              <w:snapToGrid w:val="0"/>
              <w:jc w:val="center"/>
              <w:rPr>
                <w:kern w:val="0"/>
                <w:sz w:val="24"/>
                <w:szCs w:val="24"/>
              </w:rPr>
            </w:pPr>
            <w:r>
              <w:rPr>
                <w:rFonts w:hint="eastAsia"/>
                <w:kern w:val="0"/>
                <w:sz w:val="24"/>
                <w:szCs w:val="24"/>
              </w:rPr>
              <w:t>10</w:t>
            </w:r>
          </w:p>
        </w:tc>
      </w:tr>
      <w:tr w14:paraId="3D304C3B">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1A3928AA">
            <w:pPr>
              <w:widowControl/>
              <w:jc w:val="center"/>
              <w:rPr>
                <w:kern w:val="0"/>
                <w:sz w:val="24"/>
                <w:szCs w:val="24"/>
              </w:rPr>
            </w:pPr>
            <w:r>
              <w:rPr>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148032CD">
            <w:pPr>
              <w:widowControl/>
              <w:adjustRightInd w:val="0"/>
              <w:snapToGrid w:val="0"/>
              <w:jc w:val="center"/>
              <w:rPr>
                <w:kern w:val="0"/>
                <w:sz w:val="24"/>
                <w:szCs w:val="24"/>
              </w:rPr>
            </w:pPr>
            <w:r>
              <w:rPr>
                <w:rFonts w:hint="eastAsia"/>
                <w:kern w:val="0"/>
                <w:sz w:val="24"/>
                <w:szCs w:val="24"/>
              </w:rPr>
              <w:t>运行维护方案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40E5494B">
            <w:pPr>
              <w:widowControl/>
              <w:adjustRightInd w:val="0"/>
              <w:snapToGrid w:val="0"/>
              <w:rPr>
                <w:kern w:val="0"/>
                <w:sz w:val="24"/>
                <w:szCs w:val="24"/>
              </w:rPr>
            </w:pPr>
            <w:r>
              <w:rPr>
                <w:kern w:val="0"/>
                <w:sz w:val="24"/>
                <w:szCs w:val="24"/>
              </w:rPr>
              <w:t>至少包括</w:t>
            </w:r>
            <w:r>
              <w:rPr>
                <w:rFonts w:hint="eastAsia"/>
                <w:kern w:val="0"/>
                <w:sz w:val="24"/>
                <w:szCs w:val="24"/>
              </w:rPr>
              <w:t>运维计划，确保本系统稳定运行并满足业务和技术需求；运维管理办法，确保运维流程的统一性和规范性；基础运维制度，为日常运维工作提供明确的指导和规范；问题的快速响应和处理机制，确保在关键时期能够迅速解决问题；详细的应急预案，以应对可能出现的各种紧急情况，保障系统的连续性和业务的不中断等方面内容。</w:t>
            </w:r>
          </w:p>
          <w:p w14:paraId="0C1967B1">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214C4AD8">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7174F424">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77DA0B2C">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705CAC01">
            <w:pPr>
              <w:widowControl/>
              <w:adjustRightInd w:val="0"/>
              <w:snapToGrid w:val="0"/>
              <w:rPr>
                <w:kern w:val="0"/>
                <w:sz w:val="24"/>
                <w:szCs w:val="24"/>
              </w:rPr>
            </w:pPr>
            <w:r>
              <w:rPr>
                <w:kern w:val="0"/>
                <w:sz w:val="24"/>
                <w:szCs w:val="24"/>
              </w:rPr>
              <w:t>未提供方案或不满足招标文件要求或内容存在4处及以上瑕疵：0分；</w:t>
            </w:r>
          </w:p>
          <w:p w14:paraId="49C849ED">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03F4BCF8">
            <w:pPr>
              <w:widowControl/>
              <w:adjustRightInd w:val="0"/>
              <w:snapToGrid w:val="0"/>
              <w:jc w:val="center"/>
              <w:rPr>
                <w:kern w:val="0"/>
                <w:sz w:val="24"/>
                <w:szCs w:val="24"/>
              </w:rPr>
            </w:pPr>
            <w:r>
              <w:rPr>
                <w:rFonts w:hint="eastAsia"/>
                <w:kern w:val="0"/>
                <w:sz w:val="24"/>
                <w:szCs w:val="24"/>
              </w:rPr>
              <w:t>10</w:t>
            </w:r>
          </w:p>
        </w:tc>
      </w:tr>
      <w:tr w14:paraId="5390FCB6">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488FF2B3">
            <w:pPr>
              <w:widowControl/>
              <w:adjustRightInd w:val="0"/>
              <w:snapToGrid w:val="0"/>
              <w:jc w:val="center"/>
              <w:rPr>
                <w:kern w:val="0"/>
                <w:sz w:val="24"/>
                <w:szCs w:val="24"/>
              </w:rPr>
            </w:pPr>
            <w:r>
              <w:rPr>
                <w:kern w:val="0"/>
                <w:sz w:val="24"/>
                <w:szCs w:val="24"/>
              </w:rPr>
              <w:t>3</w:t>
            </w:r>
          </w:p>
        </w:tc>
        <w:tc>
          <w:tcPr>
            <w:tcW w:w="1442" w:type="dxa"/>
            <w:tcBorders>
              <w:top w:val="single" w:color="auto" w:sz="4" w:space="0"/>
              <w:left w:val="single" w:color="auto" w:sz="4" w:space="0"/>
              <w:bottom w:val="single" w:color="auto" w:sz="4" w:space="0"/>
              <w:right w:val="single" w:color="auto" w:sz="4" w:space="0"/>
            </w:tcBorders>
            <w:vAlign w:val="center"/>
          </w:tcPr>
          <w:p w14:paraId="2F65BC5D">
            <w:pPr>
              <w:widowControl/>
              <w:adjustRightInd w:val="0"/>
              <w:snapToGrid w:val="0"/>
              <w:jc w:val="center"/>
              <w:rPr>
                <w:kern w:val="0"/>
                <w:sz w:val="24"/>
                <w:szCs w:val="24"/>
              </w:rPr>
            </w:pPr>
            <w:r>
              <w:rPr>
                <w:rFonts w:hint="eastAsia"/>
                <w:kern w:val="0"/>
                <w:sz w:val="24"/>
                <w:szCs w:val="24"/>
              </w:rPr>
              <w:t>管理实施方案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032042D5">
            <w:pPr>
              <w:widowControl/>
              <w:adjustRightInd w:val="0"/>
              <w:snapToGrid w:val="0"/>
              <w:rPr>
                <w:kern w:val="0"/>
                <w:sz w:val="24"/>
                <w:szCs w:val="24"/>
              </w:rPr>
            </w:pPr>
            <w:r>
              <w:rPr>
                <w:kern w:val="0"/>
                <w:sz w:val="24"/>
                <w:szCs w:val="24"/>
              </w:rPr>
              <w:t>至少包含</w:t>
            </w:r>
            <w:r>
              <w:rPr>
                <w:rFonts w:hint="eastAsia"/>
                <w:kern w:val="0"/>
                <w:sz w:val="24"/>
                <w:szCs w:val="24"/>
              </w:rPr>
              <w:t>组织管理、进度管理、范围管理以及项目实施过程中的实施管理、质量管理、资源管理、日常运行管理等内容。</w:t>
            </w:r>
          </w:p>
          <w:p w14:paraId="17C1520C">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04A96EB9">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6986E736">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2B4C9308">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0C6FEE63">
            <w:pPr>
              <w:widowControl/>
              <w:adjustRightInd w:val="0"/>
              <w:snapToGrid w:val="0"/>
              <w:rPr>
                <w:kern w:val="0"/>
                <w:sz w:val="24"/>
                <w:szCs w:val="24"/>
              </w:rPr>
            </w:pPr>
            <w:r>
              <w:rPr>
                <w:kern w:val="0"/>
                <w:sz w:val="24"/>
                <w:szCs w:val="24"/>
              </w:rPr>
              <w:t>未提供方案或不满足招标文件要求或内容存在4处及以上瑕疵：0分；</w:t>
            </w:r>
          </w:p>
          <w:p w14:paraId="30C01B72">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3CCDCA64">
            <w:pPr>
              <w:widowControl/>
              <w:adjustRightInd w:val="0"/>
              <w:snapToGrid w:val="0"/>
              <w:jc w:val="center"/>
              <w:rPr>
                <w:kern w:val="0"/>
                <w:sz w:val="24"/>
                <w:szCs w:val="24"/>
              </w:rPr>
            </w:pPr>
            <w:r>
              <w:rPr>
                <w:rFonts w:hint="eastAsia"/>
                <w:kern w:val="0"/>
                <w:sz w:val="24"/>
                <w:szCs w:val="24"/>
              </w:rPr>
              <w:t>10</w:t>
            </w:r>
          </w:p>
        </w:tc>
      </w:tr>
      <w:tr w14:paraId="210E9CCB">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0ADD57A">
            <w:pPr>
              <w:widowControl/>
              <w:adjustRightInd w:val="0"/>
              <w:snapToGrid w:val="0"/>
              <w:jc w:val="center"/>
              <w:rPr>
                <w:kern w:val="0"/>
                <w:sz w:val="24"/>
                <w:szCs w:val="24"/>
              </w:rPr>
            </w:pPr>
            <w:r>
              <w:rPr>
                <w:kern w:val="0"/>
                <w:sz w:val="24"/>
                <w:szCs w:val="24"/>
              </w:rPr>
              <w:t>4</w:t>
            </w:r>
          </w:p>
        </w:tc>
        <w:tc>
          <w:tcPr>
            <w:tcW w:w="1442" w:type="dxa"/>
            <w:tcBorders>
              <w:top w:val="single" w:color="auto" w:sz="4" w:space="0"/>
              <w:left w:val="single" w:color="auto" w:sz="4" w:space="0"/>
              <w:bottom w:val="single" w:color="auto" w:sz="4" w:space="0"/>
              <w:right w:val="single" w:color="auto" w:sz="4" w:space="0"/>
            </w:tcBorders>
            <w:vAlign w:val="center"/>
          </w:tcPr>
          <w:p w14:paraId="4A96CA74">
            <w:pPr>
              <w:widowControl/>
              <w:adjustRightInd w:val="0"/>
              <w:snapToGrid w:val="0"/>
              <w:jc w:val="center"/>
              <w:rPr>
                <w:kern w:val="0"/>
                <w:sz w:val="24"/>
                <w:szCs w:val="24"/>
              </w:rPr>
            </w:pPr>
            <w:r>
              <w:rPr>
                <w:rFonts w:hint="eastAsia"/>
                <w:kern w:val="0"/>
                <w:sz w:val="24"/>
                <w:szCs w:val="24"/>
              </w:rPr>
              <w:t>保密</w:t>
            </w:r>
            <w:r>
              <w:rPr>
                <w:kern w:val="0"/>
                <w:sz w:val="24"/>
                <w:szCs w:val="24"/>
              </w:rPr>
              <w:t>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48E74542">
            <w:pPr>
              <w:widowControl/>
              <w:adjustRightInd w:val="0"/>
              <w:snapToGrid w:val="0"/>
              <w:rPr>
                <w:kern w:val="0"/>
                <w:sz w:val="24"/>
                <w:szCs w:val="24"/>
              </w:rPr>
            </w:pPr>
            <w:r>
              <w:rPr>
                <w:rFonts w:hint="eastAsia"/>
                <w:kern w:val="0"/>
                <w:sz w:val="24"/>
                <w:szCs w:val="24"/>
              </w:rPr>
              <w:t>至少包含保证服务过程中有可能获取的保密信息不泄露的措施：制定保密制度、服务人员保密培训、重点岗位双人服务、泄密惩罚办法等内容。</w:t>
            </w:r>
          </w:p>
          <w:p w14:paraId="4E268207">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0C1BCA79">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7A92D2E6">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3FFBE2F8">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57B3BDDC">
            <w:pPr>
              <w:widowControl/>
              <w:adjustRightInd w:val="0"/>
              <w:snapToGrid w:val="0"/>
              <w:rPr>
                <w:kern w:val="0"/>
                <w:sz w:val="24"/>
                <w:szCs w:val="24"/>
              </w:rPr>
            </w:pPr>
            <w:r>
              <w:rPr>
                <w:kern w:val="0"/>
                <w:sz w:val="24"/>
                <w:szCs w:val="24"/>
              </w:rPr>
              <w:t>未提供方案或不满足招标文件要求或内容存在4处及以上瑕疵：0分；</w:t>
            </w:r>
          </w:p>
          <w:p w14:paraId="5AC270FA">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081ABA4B">
            <w:pPr>
              <w:widowControl/>
              <w:adjustRightInd w:val="0"/>
              <w:snapToGrid w:val="0"/>
              <w:jc w:val="center"/>
              <w:rPr>
                <w:kern w:val="0"/>
                <w:sz w:val="24"/>
                <w:szCs w:val="24"/>
              </w:rPr>
            </w:pPr>
            <w:r>
              <w:rPr>
                <w:rFonts w:hint="eastAsia"/>
                <w:kern w:val="0"/>
                <w:sz w:val="24"/>
                <w:szCs w:val="24"/>
              </w:rPr>
              <w:t>10</w:t>
            </w:r>
          </w:p>
        </w:tc>
      </w:tr>
      <w:tr w14:paraId="074BC0A5">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16FCB252">
            <w:pPr>
              <w:widowControl/>
              <w:adjustRightInd w:val="0"/>
              <w:snapToGrid w:val="0"/>
              <w:jc w:val="center"/>
              <w:rPr>
                <w:kern w:val="0"/>
                <w:sz w:val="24"/>
                <w:szCs w:val="24"/>
              </w:rPr>
            </w:pPr>
            <w:r>
              <w:rPr>
                <w:kern w:val="0"/>
                <w:sz w:val="24"/>
                <w:szCs w:val="24"/>
              </w:rPr>
              <w:t>5</w:t>
            </w:r>
          </w:p>
        </w:tc>
        <w:tc>
          <w:tcPr>
            <w:tcW w:w="1442" w:type="dxa"/>
            <w:tcBorders>
              <w:top w:val="single" w:color="auto" w:sz="4" w:space="0"/>
              <w:left w:val="single" w:color="auto" w:sz="4" w:space="0"/>
              <w:bottom w:val="single" w:color="auto" w:sz="4" w:space="0"/>
              <w:right w:val="single" w:color="auto" w:sz="4" w:space="0"/>
            </w:tcBorders>
            <w:vAlign w:val="center"/>
          </w:tcPr>
          <w:p w14:paraId="57748151">
            <w:pPr>
              <w:widowControl/>
              <w:adjustRightInd w:val="0"/>
              <w:snapToGrid w:val="0"/>
              <w:jc w:val="center"/>
              <w:rPr>
                <w:kern w:val="0"/>
                <w:sz w:val="24"/>
                <w:szCs w:val="24"/>
              </w:rPr>
            </w:pPr>
            <w:r>
              <w:rPr>
                <w:rFonts w:hint="eastAsia"/>
                <w:kern w:val="0"/>
                <w:sz w:val="24"/>
                <w:szCs w:val="24"/>
              </w:rPr>
              <w:t>知识转移方案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6C35AA45">
            <w:pPr>
              <w:widowControl/>
              <w:adjustRightInd w:val="0"/>
              <w:snapToGrid w:val="0"/>
              <w:rPr>
                <w:kern w:val="0"/>
                <w:sz w:val="24"/>
                <w:szCs w:val="24"/>
              </w:rPr>
            </w:pPr>
            <w:r>
              <w:rPr>
                <w:kern w:val="0"/>
                <w:sz w:val="24"/>
                <w:szCs w:val="24"/>
              </w:rPr>
              <w:t>至少包含</w:t>
            </w:r>
            <w:r>
              <w:rPr>
                <w:rFonts w:hint="eastAsia"/>
                <w:kern w:val="0"/>
                <w:sz w:val="24"/>
                <w:szCs w:val="24"/>
              </w:rPr>
              <w:t>转移内容、转移形式、转移要求等方面内容。</w:t>
            </w:r>
          </w:p>
          <w:p w14:paraId="6BE01B54">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3CCC6F1C">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325D4E4D">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55455A78">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5370E196">
            <w:pPr>
              <w:widowControl/>
              <w:adjustRightInd w:val="0"/>
              <w:snapToGrid w:val="0"/>
              <w:rPr>
                <w:kern w:val="0"/>
                <w:sz w:val="24"/>
                <w:szCs w:val="24"/>
              </w:rPr>
            </w:pPr>
            <w:r>
              <w:rPr>
                <w:kern w:val="0"/>
                <w:sz w:val="24"/>
                <w:szCs w:val="24"/>
              </w:rPr>
              <w:t>未提供方案或不满足招标文件要求或内容存在4处及以上瑕疵：0分；</w:t>
            </w:r>
          </w:p>
          <w:p w14:paraId="7D113A19">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730092E7">
            <w:pPr>
              <w:widowControl/>
              <w:adjustRightInd w:val="0"/>
              <w:snapToGrid w:val="0"/>
              <w:jc w:val="center"/>
              <w:rPr>
                <w:kern w:val="0"/>
                <w:sz w:val="24"/>
                <w:szCs w:val="24"/>
              </w:rPr>
            </w:pPr>
            <w:r>
              <w:rPr>
                <w:rFonts w:hint="eastAsia"/>
                <w:kern w:val="0"/>
                <w:sz w:val="24"/>
                <w:szCs w:val="24"/>
              </w:rPr>
              <w:t>10</w:t>
            </w:r>
          </w:p>
        </w:tc>
      </w:tr>
      <w:tr w14:paraId="43EC84DC">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39C38C69">
            <w:pPr>
              <w:widowControl/>
              <w:adjustRightInd w:val="0"/>
              <w:snapToGrid w:val="0"/>
              <w:jc w:val="center"/>
              <w:rPr>
                <w:kern w:val="0"/>
                <w:sz w:val="24"/>
                <w:szCs w:val="24"/>
              </w:rPr>
            </w:pPr>
            <w:r>
              <w:rPr>
                <w:kern w:val="0"/>
                <w:sz w:val="24"/>
                <w:szCs w:val="24"/>
              </w:rPr>
              <w:t>6</w:t>
            </w:r>
          </w:p>
        </w:tc>
        <w:tc>
          <w:tcPr>
            <w:tcW w:w="1442" w:type="dxa"/>
            <w:tcBorders>
              <w:top w:val="single" w:color="auto" w:sz="4" w:space="0"/>
              <w:left w:val="single" w:color="auto" w:sz="4" w:space="0"/>
              <w:bottom w:val="single" w:color="auto" w:sz="4" w:space="0"/>
              <w:right w:val="single" w:color="auto" w:sz="4" w:space="0"/>
            </w:tcBorders>
            <w:vAlign w:val="center"/>
          </w:tcPr>
          <w:p w14:paraId="3E34D663">
            <w:pPr>
              <w:widowControl/>
              <w:adjustRightInd w:val="0"/>
              <w:snapToGrid w:val="0"/>
              <w:jc w:val="center"/>
              <w:rPr>
                <w:kern w:val="0"/>
                <w:sz w:val="24"/>
                <w:szCs w:val="24"/>
              </w:rPr>
            </w:pPr>
            <w:r>
              <w:rPr>
                <w:rFonts w:hint="eastAsia"/>
                <w:kern w:val="0"/>
                <w:sz w:val="24"/>
                <w:szCs w:val="24"/>
              </w:rPr>
              <w:t>风险管控方案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7D94E445">
            <w:pPr>
              <w:widowControl/>
              <w:adjustRightInd w:val="0"/>
              <w:snapToGrid w:val="0"/>
              <w:rPr>
                <w:kern w:val="0"/>
                <w:sz w:val="24"/>
                <w:szCs w:val="24"/>
              </w:rPr>
            </w:pPr>
            <w:r>
              <w:rPr>
                <w:rFonts w:hint="eastAsia"/>
                <w:kern w:val="0"/>
                <w:sz w:val="24"/>
                <w:szCs w:val="24"/>
              </w:rPr>
              <w:t>对项目实施全过程中可能出现的风险进行全面识别与评估，至少包含业务风险、人员风险、进度风险等。基于风险评估结果，制定针对性的风险应对策略，持续监控风险状况，并根据实际情况及时完善风险应对策略，确保项目目标顺利实现</w:t>
            </w:r>
          </w:p>
          <w:p w14:paraId="1A6D2FCE">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729C1254">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2BA784EC">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7162085A">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464921AE">
            <w:pPr>
              <w:widowControl/>
              <w:adjustRightInd w:val="0"/>
              <w:snapToGrid w:val="0"/>
              <w:rPr>
                <w:kern w:val="0"/>
                <w:sz w:val="24"/>
                <w:szCs w:val="24"/>
              </w:rPr>
            </w:pPr>
            <w:r>
              <w:rPr>
                <w:kern w:val="0"/>
                <w:sz w:val="24"/>
                <w:szCs w:val="24"/>
              </w:rPr>
              <w:t>未提供方案或不满足招标文件要求或内容存在4处及以上瑕疵：0分；</w:t>
            </w:r>
          </w:p>
          <w:p w14:paraId="7B2ACB84">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3995077B">
            <w:pPr>
              <w:widowControl/>
              <w:adjustRightInd w:val="0"/>
              <w:snapToGrid w:val="0"/>
              <w:jc w:val="center"/>
              <w:rPr>
                <w:kern w:val="0"/>
                <w:sz w:val="24"/>
                <w:szCs w:val="24"/>
              </w:rPr>
            </w:pPr>
            <w:r>
              <w:rPr>
                <w:rFonts w:hint="eastAsia"/>
                <w:kern w:val="0"/>
                <w:sz w:val="24"/>
                <w:szCs w:val="24"/>
              </w:rPr>
              <w:t>10</w:t>
            </w:r>
          </w:p>
        </w:tc>
      </w:tr>
      <w:tr w14:paraId="4D8E6B6D">
        <w:trPr>
          <w:trHeight w:val="699"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1894609F">
            <w:pPr>
              <w:widowControl/>
              <w:adjustRightInd w:val="0"/>
              <w:snapToGrid w:val="0"/>
              <w:jc w:val="center"/>
              <w:rPr>
                <w:kern w:val="0"/>
                <w:sz w:val="24"/>
                <w:szCs w:val="24"/>
              </w:rPr>
            </w:pPr>
            <w:r>
              <w:rPr>
                <w:rFonts w:hint="eastAsia"/>
                <w:kern w:val="0"/>
                <w:sz w:val="24"/>
                <w:szCs w:val="24"/>
              </w:rPr>
              <w:t>7</w:t>
            </w:r>
          </w:p>
        </w:tc>
        <w:tc>
          <w:tcPr>
            <w:tcW w:w="1442" w:type="dxa"/>
            <w:tcBorders>
              <w:top w:val="single" w:color="auto" w:sz="4" w:space="0"/>
              <w:left w:val="single" w:color="auto" w:sz="4" w:space="0"/>
              <w:bottom w:val="single" w:color="auto" w:sz="4" w:space="0"/>
              <w:right w:val="single" w:color="auto" w:sz="4" w:space="0"/>
            </w:tcBorders>
            <w:vAlign w:val="center"/>
          </w:tcPr>
          <w:p w14:paraId="382A30F2">
            <w:pPr>
              <w:widowControl/>
              <w:adjustRightInd w:val="0"/>
              <w:snapToGrid w:val="0"/>
              <w:jc w:val="center"/>
              <w:rPr>
                <w:kern w:val="0"/>
                <w:sz w:val="24"/>
                <w:szCs w:val="24"/>
              </w:rPr>
            </w:pPr>
            <w:r>
              <w:rPr>
                <w:sz w:val="24"/>
              </w:rPr>
              <w:t>配合验收方案评价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1B6775E1">
            <w:pPr>
              <w:widowControl/>
              <w:adjustRightInd w:val="0"/>
              <w:snapToGrid w:val="0"/>
              <w:rPr>
                <w:kern w:val="0"/>
                <w:sz w:val="24"/>
                <w:szCs w:val="24"/>
              </w:rPr>
            </w:pPr>
            <w:r>
              <w:rPr>
                <w:rFonts w:hint="eastAsia"/>
                <w:kern w:val="0"/>
                <w:sz w:val="24"/>
                <w:szCs w:val="24"/>
              </w:rPr>
              <w:t>根据需要验收的内容，提出切实可行的验收流程。对合同规定的各项验收指标，提出明确的验收前提条件和验收依据及标准，列明需要移交和交付的各类文档及产出物。对验收中可能发现的问题，供应商应提出有效解决办法和补救措施等内容。</w:t>
            </w:r>
          </w:p>
          <w:p w14:paraId="0A2E760B">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2BB5CB50">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0C712ADC">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1539F523">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009E8EA3">
            <w:pPr>
              <w:widowControl/>
              <w:adjustRightInd w:val="0"/>
              <w:snapToGrid w:val="0"/>
              <w:rPr>
                <w:kern w:val="0"/>
                <w:sz w:val="24"/>
                <w:szCs w:val="24"/>
              </w:rPr>
            </w:pPr>
            <w:r>
              <w:rPr>
                <w:kern w:val="0"/>
                <w:sz w:val="24"/>
                <w:szCs w:val="24"/>
              </w:rPr>
              <w:t>未提供方案或不满足招标文件要求或内容存在4处及以上瑕疵：0分；</w:t>
            </w:r>
          </w:p>
          <w:p w14:paraId="2F60C836">
            <w:pPr>
              <w:widowControl/>
              <w:adjustRightInd w:val="0"/>
              <w:snapToGrid w:val="0"/>
              <w:rPr>
                <w:sz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62A2D9F7">
            <w:pPr>
              <w:widowControl/>
              <w:adjustRightInd w:val="0"/>
              <w:snapToGrid w:val="0"/>
              <w:jc w:val="center"/>
              <w:rPr>
                <w:kern w:val="0"/>
                <w:sz w:val="24"/>
                <w:szCs w:val="24"/>
              </w:rPr>
            </w:pPr>
            <w:r>
              <w:rPr>
                <w:rFonts w:hint="eastAsia"/>
                <w:kern w:val="0"/>
                <w:sz w:val="24"/>
                <w:szCs w:val="24"/>
              </w:rPr>
              <w:t>10</w:t>
            </w:r>
          </w:p>
        </w:tc>
      </w:tr>
      <w:tr w14:paraId="5107F398">
        <w:trPr>
          <w:trHeight w:val="509"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62CBA190">
            <w:pPr>
              <w:widowControl/>
              <w:adjustRightInd w:val="0"/>
              <w:snapToGrid w:val="0"/>
              <w:jc w:val="center"/>
              <w:rPr>
                <w:sz w:val="24"/>
              </w:rPr>
            </w:pPr>
            <w:r>
              <w:rPr>
                <w:sz w:val="24"/>
              </w:rPr>
              <w:t>合计</w:t>
            </w:r>
          </w:p>
        </w:tc>
        <w:tc>
          <w:tcPr>
            <w:tcW w:w="1143" w:type="dxa"/>
            <w:tcBorders>
              <w:top w:val="single" w:color="auto" w:sz="4" w:space="0"/>
              <w:left w:val="single" w:color="auto" w:sz="4" w:space="0"/>
              <w:bottom w:val="single" w:color="auto" w:sz="4" w:space="0"/>
              <w:right w:val="single" w:color="auto" w:sz="4" w:space="0"/>
            </w:tcBorders>
            <w:vAlign w:val="center"/>
          </w:tcPr>
          <w:p w14:paraId="08CA0ADD">
            <w:pPr>
              <w:widowControl/>
              <w:adjustRightInd w:val="0"/>
              <w:snapToGrid w:val="0"/>
              <w:jc w:val="center"/>
              <w:rPr>
                <w:kern w:val="0"/>
                <w:sz w:val="24"/>
                <w:szCs w:val="24"/>
              </w:rPr>
            </w:pPr>
            <w:r>
              <w:rPr>
                <w:kern w:val="0"/>
                <w:sz w:val="24"/>
                <w:szCs w:val="24"/>
              </w:rPr>
              <w:t>100</w:t>
            </w:r>
          </w:p>
        </w:tc>
      </w:tr>
    </w:tbl>
    <w:p w14:paraId="1EE7238D">
      <w:pPr>
        <w:spacing w:line="360" w:lineRule="auto"/>
        <w:ind w:firstLine="448" w:firstLineChars="200"/>
        <w:outlineLvl w:val="0"/>
        <w:rPr>
          <w:sz w:val="24"/>
        </w:rPr>
      </w:pPr>
      <w:r>
        <w:rPr>
          <w:sz w:val="24"/>
        </w:rPr>
        <w:t>四、投标文件内容要求</w:t>
      </w:r>
    </w:p>
    <w:p w14:paraId="5D6264A4">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4E291169">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53F6C1A4">
      <w:pPr>
        <w:widowControl/>
        <w:jc w:val="left"/>
        <w:rPr>
          <w:b/>
          <w:sz w:val="24"/>
        </w:rPr>
      </w:pPr>
      <w:r>
        <w:rPr>
          <w:b/>
          <w:sz w:val="24"/>
        </w:rPr>
        <w:br w:type="page"/>
      </w:r>
    </w:p>
    <w:p w14:paraId="4040D384">
      <w:pPr>
        <w:spacing w:line="360" w:lineRule="auto"/>
        <w:ind w:firstLine="448" w:firstLineChars="200"/>
        <w:jc w:val="center"/>
        <w:outlineLvl w:val="0"/>
        <w:rPr>
          <w:b/>
          <w:sz w:val="24"/>
        </w:rPr>
      </w:pPr>
      <w:r>
        <w:rPr>
          <w:b/>
          <w:sz w:val="24"/>
        </w:rPr>
        <w:t>项目需求书</w:t>
      </w:r>
    </w:p>
    <w:p w14:paraId="1CE789DC">
      <w:pPr>
        <w:spacing w:line="360" w:lineRule="auto"/>
        <w:ind w:firstLine="448" w:firstLineChars="200"/>
        <w:outlineLvl w:val="0"/>
        <w:rPr>
          <w:sz w:val="24"/>
        </w:rPr>
      </w:pPr>
      <w:r>
        <w:rPr>
          <w:rFonts w:hint="eastAsia"/>
          <w:sz w:val="24"/>
        </w:rPr>
        <w:t>本项目属于软件和信息技术服务业</w:t>
      </w:r>
    </w:p>
    <w:p w14:paraId="40968482">
      <w:pPr>
        <w:spacing w:line="360" w:lineRule="auto"/>
        <w:ind w:firstLine="448" w:firstLineChars="200"/>
        <w:outlineLvl w:val="0"/>
        <w:rPr>
          <w:sz w:val="24"/>
        </w:rPr>
      </w:pPr>
      <w:r>
        <w:rPr>
          <w:sz w:val="24"/>
        </w:rPr>
        <w:t>一、项目背景</w:t>
      </w:r>
    </w:p>
    <w:p w14:paraId="0423D3E9">
      <w:pPr>
        <w:spacing w:line="360" w:lineRule="auto"/>
        <w:ind w:firstLine="448" w:firstLineChars="200"/>
        <w:outlineLvl w:val="0"/>
        <w:rPr>
          <w:sz w:val="24"/>
        </w:rPr>
      </w:pPr>
      <w:r>
        <w:rPr>
          <w:rFonts w:hint="eastAsia"/>
          <w:sz w:val="24"/>
        </w:rPr>
        <w:t>1.税务人端慧办平台是采购人税收业务类核心系统之一，承担了采购人智能化创新业务场景、数字化转型业务处理及工作场景创新等方面工作。智能化创新业务场景是指按照智慧税务要求，通过对业务事项的组合，形成的各类综合性办税场景；数字化转型的业务处理包括信息报告、税费服务、税务监管、税收执法、其他事项等五个业务域事项；工作场景创新，是通过系统集成和任务管理，实现跨系统、跨层级、跨业务的多场景税务工作管理和任务协同，为税务人提供自主推送任务、自控监督履责、自动考核考评管理。</w:t>
      </w:r>
    </w:p>
    <w:p w14:paraId="6884B700">
      <w:pPr>
        <w:spacing w:line="360" w:lineRule="auto"/>
        <w:ind w:firstLine="448" w:firstLineChars="200"/>
        <w:outlineLvl w:val="0"/>
        <w:rPr>
          <w:sz w:val="24"/>
        </w:rPr>
      </w:pPr>
      <w:r>
        <w:rPr>
          <w:rFonts w:hint="eastAsia"/>
          <w:sz w:val="24"/>
        </w:rPr>
        <w:t>2.决策指挥视频融合系统是采购人税收行政类核心系统之一，承担了采购人三直能力、参考信息和指挥管理业务，包括直连现场、直达单兵、直视税局、悉税情、识风险、看世界、判大势等功能。</w:t>
      </w:r>
    </w:p>
    <w:p w14:paraId="3D8A28D8">
      <w:pPr>
        <w:spacing w:line="360" w:lineRule="auto"/>
        <w:ind w:firstLine="448" w:firstLineChars="200"/>
        <w:outlineLvl w:val="0"/>
        <w:rPr>
          <w:sz w:val="24"/>
        </w:rPr>
      </w:pPr>
      <w:r>
        <w:rPr>
          <w:rFonts w:hint="eastAsia"/>
          <w:sz w:val="24"/>
        </w:rPr>
        <w:t>为保障上述系统安全平稳运行，提高运维技术水平，更好地为纳税人和税务人提供服务，确保各类运维问题及时响应和有效解决，须开展该系统运行维护项目采购。二、项目建设思路</w:t>
      </w:r>
    </w:p>
    <w:p w14:paraId="7F2C22D3">
      <w:pPr>
        <w:spacing w:line="360" w:lineRule="auto"/>
        <w:ind w:firstLine="448" w:firstLineChars="200"/>
        <w:outlineLvl w:val="0"/>
        <w:rPr>
          <w:sz w:val="24"/>
        </w:rPr>
      </w:pPr>
      <w:r>
        <w:rPr>
          <w:rFonts w:hint="eastAsia"/>
          <w:sz w:val="24"/>
        </w:rPr>
        <w:t>确保本项目涉及采购金税四期税务人端慧办平台、决策指挥视频融合系统等系统得到及时、高效、全方位的售后服务与技术支持，组建本系统业务和技术支持团队，为采购人提供优质的本地化运维服务，服从采购人的统一调度与管理，确保本系统7×24小时稳定高效运行。</w:t>
      </w:r>
    </w:p>
    <w:p w14:paraId="56495D19">
      <w:pPr>
        <w:spacing w:line="360" w:lineRule="auto"/>
        <w:ind w:firstLine="448" w:firstLineChars="200"/>
        <w:outlineLvl w:val="0"/>
        <w:rPr>
          <w:sz w:val="24"/>
        </w:rPr>
      </w:pPr>
      <w:r>
        <w:rPr>
          <w:rFonts w:hint="eastAsia"/>
          <w:sz w:val="24"/>
        </w:rPr>
        <w:t>三、采购内容</w:t>
      </w:r>
    </w:p>
    <w:p w14:paraId="4E86F207">
      <w:pPr>
        <w:spacing w:line="360" w:lineRule="auto"/>
        <w:ind w:firstLine="448" w:firstLineChars="200"/>
        <w:outlineLvl w:val="0"/>
        <w:rPr>
          <w:sz w:val="24"/>
        </w:rPr>
      </w:pPr>
      <w:r>
        <w:rPr>
          <w:rFonts w:hint="eastAsia"/>
          <w:sz w:val="24"/>
        </w:rPr>
        <w:t>本项目涉及采购金税四期税务人端慧办平台、决策指挥视频融合系统等系统运行维护服务。合计购买不少于12000工时的运维服务，其中高级岗位不少于3000工时，中级岗位不少于3000工时，初级岗位不少于3000工时，其他岗位不少于3000工时，服务期限为合同规定的服务起始之日起6个月的服务期。</w:t>
      </w:r>
    </w:p>
    <w:p w14:paraId="1C39E1A1">
      <w:pPr>
        <w:spacing w:line="360" w:lineRule="auto"/>
        <w:ind w:firstLine="448" w:firstLineChars="200"/>
        <w:outlineLvl w:val="0"/>
        <w:rPr>
          <w:sz w:val="24"/>
        </w:rPr>
      </w:pPr>
      <w:r>
        <w:rPr>
          <w:rFonts w:hint="eastAsia"/>
          <w:sz w:val="24"/>
        </w:rPr>
        <w:t>其中税务人端慧办平台（税费服务、信息报告、其他事项等）部分占比21.6%，税务人端慧办平台（非正常户动态管理、委托代征、三代手续费、门户卡片及任务统筹等）部分占比34.3%，税务人端慧办平台（创新场景税收优惠日常、破产企业管理、延期缴纳税款管理、数据赋能慧看、慧干、慧算等）部分占比34.3%，决策指挥视频融合系统部分占比9.8%。</w:t>
      </w:r>
    </w:p>
    <w:p w14:paraId="3550F1FC">
      <w:pPr>
        <w:spacing w:line="360" w:lineRule="auto"/>
        <w:ind w:firstLine="448" w:firstLineChars="200"/>
        <w:outlineLvl w:val="0"/>
        <w:rPr>
          <w:sz w:val="24"/>
        </w:rPr>
      </w:pPr>
      <w:r>
        <w:rPr>
          <w:rFonts w:hint="eastAsia"/>
          <w:sz w:val="24"/>
        </w:rPr>
        <w:t>按照总局和市局的要求，对本项目涉及系统提供业务和技术支持服务，对可能发生的异常做到科学预判，对已经发生的问题做到及时处理，对已经解决的问题做到分析总结，定期出具系统运行维护报告。业务支持服务包括特有业务运维服务、业务参数变更、业务逻辑分析、业务问题处理、后台数据运维、运维知识库管理、数据统计分析以及其他业务运维工作。技术支持服务包括特有技术运维服务、运行监控、健康检查、风险排查、安全加固、系统优化、补丁升级、重大时期运行保障、故障处理、紧急情况处置、周边系统对接、系统联调测试、技术问题管理、系统迁移、系统备份与恢复以及其他技术运维工作。</w:t>
      </w:r>
    </w:p>
    <w:p w14:paraId="51FA289C">
      <w:pPr>
        <w:spacing w:line="360" w:lineRule="auto"/>
        <w:ind w:firstLine="448" w:firstLineChars="200"/>
        <w:outlineLvl w:val="0"/>
        <w:rPr>
          <w:sz w:val="24"/>
        </w:rPr>
      </w:pPr>
      <w:r>
        <w:rPr>
          <w:rFonts w:hint="eastAsia"/>
          <w:sz w:val="24"/>
        </w:rPr>
        <w:t>四、实施范围要求</w:t>
      </w:r>
    </w:p>
    <w:p w14:paraId="20364863">
      <w:pPr>
        <w:spacing w:line="360" w:lineRule="auto"/>
        <w:ind w:firstLine="448" w:firstLineChars="200"/>
        <w:outlineLvl w:val="0"/>
        <w:rPr>
          <w:sz w:val="24"/>
        </w:rPr>
      </w:pPr>
      <w:r>
        <w:rPr>
          <w:rFonts w:hint="eastAsia"/>
          <w:sz w:val="24"/>
        </w:rPr>
        <w:t>本项目涉及采购金税四期税务人端慧办平台、决策指挥视频融合系统等系统运行维护服务。</w:t>
      </w:r>
    </w:p>
    <w:p w14:paraId="49639671">
      <w:pPr>
        <w:spacing w:line="360" w:lineRule="auto"/>
        <w:ind w:firstLine="448" w:firstLineChars="200"/>
        <w:outlineLvl w:val="0"/>
        <w:rPr>
          <w:sz w:val="24"/>
        </w:rPr>
      </w:pPr>
      <w:r>
        <w:rPr>
          <w:rFonts w:hint="eastAsia"/>
          <w:sz w:val="24"/>
        </w:rPr>
        <w:t>1.税务人端慧办平台</w:t>
      </w:r>
    </w:p>
    <w:p w14:paraId="201ECF66">
      <w:pPr>
        <w:spacing w:line="360" w:lineRule="auto"/>
        <w:ind w:firstLine="448" w:firstLineChars="200"/>
        <w:outlineLvl w:val="0"/>
        <w:rPr>
          <w:sz w:val="24"/>
        </w:rPr>
      </w:pPr>
      <w:r>
        <w:rPr>
          <w:rFonts w:hint="eastAsia"/>
          <w:sz w:val="24"/>
        </w:rPr>
        <w:t>税务人端慧办平台包括生产环境和预生产环境，共使用68台服务器，包括生产服务器48台、预生产服务器20台，含应用服务器40台、数据库服务器28台。该系统目前规划建设功能363个，包含25个业务场景模块335个场景功能，18个数据赋能功能，智能创新场景、数字化转型业务、智能工作场景等5个公共功能等。主要功能包括欠税综合治理、文书管理、调查巡查事项、税费退还管理、非正常户管理、跨区域涉税事项管理、税收优惠日常管理、破产企业管理、任务统筹、税费种认定、委托代征综合监管、现金税费征缴场景、注销管理、延期缴纳税款管理、未办税户管理、行政处罚管理、慧办平台门户、三代手续费管理、个体户定额智能核定、六员综合管理、公示公告管理、代开发票管理等功能。</w:t>
      </w:r>
    </w:p>
    <w:p w14:paraId="474B2288">
      <w:pPr>
        <w:spacing w:line="360" w:lineRule="auto"/>
        <w:ind w:firstLine="448" w:firstLineChars="200"/>
        <w:outlineLvl w:val="0"/>
        <w:rPr>
          <w:sz w:val="24"/>
        </w:rPr>
      </w:pPr>
      <w:r>
        <w:rPr>
          <w:rFonts w:hint="eastAsia"/>
          <w:sz w:val="24"/>
        </w:rPr>
        <w:t>税务人端慧办平台周边对接系统主要包括全国统一规范电子税务局、电子发票服务平台、征纳互动服务、统一身份管理平台、数据（公共）支撑服务平台、核心征管系统等。</w:t>
      </w:r>
    </w:p>
    <w:p w14:paraId="739858FD">
      <w:pPr>
        <w:spacing w:line="360" w:lineRule="auto"/>
        <w:ind w:firstLine="448" w:firstLineChars="200"/>
        <w:outlineLvl w:val="0"/>
        <w:rPr>
          <w:sz w:val="24"/>
        </w:rPr>
      </w:pPr>
      <w:r>
        <w:rPr>
          <w:rFonts w:hint="eastAsia"/>
          <w:sz w:val="24"/>
        </w:rPr>
        <w:t>2.决策指挥视频融合系统</w:t>
      </w:r>
    </w:p>
    <w:p w14:paraId="43CF46B1">
      <w:pPr>
        <w:spacing w:line="360" w:lineRule="auto"/>
        <w:ind w:firstLine="448" w:firstLineChars="200"/>
        <w:outlineLvl w:val="0"/>
        <w:rPr>
          <w:sz w:val="24"/>
        </w:rPr>
      </w:pPr>
      <w:r>
        <w:rPr>
          <w:rFonts w:hint="eastAsia"/>
          <w:sz w:val="24"/>
        </w:rPr>
        <w:t>决策指挥视频融合系统生产环境共使用8台服务器，均为应用服务器。该系统主要有三直能力、参考信息和指挥管理等业务模块，主要包括直连现场、直达单兵、直视税局、悉税情、识风险、看世界、判大势等功能。</w:t>
      </w:r>
    </w:p>
    <w:p w14:paraId="3C9ABF2E">
      <w:pPr>
        <w:spacing w:line="360" w:lineRule="auto"/>
        <w:ind w:firstLine="448" w:firstLineChars="200"/>
        <w:outlineLvl w:val="0"/>
        <w:rPr>
          <w:sz w:val="24"/>
        </w:rPr>
      </w:pPr>
      <w:r>
        <w:rPr>
          <w:rFonts w:hint="eastAsia"/>
          <w:sz w:val="24"/>
        </w:rPr>
        <w:t>决策指挥视频融合系统周边对接系统主要包括总局大数据云平台、数据（公共）支撑服务平台、电子发票服务平台等系统。</w:t>
      </w:r>
    </w:p>
    <w:p w14:paraId="335536F1">
      <w:pPr>
        <w:spacing w:line="360" w:lineRule="auto"/>
        <w:ind w:firstLine="448" w:firstLineChars="200"/>
        <w:outlineLvl w:val="0"/>
        <w:rPr>
          <w:sz w:val="24"/>
        </w:rPr>
      </w:pPr>
      <w:r>
        <w:rPr>
          <w:rFonts w:hint="eastAsia"/>
          <w:sz w:val="24"/>
        </w:rPr>
        <w:t>五、系统情况</w:t>
      </w:r>
    </w:p>
    <w:p w14:paraId="5492A205">
      <w:pPr>
        <w:spacing w:line="360" w:lineRule="auto"/>
        <w:ind w:firstLine="448" w:firstLineChars="200"/>
        <w:outlineLvl w:val="0"/>
        <w:rPr>
          <w:sz w:val="24"/>
        </w:rPr>
      </w:pPr>
      <w:r>
        <w:rPr>
          <w:rFonts w:hint="eastAsia"/>
          <w:sz w:val="24"/>
        </w:rPr>
        <w:t>（一）现有软件系统的主要功能</w:t>
      </w:r>
    </w:p>
    <w:p w14:paraId="444B2DE4">
      <w:pPr>
        <w:spacing w:line="360" w:lineRule="auto"/>
        <w:ind w:firstLine="448" w:firstLineChars="200"/>
        <w:outlineLvl w:val="0"/>
        <w:rPr>
          <w:sz w:val="24"/>
        </w:rPr>
      </w:pPr>
      <w:r>
        <w:rPr>
          <w:rFonts w:hint="eastAsia"/>
          <w:sz w:val="24"/>
        </w:rPr>
        <w:t>本项目涉及采购金税四期税务人端慧办平台、决策指挥视频融合系统等系统运行维护服务。</w:t>
      </w:r>
    </w:p>
    <w:p w14:paraId="6A7576AC">
      <w:pPr>
        <w:spacing w:line="360" w:lineRule="auto"/>
        <w:ind w:firstLine="448" w:firstLineChars="200"/>
        <w:outlineLvl w:val="0"/>
        <w:rPr>
          <w:sz w:val="24"/>
        </w:rPr>
      </w:pPr>
      <w:r>
        <w:rPr>
          <w:rFonts w:hint="eastAsia"/>
          <w:sz w:val="24"/>
        </w:rPr>
        <w:t>1.税务人端慧办平台是采购人税收业务类核心系统之一，承担了采购人智能化创新业务场景、数字化转型业务处理及工作场景创新等方面工作。智能化创新业务场景是指按照智慧税务要求，通过对业务事项的组合，形成的各类综合性办税场景；数字化转型的业务处理包括信息报告、税费服务、税务监管、税收执法、其他事项等五个业务域事项；工作场景创新，是通过系统集成和任务管理，实现跨系统、跨层级、跨业务的多场景税务工作管理和任务协同，为税务人提供自主推送任务、自控监督履责、自动考核考评管理。</w:t>
      </w:r>
    </w:p>
    <w:p w14:paraId="0347CE5F">
      <w:pPr>
        <w:spacing w:line="360" w:lineRule="auto"/>
        <w:ind w:firstLine="448" w:firstLineChars="200"/>
        <w:outlineLvl w:val="0"/>
        <w:rPr>
          <w:sz w:val="24"/>
        </w:rPr>
      </w:pPr>
      <w:r>
        <w:rPr>
          <w:rFonts w:hint="eastAsia"/>
          <w:sz w:val="24"/>
        </w:rPr>
        <w:t>2.决策指挥视频融合系统是采购人税收行政类核心系统之一，承担了采购人三直能力、参考信息和指挥管理业务，包括直连现场、直达单兵、直视税局、悉税情、识风险、看世界、判大势等功能。</w:t>
      </w:r>
    </w:p>
    <w:p w14:paraId="1324F9F4">
      <w:pPr>
        <w:spacing w:line="360" w:lineRule="auto"/>
        <w:ind w:firstLine="448" w:firstLineChars="200"/>
        <w:outlineLvl w:val="0"/>
        <w:rPr>
          <w:sz w:val="24"/>
        </w:rPr>
      </w:pPr>
      <w:r>
        <w:rPr>
          <w:rFonts w:hint="eastAsia"/>
          <w:sz w:val="24"/>
        </w:rPr>
        <w:t>（二）业务和技术体系架构及部署</w:t>
      </w:r>
    </w:p>
    <w:p w14:paraId="568DA1BE">
      <w:pPr>
        <w:spacing w:line="360" w:lineRule="auto"/>
        <w:ind w:firstLine="448" w:firstLineChars="200"/>
        <w:outlineLvl w:val="0"/>
        <w:rPr>
          <w:sz w:val="24"/>
        </w:rPr>
      </w:pPr>
      <w:r>
        <w:rPr>
          <w:rFonts w:hint="eastAsia"/>
          <w:sz w:val="24"/>
        </w:rPr>
        <w:t>1.税务人端慧办平台</w:t>
      </w:r>
    </w:p>
    <w:p w14:paraId="14EF089D">
      <w:pPr>
        <w:spacing w:line="360" w:lineRule="auto"/>
        <w:ind w:firstLine="448" w:firstLineChars="200"/>
        <w:outlineLvl w:val="0"/>
        <w:rPr>
          <w:sz w:val="24"/>
        </w:rPr>
      </w:pPr>
      <w:r>
        <w:rPr>
          <w:rFonts w:hint="eastAsia"/>
          <w:sz w:val="24"/>
        </w:rPr>
        <w:t>税务人端慧办平台包括生产环境和预生产环境，共使用68台服务器，包括生产服务器48台、预生产服务器20台，含应用服务器40台、数据库服务器28台。该系统目前规划建设功能363个，包含25个业务场景模块335个场景功能，18个数据赋能功能，智能创新场景、数字化转型业务、智能工作场景等5个公共功能等。主要功能包括欠税综合治理、文书管理、调查巡查事项、税费退还管理、非正常户管理、跨区域涉税事项管理、税收优惠日常管理、破产企业管理、任务统筹、税费种认定、委托代征综合监管、现金税费征缴场景、注销管理、延期缴纳税款管理、未办税户管理、行政处罚管理、慧办平台门户、三代手续费管理、个体户定额智能核定、六员综合管理、公示公告管理、代开发票管理等功能。</w:t>
      </w:r>
    </w:p>
    <w:p w14:paraId="67CBE61C">
      <w:pPr>
        <w:spacing w:line="360" w:lineRule="auto"/>
        <w:ind w:firstLine="448" w:firstLineChars="200"/>
        <w:outlineLvl w:val="0"/>
        <w:rPr>
          <w:sz w:val="24"/>
        </w:rPr>
      </w:pPr>
      <w:r>
        <w:rPr>
          <w:rFonts w:hint="eastAsia"/>
          <w:sz w:val="24"/>
        </w:rPr>
        <w:t>税务人端慧办平台周边对接系统主要包括全国统一规范电子税务局、电子发票服务平台、征纳互动服务、统一身份管理平台、数据（公共）支撑服务平台、核心征管系统等。</w:t>
      </w:r>
    </w:p>
    <w:p w14:paraId="1AA383F4">
      <w:pPr>
        <w:spacing w:line="360" w:lineRule="auto"/>
        <w:ind w:firstLine="448" w:firstLineChars="200"/>
        <w:outlineLvl w:val="0"/>
        <w:rPr>
          <w:sz w:val="24"/>
        </w:rPr>
      </w:pPr>
      <w:r>
        <w:rPr>
          <w:rFonts w:hint="eastAsia"/>
          <w:sz w:val="24"/>
        </w:rPr>
        <w:t>2.决策指挥视频融合系统</w:t>
      </w:r>
    </w:p>
    <w:p w14:paraId="32D5B327">
      <w:pPr>
        <w:spacing w:line="360" w:lineRule="auto"/>
        <w:ind w:firstLine="448" w:firstLineChars="200"/>
        <w:outlineLvl w:val="0"/>
        <w:rPr>
          <w:sz w:val="24"/>
        </w:rPr>
      </w:pPr>
      <w:r>
        <w:rPr>
          <w:rFonts w:hint="eastAsia"/>
          <w:sz w:val="24"/>
        </w:rPr>
        <w:t>决策指挥视频融合系统生产环境共使用8台服务器，均为应用服务器。该系统主要有三直能力、参考信息和指挥管理等业务模块，主要包括直连现场、直达单兵、直视税局、悉税情、识风险、看世界、判大势等功能。</w:t>
      </w:r>
    </w:p>
    <w:p w14:paraId="3A831C6E">
      <w:pPr>
        <w:spacing w:line="360" w:lineRule="auto"/>
        <w:ind w:firstLine="448" w:firstLineChars="200"/>
        <w:outlineLvl w:val="0"/>
        <w:rPr>
          <w:sz w:val="24"/>
        </w:rPr>
      </w:pPr>
      <w:r>
        <w:rPr>
          <w:rFonts w:hint="eastAsia"/>
          <w:sz w:val="24"/>
        </w:rPr>
        <w:t>决策指挥视频融合系统周边对接系统主要包括总局大数据云平台、数据（公共）支撑服务平台、电子发票服务平台等系统。</w:t>
      </w:r>
    </w:p>
    <w:p w14:paraId="4203C885">
      <w:pPr>
        <w:spacing w:line="360" w:lineRule="auto"/>
        <w:ind w:firstLine="448" w:firstLineChars="200"/>
        <w:outlineLvl w:val="0"/>
        <w:rPr>
          <w:sz w:val="24"/>
        </w:rPr>
      </w:pPr>
      <w:r>
        <w:rPr>
          <w:rFonts w:hint="eastAsia"/>
          <w:sz w:val="24"/>
        </w:rPr>
        <w:t>六、总体要求</w:t>
      </w:r>
    </w:p>
    <w:p w14:paraId="06AB6F24">
      <w:pPr>
        <w:spacing w:line="360" w:lineRule="auto"/>
        <w:ind w:firstLine="448" w:firstLineChars="200"/>
        <w:outlineLvl w:val="0"/>
        <w:rPr>
          <w:sz w:val="24"/>
        </w:rPr>
      </w:pPr>
      <w:r>
        <w:rPr>
          <w:rFonts w:hint="eastAsia"/>
          <w:sz w:val="24"/>
        </w:rPr>
        <w:t>供应商按采购人需求组建本项目涉及系统运维团队提供运维支持服务，在采购人运维统筹机制下开展工作，提供与支持服务人员配套的内部支持体系，以确保现场支持工作有效进行，保证服务质量。运维人员依托运维平台、热线电话等渠道，及时解决纳税人和税务人员在操作本系统中遇到的各种操作类、数据类问题，为协调解决各种政策调整和业务流程之间的矛盾提供支持，全面保障本系统内部各项事务性工作的高效稳定运行。</w:t>
      </w:r>
    </w:p>
    <w:p w14:paraId="125B231D">
      <w:pPr>
        <w:spacing w:line="360" w:lineRule="auto"/>
        <w:ind w:firstLine="448" w:firstLineChars="200"/>
        <w:outlineLvl w:val="0"/>
        <w:rPr>
          <w:sz w:val="24"/>
        </w:rPr>
      </w:pPr>
      <w:r>
        <w:rPr>
          <w:rFonts w:hint="eastAsia"/>
          <w:sz w:val="24"/>
        </w:rPr>
        <w:t>按照总局和市局的要求，供应商对本系统提供业务和技术支持服务，对可能发生的异常做到科学预判，对已经发生的问题做到及时处理，对已经解决的问题做到分析总结，定期出具系统运行维护报告。业务支持服务包括特有业务运维服务、业务参数变更、业务逻辑分析、业务问题处理、后台数据运维、运维知识库管理、数据统计分析以及其他业务运维工作。技术支持服务包括特有技术运维服务、运行监控、健康检查、风险排查、安全加固、系统优化、补丁升级、重大时期运行保障、故障处理、紧急情况处置、周边系统对接、系统联调测试、技术问题管理、系统迁移、系统备份与恢复以及其他技术运维工作。</w:t>
      </w:r>
    </w:p>
    <w:p w14:paraId="4D1B628A">
      <w:pPr>
        <w:spacing w:line="360" w:lineRule="auto"/>
        <w:ind w:firstLine="448" w:firstLineChars="200"/>
        <w:outlineLvl w:val="0"/>
        <w:rPr>
          <w:sz w:val="24"/>
        </w:rPr>
      </w:pPr>
      <w:r>
        <w:rPr>
          <w:rFonts w:hint="eastAsia"/>
          <w:sz w:val="24"/>
        </w:rPr>
        <w:t>七、具体要求</w:t>
      </w:r>
    </w:p>
    <w:p w14:paraId="2D292C01">
      <w:pPr>
        <w:spacing w:line="360" w:lineRule="auto"/>
        <w:ind w:firstLine="448" w:firstLineChars="200"/>
        <w:outlineLvl w:val="0"/>
        <w:rPr>
          <w:sz w:val="24"/>
        </w:rPr>
      </w:pPr>
      <w:r>
        <w:rPr>
          <w:rFonts w:hint="eastAsia"/>
          <w:sz w:val="24"/>
        </w:rPr>
        <w:t>（一）业务运维部分</w:t>
      </w:r>
    </w:p>
    <w:p w14:paraId="5C8F21A0">
      <w:pPr>
        <w:spacing w:line="360" w:lineRule="auto"/>
        <w:ind w:firstLine="448" w:firstLineChars="200"/>
        <w:outlineLvl w:val="0"/>
        <w:rPr>
          <w:sz w:val="24"/>
        </w:rPr>
      </w:pPr>
      <w:r>
        <w:rPr>
          <w:rFonts w:hint="eastAsia"/>
          <w:sz w:val="24"/>
        </w:rPr>
        <w:t>1. 日常运维</w:t>
      </w:r>
    </w:p>
    <w:p w14:paraId="67F08D39">
      <w:pPr>
        <w:spacing w:line="360" w:lineRule="auto"/>
        <w:ind w:firstLine="448" w:firstLineChars="200"/>
        <w:outlineLvl w:val="0"/>
        <w:rPr>
          <w:sz w:val="24"/>
        </w:rPr>
      </w:pPr>
      <w:r>
        <w:rPr>
          <w:rFonts w:hint="eastAsia"/>
          <w:sz w:val="24"/>
        </w:rPr>
        <w:t>⑴运维方式</w:t>
      </w:r>
    </w:p>
    <w:p w14:paraId="2EAAC9DB">
      <w:pPr>
        <w:spacing w:line="360" w:lineRule="auto"/>
        <w:ind w:firstLine="448" w:firstLineChars="200"/>
        <w:outlineLvl w:val="0"/>
        <w:rPr>
          <w:sz w:val="24"/>
        </w:rPr>
      </w:pPr>
      <w:r>
        <w:rPr>
          <w:rFonts w:hint="eastAsia"/>
          <w:sz w:val="24"/>
        </w:rPr>
        <w:t>对本项目系统提供日常运维服务，日常运维的服务方式，包括但不限于热线电话、即时通讯软件、运维平台、线上线下会议等。</w:t>
      </w:r>
    </w:p>
    <w:p w14:paraId="148E680F">
      <w:pPr>
        <w:spacing w:line="360" w:lineRule="auto"/>
        <w:ind w:firstLine="448" w:firstLineChars="200"/>
        <w:outlineLvl w:val="0"/>
        <w:rPr>
          <w:sz w:val="24"/>
        </w:rPr>
      </w:pPr>
      <w:r>
        <w:rPr>
          <w:rFonts w:hint="eastAsia"/>
          <w:sz w:val="24"/>
        </w:rPr>
        <w:t>①在线支持：主要通过电话、即时通讯软件对采购人各部门用户提报的服务请求进行快速响应和答复。</w:t>
      </w:r>
    </w:p>
    <w:p w14:paraId="084CD125">
      <w:pPr>
        <w:spacing w:line="360" w:lineRule="auto"/>
        <w:ind w:firstLine="448" w:firstLineChars="200"/>
        <w:outlineLvl w:val="0"/>
        <w:rPr>
          <w:sz w:val="24"/>
        </w:rPr>
      </w:pPr>
      <w:r>
        <w:rPr>
          <w:rFonts w:hint="eastAsia"/>
          <w:sz w:val="24"/>
        </w:rPr>
        <w:t>②运维平台：通过采购人指定的运维管理平台回答和处理本项目系统相关问题，或通过税务系统内部网络，远程监控、诊断和解决用户提出的问题和故障。</w:t>
      </w:r>
    </w:p>
    <w:p w14:paraId="7C118F34">
      <w:pPr>
        <w:spacing w:line="360" w:lineRule="auto"/>
        <w:ind w:firstLine="448" w:firstLineChars="200"/>
        <w:outlineLvl w:val="0"/>
        <w:rPr>
          <w:sz w:val="24"/>
        </w:rPr>
      </w:pPr>
      <w:r>
        <w:rPr>
          <w:rFonts w:hint="eastAsia"/>
          <w:sz w:val="24"/>
        </w:rPr>
        <w:t>③其他日常运维：根据采购人要求或供应商申请，并经采购人审核同意的其他服务方式。</w:t>
      </w:r>
    </w:p>
    <w:p w14:paraId="5EDCC1BA">
      <w:pPr>
        <w:spacing w:line="360" w:lineRule="auto"/>
        <w:ind w:firstLine="448" w:firstLineChars="200"/>
        <w:outlineLvl w:val="0"/>
        <w:rPr>
          <w:sz w:val="24"/>
        </w:rPr>
      </w:pPr>
      <w:r>
        <w:rPr>
          <w:rFonts w:hint="eastAsia"/>
          <w:sz w:val="24"/>
        </w:rPr>
        <w:t>⑵工作内容</w:t>
      </w:r>
    </w:p>
    <w:p w14:paraId="08F8F7A7">
      <w:pPr>
        <w:spacing w:line="360" w:lineRule="auto"/>
        <w:ind w:firstLine="448" w:firstLineChars="200"/>
        <w:outlineLvl w:val="0"/>
        <w:rPr>
          <w:sz w:val="24"/>
        </w:rPr>
      </w:pPr>
      <w:r>
        <w:rPr>
          <w:rFonts w:hint="eastAsia"/>
          <w:sz w:val="24"/>
        </w:rPr>
        <w:t>运维人员根据各渠道接收的本项目系统用户问题，开展及时有效处理，负责全程跟踪问题的处理过程以确保在最短的时间内找到问题的解决方案。针对应用系统的配置参数维护、业务处理方法、业务处理原理、业务处理流程等在软件功能上反映的问题，提供及时全面的解答。辅助相关业务人员完成系统的运行操作。</w:t>
      </w:r>
    </w:p>
    <w:p w14:paraId="7C71E709">
      <w:pPr>
        <w:spacing w:line="360" w:lineRule="auto"/>
        <w:ind w:firstLine="448" w:firstLineChars="200"/>
        <w:outlineLvl w:val="0"/>
        <w:rPr>
          <w:sz w:val="24"/>
        </w:rPr>
      </w:pPr>
      <w:r>
        <w:rPr>
          <w:rFonts w:hint="eastAsia"/>
          <w:sz w:val="24"/>
        </w:rPr>
        <w:t>安排专人每天跟踪各业务域问题的处理情况，对于操作类和数据类问题原则上要求当天处理解决。对于没有当天解决的问题，了解具体原因和情况，及时协调二线获取支持，必要时安排运维人员加班处理，使问题能够得到及时处理，避免问题的积压堆积。</w:t>
      </w:r>
    </w:p>
    <w:p w14:paraId="2B2CD8B5">
      <w:pPr>
        <w:spacing w:line="360" w:lineRule="auto"/>
        <w:ind w:firstLine="448" w:firstLineChars="200"/>
        <w:outlineLvl w:val="0"/>
        <w:rPr>
          <w:sz w:val="24"/>
        </w:rPr>
      </w:pPr>
      <w:r>
        <w:rPr>
          <w:rFonts w:hint="eastAsia"/>
          <w:sz w:val="24"/>
        </w:rPr>
        <w:t>⑶知识库管理</w:t>
      </w:r>
    </w:p>
    <w:p w14:paraId="39F70D6B">
      <w:pPr>
        <w:spacing w:line="360" w:lineRule="auto"/>
        <w:ind w:firstLine="448" w:firstLineChars="200"/>
        <w:outlineLvl w:val="0"/>
        <w:rPr>
          <w:sz w:val="24"/>
        </w:rPr>
      </w:pPr>
      <w:r>
        <w:rPr>
          <w:rFonts w:hint="eastAsia"/>
          <w:sz w:val="24"/>
        </w:rPr>
        <w:t>对于采购人反馈本项目系统问题，属于操作中出现的常见问题，统一由运维人员收集汇总，整理后形成常见问题解决手册。每周对问题情况进行统计，由项目经理向采购人反馈问题处理情况，提出改进方案。</w:t>
      </w:r>
    </w:p>
    <w:p w14:paraId="0BBB0B60">
      <w:pPr>
        <w:spacing w:line="360" w:lineRule="auto"/>
        <w:ind w:firstLine="448" w:firstLineChars="200"/>
        <w:outlineLvl w:val="0"/>
        <w:rPr>
          <w:sz w:val="24"/>
        </w:rPr>
      </w:pPr>
      <w:r>
        <w:rPr>
          <w:rFonts w:hint="eastAsia"/>
          <w:sz w:val="24"/>
        </w:rPr>
        <w:t>根据本项目系统问题处理层级建立运维知识库，将业务知识、操作知识、常见问题、重大紧急事件、故障解决方案等工作资料进行整理、归纳，形成相关知识存入运行维护知识库，制作文字文档和音视频教程和培训资料，以供采购人各层级人员使用。将采购人知识库文档按需提交总局，接收总局下发知识库文档并组织采购人各层级人员学习。</w:t>
      </w:r>
    </w:p>
    <w:p w14:paraId="53C536DC">
      <w:pPr>
        <w:spacing w:line="360" w:lineRule="auto"/>
        <w:ind w:firstLine="448" w:firstLineChars="200"/>
        <w:outlineLvl w:val="0"/>
        <w:rPr>
          <w:sz w:val="24"/>
        </w:rPr>
      </w:pPr>
      <w:r>
        <w:rPr>
          <w:rFonts w:hint="eastAsia"/>
          <w:sz w:val="24"/>
        </w:rPr>
        <w:t>⑷质量监督</w:t>
      </w:r>
    </w:p>
    <w:p w14:paraId="7F46DB65">
      <w:pPr>
        <w:spacing w:line="360" w:lineRule="auto"/>
        <w:ind w:firstLine="448" w:firstLineChars="200"/>
        <w:outlineLvl w:val="0"/>
        <w:rPr>
          <w:sz w:val="24"/>
        </w:rPr>
      </w:pPr>
      <w:r>
        <w:rPr>
          <w:rFonts w:hint="eastAsia"/>
          <w:sz w:val="24"/>
        </w:rPr>
        <w:t>安排专人检查本项目系统各业务域问题的处理质量，接收采购人反馈的问题处理质量情况。对处理质量较差的问题进行分析，找出根本原因，提出解决办法。如果是运维人员的原因造成问题处理不完善，运维项目经理应对运维人员进行指导或轮岗，逐步提升问题处理质量。</w:t>
      </w:r>
    </w:p>
    <w:p w14:paraId="26FF23E5">
      <w:pPr>
        <w:spacing w:line="360" w:lineRule="auto"/>
        <w:ind w:firstLine="448" w:firstLineChars="200"/>
        <w:outlineLvl w:val="0"/>
        <w:rPr>
          <w:sz w:val="24"/>
        </w:rPr>
      </w:pPr>
      <w:r>
        <w:rPr>
          <w:rFonts w:hint="eastAsia"/>
          <w:sz w:val="24"/>
        </w:rPr>
        <w:t>2.派出运维</w:t>
      </w:r>
    </w:p>
    <w:p w14:paraId="120DB0C9">
      <w:pPr>
        <w:spacing w:line="360" w:lineRule="auto"/>
        <w:ind w:firstLine="448" w:firstLineChars="200"/>
        <w:outlineLvl w:val="0"/>
        <w:rPr>
          <w:sz w:val="24"/>
        </w:rPr>
      </w:pPr>
      <w:r>
        <w:rPr>
          <w:rFonts w:hint="eastAsia"/>
          <w:sz w:val="24"/>
        </w:rPr>
        <w:t>对本项目系统提供派出运维服务，派出运维的服务方式，包括但不限于紧急现场支持、定期巡回运维等。</w:t>
      </w:r>
    </w:p>
    <w:p w14:paraId="0F499CE5">
      <w:pPr>
        <w:spacing w:line="360" w:lineRule="auto"/>
        <w:ind w:firstLine="448" w:firstLineChars="200"/>
        <w:outlineLvl w:val="0"/>
        <w:rPr>
          <w:sz w:val="24"/>
        </w:rPr>
      </w:pPr>
      <w:r>
        <w:rPr>
          <w:rFonts w:hint="eastAsia"/>
          <w:sz w:val="24"/>
        </w:rPr>
        <w:t>①紧急现场支持：根据采购人的要求到达基层用户现场，解决事出紧急或无法通过常规方法（在线支持和运维平台）解决的服务请求。</w:t>
      </w:r>
    </w:p>
    <w:p w14:paraId="6A310A2B">
      <w:pPr>
        <w:spacing w:line="360" w:lineRule="auto"/>
        <w:ind w:firstLine="448" w:firstLineChars="200"/>
        <w:outlineLvl w:val="0"/>
        <w:rPr>
          <w:sz w:val="24"/>
        </w:rPr>
      </w:pPr>
      <w:r>
        <w:rPr>
          <w:rFonts w:hint="eastAsia"/>
          <w:sz w:val="24"/>
        </w:rPr>
        <w:t>②定期巡回运维：深入基层了解系统实际运转情况，倾听基层心声，从实际工作出友，收集系统优化建议。整理优化建议，向二线开发部门反馈，共同对系统进行完善，不断提升系统管理、业务逻辑的严谨性，使系统操作更为人性化。</w:t>
      </w:r>
    </w:p>
    <w:p w14:paraId="0BE4B052">
      <w:pPr>
        <w:spacing w:line="360" w:lineRule="auto"/>
        <w:ind w:firstLine="448" w:firstLineChars="200"/>
        <w:outlineLvl w:val="0"/>
        <w:rPr>
          <w:sz w:val="24"/>
        </w:rPr>
      </w:pPr>
      <w:r>
        <w:rPr>
          <w:rFonts w:hint="eastAsia"/>
          <w:sz w:val="24"/>
        </w:rPr>
        <w:t>③其他派出运维：根据采购人要求或供应商申请，并经采购人审核同意的其他服务方式。</w:t>
      </w:r>
    </w:p>
    <w:p w14:paraId="4686CED0">
      <w:pPr>
        <w:spacing w:line="360" w:lineRule="auto"/>
        <w:ind w:firstLine="448" w:firstLineChars="200"/>
        <w:outlineLvl w:val="0"/>
        <w:rPr>
          <w:sz w:val="24"/>
        </w:rPr>
      </w:pPr>
      <w:r>
        <w:rPr>
          <w:rFonts w:hint="eastAsia"/>
          <w:sz w:val="24"/>
        </w:rPr>
        <w:t>3.数据运维</w:t>
      </w:r>
    </w:p>
    <w:p w14:paraId="1F0AF4DE">
      <w:pPr>
        <w:spacing w:line="360" w:lineRule="auto"/>
        <w:ind w:firstLine="448" w:firstLineChars="200"/>
        <w:outlineLvl w:val="0"/>
        <w:rPr>
          <w:sz w:val="24"/>
        </w:rPr>
      </w:pPr>
      <w:r>
        <w:rPr>
          <w:rFonts w:hint="eastAsia"/>
          <w:sz w:val="24"/>
        </w:rPr>
        <w:t>在采购人的授权下，运维人员按照运维管理规范进行本项目系统数据运维。</w:t>
      </w:r>
    </w:p>
    <w:p w14:paraId="12110CA8">
      <w:pPr>
        <w:spacing w:line="360" w:lineRule="auto"/>
        <w:ind w:firstLine="448" w:firstLineChars="200"/>
        <w:outlineLvl w:val="0"/>
        <w:rPr>
          <w:sz w:val="24"/>
        </w:rPr>
      </w:pPr>
      <w:r>
        <w:rPr>
          <w:rFonts w:hint="eastAsia"/>
          <w:sz w:val="24"/>
        </w:rPr>
        <w:t>⑴工作范围</w:t>
      </w:r>
    </w:p>
    <w:p w14:paraId="15F60AF5">
      <w:pPr>
        <w:spacing w:line="360" w:lineRule="auto"/>
        <w:ind w:firstLine="448" w:firstLineChars="200"/>
        <w:outlineLvl w:val="0"/>
        <w:rPr>
          <w:sz w:val="24"/>
        </w:rPr>
      </w:pPr>
      <w:r>
        <w:rPr>
          <w:rFonts w:hint="eastAsia"/>
          <w:sz w:val="24"/>
        </w:rPr>
        <w:t>①数据修改，包括数据迁移引起的错误数据修复。应用系统错误引起的数据修复。缺少补偿业务，无法采用应用系统处理的操作错误数据修复。其他系统操作引起的错误数据修改。</w:t>
      </w:r>
    </w:p>
    <w:p w14:paraId="4F88644F">
      <w:pPr>
        <w:spacing w:line="360" w:lineRule="auto"/>
        <w:ind w:firstLine="448" w:firstLineChars="200"/>
        <w:outlineLvl w:val="0"/>
        <w:rPr>
          <w:sz w:val="24"/>
        </w:rPr>
      </w:pPr>
      <w:r>
        <w:rPr>
          <w:rFonts w:hint="eastAsia"/>
          <w:sz w:val="24"/>
        </w:rPr>
        <w:t>②开展日常数据集成加工任务的监控、跟踪，每天产出数据集成日报。数据集成加工问题的分析、处理。对系统应用或用户反映出的数据问题进行分析、定位，驱动数据问题解决，保障数据质量及应用数据准确。</w:t>
      </w:r>
    </w:p>
    <w:p w14:paraId="05095D10">
      <w:pPr>
        <w:spacing w:line="360" w:lineRule="auto"/>
        <w:ind w:firstLine="448" w:firstLineChars="200"/>
        <w:outlineLvl w:val="0"/>
        <w:rPr>
          <w:sz w:val="24"/>
        </w:rPr>
      </w:pPr>
      <w:r>
        <w:rPr>
          <w:rFonts w:hint="eastAsia"/>
          <w:sz w:val="24"/>
        </w:rPr>
        <w:t>③供应商和运维人员应通过后台脚本及辅助工具进行数据质量监控，从被动到主动发现数据问题，并对问题数据分析及处理。</w:t>
      </w:r>
    </w:p>
    <w:p w14:paraId="313E6DD4">
      <w:pPr>
        <w:spacing w:line="360" w:lineRule="auto"/>
        <w:ind w:firstLine="448" w:firstLineChars="200"/>
        <w:outlineLvl w:val="0"/>
        <w:rPr>
          <w:sz w:val="24"/>
        </w:rPr>
      </w:pPr>
      <w:r>
        <w:rPr>
          <w:rFonts w:hint="eastAsia"/>
          <w:sz w:val="24"/>
        </w:rPr>
        <w:t>⑵数据分类</w:t>
      </w:r>
    </w:p>
    <w:p w14:paraId="121D1044">
      <w:pPr>
        <w:spacing w:line="360" w:lineRule="auto"/>
        <w:ind w:firstLine="448" w:firstLineChars="200"/>
        <w:outlineLvl w:val="0"/>
        <w:rPr>
          <w:sz w:val="24"/>
        </w:rPr>
      </w:pPr>
      <w:r>
        <w:rPr>
          <w:rFonts w:hint="eastAsia"/>
          <w:sz w:val="24"/>
        </w:rPr>
        <w:t>本项目系统已经正式投入使用，正常情况下，数据均应该通过前台系统操作写入，但是以下数据只能通过编写脚本，在后台数据库修改数据：</w:t>
      </w:r>
    </w:p>
    <w:p w14:paraId="0A45A36E">
      <w:pPr>
        <w:spacing w:line="360" w:lineRule="auto"/>
        <w:ind w:firstLine="448" w:firstLineChars="200"/>
        <w:outlineLvl w:val="0"/>
        <w:rPr>
          <w:sz w:val="24"/>
        </w:rPr>
      </w:pPr>
      <w:r>
        <w:rPr>
          <w:rFonts w:hint="eastAsia"/>
          <w:sz w:val="24"/>
        </w:rPr>
        <w:t>①数据迁移的错误数据：该类数据属于数据迁移遗留问题，系统前台不支持该类数据的修改，只能通过后台修改数据。采购人对该类数据负责，数据来源、数据产生原因、数据如何修改解释权均在采购人。</w:t>
      </w:r>
    </w:p>
    <w:p w14:paraId="226F05B5">
      <w:pPr>
        <w:spacing w:line="360" w:lineRule="auto"/>
        <w:ind w:firstLine="448" w:firstLineChars="200"/>
        <w:outlineLvl w:val="0"/>
        <w:rPr>
          <w:sz w:val="24"/>
        </w:rPr>
      </w:pPr>
      <w:r>
        <w:rPr>
          <w:rFonts w:hint="eastAsia"/>
          <w:sz w:val="24"/>
        </w:rPr>
        <w:t>②系统BUG产生的错误数据。该类是由于系统BUG产生的，正常的补偿业务无法对该类数据进行修正，只能通过后台修改数据。供应商对该类数据负责，除需编写脚本修正数据外，还需要分析错误数据产生原因，若需要可上报总局问题管控部门或本项目系统开发部门，通过升级补丁解决系统BUG。</w:t>
      </w:r>
    </w:p>
    <w:p w14:paraId="16B71D8F">
      <w:pPr>
        <w:spacing w:line="360" w:lineRule="auto"/>
        <w:ind w:firstLine="448" w:firstLineChars="200"/>
        <w:outlineLvl w:val="0"/>
        <w:rPr>
          <w:sz w:val="24"/>
        </w:rPr>
      </w:pPr>
      <w:r>
        <w:rPr>
          <w:rFonts w:hint="eastAsia"/>
          <w:sz w:val="24"/>
        </w:rPr>
        <w:t>③异常操作或系统前台无补偿功能的异常数据。由于纳税人和税务人员误操作、异常操作引起的错误数据，系统前台无补偿功能无法对数据进行修改操作，只能通过后台编写脚本修改数据。采购人对该类数据负责，供应商按照采购人要求编写脚本修正数据。</w:t>
      </w:r>
    </w:p>
    <w:p w14:paraId="2907280A">
      <w:pPr>
        <w:spacing w:line="360" w:lineRule="auto"/>
        <w:ind w:firstLine="448" w:firstLineChars="200"/>
        <w:outlineLvl w:val="0"/>
        <w:rPr>
          <w:sz w:val="24"/>
        </w:rPr>
      </w:pPr>
      <w:r>
        <w:rPr>
          <w:rFonts w:hint="eastAsia"/>
          <w:sz w:val="24"/>
        </w:rPr>
        <w:t>⑶运维流程</w:t>
      </w:r>
    </w:p>
    <w:p w14:paraId="0F3E091C">
      <w:pPr>
        <w:spacing w:line="360" w:lineRule="auto"/>
        <w:ind w:firstLine="448" w:firstLineChars="200"/>
        <w:outlineLvl w:val="0"/>
        <w:rPr>
          <w:sz w:val="24"/>
        </w:rPr>
      </w:pPr>
      <w:r>
        <w:rPr>
          <w:rFonts w:hint="eastAsia"/>
          <w:sz w:val="24"/>
        </w:rPr>
        <w:t>①运维人员根据问题分析定位制定数据运维方案、数据运维脚本并提交采购人审核。</w:t>
      </w:r>
    </w:p>
    <w:p w14:paraId="16E8EAFB">
      <w:pPr>
        <w:spacing w:line="360" w:lineRule="auto"/>
        <w:ind w:firstLine="448" w:firstLineChars="200"/>
        <w:outlineLvl w:val="0"/>
        <w:rPr>
          <w:sz w:val="24"/>
        </w:rPr>
      </w:pPr>
      <w:r>
        <w:rPr>
          <w:rFonts w:hint="eastAsia"/>
          <w:sz w:val="24"/>
        </w:rPr>
        <w:t>②采购人对数据运维方案进行评估，对数据运维脚本进行审核，数据运维脚本执行授权。</w:t>
      </w:r>
    </w:p>
    <w:p w14:paraId="379BD47A">
      <w:pPr>
        <w:spacing w:line="360" w:lineRule="auto"/>
        <w:ind w:firstLine="448" w:firstLineChars="200"/>
        <w:outlineLvl w:val="0"/>
        <w:rPr>
          <w:sz w:val="24"/>
        </w:rPr>
      </w:pPr>
      <w:r>
        <w:rPr>
          <w:rFonts w:hint="eastAsia"/>
          <w:sz w:val="24"/>
        </w:rPr>
        <w:t>③运维人员对原始数据进行备份，执行数据运维脚本，对运维后的数据进行验证，对运维脚本和相关资料进行归档。</w:t>
      </w:r>
    </w:p>
    <w:p w14:paraId="5B906F1A">
      <w:pPr>
        <w:spacing w:line="360" w:lineRule="auto"/>
        <w:ind w:firstLine="448" w:firstLineChars="200"/>
        <w:outlineLvl w:val="0"/>
        <w:rPr>
          <w:sz w:val="24"/>
        </w:rPr>
      </w:pPr>
      <w:r>
        <w:rPr>
          <w:rFonts w:hint="eastAsia"/>
          <w:sz w:val="24"/>
        </w:rPr>
        <w:t>4.数据查询</w:t>
      </w:r>
    </w:p>
    <w:p w14:paraId="0DA3A37A">
      <w:pPr>
        <w:spacing w:line="360" w:lineRule="auto"/>
        <w:ind w:firstLine="448" w:firstLineChars="200"/>
        <w:outlineLvl w:val="0"/>
        <w:rPr>
          <w:sz w:val="24"/>
        </w:rPr>
      </w:pPr>
      <w:r>
        <w:rPr>
          <w:rFonts w:hint="eastAsia"/>
          <w:sz w:val="24"/>
        </w:rPr>
        <w:t>本项目系统现有功能无法完全满足的数据查询需求，需要运维人员通过编写数据库脚本，协助实施数据查询，以及后期数据的其他分析应用工作，以满足各单位各部门对本项目系统数据分析的需要。</w:t>
      </w:r>
    </w:p>
    <w:p w14:paraId="06E18F2E">
      <w:pPr>
        <w:spacing w:line="360" w:lineRule="auto"/>
        <w:ind w:firstLine="448" w:firstLineChars="200"/>
        <w:outlineLvl w:val="0"/>
        <w:rPr>
          <w:sz w:val="24"/>
        </w:rPr>
      </w:pPr>
      <w:r>
        <w:rPr>
          <w:rFonts w:hint="eastAsia"/>
          <w:sz w:val="24"/>
        </w:rPr>
        <w:t>数据查询统计的需求主要来源于以下几个方面：</w:t>
      </w:r>
    </w:p>
    <w:p w14:paraId="640FF562">
      <w:pPr>
        <w:spacing w:line="360" w:lineRule="auto"/>
        <w:ind w:firstLine="448" w:firstLineChars="200"/>
        <w:outlineLvl w:val="0"/>
        <w:rPr>
          <w:sz w:val="24"/>
        </w:rPr>
      </w:pPr>
      <w:r>
        <w:rPr>
          <w:rFonts w:hint="eastAsia"/>
          <w:sz w:val="24"/>
        </w:rPr>
        <w:t>⑴国家税务总局要求各省上报相关数据。</w:t>
      </w:r>
    </w:p>
    <w:p w14:paraId="7ECA1938">
      <w:pPr>
        <w:spacing w:line="360" w:lineRule="auto"/>
        <w:ind w:firstLine="448" w:firstLineChars="200"/>
        <w:outlineLvl w:val="0"/>
        <w:rPr>
          <w:sz w:val="24"/>
        </w:rPr>
      </w:pPr>
      <w:r>
        <w:rPr>
          <w:rFonts w:hint="eastAsia"/>
          <w:sz w:val="24"/>
        </w:rPr>
        <w:t>⑵采购人各部门提出的数据查询统计要求。</w:t>
      </w:r>
    </w:p>
    <w:p w14:paraId="19A5401C">
      <w:pPr>
        <w:spacing w:line="360" w:lineRule="auto"/>
        <w:ind w:firstLine="448" w:firstLineChars="200"/>
        <w:outlineLvl w:val="0"/>
        <w:rPr>
          <w:sz w:val="24"/>
        </w:rPr>
      </w:pPr>
      <w:r>
        <w:rPr>
          <w:rFonts w:hint="eastAsia"/>
          <w:sz w:val="24"/>
        </w:rPr>
        <w:t>⑶各级部门领导需要临时掌握了解的税收数据。</w:t>
      </w:r>
    </w:p>
    <w:p w14:paraId="0B50A327">
      <w:pPr>
        <w:spacing w:line="360" w:lineRule="auto"/>
        <w:ind w:firstLine="448" w:firstLineChars="200"/>
        <w:outlineLvl w:val="0"/>
        <w:rPr>
          <w:sz w:val="24"/>
        </w:rPr>
      </w:pPr>
      <w:r>
        <w:rPr>
          <w:rFonts w:hint="eastAsia"/>
          <w:sz w:val="24"/>
        </w:rPr>
        <w:t>⑷各级基层单位各部门提出的数据查询统计要求。</w:t>
      </w:r>
    </w:p>
    <w:p w14:paraId="5D3555D1">
      <w:pPr>
        <w:spacing w:line="360" w:lineRule="auto"/>
        <w:ind w:firstLine="448" w:firstLineChars="200"/>
        <w:outlineLvl w:val="0"/>
        <w:rPr>
          <w:sz w:val="24"/>
        </w:rPr>
      </w:pPr>
      <w:r>
        <w:rPr>
          <w:rFonts w:hint="eastAsia"/>
          <w:sz w:val="24"/>
        </w:rPr>
        <w:t>为确保各级部门能够及时准确的获取相关数据，供应商需要提供本项目系统最新数据字典，与采购人共同对查询口径进行分析，确保运维人员与需求人员对口径理解一致。查询前，运维人员应提供查询脚本，经采购人有关人员审核后再开展实际查询。若查询对系统压力较大，应在非工作时间和非系统运行高峰期开展查询和导出操作。查询完毕后，运维人员应导出数据结果，经采购人有关人员审核后，再按要求以邮件、运维平台或其它方式提交查询需求部门。</w:t>
      </w:r>
    </w:p>
    <w:p w14:paraId="33BAD986">
      <w:pPr>
        <w:spacing w:line="360" w:lineRule="auto"/>
        <w:ind w:firstLine="448" w:firstLineChars="200"/>
        <w:outlineLvl w:val="0"/>
        <w:rPr>
          <w:sz w:val="24"/>
        </w:rPr>
      </w:pPr>
      <w:r>
        <w:rPr>
          <w:rFonts w:hint="eastAsia"/>
          <w:sz w:val="24"/>
        </w:rPr>
        <w:t>5.需求调研</w:t>
      </w:r>
    </w:p>
    <w:p w14:paraId="0EDBACCC">
      <w:pPr>
        <w:spacing w:line="360" w:lineRule="auto"/>
        <w:ind w:firstLine="448" w:firstLineChars="200"/>
        <w:outlineLvl w:val="0"/>
        <w:rPr>
          <w:sz w:val="24"/>
        </w:rPr>
      </w:pPr>
      <w:r>
        <w:rPr>
          <w:rFonts w:hint="eastAsia"/>
          <w:sz w:val="24"/>
        </w:rPr>
        <w:t>根据采购人工作安排，配合进行本项目系统相关需求调研，参加采购人组织的应用系统方面会议或集中工作等。根据具体的地方需求结合本项目系统业务需求进行分析，出具可行的实现方案，同时辅助完成调研报告等工作。</w:t>
      </w:r>
    </w:p>
    <w:p w14:paraId="46D32FCE">
      <w:pPr>
        <w:spacing w:line="360" w:lineRule="auto"/>
        <w:ind w:firstLine="448" w:firstLineChars="200"/>
        <w:outlineLvl w:val="0"/>
        <w:rPr>
          <w:sz w:val="24"/>
        </w:rPr>
      </w:pPr>
      <w:r>
        <w:rPr>
          <w:rFonts w:hint="eastAsia"/>
          <w:sz w:val="24"/>
        </w:rPr>
        <w:t>涉及本项目系统调整的业务需求变化主要包括两个方面：因国家税务总局税收政策变化、流程调整的需求变更。因地方性政策调整、管理流程调整的需求变更。</w:t>
      </w:r>
    </w:p>
    <w:p w14:paraId="61ED0E2E">
      <w:pPr>
        <w:spacing w:line="360" w:lineRule="auto"/>
        <w:ind w:firstLine="448" w:firstLineChars="200"/>
        <w:outlineLvl w:val="0"/>
        <w:rPr>
          <w:sz w:val="24"/>
        </w:rPr>
      </w:pPr>
      <w:r>
        <w:rPr>
          <w:rFonts w:hint="eastAsia"/>
          <w:sz w:val="24"/>
        </w:rPr>
        <w:t>⑴因总局税收政策变化、流程调整的需求变更</w:t>
      </w:r>
    </w:p>
    <w:p w14:paraId="08869790">
      <w:pPr>
        <w:spacing w:line="360" w:lineRule="auto"/>
        <w:ind w:firstLine="448" w:firstLineChars="200"/>
        <w:outlineLvl w:val="0"/>
        <w:rPr>
          <w:sz w:val="24"/>
        </w:rPr>
      </w:pPr>
      <w:r>
        <w:rPr>
          <w:rFonts w:hint="eastAsia"/>
          <w:sz w:val="24"/>
        </w:rPr>
        <w:t>运维人员应第一时间了解需求，并与本项目系统设计开发团队沟通实现方案。充分考虑各应用系统间的影响、升级带来的系统逻辑调整、历史数据的衔接。针对各种情况给出说明及解决方案。发起专题会议，与其他相关厂商及采购人进行沟通，对方案进行完善，与本项目系统设计开发团队沟通开发计划及升级时间，并将注意事项、解决方案提交给采购人。</w:t>
      </w:r>
    </w:p>
    <w:p w14:paraId="69A5E6B0">
      <w:pPr>
        <w:spacing w:line="360" w:lineRule="auto"/>
        <w:ind w:firstLine="448" w:firstLineChars="200"/>
        <w:outlineLvl w:val="0"/>
        <w:rPr>
          <w:sz w:val="24"/>
        </w:rPr>
      </w:pPr>
      <w:r>
        <w:rPr>
          <w:rFonts w:hint="eastAsia"/>
          <w:sz w:val="24"/>
        </w:rPr>
        <w:t>⑵因地方性政策调整，管理流程调整的需求变更</w:t>
      </w:r>
    </w:p>
    <w:p w14:paraId="5F83EE75">
      <w:pPr>
        <w:spacing w:line="360" w:lineRule="auto"/>
        <w:ind w:firstLine="448" w:firstLineChars="200"/>
        <w:outlineLvl w:val="0"/>
        <w:rPr>
          <w:sz w:val="24"/>
        </w:rPr>
      </w:pPr>
      <w:r>
        <w:rPr>
          <w:rFonts w:hint="eastAsia"/>
          <w:sz w:val="24"/>
        </w:rPr>
        <w:t>运维人员接收需求后，对需求进行补充和完善，进行初步需求分析。将需求进行分类、评估需求影响。</w:t>
      </w:r>
    </w:p>
    <w:p w14:paraId="5C5E6E48">
      <w:pPr>
        <w:spacing w:line="360" w:lineRule="auto"/>
        <w:ind w:firstLine="448" w:firstLineChars="200"/>
        <w:outlineLvl w:val="0"/>
        <w:rPr>
          <w:sz w:val="24"/>
        </w:rPr>
      </w:pPr>
      <w:r>
        <w:rPr>
          <w:rFonts w:hint="eastAsia"/>
          <w:sz w:val="24"/>
        </w:rPr>
        <w:t>如果属于统发系统范围内的需求，与相关系统供应商一起评估是否向总局提交需求变更申请，协助采购人业务管理部门完成需求提报。如无需向总局提交需求变更申请，需联合相关系统供应商制定实施计划，共同完善系统，落实地方性政策调整变更需求。</w:t>
      </w:r>
    </w:p>
    <w:p w14:paraId="3D60AF73">
      <w:pPr>
        <w:spacing w:line="360" w:lineRule="auto"/>
        <w:ind w:firstLine="448" w:firstLineChars="200"/>
        <w:outlineLvl w:val="0"/>
        <w:rPr>
          <w:sz w:val="24"/>
        </w:rPr>
      </w:pPr>
      <w:r>
        <w:rPr>
          <w:rFonts w:hint="eastAsia"/>
          <w:sz w:val="24"/>
        </w:rPr>
        <w:t>如果属于地方特色软件或外部门系统范围内的需求，与相关系统建设厂商一起做好关联分析、开发计划、联调计划、测试计划、升级计划，与该系统承建商共同完成可行性方案，提交采购人进行审核。</w:t>
      </w:r>
    </w:p>
    <w:p w14:paraId="429A9E31">
      <w:pPr>
        <w:spacing w:line="360" w:lineRule="auto"/>
        <w:ind w:firstLine="448" w:firstLineChars="200"/>
        <w:outlineLvl w:val="0"/>
        <w:rPr>
          <w:sz w:val="24"/>
        </w:rPr>
      </w:pPr>
      <w:r>
        <w:rPr>
          <w:rFonts w:hint="eastAsia"/>
          <w:sz w:val="24"/>
        </w:rPr>
        <w:t>6.集成服务</w:t>
      </w:r>
    </w:p>
    <w:p w14:paraId="3E47C4BE">
      <w:pPr>
        <w:spacing w:line="360" w:lineRule="auto"/>
        <w:ind w:firstLine="448" w:firstLineChars="200"/>
        <w:outlineLvl w:val="0"/>
        <w:rPr>
          <w:sz w:val="24"/>
        </w:rPr>
      </w:pPr>
      <w:r>
        <w:rPr>
          <w:rFonts w:hint="eastAsia"/>
          <w:sz w:val="24"/>
        </w:rPr>
        <w:t>在金税三期、金税四期总体框架之下，结合采购人现状，提供本项目系统相关集成服务。在面向多应用系统协调工作时，协助采购人协调各供应商之间的运维工作，开展问题协同分析、系统联调测试以及版本同步升级等工作。</w:t>
      </w:r>
    </w:p>
    <w:p w14:paraId="4AD71DAB">
      <w:pPr>
        <w:spacing w:line="360" w:lineRule="auto"/>
        <w:ind w:firstLine="448" w:firstLineChars="200"/>
        <w:outlineLvl w:val="0"/>
        <w:rPr>
          <w:sz w:val="24"/>
        </w:rPr>
      </w:pPr>
      <w:r>
        <w:rPr>
          <w:rFonts w:hint="eastAsia"/>
          <w:sz w:val="24"/>
        </w:rPr>
        <w:t>深刻理解把握采购人业务、应用、数据、流程、界面集成关系和关键任务，通过制定和严格执行集成技术、实施、管理等各项方案，通过组织协调保障采购人应用系统协调、一致建设，形成一体化的采购人应用系统。</w:t>
      </w:r>
    </w:p>
    <w:p w14:paraId="2AE33499">
      <w:pPr>
        <w:spacing w:line="360" w:lineRule="auto"/>
        <w:ind w:firstLine="448" w:firstLineChars="200"/>
        <w:outlineLvl w:val="0"/>
        <w:rPr>
          <w:sz w:val="24"/>
        </w:rPr>
      </w:pPr>
      <w:r>
        <w:rPr>
          <w:rFonts w:hint="eastAsia"/>
          <w:sz w:val="24"/>
        </w:rPr>
        <w:t>为了保证采购人税收管理信息系统在全国税收行业处于领先地位，供应商应凭借自己在计算机技术方面的优势，在采购人提出具体需求后，邀请信息化技术、税务行业的专家学者，为采购人税收管理信息系统提供咨询服务。</w:t>
      </w:r>
    </w:p>
    <w:p w14:paraId="2A6F260F">
      <w:pPr>
        <w:spacing w:line="360" w:lineRule="auto"/>
        <w:ind w:firstLine="448" w:firstLineChars="200"/>
        <w:outlineLvl w:val="0"/>
        <w:rPr>
          <w:sz w:val="24"/>
        </w:rPr>
      </w:pPr>
      <w:r>
        <w:rPr>
          <w:rFonts w:hint="eastAsia"/>
          <w:sz w:val="24"/>
        </w:rPr>
        <w:t>7.特有业务运维服务</w:t>
      </w:r>
    </w:p>
    <w:p w14:paraId="009B3061">
      <w:pPr>
        <w:spacing w:line="360" w:lineRule="auto"/>
        <w:ind w:firstLine="448" w:firstLineChars="200"/>
        <w:outlineLvl w:val="0"/>
        <w:rPr>
          <w:sz w:val="24"/>
        </w:rPr>
      </w:pPr>
      <w:r>
        <w:rPr>
          <w:rFonts w:hint="eastAsia"/>
          <w:sz w:val="24"/>
        </w:rPr>
        <w:t>7.1.税务人端慧办平台</w:t>
      </w:r>
    </w:p>
    <w:p w14:paraId="165DD755">
      <w:pPr>
        <w:spacing w:line="360" w:lineRule="auto"/>
        <w:ind w:firstLine="448" w:firstLineChars="200"/>
        <w:outlineLvl w:val="0"/>
        <w:rPr>
          <w:sz w:val="24"/>
        </w:rPr>
      </w:pPr>
      <w:r>
        <w:rPr>
          <w:rFonts w:hint="eastAsia"/>
          <w:sz w:val="24"/>
        </w:rPr>
        <w:t>⑴协助采购人，完成智能化创新业务场景的运维工作。如税费欠缴管理、现金税费征缴管理、调查巡查管理、非正常户管理、定期定额核定动态管理、普通注销管理、催报管理、委托代征管理、税费退还管理、跨区涉税事项管理、纳税人延期申报管理、居民企业所得税核定管理、税费优惠日常管理、税务资格认定管理、纳税人标签管理、纳税人基础信息管理、文书送达管理、土地增值税项目日常管理、涉税专业服务风险管理、涉税专业服务机构监督管理、涉税专业服务违规处理、涉税专业服务机构管理、城镇土地使用税困难减免税管理、白酒消费税最低计税价格核定管理、增值税进项税额核定扣除农产品购进价格核定、风险应对管理、涉税人员实名管理等；</w:t>
      </w:r>
    </w:p>
    <w:p w14:paraId="50441C06">
      <w:pPr>
        <w:spacing w:line="360" w:lineRule="auto"/>
        <w:ind w:firstLine="448" w:firstLineChars="200"/>
        <w:outlineLvl w:val="0"/>
        <w:rPr>
          <w:sz w:val="24"/>
        </w:rPr>
      </w:pPr>
      <w:r>
        <w:rPr>
          <w:rFonts w:hint="eastAsia"/>
          <w:sz w:val="24"/>
        </w:rPr>
        <w:t>⑵协助采购人，完成数字化转型的业务运维。包括信息报告、税费服务、税务监管、税收执法、其他事项等业务域事项。信息报告如存款账户账号报告；税费服务如增值税专用发票最高开票限额审批、税收优惠目录维护、税收优惠日常核实、环保复核处理、接受税收情报管理、税收情报提供、税收情报请求；税务监管如居民企业所得税税收政策遵从风险提示、居民企业所得税征管异常情形日常管理、土地增值税项目日常管理、土地增值税项目清算计划、税务行政执法公示、非居民欠税追缴、死欠核销、居民企业所得税核定、土地增值税清算核定、综合所得应纳税额核定、增值税进项税额核定扣除农产品购进价格核定、核定应纳税额、部分税种申报比对、居民企业所得税税前扣除凭证异常情形日常管理、居民企业所得税征管异常数据日常管理、关停企业欠缴税金确认、涉税事项内部移送、白酒消费税最低计税价格核定管理等；税务执法包括责令限期改正、普通程序处罚决定、责令限期缴纳税款等；其他事项包括票证计划、领发、票证作废、票证结报缴销、票证停用和批量作废审批、票证销毁、票证损失核销、票证盘点、票证交接、票证检查、票证结账、票证账务更正、票证审核及差错处理、票证归档、税务检查证管理、缴（退）库凭证销号、金库对账、免抵调库、更正调库等；</w:t>
      </w:r>
    </w:p>
    <w:p w14:paraId="5C960729">
      <w:pPr>
        <w:spacing w:line="360" w:lineRule="auto"/>
        <w:ind w:firstLine="448" w:firstLineChars="200"/>
        <w:outlineLvl w:val="0"/>
        <w:rPr>
          <w:sz w:val="24"/>
        </w:rPr>
      </w:pPr>
      <w:r>
        <w:rPr>
          <w:rFonts w:hint="eastAsia"/>
          <w:sz w:val="24"/>
        </w:rPr>
        <w:t>⑶协助采购人，完成工作场景创新相关功能的运维。包括税费任务管理及内部事项任务管理，通过系统集成和任务管理，实现跨系统、跨层级、跨业务的多场景税务工作管理和任务协同、实现为税务人提供自主推送任务、自控监督履责、自动考核考评管理。包括消息中心、任务中心、业务功能中心、接口管理中心、其他管理中心。</w:t>
      </w:r>
    </w:p>
    <w:p w14:paraId="65F1FD5F">
      <w:pPr>
        <w:spacing w:line="360" w:lineRule="auto"/>
        <w:ind w:firstLine="448" w:firstLineChars="200"/>
        <w:outlineLvl w:val="0"/>
        <w:rPr>
          <w:sz w:val="24"/>
        </w:rPr>
      </w:pPr>
      <w:r>
        <w:rPr>
          <w:rFonts w:hint="eastAsia"/>
          <w:sz w:val="24"/>
        </w:rPr>
        <w:t>⑷协助采购人，完成数据赋能慧看、慧干、慧算以及卡片的运维。</w:t>
      </w:r>
    </w:p>
    <w:p w14:paraId="3A4287CE">
      <w:pPr>
        <w:spacing w:line="360" w:lineRule="auto"/>
        <w:ind w:firstLine="448" w:firstLineChars="200"/>
        <w:outlineLvl w:val="0"/>
        <w:rPr>
          <w:sz w:val="24"/>
        </w:rPr>
      </w:pPr>
      <w:r>
        <w:rPr>
          <w:rFonts w:hint="eastAsia"/>
          <w:sz w:val="24"/>
        </w:rPr>
        <w:t>⑸协助采购人，完成本项目系统与外部系统的接口、数据推送、定时消息任务的有效性、时效性、准确性等方面的运维工作。税收优惠日常管理，应享未享、错误享受清册推送至慧办平台业务库；定期定额定期定额户核定管理，获取市场信息采集数据、地址特征信息采集数据、地区行业GDP采集数据、动态管理户处理结果校验、定期定额户发票开具清册数据等数据等相关数据信息；破产企业管理，获取破产企业未申报信息、破产企业发票未缴销信息、破产企业稽查未办结案件信息等相关数据信息；延期缴纳管理，获取审核指标数据、延期缴纳延期缴纳税款概览数据等相关数据信息；数据赋能，慧看、慧干、慧算等相关业务数据信息获取；业务卡片，获取本部门内控风险点、纳税入库排行榜等相关信息。</w:t>
      </w:r>
    </w:p>
    <w:p w14:paraId="7B90E7C0">
      <w:pPr>
        <w:spacing w:line="360" w:lineRule="auto"/>
        <w:ind w:firstLine="448" w:firstLineChars="200"/>
        <w:outlineLvl w:val="0"/>
        <w:rPr>
          <w:sz w:val="24"/>
        </w:rPr>
      </w:pPr>
      <w:r>
        <w:rPr>
          <w:rFonts w:hint="eastAsia"/>
          <w:sz w:val="24"/>
        </w:rPr>
        <w:t>7.2.决策指挥视频融合系统</w:t>
      </w:r>
    </w:p>
    <w:p w14:paraId="01B29F71">
      <w:pPr>
        <w:spacing w:line="360" w:lineRule="auto"/>
        <w:ind w:firstLine="448" w:firstLineChars="200"/>
        <w:outlineLvl w:val="0"/>
        <w:rPr>
          <w:sz w:val="24"/>
        </w:rPr>
      </w:pPr>
      <w:r>
        <w:rPr>
          <w:rFonts w:hint="eastAsia"/>
          <w:sz w:val="24"/>
        </w:rPr>
        <w:t>⑴协助采购人完成悉税情功能模块事项和数据指标的监控，包括涉税企业和个体工商户、税费收入、社保非税、国际税收合作等。</w:t>
      </w:r>
    </w:p>
    <w:p w14:paraId="1210A02F">
      <w:pPr>
        <w:spacing w:line="360" w:lineRule="auto"/>
        <w:ind w:firstLine="448" w:firstLineChars="200"/>
        <w:outlineLvl w:val="0"/>
        <w:rPr>
          <w:sz w:val="24"/>
        </w:rPr>
      </w:pPr>
      <w:r>
        <w:rPr>
          <w:rFonts w:hint="eastAsia"/>
          <w:sz w:val="24"/>
        </w:rPr>
        <w:t>⑵协助采购人以可视化方式展示风险信息和处置情况，监控和通报风险卡片提示信息。如：收入质量监控、征管质量5C监控风险、企业所得税税前扣除凭证风险、税收执法责任制、内部快反及发票跟踪防控、稽查快报风险事项等。</w:t>
      </w:r>
    </w:p>
    <w:p w14:paraId="4423E320">
      <w:pPr>
        <w:spacing w:line="360" w:lineRule="auto"/>
        <w:ind w:firstLine="448" w:firstLineChars="200"/>
        <w:outlineLvl w:val="0"/>
        <w:rPr>
          <w:sz w:val="24"/>
        </w:rPr>
      </w:pPr>
      <w:r>
        <w:rPr>
          <w:rFonts w:hint="eastAsia"/>
          <w:sz w:val="24"/>
        </w:rPr>
        <w:t>8.高峰运维</w:t>
      </w:r>
    </w:p>
    <w:p w14:paraId="5ADFE4F8">
      <w:pPr>
        <w:spacing w:line="360" w:lineRule="auto"/>
        <w:ind w:firstLine="448" w:firstLineChars="200"/>
        <w:outlineLvl w:val="0"/>
        <w:rPr>
          <w:sz w:val="24"/>
        </w:rPr>
      </w:pPr>
      <w:r>
        <w:rPr>
          <w:rFonts w:hint="eastAsia"/>
          <w:sz w:val="24"/>
        </w:rPr>
        <w:t>当系统处于业务繁忙高峰期，或国家税务总局、采购人有加班需求，如征期高峰（征期最后2天）、月末升级和月结初始化（每月最后2天）、重保值守和征期值班以外的非工作时间加班等，需根据采购人要求，额外动态增加人力资源，确保按时完成业务和技术运维需求。</w:t>
      </w:r>
    </w:p>
    <w:p w14:paraId="13656CE4">
      <w:pPr>
        <w:spacing w:line="360" w:lineRule="auto"/>
        <w:ind w:firstLine="448" w:firstLineChars="200"/>
        <w:outlineLvl w:val="0"/>
        <w:rPr>
          <w:sz w:val="24"/>
        </w:rPr>
      </w:pPr>
      <w:r>
        <w:rPr>
          <w:rFonts w:hint="eastAsia"/>
          <w:sz w:val="24"/>
        </w:rPr>
        <w:t>（二）技术运维部分</w:t>
      </w:r>
    </w:p>
    <w:p w14:paraId="1EF118DD">
      <w:pPr>
        <w:spacing w:line="360" w:lineRule="auto"/>
        <w:ind w:firstLine="448" w:firstLineChars="200"/>
        <w:outlineLvl w:val="0"/>
        <w:rPr>
          <w:sz w:val="24"/>
        </w:rPr>
      </w:pPr>
      <w:r>
        <w:rPr>
          <w:rFonts w:hint="eastAsia"/>
          <w:sz w:val="24"/>
        </w:rPr>
        <w:t>1.环境保障</w:t>
      </w:r>
    </w:p>
    <w:p w14:paraId="28FCCAD3">
      <w:pPr>
        <w:spacing w:line="360" w:lineRule="auto"/>
        <w:ind w:firstLine="448" w:firstLineChars="200"/>
        <w:outlineLvl w:val="0"/>
        <w:rPr>
          <w:sz w:val="24"/>
        </w:rPr>
      </w:pPr>
      <w:r>
        <w:rPr>
          <w:rFonts w:hint="eastAsia"/>
          <w:sz w:val="24"/>
        </w:rPr>
        <w:t>环境保障要求运维人员对本项目系统运行环境和平台定期进行监控检查，做到风险预警、风险规避。运维人员通过检查本项目系统使用的中间件、数据库、存储、数据同步软件等软硬件环境，做到提早判别各种风险，对风险疑虑应及时进行处理。</w:t>
      </w:r>
    </w:p>
    <w:p w14:paraId="624A09A5">
      <w:pPr>
        <w:spacing w:line="360" w:lineRule="auto"/>
        <w:ind w:firstLine="448" w:firstLineChars="200"/>
        <w:outlineLvl w:val="0"/>
        <w:rPr>
          <w:sz w:val="24"/>
        </w:rPr>
      </w:pPr>
      <w:r>
        <w:rPr>
          <w:rFonts w:hint="eastAsia"/>
          <w:sz w:val="24"/>
        </w:rPr>
        <w:t>（1）日常检查</w:t>
      </w:r>
    </w:p>
    <w:p w14:paraId="12E432C3">
      <w:pPr>
        <w:spacing w:line="360" w:lineRule="auto"/>
        <w:ind w:firstLine="448" w:firstLineChars="200"/>
        <w:outlineLvl w:val="0"/>
        <w:rPr>
          <w:sz w:val="24"/>
        </w:rPr>
      </w:pPr>
      <w:r>
        <w:rPr>
          <w:rFonts w:hint="eastAsia"/>
          <w:sz w:val="24"/>
        </w:rPr>
        <w:t>运维人员每个工作日早晨和下午上班前30分钟对整个应用系统生产环境的运行情况进行检查，如果出现异常应及时通知采购人管理人员，并组织异常处理和系统恢复。若本项目系统属于总局重点拨测监控系统，则按照约定时间加大巡检频次。监控检查包括：应用系统和数据库的运行情况。</w:t>
      </w:r>
    </w:p>
    <w:p w14:paraId="7A23BD85">
      <w:pPr>
        <w:spacing w:line="360" w:lineRule="auto"/>
        <w:ind w:firstLine="448" w:firstLineChars="200"/>
        <w:outlineLvl w:val="0"/>
        <w:rPr>
          <w:sz w:val="24"/>
        </w:rPr>
      </w:pPr>
      <w:r>
        <w:rPr>
          <w:rFonts w:hint="eastAsia"/>
          <w:sz w:val="24"/>
        </w:rPr>
        <w:t>①应用系统：检查本项目系统应用集群各节点状态，如出现问题及时分析定位问题，第一时间处理问题。定时检查应用系统日志、清理冗余日志，并对异常日志进行分析查找问题根源，找出解决方案。</w:t>
      </w:r>
    </w:p>
    <w:p w14:paraId="5C1D3C40">
      <w:pPr>
        <w:spacing w:line="360" w:lineRule="auto"/>
        <w:ind w:firstLine="448" w:firstLineChars="200"/>
        <w:outlineLvl w:val="0"/>
        <w:rPr>
          <w:sz w:val="24"/>
        </w:rPr>
      </w:pPr>
      <w:r>
        <w:rPr>
          <w:rFonts w:hint="eastAsia"/>
          <w:sz w:val="24"/>
        </w:rPr>
        <w:t>②数据库：检查本项目系统数据库是否运行正常，数据是否完整，读写速率是否正常，是否存在异常锁等情况。检查表空间、归档日志、索引和分区等配置空间是否足够支撑应用系统，是否存在慢SQL或异常占用语句。如出现问题，应及时与采购人进行沟通解决。</w:t>
      </w:r>
    </w:p>
    <w:p w14:paraId="629791DA">
      <w:pPr>
        <w:spacing w:line="360" w:lineRule="auto"/>
        <w:ind w:firstLine="448" w:firstLineChars="200"/>
        <w:outlineLvl w:val="0"/>
        <w:rPr>
          <w:sz w:val="24"/>
        </w:rPr>
      </w:pPr>
      <w:r>
        <w:rPr>
          <w:rFonts w:hint="eastAsia"/>
          <w:sz w:val="24"/>
        </w:rPr>
        <w:t>⑵专项检查</w:t>
      </w:r>
    </w:p>
    <w:p w14:paraId="3807B983">
      <w:pPr>
        <w:spacing w:line="360" w:lineRule="auto"/>
        <w:ind w:firstLine="448" w:firstLineChars="200"/>
        <w:outlineLvl w:val="0"/>
        <w:rPr>
          <w:sz w:val="24"/>
        </w:rPr>
      </w:pPr>
      <w:r>
        <w:rPr>
          <w:rFonts w:hint="eastAsia"/>
          <w:sz w:val="24"/>
        </w:rPr>
        <w:t>根据采购人要求对特定事项（如安全评测、安全检查等）进行专项检查前，或者在采购人认为可能对其业务运营产生重大影响的时刻来临之前（如大征期、重要时间节点等），提供重要事项深度巡检服务，提供专项检查报告，协助采购人提前发现问题，并提出避免风险发生所需采取的措施。</w:t>
      </w:r>
    </w:p>
    <w:p w14:paraId="5E9145B1">
      <w:pPr>
        <w:spacing w:line="360" w:lineRule="auto"/>
        <w:ind w:firstLine="448" w:firstLineChars="200"/>
        <w:outlineLvl w:val="0"/>
        <w:rPr>
          <w:sz w:val="24"/>
        </w:rPr>
      </w:pPr>
      <w:r>
        <w:rPr>
          <w:rFonts w:hint="eastAsia"/>
          <w:sz w:val="24"/>
        </w:rPr>
        <w:t>⑶故障处理</w:t>
      </w:r>
    </w:p>
    <w:p w14:paraId="267B14A3">
      <w:pPr>
        <w:spacing w:line="360" w:lineRule="auto"/>
        <w:ind w:firstLine="448" w:firstLineChars="200"/>
        <w:outlineLvl w:val="0"/>
        <w:rPr>
          <w:sz w:val="24"/>
        </w:rPr>
      </w:pPr>
      <w:r>
        <w:rPr>
          <w:rFonts w:hint="eastAsia"/>
          <w:sz w:val="24"/>
        </w:rPr>
        <w:t>①运维人员应及时处理本项目系统故障，或配合周边系统排查本项目系统接口故障问题。对于出现的系统故障，应在半小时内作出实质性反应，及时上报采购人系统负责人，组织运维人员定位和解决故障问题。如现场运维人员无法解决，应及时联系供应商二线工程师远程或到达故障现场进行处理解决。</w:t>
      </w:r>
    </w:p>
    <w:p w14:paraId="7A8D962A">
      <w:pPr>
        <w:spacing w:line="360" w:lineRule="auto"/>
        <w:ind w:firstLine="448" w:firstLineChars="200"/>
        <w:outlineLvl w:val="0"/>
        <w:rPr>
          <w:sz w:val="24"/>
        </w:rPr>
      </w:pPr>
      <w:r>
        <w:rPr>
          <w:rFonts w:hint="eastAsia"/>
          <w:sz w:val="24"/>
        </w:rPr>
        <w:t>②若由于不可抗力造成本项目系统出现严重故障，引起全市范围内业务系统中断，供应商应配合采购人召集资深专家和技术人员进行会诊，根据预先制定应急措施开展有效处理，力求将事件引发的损失减少到最小。</w:t>
      </w:r>
    </w:p>
    <w:p w14:paraId="3AE0A6D5">
      <w:pPr>
        <w:spacing w:line="360" w:lineRule="auto"/>
        <w:ind w:firstLine="448" w:firstLineChars="200"/>
        <w:outlineLvl w:val="0"/>
        <w:rPr>
          <w:sz w:val="24"/>
        </w:rPr>
      </w:pPr>
      <w:r>
        <w:rPr>
          <w:rFonts w:hint="eastAsia"/>
          <w:sz w:val="24"/>
        </w:rPr>
        <w:t>③供应商应在重大问题解决后24小时内，提交问题处理报告，说明问题种类、问题原因、问题解决中使用的方法及造成的损失等情况。</w:t>
      </w:r>
    </w:p>
    <w:p w14:paraId="7912CE28">
      <w:pPr>
        <w:spacing w:line="360" w:lineRule="auto"/>
        <w:ind w:firstLine="448" w:firstLineChars="200"/>
        <w:outlineLvl w:val="0"/>
        <w:rPr>
          <w:sz w:val="24"/>
        </w:rPr>
      </w:pPr>
      <w:r>
        <w:rPr>
          <w:rFonts w:hint="eastAsia"/>
          <w:sz w:val="24"/>
        </w:rPr>
        <w:t>⑷数据备份</w:t>
      </w:r>
    </w:p>
    <w:p w14:paraId="0629FA0F">
      <w:pPr>
        <w:spacing w:line="360" w:lineRule="auto"/>
        <w:ind w:firstLine="448" w:firstLineChars="200"/>
        <w:outlineLvl w:val="0"/>
        <w:rPr>
          <w:sz w:val="24"/>
        </w:rPr>
      </w:pPr>
      <w:r>
        <w:rPr>
          <w:rFonts w:hint="eastAsia"/>
          <w:sz w:val="24"/>
        </w:rPr>
        <w:t>为保障数据安全，规避数据丢失风险，运维人员应配合采购人，按照系统备份统一规划，对本项目系统数据进行定期备份和恢复验证。税收业务类系统，应每天进行增量备份，每周进行全量备份，定期开展备份恢复演练。查询分析和行政办公类系统，应定期开展全量备份和备份恢复演练。</w:t>
      </w:r>
    </w:p>
    <w:p w14:paraId="6C60E231">
      <w:pPr>
        <w:spacing w:line="360" w:lineRule="auto"/>
        <w:ind w:firstLine="448" w:firstLineChars="200"/>
        <w:outlineLvl w:val="0"/>
        <w:rPr>
          <w:sz w:val="24"/>
        </w:rPr>
      </w:pPr>
      <w:r>
        <w:rPr>
          <w:rFonts w:hint="eastAsia"/>
          <w:sz w:val="24"/>
        </w:rPr>
        <w:t>⑸系统调优</w:t>
      </w:r>
    </w:p>
    <w:p w14:paraId="684AA35C">
      <w:pPr>
        <w:spacing w:line="360" w:lineRule="auto"/>
        <w:ind w:firstLine="448" w:firstLineChars="200"/>
        <w:outlineLvl w:val="0"/>
        <w:rPr>
          <w:sz w:val="24"/>
        </w:rPr>
      </w:pPr>
      <w:r>
        <w:rPr>
          <w:rFonts w:hint="eastAsia"/>
          <w:sz w:val="24"/>
        </w:rPr>
        <w:t>结合本项目系统运行要求，运维人员应对运行环境提出优化建议和应对方案。优化方案经采购人审核后，运维人员组织开展本项目系统优化，并指导相关系统厂商实施相应优化工作。包括：部署架构调优、中间件调优、存储调优、数据库调优、报表工具调优、备份系统调优等应用系统涉及的相关优化工作。</w:t>
      </w:r>
    </w:p>
    <w:p w14:paraId="6395DA30">
      <w:pPr>
        <w:spacing w:line="360" w:lineRule="auto"/>
        <w:ind w:firstLine="448" w:firstLineChars="200"/>
        <w:outlineLvl w:val="0"/>
        <w:rPr>
          <w:sz w:val="24"/>
        </w:rPr>
      </w:pPr>
      <w:r>
        <w:rPr>
          <w:rFonts w:hint="eastAsia"/>
          <w:sz w:val="24"/>
        </w:rPr>
        <w:t>结合本项目系统运行要求，运维人员应对本项目系统相关数据库进行日常维护和优化调整，包括数据库系统级问题的分析解决，协助实施存储空间扩容，数据对象空间整理回收、执行计划优化、索引重构、分区调整、表数据分析等。</w:t>
      </w:r>
    </w:p>
    <w:p w14:paraId="38BEC2B4">
      <w:pPr>
        <w:spacing w:line="360" w:lineRule="auto"/>
        <w:ind w:firstLine="448" w:firstLineChars="200"/>
        <w:outlineLvl w:val="0"/>
        <w:rPr>
          <w:sz w:val="24"/>
        </w:rPr>
      </w:pPr>
      <w:r>
        <w:rPr>
          <w:rFonts w:hint="eastAsia"/>
          <w:sz w:val="24"/>
        </w:rPr>
        <w:t>2.接口运维</w:t>
      </w:r>
    </w:p>
    <w:p w14:paraId="141460B6">
      <w:pPr>
        <w:spacing w:line="360" w:lineRule="auto"/>
        <w:ind w:firstLine="448" w:firstLineChars="200"/>
        <w:outlineLvl w:val="0"/>
        <w:rPr>
          <w:sz w:val="24"/>
        </w:rPr>
      </w:pPr>
      <w:r>
        <w:rPr>
          <w:rFonts w:hint="eastAsia"/>
          <w:sz w:val="24"/>
        </w:rPr>
        <w:t>接口运维服务是指为通过集成平台接入本项目系统的第三方系统提供接口调试的运维服务，包括总局统发系统、本地特色软件系统、外部门外单位系统等。</w:t>
      </w:r>
    </w:p>
    <w:p w14:paraId="5EE2BC4F">
      <w:pPr>
        <w:spacing w:line="360" w:lineRule="auto"/>
        <w:ind w:firstLine="448" w:firstLineChars="200"/>
        <w:outlineLvl w:val="0"/>
        <w:rPr>
          <w:sz w:val="24"/>
        </w:rPr>
      </w:pPr>
      <w:r>
        <w:rPr>
          <w:rFonts w:hint="eastAsia"/>
          <w:sz w:val="24"/>
        </w:rPr>
        <w:t>当第三方系统与本项目系统业务交互存在问题时，运维人员应配合第三方软件公司进行问题分析和定位，向第三方软件公司提供问题解决方案，并对属于本项目系统接口的问题完善程序。</w:t>
      </w:r>
    </w:p>
    <w:p w14:paraId="1820FF2F">
      <w:pPr>
        <w:spacing w:line="360" w:lineRule="auto"/>
        <w:ind w:firstLine="448" w:firstLineChars="200"/>
        <w:outlineLvl w:val="0"/>
        <w:rPr>
          <w:sz w:val="24"/>
        </w:rPr>
      </w:pPr>
      <w:r>
        <w:rPr>
          <w:rFonts w:hint="eastAsia"/>
          <w:sz w:val="24"/>
        </w:rPr>
        <w:t>接口运维主要包括以下两方面的测试内容</w:t>
      </w:r>
    </w:p>
    <w:p w14:paraId="72D0A397">
      <w:pPr>
        <w:spacing w:line="360" w:lineRule="auto"/>
        <w:ind w:firstLine="448" w:firstLineChars="200"/>
        <w:outlineLvl w:val="0"/>
        <w:rPr>
          <w:sz w:val="24"/>
        </w:rPr>
      </w:pPr>
      <w:r>
        <w:rPr>
          <w:rFonts w:hint="eastAsia"/>
          <w:sz w:val="24"/>
        </w:rPr>
        <w:t>⑴业务流程测试：测试业务流程的连续性，确保两个系统的业务正常衔接，符合税收业务流程。对测试过程中遇到的各种问题进行分析，如果是第三方系统业务错误，提出修改方案供采购人和第三方软件公司参考修改。</w:t>
      </w:r>
    </w:p>
    <w:p w14:paraId="62343BAD">
      <w:pPr>
        <w:spacing w:line="360" w:lineRule="auto"/>
        <w:ind w:firstLine="448" w:firstLineChars="200"/>
        <w:outlineLvl w:val="0"/>
        <w:rPr>
          <w:sz w:val="24"/>
        </w:rPr>
      </w:pPr>
      <w:r>
        <w:rPr>
          <w:rFonts w:hint="eastAsia"/>
          <w:sz w:val="24"/>
        </w:rPr>
        <w:t>⑵业务数据测试：通过两个系统前台业务功能模块的业务场景测试，检查两个系统数据库中的业务数据是否正确，检查第三方系统写入本项目系统的数据是否符合数据填写规则。如果发现存在写入数据错误，应指导采购人和第三方软件公司修改数据写入规则。</w:t>
      </w:r>
    </w:p>
    <w:p w14:paraId="4159CD60">
      <w:pPr>
        <w:spacing w:line="360" w:lineRule="auto"/>
        <w:ind w:firstLine="448" w:firstLineChars="200"/>
        <w:outlineLvl w:val="0"/>
        <w:rPr>
          <w:sz w:val="24"/>
        </w:rPr>
      </w:pPr>
      <w:r>
        <w:rPr>
          <w:rFonts w:hint="eastAsia"/>
          <w:sz w:val="24"/>
        </w:rPr>
        <w:t>3.告警处置</w:t>
      </w:r>
    </w:p>
    <w:p w14:paraId="35AB04BC">
      <w:pPr>
        <w:spacing w:line="360" w:lineRule="auto"/>
        <w:ind w:firstLine="448" w:firstLineChars="200"/>
        <w:outlineLvl w:val="0"/>
        <w:rPr>
          <w:sz w:val="24"/>
        </w:rPr>
      </w:pPr>
      <w:r>
        <w:rPr>
          <w:rFonts w:hint="eastAsia"/>
          <w:sz w:val="24"/>
        </w:rPr>
        <w:t>运维人员需随时关注采购人运维监控系统推送的本项目系统告警信息，对告警信息进行核实，真实告警要及时处置系统故障，误报告警要调整监控指标或阈值，告警工单要详细录入告警分析结论和具体处置方法，当月产生的告警信息和告警工单要当月清零。根据总局和采购人要求，参与对重大告警问题的联合排查和处置，对于重大告警至少每20分钟通报一次处置进度。现场运维人员无法解决的告警和故障，需及时联系二线开发部门获取解决方案。</w:t>
      </w:r>
    </w:p>
    <w:p w14:paraId="43127A4D">
      <w:pPr>
        <w:spacing w:line="360" w:lineRule="auto"/>
        <w:ind w:firstLine="448" w:firstLineChars="200"/>
        <w:outlineLvl w:val="0"/>
        <w:rPr>
          <w:sz w:val="24"/>
        </w:rPr>
      </w:pPr>
      <w:r>
        <w:rPr>
          <w:rFonts w:hint="eastAsia"/>
          <w:sz w:val="24"/>
        </w:rPr>
        <w:t>4.重保值守</w:t>
      </w:r>
    </w:p>
    <w:p w14:paraId="55DE37AF">
      <w:pPr>
        <w:spacing w:line="360" w:lineRule="auto"/>
        <w:ind w:firstLine="448" w:firstLineChars="200"/>
        <w:outlineLvl w:val="0"/>
        <w:rPr>
          <w:sz w:val="24"/>
        </w:rPr>
      </w:pPr>
      <w:r>
        <w:rPr>
          <w:rFonts w:hint="eastAsia"/>
          <w:sz w:val="24"/>
        </w:rPr>
        <w:t>按照采购人实际需要，在每季度大征期、国家重要节日活动期间，在采购人统一指挥下开展7×24小时重保值守工作，开展本项目系统相关安全保障检查、安全保障监控和安全保障响应，及时开展系统问题处置和安全加固。供应商应在重要保障期间要同步做好供应链安全防护。</w:t>
      </w:r>
    </w:p>
    <w:p w14:paraId="73560834">
      <w:pPr>
        <w:spacing w:line="360" w:lineRule="auto"/>
        <w:ind w:firstLine="448" w:firstLineChars="200"/>
        <w:outlineLvl w:val="0"/>
        <w:rPr>
          <w:sz w:val="24"/>
        </w:rPr>
      </w:pPr>
      <w:r>
        <w:rPr>
          <w:rFonts w:hint="eastAsia"/>
          <w:sz w:val="24"/>
        </w:rPr>
        <w:t>重保值守期间，运维人员应重点对数据库、中间件、应用系统登录日志、错误日志、操作日志等进行审计分析，定期对数据库账号、操作系统账号、中间件账号、操作系统目录、应用程序目录、数据库结构进行完整性校验，发现问题及时上报。</w:t>
      </w:r>
    </w:p>
    <w:p w14:paraId="314A36F2">
      <w:pPr>
        <w:spacing w:line="360" w:lineRule="auto"/>
        <w:ind w:firstLine="448" w:firstLineChars="200"/>
        <w:outlineLvl w:val="0"/>
        <w:rPr>
          <w:sz w:val="24"/>
        </w:rPr>
      </w:pPr>
      <w:r>
        <w:rPr>
          <w:rFonts w:hint="eastAsia"/>
          <w:sz w:val="24"/>
        </w:rPr>
        <w:t>运维人员应根据采购人通报及时排查对本项目系统的可疑攻击，进行病毒或木马清理，如发生网络安全事件需充分保存日志记录，配合有关部门做好证据勘查，完整保留证据等工作，同时要举一反三，根据问题线索对相关应用系统进行全面排查和加固。</w:t>
      </w:r>
    </w:p>
    <w:p w14:paraId="3DB32AB2">
      <w:pPr>
        <w:spacing w:line="360" w:lineRule="auto"/>
        <w:ind w:firstLine="448" w:firstLineChars="200"/>
        <w:outlineLvl w:val="0"/>
        <w:rPr>
          <w:sz w:val="24"/>
        </w:rPr>
      </w:pPr>
      <w:r>
        <w:rPr>
          <w:rFonts w:hint="eastAsia"/>
          <w:sz w:val="24"/>
        </w:rPr>
        <w:t>5.系统升级</w:t>
      </w:r>
    </w:p>
    <w:p w14:paraId="02545FD9">
      <w:pPr>
        <w:spacing w:line="360" w:lineRule="auto"/>
        <w:ind w:firstLine="448" w:firstLineChars="200"/>
        <w:outlineLvl w:val="0"/>
        <w:rPr>
          <w:sz w:val="24"/>
        </w:rPr>
      </w:pPr>
      <w:r>
        <w:rPr>
          <w:rFonts w:hint="eastAsia"/>
          <w:sz w:val="24"/>
        </w:rPr>
        <w:t>⑴升级计划</w:t>
      </w:r>
    </w:p>
    <w:p w14:paraId="4E7B154D">
      <w:pPr>
        <w:spacing w:line="360" w:lineRule="auto"/>
        <w:ind w:firstLine="448" w:firstLineChars="200"/>
        <w:outlineLvl w:val="0"/>
        <w:rPr>
          <w:sz w:val="24"/>
        </w:rPr>
      </w:pPr>
      <w:r>
        <w:rPr>
          <w:rFonts w:hint="eastAsia"/>
          <w:sz w:val="24"/>
        </w:rPr>
        <w:t>运维人员应随时了解总局或二线开发部门发布的本项目系统最新版本情况，及时掌握需求变更或BUG修改产生的升级需求，与采购人系统负责人一起进行评估，分析升级方案，制定升级计划。</w:t>
      </w:r>
    </w:p>
    <w:p w14:paraId="386AF3FB">
      <w:pPr>
        <w:spacing w:line="360" w:lineRule="auto"/>
        <w:ind w:firstLine="448" w:firstLineChars="200"/>
        <w:outlineLvl w:val="0"/>
        <w:rPr>
          <w:sz w:val="24"/>
        </w:rPr>
      </w:pPr>
      <w:r>
        <w:rPr>
          <w:rFonts w:hint="eastAsia"/>
          <w:sz w:val="24"/>
        </w:rPr>
        <w:t>⑵升级测试</w:t>
      </w:r>
    </w:p>
    <w:p w14:paraId="39857CE9">
      <w:pPr>
        <w:spacing w:line="360" w:lineRule="auto"/>
        <w:ind w:firstLine="448" w:firstLineChars="200"/>
        <w:outlineLvl w:val="0"/>
        <w:rPr>
          <w:sz w:val="24"/>
        </w:rPr>
      </w:pPr>
      <w:r>
        <w:rPr>
          <w:rFonts w:hint="eastAsia"/>
          <w:sz w:val="24"/>
        </w:rPr>
        <w:t>当总局或二线开发部门发布本项目系统新版本或紧急补丁时，运维人员需要先在预生产环境上进行升级验证，模拟实际业务场景操作测试。同时，运维人员需辅助采购人业务测试人员和相关系统厂商，完成预生产环境的验证测试和联调测试工作。对测试问题进行分析定位，如果确定是本项目系统程序BUG，运维人员应联系本项目系统开发部门进行修改，直到问题得到解决。</w:t>
      </w:r>
    </w:p>
    <w:p w14:paraId="665170F0">
      <w:pPr>
        <w:spacing w:line="360" w:lineRule="auto"/>
        <w:ind w:firstLine="448" w:firstLineChars="200"/>
        <w:outlineLvl w:val="0"/>
        <w:rPr>
          <w:sz w:val="24"/>
        </w:rPr>
      </w:pPr>
      <w:r>
        <w:rPr>
          <w:rFonts w:hint="eastAsia"/>
          <w:sz w:val="24"/>
        </w:rPr>
        <w:t>每次升级需根据升级清单将新增功能和修改问题逐一测试，并按照制定的冒烟测试流程进行冒烟测试。对于测试中出现的问题及时进行沟通和处理。测试通过后，才能在生产环境中升级发布。</w:t>
      </w:r>
    </w:p>
    <w:p w14:paraId="16EBC0E4">
      <w:pPr>
        <w:spacing w:line="360" w:lineRule="auto"/>
        <w:ind w:firstLine="448" w:firstLineChars="200"/>
        <w:outlineLvl w:val="0"/>
        <w:rPr>
          <w:sz w:val="24"/>
        </w:rPr>
      </w:pPr>
      <w:r>
        <w:rPr>
          <w:rFonts w:hint="eastAsia"/>
          <w:sz w:val="24"/>
        </w:rPr>
        <w:t>⑶升级发布</w:t>
      </w:r>
    </w:p>
    <w:p w14:paraId="7A32074E">
      <w:pPr>
        <w:spacing w:line="360" w:lineRule="auto"/>
        <w:ind w:firstLine="448" w:firstLineChars="200"/>
        <w:outlineLvl w:val="0"/>
        <w:rPr>
          <w:sz w:val="24"/>
        </w:rPr>
      </w:pPr>
      <w:r>
        <w:rPr>
          <w:rFonts w:hint="eastAsia"/>
          <w:sz w:val="24"/>
        </w:rPr>
        <w:t>运维人员根据采购人确定的升级时间窗口，按期完成本项目系统生产环境升级部署和验证测试工作，升级前要做好停机备案和告警压制等准备工作。在升级过程中，严格依据软件开发控制流程进行规范化管理，以保证升级版本的质量。升级部署后，运维人员需再次核对程序版本，按照制定的冒烟测试流程进行冒烟测试，协调周边系统开展联调验证。</w:t>
      </w:r>
    </w:p>
    <w:p w14:paraId="04C7E095">
      <w:pPr>
        <w:spacing w:line="360" w:lineRule="auto"/>
        <w:ind w:firstLine="448" w:firstLineChars="200"/>
        <w:outlineLvl w:val="0"/>
        <w:rPr>
          <w:sz w:val="24"/>
        </w:rPr>
      </w:pPr>
      <w:r>
        <w:rPr>
          <w:rFonts w:hint="eastAsia"/>
          <w:sz w:val="24"/>
        </w:rPr>
        <w:t>6.安全加固</w:t>
      </w:r>
    </w:p>
    <w:p w14:paraId="1D97AE0B">
      <w:pPr>
        <w:spacing w:line="360" w:lineRule="auto"/>
        <w:ind w:firstLine="448" w:firstLineChars="200"/>
        <w:outlineLvl w:val="0"/>
        <w:rPr>
          <w:sz w:val="24"/>
        </w:rPr>
      </w:pPr>
      <w:r>
        <w:rPr>
          <w:rFonts w:hint="eastAsia"/>
          <w:sz w:val="24"/>
        </w:rPr>
        <w:t>配合采购人开展本项目系统安全加固，包括漏洞修复、基线安全配置、高危端口修改、弱口令清理等。配合采购人开展信息系统等级保护测评、密码安全性评估、渗透测试、数据安全风险评估、源代码审计等安全检查和安全审计工作，包括人员访谈，提供资产信息，根据报告进行问题整改和复测等。</w:t>
      </w:r>
    </w:p>
    <w:p w14:paraId="7F523CAC">
      <w:pPr>
        <w:spacing w:line="360" w:lineRule="auto"/>
        <w:ind w:firstLine="448" w:firstLineChars="200"/>
        <w:outlineLvl w:val="0"/>
        <w:rPr>
          <w:sz w:val="24"/>
        </w:rPr>
      </w:pPr>
      <w:r>
        <w:rPr>
          <w:rFonts w:hint="eastAsia"/>
          <w:sz w:val="24"/>
        </w:rPr>
        <w:t>7.系统迁移</w:t>
      </w:r>
    </w:p>
    <w:p w14:paraId="4ED8ED99">
      <w:pPr>
        <w:spacing w:line="360" w:lineRule="auto"/>
        <w:ind w:firstLine="448" w:firstLineChars="200"/>
        <w:outlineLvl w:val="0"/>
        <w:rPr>
          <w:sz w:val="24"/>
        </w:rPr>
      </w:pPr>
      <w:r>
        <w:rPr>
          <w:rFonts w:hint="eastAsia"/>
          <w:sz w:val="24"/>
        </w:rPr>
        <w:t>采购人进行硬件资源整合和规划过程中，将面临有效硬件资源的合理利用，从而避免资源浪费，这将涉及硬件服务器上的本项目系统相关应用迁移。</w:t>
      </w:r>
    </w:p>
    <w:p w14:paraId="2D633100">
      <w:pPr>
        <w:spacing w:line="360" w:lineRule="auto"/>
        <w:ind w:firstLine="448" w:firstLineChars="200"/>
        <w:outlineLvl w:val="0"/>
        <w:rPr>
          <w:sz w:val="24"/>
        </w:rPr>
      </w:pPr>
      <w:r>
        <w:rPr>
          <w:rFonts w:hint="eastAsia"/>
          <w:sz w:val="24"/>
        </w:rPr>
        <w:t>⑴供应商指派专业技术工程师，根据采购人提出的本项目系统重大配置变更申请（如应用系统网络、存储、主机、中间件、数据库、操作系统的重大配置调整）进行评估和方案制定，并综合判断重大配置变更执行的风险、回退方案、可行性、所需资源等。在不改变现有系统架构情况下，当主机系统、网络系统、存储系统、专用设备等发生迁移变更时，指派环境搭建部署人员密切配合硬件厂商等第三方公司做好本项目系统的迁移变更工作，以及对本项目系统环境的重新搭建部署工作。</w:t>
      </w:r>
    </w:p>
    <w:p w14:paraId="0FF0FDC9">
      <w:pPr>
        <w:spacing w:line="360" w:lineRule="auto"/>
        <w:ind w:firstLine="448" w:firstLineChars="200"/>
        <w:outlineLvl w:val="0"/>
        <w:rPr>
          <w:sz w:val="24"/>
        </w:rPr>
      </w:pPr>
      <w:r>
        <w:rPr>
          <w:rFonts w:hint="eastAsia"/>
          <w:sz w:val="24"/>
        </w:rPr>
        <w:t>⑵本项目系统相关应用、网络、存储、主机、中间件、数据库、操作系统等，由于第三方厂商并购或战略调整导致的产品停产或产品替代，尤其是服务器和数据库等重要环境，采购人面临迁移或升级的压力，供应商可凭借对异构平台的深入理解，配合采购人制定跨系统平台迁移方案，及时有效规避第三方产品的更迭风险。</w:t>
      </w:r>
    </w:p>
    <w:p w14:paraId="3FF1D4B8">
      <w:pPr>
        <w:spacing w:line="360" w:lineRule="auto"/>
        <w:ind w:firstLine="448" w:firstLineChars="200"/>
        <w:outlineLvl w:val="0"/>
        <w:rPr>
          <w:sz w:val="24"/>
        </w:rPr>
      </w:pPr>
      <w:r>
        <w:rPr>
          <w:rFonts w:hint="eastAsia"/>
          <w:sz w:val="24"/>
        </w:rPr>
        <w:t>8.运维报告</w:t>
      </w:r>
    </w:p>
    <w:p w14:paraId="3FA0FFF4">
      <w:pPr>
        <w:spacing w:line="360" w:lineRule="auto"/>
        <w:ind w:firstLine="448" w:firstLineChars="200"/>
        <w:outlineLvl w:val="0"/>
        <w:rPr>
          <w:sz w:val="24"/>
        </w:rPr>
      </w:pPr>
      <w:r>
        <w:rPr>
          <w:rFonts w:hint="eastAsia"/>
          <w:sz w:val="24"/>
        </w:rPr>
        <w:t>运维人员应在每个工作日例行巡检后，通过供应商即时通讯群、运维平台等途径，发布系统主要健康指标。定期运维沟通会上，由运维项目经理汇报本项目系统运行维护情况。次月征期之前，向采购人提交当月系统运行维护报告和征期前深度巡检报告，报告应包含本项目系统涉及的所有软硬件当月健康情况、当月主要运维问题、主要运行风险和解决建议、当月版本升级、紧急补丁和程序发布情况等内容。</w:t>
      </w:r>
    </w:p>
    <w:p w14:paraId="353C9541">
      <w:pPr>
        <w:spacing w:line="360" w:lineRule="auto"/>
        <w:ind w:firstLine="448" w:firstLineChars="200"/>
        <w:outlineLvl w:val="0"/>
        <w:rPr>
          <w:sz w:val="24"/>
        </w:rPr>
      </w:pPr>
      <w:r>
        <w:rPr>
          <w:rFonts w:hint="eastAsia"/>
          <w:sz w:val="24"/>
        </w:rPr>
        <w:t>9.培训服务</w:t>
      </w:r>
    </w:p>
    <w:p w14:paraId="05C3937C">
      <w:pPr>
        <w:spacing w:line="360" w:lineRule="auto"/>
        <w:ind w:firstLine="448" w:firstLineChars="200"/>
        <w:outlineLvl w:val="0"/>
        <w:rPr>
          <w:sz w:val="24"/>
        </w:rPr>
      </w:pPr>
      <w:r>
        <w:rPr>
          <w:rFonts w:hint="eastAsia"/>
          <w:sz w:val="24"/>
        </w:rPr>
        <w:t>向采购人人员培训本项目系统相关开发技术、开发框架、数据库结构以及日常维护知识。提供本项目系统培训、使用、开发、维护文档。每次系统升级更新后，应对采购人相关人员提供变更内容培训。如果是新业务功能升级，还需配套下发操作手册，或配合编写本地化操作手册。必要时按照采购人要求，在指定人员范围内开展培训工作。</w:t>
      </w:r>
    </w:p>
    <w:p w14:paraId="5CD575FB">
      <w:pPr>
        <w:spacing w:line="360" w:lineRule="auto"/>
        <w:ind w:firstLine="448" w:firstLineChars="200"/>
        <w:outlineLvl w:val="0"/>
        <w:rPr>
          <w:sz w:val="24"/>
        </w:rPr>
      </w:pPr>
      <w:r>
        <w:rPr>
          <w:rFonts w:hint="eastAsia"/>
          <w:sz w:val="24"/>
        </w:rPr>
        <w:t>10.应急响应及演练</w:t>
      </w:r>
    </w:p>
    <w:p w14:paraId="3AB8C34A">
      <w:pPr>
        <w:spacing w:line="360" w:lineRule="auto"/>
        <w:ind w:firstLine="448" w:firstLineChars="200"/>
        <w:outlineLvl w:val="0"/>
        <w:rPr>
          <w:sz w:val="24"/>
        </w:rPr>
      </w:pPr>
      <w:r>
        <w:rPr>
          <w:rFonts w:hint="eastAsia"/>
          <w:sz w:val="24"/>
        </w:rPr>
        <w:t>供应商应制定适用于本项目系统，以及关联中间件、数据库等第三方软硬件产品的应急预案，其目的是在发生突发事件时，通过预先制定应急措施进行有效处理，快速恢复，力求将事件引发的损失减少到最小。</w:t>
      </w:r>
    </w:p>
    <w:p w14:paraId="22986CEF">
      <w:pPr>
        <w:spacing w:line="360" w:lineRule="auto"/>
        <w:ind w:firstLine="448" w:firstLineChars="200"/>
        <w:outlineLvl w:val="0"/>
        <w:rPr>
          <w:sz w:val="24"/>
        </w:rPr>
      </w:pPr>
      <w:r>
        <w:rPr>
          <w:rFonts w:hint="eastAsia"/>
          <w:sz w:val="24"/>
        </w:rPr>
        <w:t>按采购人要求，供应商定期组织运维人员进行应急预案演练。通过演练，可以确保本项目系统的可用性和稳定性，保证业务的持续性，同时也提高运维人员的实施应急预案的能力。当本项目系统实际发生重大故障，或遭受重大网络攻击等安全事件时，按照应急响应预案，开展风险应对和系统恢复。</w:t>
      </w:r>
    </w:p>
    <w:p w14:paraId="0FBE9B57">
      <w:pPr>
        <w:spacing w:line="360" w:lineRule="auto"/>
        <w:ind w:firstLine="448" w:firstLineChars="200"/>
        <w:outlineLvl w:val="0"/>
        <w:rPr>
          <w:sz w:val="24"/>
        </w:rPr>
      </w:pPr>
      <w:r>
        <w:rPr>
          <w:rFonts w:hint="eastAsia"/>
          <w:sz w:val="24"/>
        </w:rPr>
        <w:t>11.高级技术支持</w:t>
      </w:r>
    </w:p>
    <w:p w14:paraId="3E740A63">
      <w:pPr>
        <w:spacing w:line="360" w:lineRule="auto"/>
        <w:ind w:firstLine="448" w:firstLineChars="200"/>
        <w:outlineLvl w:val="0"/>
        <w:rPr>
          <w:sz w:val="24"/>
        </w:rPr>
      </w:pPr>
      <w:r>
        <w:rPr>
          <w:rFonts w:hint="eastAsia"/>
          <w:sz w:val="24"/>
        </w:rPr>
        <w:t>⑴对于现场运维人员不能解决的本项目系统疑难问题，由供应商二线专家服务团队提供解决办法，该专家服务团队应具备综合故障分析、系统优化、应急处置等专业能力。</w:t>
      </w:r>
    </w:p>
    <w:p w14:paraId="5444DB88">
      <w:pPr>
        <w:spacing w:line="360" w:lineRule="auto"/>
        <w:ind w:firstLine="448" w:firstLineChars="200"/>
        <w:outlineLvl w:val="0"/>
        <w:rPr>
          <w:sz w:val="24"/>
        </w:rPr>
      </w:pPr>
      <w:r>
        <w:rPr>
          <w:rFonts w:hint="eastAsia"/>
          <w:sz w:val="24"/>
        </w:rPr>
        <w:t>⑵对于本项目系统遇到的重大事件和疑问，采购人将召集资深专家进行会诊。供应商应备有一支专业技术专家队伍，经过专家会诊，应能很快确定问题所在，找到相应的解决办法，并采取相应的措施，确保系统的及时恢复正常运行。</w:t>
      </w:r>
    </w:p>
    <w:p w14:paraId="440B4719">
      <w:pPr>
        <w:spacing w:line="360" w:lineRule="auto"/>
        <w:ind w:firstLine="448" w:firstLineChars="200"/>
        <w:outlineLvl w:val="0"/>
        <w:rPr>
          <w:sz w:val="24"/>
        </w:rPr>
      </w:pPr>
      <w:r>
        <w:rPr>
          <w:rFonts w:hint="eastAsia"/>
          <w:sz w:val="24"/>
        </w:rPr>
        <w:t>⑶供应商的二线专家服务团队和专业技术专家团队，应定期为本项目系统现场运维人员组织技能培训，指导其部署及维护运维监控工具，针对本项目系统在采购人的运行环境提供高级巡检服务，并给出优化建议或咨询报告。</w:t>
      </w:r>
    </w:p>
    <w:p w14:paraId="6194C832">
      <w:pPr>
        <w:spacing w:line="360" w:lineRule="auto"/>
        <w:ind w:firstLine="448" w:firstLineChars="200"/>
        <w:outlineLvl w:val="0"/>
        <w:rPr>
          <w:sz w:val="24"/>
        </w:rPr>
      </w:pPr>
      <w:r>
        <w:rPr>
          <w:rFonts w:hint="eastAsia"/>
          <w:sz w:val="24"/>
        </w:rPr>
        <w:t>12.特有技术运维服务</w:t>
      </w:r>
    </w:p>
    <w:p w14:paraId="07439499">
      <w:pPr>
        <w:spacing w:line="360" w:lineRule="auto"/>
        <w:ind w:firstLine="448" w:firstLineChars="200"/>
        <w:outlineLvl w:val="0"/>
        <w:rPr>
          <w:sz w:val="24"/>
        </w:rPr>
      </w:pPr>
      <w:r>
        <w:rPr>
          <w:rFonts w:hint="eastAsia"/>
          <w:sz w:val="24"/>
        </w:rPr>
        <w:t>12.1.税务人端慧办平台等系统遵循“云化、服务化”总体思路，采用分层解耦设计，云化服务化架构，因此需针对本项目系统开展相关技术运维服务。</w:t>
      </w:r>
    </w:p>
    <w:p w14:paraId="6D245E33">
      <w:pPr>
        <w:spacing w:line="360" w:lineRule="auto"/>
        <w:ind w:firstLine="448" w:firstLineChars="200"/>
        <w:outlineLvl w:val="0"/>
        <w:rPr>
          <w:sz w:val="24"/>
        </w:rPr>
      </w:pPr>
      <w:r>
        <w:rPr>
          <w:rFonts w:hint="eastAsia"/>
          <w:sz w:val="24"/>
        </w:rPr>
        <w:t>⑴云服务集成平台</w:t>
      </w:r>
    </w:p>
    <w:p w14:paraId="67DD461A">
      <w:pPr>
        <w:spacing w:line="360" w:lineRule="auto"/>
        <w:ind w:firstLine="448" w:firstLineChars="200"/>
        <w:outlineLvl w:val="0"/>
        <w:rPr>
          <w:sz w:val="24"/>
        </w:rPr>
      </w:pPr>
      <w:r>
        <w:rPr>
          <w:rFonts w:hint="eastAsia"/>
          <w:sz w:val="24"/>
        </w:rPr>
        <w:t>云服务集成平台依托里约网关，帮助打通、整合内外新旧业务系统，屏蔽异构系统的差异化，对应用系统提供统一的标准规范，实现应用系统之间的服务调用和管控。需协助采购人，开展本项目系统相关云服务集成平台的注册、部署、升级、管控等维护工作，开展相关功能或接口服务的冒烟验证和联调测试工作，接口请求数及调用成功率业务错误日志针对性处理。</w:t>
      </w:r>
    </w:p>
    <w:p w14:paraId="715F83FD">
      <w:pPr>
        <w:spacing w:line="360" w:lineRule="auto"/>
        <w:ind w:firstLine="448" w:firstLineChars="200"/>
        <w:outlineLvl w:val="0"/>
        <w:rPr>
          <w:sz w:val="24"/>
        </w:rPr>
      </w:pPr>
      <w:r>
        <w:rPr>
          <w:rFonts w:hint="eastAsia"/>
          <w:sz w:val="24"/>
        </w:rPr>
        <w:t>⑵云应用和云数据库管理</w:t>
      </w:r>
    </w:p>
    <w:p w14:paraId="090D6B86">
      <w:pPr>
        <w:spacing w:line="360" w:lineRule="auto"/>
        <w:ind w:firstLine="448" w:firstLineChars="200"/>
        <w:outlineLvl w:val="0"/>
        <w:rPr>
          <w:sz w:val="24"/>
        </w:rPr>
      </w:pPr>
      <w:r>
        <w:rPr>
          <w:rFonts w:hint="eastAsia"/>
          <w:sz w:val="24"/>
        </w:rPr>
        <w:t>①云服务：根据统一的标准规范，负责部署在腾讯云上的本项目系统相关应用和数据库的维护，包括本项目系统相关云上基础环境和基础软件（含云套件、基础平台、数据库、中间件、数据同步工具、数据治理工具、数据安全工具、基础监控工具、业务监控工具）、公共组件、应用微服务（微服务及服务接口）等。例如负责云租户端容器集群(TKE)的master和node节点运行情况监控节点扩容，弹性伸缩监控、云服务器（CVM）cpu内存磁盘监控、负载均衡(CLB)的健康状态、云平台各私有网络(VPC)之间的连通性、日志服务(CLS)关键字监控、云数据库(TDSQL、Tbase、MariaDB等)客户端连接数磁盘使用率、消息中间件(CKafka)数据积压等云产品的日常运行监控等。</w:t>
      </w:r>
    </w:p>
    <w:p w14:paraId="665AD353">
      <w:pPr>
        <w:spacing w:line="360" w:lineRule="auto"/>
        <w:ind w:firstLine="448" w:firstLineChars="200"/>
        <w:outlineLvl w:val="0"/>
        <w:rPr>
          <w:sz w:val="24"/>
        </w:rPr>
      </w:pPr>
      <w:r>
        <w:rPr>
          <w:rFonts w:hint="eastAsia"/>
          <w:sz w:val="24"/>
        </w:rPr>
        <w:t>②云服务性能优化与调整：根据本项目系统业务需求和负载情况，针对不同的服务制定Kubernetes云容器，实现对Pod实例准确控制。利用腾讯云的性能监控工具，针对本项目系统实时分析性能瓶颈，并采取相应的优化措施。遇到本项目系统相关云上系统异常或故障时，迅速定位问题原因，并采取有效措施进行恢复。配合开展本项目系统相关云平台、云平台产品、里约网关、蓝鲸平台、云上安全产品、云上网络产品升级工作。</w:t>
      </w:r>
    </w:p>
    <w:p w14:paraId="523787C2">
      <w:pPr>
        <w:spacing w:line="360" w:lineRule="auto"/>
        <w:ind w:firstLine="448" w:firstLineChars="200"/>
        <w:outlineLvl w:val="0"/>
        <w:rPr>
          <w:sz w:val="24"/>
        </w:rPr>
      </w:pPr>
      <w:r>
        <w:rPr>
          <w:rFonts w:hint="eastAsia"/>
          <w:sz w:val="24"/>
        </w:rPr>
        <w:t>③自动化运维实施：引入本项目系统相关自动化运维工具，如Ansible实现批量部署、配置更新和故障恢复。通过自动化脚本，减少人为操作失误，提高运维效率。</w:t>
      </w:r>
    </w:p>
    <w:p w14:paraId="3494EE68">
      <w:pPr>
        <w:spacing w:line="360" w:lineRule="auto"/>
        <w:ind w:firstLine="448" w:firstLineChars="200"/>
        <w:outlineLvl w:val="0"/>
        <w:rPr>
          <w:sz w:val="24"/>
        </w:rPr>
      </w:pPr>
      <w:r>
        <w:rPr>
          <w:rFonts w:hint="eastAsia"/>
          <w:sz w:val="24"/>
        </w:rPr>
        <w:t>12.2.决策指挥视频融合系统特有技术运维服务</w:t>
      </w:r>
    </w:p>
    <w:p w14:paraId="6C152825">
      <w:pPr>
        <w:spacing w:line="360" w:lineRule="auto"/>
        <w:ind w:firstLine="448" w:firstLineChars="200"/>
        <w:outlineLvl w:val="0"/>
        <w:rPr>
          <w:sz w:val="24"/>
        </w:rPr>
      </w:pPr>
      <w:r>
        <w:rPr>
          <w:rFonts w:hint="eastAsia"/>
          <w:sz w:val="24"/>
        </w:rPr>
        <w:t>⑴协助采购人，完成决策管理指挥平台用户安全管理和权限维护；</w:t>
      </w:r>
    </w:p>
    <w:p w14:paraId="1332488A">
      <w:pPr>
        <w:spacing w:line="360" w:lineRule="auto"/>
        <w:ind w:firstLine="448" w:firstLineChars="200"/>
        <w:outlineLvl w:val="0"/>
        <w:rPr>
          <w:sz w:val="24"/>
        </w:rPr>
      </w:pPr>
      <w:r>
        <w:rPr>
          <w:rFonts w:hint="eastAsia"/>
          <w:sz w:val="24"/>
        </w:rPr>
        <w:t>⑵协助采购人，完成视频系统参数配置调整。</w:t>
      </w:r>
    </w:p>
    <w:p w14:paraId="0AF5E9B1">
      <w:pPr>
        <w:spacing w:line="360" w:lineRule="auto"/>
        <w:ind w:firstLine="448" w:firstLineChars="200"/>
        <w:outlineLvl w:val="0"/>
        <w:rPr>
          <w:sz w:val="24"/>
        </w:rPr>
      </w:pPr>
      <w:r>
        <w:rPr>
          <w:rFonts w:hint="eastAsia"/>
          <w:sz w:val="24"/>
        </w:rPr>
        <w:t>13.征期值守</w:t>
      </w:r>
    </w:p>
    <w:p w14:paraId="0DF3C8E5">
      <w:pPr>
        <w:spacing w:line="360" w:lineRule="auto"/>
        <w:ind w:firstLine="448" w:firstLineChars="200"/>
        <w:outlineLvl w:val="0"/>
        <w:rPr>
          <w:sz w:val="24"/>
        </w:rPr>
      </w:pPr>
      <w:r>
        <w:rPr>
          <w:rFonts w:hint="eastAsia"/>
          <w:sz w:val="24"/>
        </w:rPr>
        <w:t>按照采购人实际需要，在每季度大征期以外的普通征期内，在采购人统一指挥下开展7×8小时征期值守工作，开展本项目系统相关安全保障检查、安全保障监控和安全保障响应，及时开展系统问题处置和安全加固。</w:t>
      </w:r>
    </w:p>
    <w:p w14:paraId="637D6E10">
      <w:pPr>
        <w:spacing w:line="360" w:lineRule="auto"/>
        <w:ind w:firstLine="448" w:firstLineChars="200"/>
        <w:outlineLvl w:val="0"/>
        <w:rPr>
          <w:sz w:val="24"/>
        </w:rPr>
      </w:pPr>
      <w:r>
        <w:rPr>
          <w:rFonts w:hint="eastAsia"/>
          <w:sz w:val="24"/>
        </w:rPr>
        <w:t>征期值守期间，运维人员应按时完成系统健康巡检，关注系统可用性监控和自动化拨测告警，发现问题及时上报，及时处置系统故障。在节假日等非工作时间根据采购人实际需要，对系统开展业务和技术支持。当系统在非工作时间突发紧急故障，能够开展有效处置，包括非不可抗力因素造成的故障（故障恢复时间＜30分钟），不可抗力因素造成的故障（响应时间≤30分钟，故障恢复时间＜4小时）。</w:t>
      </w:r>
    </w:p>
    <w:p w14:paraId="76F5B053">
      <w:pPr>
        <w:spacing w:line="360" w:lineRule="auto"/>
        <w:ind w:firstLine="448" w:firstLineChars="200"/>
        <w:outlineLvl w:val="0"/>
        <w:rPr>
          <w:sz w:val="24"/>
        </w:rPr>
      </w:pPr>
      <w:r>
        <w:rPr>
          <w:rFonts w:hint="eastAsia"/>
          <w:sz w:val="24"/>
        </w:rPr>
        <w:t>（三）服务其他要求</w:t>
      </w:r>
    </w:p>
    <w:p w14:paraId="740982B1">
      <w:pPr>
        <w:spacing w:line="360" w:lineRule="auto"/>
        <w:ind w:firstLine="448" w:firstLineChars="200"/>
        <w:outlineLvl w:val="0"/>
        <w:rPr>
          <w:sz w:val="24"/>
        </w:rPr>
      </w:pPr>
      <w:r>
        <w:rPr>
          <w:rFonts w:hint="eastAsia"/>
          <w:sz w:val="24"/>
        </w:rPr>
        <w:t>本项目需要通过建立基于工时的弹性运维体系，实现人员动态调配，保障高峰期服务质量，降低平峰期资源冗余成本，涵盖所有业务和技术运维工作。</w:t>
      </w:r>
    </w:p>
    <w:p w14:paraId="54192902">
      <w:pPr>
        <w:spacing w:line="360" w:lineRule="auto"/>
        <w:ind w:firstLine="448" w:firstLineChars="200"/>
        <w:outlineLvl w:val="0"/>
        <w:rPr>
          <w:sz w:val="24"/>
        </w:rPr>
      </w:pPr>
      <w:r>
        <w:rPr>
          <w:rFonts w:hint="eastAsia"/>
          <w:sz w:val="24"/>
        </w:rPr>
        <w:t>1.工时分类</w:t>
      </w:r>
    </w:p>
    <w:p w14:paraId="0E96AC3A">
      <w:pPr>
        <w:spacing w:line="360" w:lineRule="auto"/>
        <w:rPr>
          <w:sz w:val="24"/>
        </w:rPr>
      </w:pPr>
      <w:r>
        <w:rPr>
          <w:rFonts w:hint="eastAsia"/>
          <w:sz w:val="24"/>
        </w:rPr>
        <w:tab/>
      </w:r>
      <w:r>
        <w:rPr>
          <w:rFonts w:hint="eastAsia"/>
          <w:sz w:val="24"/>
        </w:rPr>
        <w:t>⑴平日工时：全年工作日约为248天，工作日白天正常工时为8小时，特殊情况按工作日实际工时计算。</w:t>
      </w:r>
    </w:p>
    <w:p w14:paraId="42B299E7">
      <w:pPr>
        <w:spacing w:line="360" w:lineRule="auto"/>
        <w:ind w:firstLine="448" w:firstLineChars="200"/>
        <w:rPr>
          <w:sz w:val="24"/>
        </w:rPr>
      </w:pPr>
      <w:r>
        <w:rPr>
          <w:rFonts w:hint="eastAsia"/>
          <w:sz w:val="24"/>
        </w:rPr>
        <w:t>⑵值班工时：各月征期和重要时间节点，需根据采购人要求，安排人员提供白天7*8小时值班值守，除正常工作日外，也需要在公休日白天开展值班值守，全年征期和重要时间节点内公休日约70天，公休日白天值班值守工时可按实际工时2倍计算。</w:t>
      </w:r>
    </w:p>
    <w:p w14:paraId="6DEC0C5F">
      <w:pPr>
        <w:spacing w:line="360" w:lineRule="auto"/>
        <w:ind w:firstLine="448" w:firstLineChars="200"/>
        <w:rPr>
          <w:sz w:val="24"/>
        </w:rPr>
      </w:pPr>
      <w:r>
        <w:rPr>
          <w:rFonts w:hint="eastAsia"/>
          <w:sz w:val="24"/>
        </w:rPr>
        <w:t>⑶重保工时：每年4个月大征期（约75天）、两会期间（约8天）、重要安全演练期间（约30天）、国家和天津市重要活动期间（例如冬奥会、</w:t>
      </w:r>
      <w:r>
        <w:rPr>
          <w:rFonts w:hint="eastAsia"/>
          <w:sz w:val="24"/>
          <w:lang w:val="en-US" w:eastAsia="zh-CN"/>
        </w:rPr>
        <w:t>党的</w:t>
      </w:r>
      <w:bookmarkStart w:id="8" w:name="_GoBack"/>
      <w:bookmarkEnd w:id="8"/>
      <w:r>
        <w:rPr>
          <w:rFonts w:hint="eastAsia"/>
          <w:sz w:val="24"/>
        </w:rPr>
        <w:t>二十大、上合峰会）等重要时间节点，需根据采购人要求，安排人员在8小时以外的非工作时间开展夜班值守，全年值守夜班不少于113天，重保夜班值守工时可按实际工时1.5倍计算。</w:t>
      </w:r>
    </w:p>
    <w:p w14:paraId="6C589082">
      <w:pPr>
        <w:spacing w:line="360" w:lineRule="auto"/>
        <w:ind w:firstLine="448" w:firstLineChars="200"/>
        <w:rPr>
          <w:sz w:val="24"/>
        </w:rPr>
      </w:pPr>
      <w:r>
        <w:rPr>
          <w:rFonts w:hint="eastAsia"/>
          <w:sz w:val="24"/>
        </w:rPr>
        <w:t>⑷高峰工时：当系统处于业务繁忙高峰期，或国家税务总局、采购人有加班需求，如征期高峰（征期最后2天）、月末升级和月结初始化（每月最后2天）、重保值守和征期值班以外的非工作时间加班等，可额外动态增加人力资源，每日每人次最多增加不超过4小时高峰工时。高峰工时需提前报备弹性人力资源计划或非工作时间加班申请，其中工作时间内增加的高峰工时按实际工时计算，非工作时间内增加的高峰工时可按实际工时1.5倍计算，所有高峰工时需根据弹性计划或加班申请的实际执行情况核算工时，否则不予记录工时。</w:t>
      </w:r>
    </w:p>
    <w:p w14:paraId="06993FFE">
      <w:pPr>
        <w:spacing w:line="360" w:lineRule="auto"/>
        <w:ind w:firstLine="448" w:firstLineChars="200"/>
        <w:rPr>
          <w:sz w:val="24"/>
        </w:rPr>
      </w:pPr>
      <w:r>
        <w:rPr>
          <w:rFonts w:hint="eastAsia"/>
          <w:sz w:val="24"/>
        </w:rPr>
        <w:t>⑸紧急工时：当系统在8小时以外非工作时间突发紧急故障，能够根据采购人要求，额外动态增加人力资源，开展有效处置。有效处置定义为非不可抗力因素造成的故障，故障恢复时间＜30分钟，不可抗力因素造成的故障，响应时间≤30分钟，故障恢复时间＜4小时。成功处置故障后可根据事后故障处置报告中人力投入情况，可按实际工时2倍计算紧急工时，否则不予记录工时。</w:t>
      </w:r>
    </w:p>
    <w:p w14:paraId="2D2D55EC">
      <w:pPr>
        <w:spacing w:line="360" w:lineRule="auto"/>
        <w:ind w:firstLine="448" w:firstLineChars="200"/>
        <w:outlineLvl w:val="0"/>
        <w:rPr>
          <w:sz w:val="24"/>
        </w:rPr>
      </w:pPr>
      <w:r>
        <w:rPr>
          <w:rFonts w:hint="eastAsia"/>
          <w:sz w:val="24"/>
        </w:rPr>
        <w:t>2.动态调配要求</w:t>
      </w:r>
    </w:p>
    <w:p w14:paraId="41D8EDAF">
      <w:pPr>
        <w:spacing w:line="360" w:lineRule="auto"/>
        <w:ind w:firstLine="448" w:firstLineChars="200"/>
        <w:rPr>
          <w:sz w:val="24"/>
        </w:rPr>
      </w:pPr>
      <w:r>
        <w:rPr>
          <w:rFonts w:hint="eastAsia"/>
          <w:sz w:val="24"/>
        </w:rPr>
        <w:t>⑴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14:paraId="304A54E0">
      <w:pPr>
        <w:spacing w:line="360" w:lineRule="auto"/>
        <w:ind w:firstLine="448" w:firstLineChars="200"/>
        <w:rPr>
          <w:sz w:val="24"/>
        </w:rPr>
      </w:pPr>
      <w:r>
        <w:rPr>
          <w:rFonts w:hint="eastAsia"/>
          <w:sz w:val="24"/>
        </w:rPr>
        <w:t>⑵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14:paraId="011A0925">
      <w:pPr>
        <w:spacing w:line="360" w:lineRule="auto"/>
        <w:ind w:firstLine="448" w:firstLineChars="200"/>
        <w:rPr>
          <w:sz w:val="24"/>
        </w:rPr>
      </w:pPr>
      <w:r>
        <w:rPr>
          <w:rFonts w:hint="eastAsia"/>
          <w:sz w:val="24"/>
        </w:rPr>
        <w:t>⑶供应商投入的同级别动态人力资源，包括常规工时与额外工时，分类小计应不少于项目采购内容所列各级别所需工时合计数，全部类别合计应不少于项目采购内容所列的需求工时数总量。</w:t>
      </w:r>
    </w:p>
    <w:p w14:paraId="1C42C066">
      <w:pPr>
        <w:spacing w:line="360" w:lineRule="auto"/>
        <w:ind w:firstLine="448" w:firstLineChars="200"/>
        <w:rPr>
          <w:sz w:val="24"/>
        </w:rPr>
      </w:pPr>
      <w:r>
        <w:rPr>
          <w:rFonts w:hint="eastAsia"/>
          <w:sz w:val="24"/>
        </w:rPr>
        <w:t>⑷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w:t>
      </w:r>
    </w:p>
    <w:p w14:paraId="1D7AABDA">
      <w:pPr>
        <w:spacing w:line="360" w:lineRule="auto"/>
        <w:ind w:firstLine="448" w:firstLineChars="200"/>
        <w:rPr>
          <w:sz w:val="24"/>
        </w:rPr>
      </w:pPr>
      <w:r>
        <w:rPr>
          <w:rFonts w:hint="eastAsia"/>
          <w:sz w:val="24"/>
        </w:rPr>
        <w:t>⑸供应商不得虚报工时，若采购人发现虚假工时记录，按虚报工时的3倍扣除工时数据。若供应商没有建立动态人力资源池，在高峰期或重保期未达承诺人力，并给采购人造成损失，按缺岗工时的2倍扣除工时数据。</w:t>
      </w:r>
    </w:p>
    <w:p w14:paraId="67049BD1">
      <w:pPr>
        <w:spacing w:line="360" w:lineRule="auto"/>
        <w:ind w:firstLine="448" w:firstLineChars="200"/>
        <w:outlineLvl w:val="0"/>
        <w:rPr>
          <w:sz w:val="24"/>
        </w:rPr>
      </w:pPr>
      <w:r>
        <w:rPr>
          <w:rFonts w:hint="eastAsia"/>
          <w:sz w:val="24"/>
        </w:rPr>
        <w:t>八、人员要求</w:t>
      </w:r>
    </w:p>
    <w:p w14:paraId="3B0438F6">
      <w:pPr>
        <w:spacing w:line="360" w:lineRule="auto"/>
        <w:ind w:firstLine="448" w:firstLineChars="200"/>
        <w:outlineLvl w:val="0"/>
        <w:rPr>
          <w:sz w:val="24"/>
        </w:rPr>
      </w:pPr>
      <w:r>
        <w:rPr>
          <w:rFonts w:hint="eastAsia"/>
          <w:sz w:val="24"/>
        </w:rPr>
        <w:t>（一）总体要求</w:t>
      </w:r>
    </w:p>
    <w:p w14:paraId="5847F1A5">
      <w:pPr>
        <w:spacing w:line="360" w:lineRule="auto"/>
        <w:ind w:firstLine="448" w:firstLineChars="200"/>
        <w:outlineLvl w:val="0"/>
        <w:rPr>
          <w:sz w:val="24"/>
        </w:rPr>
      </w:pPr>
      <w:r>
        <w:rPr>
          <w:rFonts w:hint="eastAsia"/>
          <w:sz w:val="24"/>
        </w:rPr>
        <w:t>本项目由采购人、供应商共同组成的项目管理机构，负责整个项目的实施工作。供应商投入的运维人员必须严格遵守国家的政策法规，执行项目管理机构的各项规章制度，服从管理和调度，认真履行工作职责，圆满完成工作任务。</w:t>
      </w:r>
    </w:p>
    <w:p w14:paraId="5E83DD5B">
      <w:pPr>
        <w:spacing w:line="360" w:lineRule="auto"/>
        <w:ind w:firstLine="448" w:firstLineChars="200"/>
        <w:outlineLvl w:val="0"/>
        <w:rPr>
          <w:sz w:val="24"/>
        </w:rPr>
      </w:pPr>
      <w:r>
        <w:rPr>
          <w:rFonts w:hint="eastAsia"/>
          <w:sz w:val="24"/>
        </w:rPr>
        <w:t>（二）具体要求</w:t>
      </w:r>
    </w:p>
    <w:p w14:paraId="7C3132A2">
      <w:pPr>
        <w:spacing w:line="360" w:lineRule="auto"/>
        <w:ind w:firstLine="448" w:firstLineChars="200"/>
        <w:outlineLvl w:val="0"/>
        <w:rPr>
          <w:sz w:val="24"/>
        </w:rPr>
      </w:pPr>
      <w:r>
        <w:rPr>
          <w:rFonts w:hint="eastAsia"/>
          <w:sz w:val="24"/>
        </w:rPr>
        <w:t>运维人员应当是与供应商签订1年以上劳动合同且合同处于有效期内，常驻运维人员应当为技术骨干，对于拟购买的运维服务人力资源具体要求如下：</w:t>
      </w:r>
    </w:p>
    <w:p w14:paraId="6B215495">
      <w:pPr>
        <w:spacing w:line="360" w:lineRule="auto"/>
        <w:ind w:firstLine="448" w:firstLineChars="200"/>
        <w:outlineLvl w:val="0"/>
        <w:rPr>
          <w:sz w:val="24"/>
        </w:rPr>
      </w:pPr>
      <w:r>
        <w:rPr>
          <w:rFonts w:hint="eastAsia"/>
          <w:sz w:val="24"/>
        </w:rPr>
        <w:t>1.岗位学历经验要求</w:t>
      </w:r>
    </w:p>
    <w:p w14:paraId="007AA48B">
      <w:pPr>
        <w:spacing w:line="360" w:lineRule="auto"/>
        <w:ind w:firstLine="448" w:firstLineChars="200"/>
        <w:outlineLvl w:val="0"/>
        <w:rPr>
          <w:sz w:val="24"/>
        </w:rPr>
      </w:pPr>
      <w:r>
        <w:rPr>
          <w:rFonts w:hint="eastAsia"/>
          <w:sz w:val="24"/>
        </w:rPr>
        <w:t>高级岗位人员需满足资质：本科以下学历工作5年及以上，或本科学历工作3年及以上，或硕士学历工作2年及以上，或博士学历工作1年及以上；且从事信息化行业3年及以上（博士学历可放宽到1年及以上，硕士学历可放宽到2年及以上）。</w:t>
      </w:r>
    </w:p>
    <w:p w14:paraId="32D9B1FC">
      <w:pPr>
        <w:spacing w:line="360" w:lineRule="auto"/>
        <w:ind w:firstLine="448" w:firstLineChars="200"/>
        <w:outlineLvl w:val="0"/>
        <w:rPr>
          <w:sz w:val="24"/>
        </w:rPr>
      </w:pPr>
      <w:r>
        <w:rPr>
          <w:rFonts w:hint="eastAsia"/>
          <w:sz w:val="24"/>
        </w:rPr>
        <w:t>中级岗位人员需满足资质：本科以下学历工作3年及以上，或本科学历工作2年及以上，或硕士及以上学历工作1年及以上；且从事信息化行业2年及以上（硕士及以上学历可放宽到1年及以上）。</w:t>
      </w:r>
    </w:p>
    <w:p w14:paraId="2EFBA219">
      <w:pPr>
        <w:spacing w:line="360" w:lineRule="auto"/>
        <w:ind w:firstLine="448" w:firstLineChars="200"/>
        <w:outlineLvl w:val="0"/>
        <w:rPr>
          <w:sz w:val="24"/>
        </w:rPr>
      </w:pPr>
      <w:r>
        <w:rPr>
          <w:rFonts w:hint="eastAsia"/>
          <w:sz w:val="24"/>
        </w:rPr>
        <w:t>初级岗位人员需满足资质：本科以下学历工作2年及以上，或本科及以上学历工作1年及以上；且从事信息化行业1年及以上。</w:t>
      </w:r>
    </w:p>
    <w:p w14:paraId="277377F0">
      <w:pPr>
        <w:spacing w:line="360" w:lineRule="auto"/>
        <w:ind w:firstLine="448" w:firstLineChars="200"/>
        <w:outlineLvl w:val="0"/>
        <w:rPr>
          <w:sz w:val="24"/>
        </w:rPr>
      </w:pPr>
      <w:r>
        <w:rPr>
          <w:rFonts w:hint="eastAsia"/>
          <w:sz w:val="24"/>
        </w:rPr>
        <w:t>其他岗位人员资质要求与高级岗位人员一致，需满足值班、重保、高峰、紧急等工作要求，供应商可从现有岗位人员中动态调配人力资源。</w:t>
      </w:r>
    </w:p>
    <w:p w14:paraId="1D6B9E85">
      <w:pPr>
        <w:spacing w:line="360" w:lineRule="auto"/>
        <w:ind w:firstLine="448" w:firstLineChars="200"/>
        <w:outlineLvl w:val="0"/>
        <w:rPr>
          <w:sz w:val="24"/>
        </w:rPr>
      </w:pPr>
      <w:r>
        <w:rPr>
          <w:rFonts w:hint="eastAsia"/>
          <w:sz w:val="24"/>
        </w:rPr>
        <w:t>2.岗位分类需求明细</w:t>
      </w:r>
    </w:p>
    <w:p w14:paraId="1EBA5764">
      <w:pPr>
        <w:spacing w:line="360" w:lineRule="auto"/>
        <w:ind w:firstLine="448" w:firstLineChars="200"/>
        <w:outlineLvl w:val="0"/>
        <w:rPr>
          <w:sz w:val="24"/>
        </w:rPr>
      </w:pPr>
      <w:r>
        <w:rPr>
          <w:rFonts w:hint="eastAsia"/>
          <w:sz w:val="24"/>
        </w:rPr>
        <w:t>合计购买不少于12000工时的运维服务，服务期限为合同规定的服务起始之日起6个月的服务期。</w:t>
      </w:r>
    </w:p>
    <w:p w14:paraId="1404F110">
      <w:pPr>
        <w:spacing w:line="360" w:lineRule="auto"/>
        <w:ind w:firstLine="448" w:firstLineChars="200"/>
        <w:outlineLvl w:val="0"/>
        <w:rPr>
          <w:sz w:val="24"/>
        </w:rPr>
      </w:pPr>
      <w:r>
        <w:rPr>
          <w:rFonts w:hint="eastAsia"/>
          <w:sz w:val="24"/>
        </w:rPr>
        <w:t>⑴运维高级岗：投入工作量不少于3000工时，开展平日运维工作，需满足高级技术人员资质要求。</w:t>
      </w:r>
    </w:p>
    <w:p w14:paraId="7669C128">
      <w:pPr>
        <w:spacing w:line="360" w:lineRule="auto"/>
        <w:ind w:firstLine="448" w:firstLineChars="200"/>
        <w:outlineLvl w:val="0"/>
        <w:rPr>
          <w:sz w:val="24"/>
        </w:rPr>
      </w:pPr>
      <w:r>
        <w:rPr>
          <w:rFonts w:hint="eastAsia"/>
          <w:sz w:val="24"/>
        </w:rPr>
        <w:t>⑵.运维中级岗：投入工作量不少于3000工时，开展平日运维工作，需满足中级技术人员资质要求。</w:t>
      </w:r>
    </w:p>
    <w:p w14:paraId="78923F77">
      <w:pPr>
        <w:spacing w:line="360" w:lineRule="auto"/>
        <w:ind w:firstLine="448" w:firstLineChars="200"/>
        <w:outlineLvl w:val="0"/>
        <w:rPr>
          <w:sz w:val="24"/>
        </w:rPr>
      </w:pPr>
      <w:r>
        <w:rPr>
          <w:rFonts w:hint="eastAsia"/>
          <w:sz w:val="24"/>
        </w:rPr>
        <w:t>⑶.运维初级岗：投入工作量不少于3000工时，开展平日运维工作，需满足初级技术人员资质要求。</w:t>
      </w:r>
    </w:p>
    <w:p w14:paraId="35E42599">
      <w:pPr>
        <w:spacing w:line="360" w:lineRule="auto"/>
        <w:ind w:firstLine="448" w:firstLineChars="200"/>
        <w:outlineLvl w:val="0"/>
        <w:rPr>
          <w:sz w:val="24"/>
        </w:rPr>
      </w:pPr>
      <w:r>
        <w:rPr>
          <w:rFonts w:hint="eastAsia"/>
          <w:sz w:val="24"/>
        </w:rPr>
        <w:t>⑷.运维其他岗：投入工作量不少于3000工时，开展值班、重保、高峰、紧急等运维工作，需满足高级技术人员资质要求。</w:t>
      </w:r>
    </w:p>
    <w:p w14:paraId="16288B17">
      <w:pPr>
        <w:spacing w:line="360" w:lineRule="auto"/>
        <w:ind w:firstLine="448" w:firstLineChars="200"/>
        <w:outlineLvl w:val="0"/>
        <w:rPr>
          <w:sz w:val="24"/>
        </w:rPr>
      </w:pPr>
      <w:r>
        <w:rPr>
          <w:rFonts w:hint="eastAsia"/>
          <w:sz w:val="24"/>
        </w:rPr>
        <w:t>3.岗位工作技能要求</w:t>
      </w:r>
    </w:p>
    <w:p w14:paraId="2399DD9C">
      <w:pPr>
        <w:spacing w:line="360" w:lineRule="auto"/>
        <w:ind w:firstLine="448" w:firstLineChars="200"/>
        <w:outlineLvl w:val="0"/>
        <w:rPr>
          <w:sz w:val="24"/>
        </w:rPr>
      </w:pPr>
      <w:r>
        <w:rPr>
          <w:rFonts w:hint="eastAsia"/>
          <w:sz w:val="24"/>
        </w:rPr>
        <w:t>熟悉国产化、非国产化主流系统软件和应用软件，能够熟练掌握本项目系统架构、相关的使用操作流程、相关业务及常见问题的解决方法，独立接听、解答用户所提出的各种问题并进行相应的问题及回复记录。能够测试可复现的软件问题缺陷、填写转出服务请求单，开展日清册的检查，并根据质检结果进行个人分析改进等。能够承担税收知识库建设工作，将各软件使用中出现的各种问题提炼、加工、深化成为知识，不断完善培训资料，制作文字文档和音视频教程，供各级税务机关下载使用。能够针对系统使用情况进行满意度调查回访。</w:t>
      </w:r>
    </w:p>
    <w:p w14:paraId="43AAD6B5">
      <w:pPr>
        <w:spacing w:line="360" w:lineRule="auto"/>
        <w:ind w:firstLine="448" w:firstLineChars="200"/>
        <w:outlineLvl w:val="0"/>
        <w:rPr>
          <w:sz w:val="24"/>
        </w:rPr>
      </w:pPr>
      <w:r>
        <w:rPr>
          <w:rFonts w:hint="eastAsia"/>
          <w:sz w:val="24"/>
        </w:rPr>
        <w:t>4.岗位管理保障要求</w:t>
      </w:r>
    </w:p>
    <w:p w14:paraId="2FA77512">
      <w:pPr>
        <w:spacing w:line="360" w:lineRule="auto"/>
        <w:ind w:firstLine="448" w:firstLineChars="200"/>
        <w:rPr>
          <w:sz w:val="24"/>
        </w:rPr>
      </w:pPr>
      <w:r>
        <w:rPr>
          <w:rFonts w:hint="eastAsia"/>
          <w:sz w:val="24"/>
        </w:rPr>
        <w:t>⑴运维人员受采购人和供应商双重管理，采购人的意见应作为运维人员业绩考核的重要依据。供应商应保证运维人员常驻采购人，并能完全胜任本项目所含各系统的运行维护工作。</w:t>
      </w:r>
    </w:p>
    <w:p w14:paraId="231D6974">
      <w:pPr>
        <w:spacing w:line="360" w:lineRule="auto"/>
        <w:ind w:firstLine="448" w:firstLineChars="200"/>
        <w:rPr>
          <w:sz w:val="24"/>
        </w:rPr>
      </w:pPr>
      <w:r>
        <w:rPr>
          <w:rFonts w:hint="eastAsia"/>
          <w:sz w:val="24"/>
        </w:rPr>
        <w:t>⑵供应商须保证运维人员的稳定性和连续性，运维人员确定后，不得随意更换。供应商须提前做好人力储备,如运维人员合同到期或申请离职，供应商必须提前一个月通知采购人，并立即从技术支持单位后备人员库中经考核，选拔出合格运维人员进行工作熟悉和交接，确保正常工作不受影响。正式更换前，供应商需正式提交书面申请，报采购人负责人审批后方可调整，人员交接过程应符合采购人相关要求。如果因供应商无法保证人员的连续性所造成的全部损失由供应商承担，并从费用中扣除。</w:t>
      </w:r>
    </w:p>
    <w:p w14:paraId="1F564509">
      <w:pPr>
        <w:spacing w:line="360" w:lineRule="auto"/>
        <w:ind w:firstLine="448" w:firstLineChars="200"/>
        <w:rPr>
          <w:sz w:val="24"/>
        </w:rPr>
      </w:pPr>
      <w:r>
        <w:rPr>
          <w:rFonts w:hint="eastAsia"/>
          <w:sz w:val="24"/>
        </w:rPr>
        <w:t>⑶运维人员应具备良好的职业道德。较强的责任心。良好的沟通能力。熟悉本系统相关业务域。具有一定的问题分析能力，能够及时准确的定位问题。</w:t>
      </w:r>
    </w:p>
    <w:p w14:paraId="420A6EBC">
      <w:pPr>
        <w:spacing w:line="360" w:lineRule="auto"/>
        <w:ind w:firstLine="448" w:firstLineChars="200"/>
        <w:rPr>
          <w:sz w:val="24"/>
        </w:rPr>
      </w:pPr>
      <w:r>
        <w:rPr>
          <w:rFonts w:hint="eastAsia"/>
          <w:sz w:val="24"/>
        </w:rPr>
        <w:t>⑷运维人员工作能力和工作态度达不到维护工作要求的，采购人有权要求更换，供应商应及时更换相关人员。</w:t>
      </w:r>
    </w:p>
    <w:p w14:paraId="2CC1ADA4">
      <w:pPr>
        <w:spacing w:line="360" w:lineRule="auto"/>
        <w:ind w:firstLine="448" w:firstLineChars="200"/>
        <w:rPr>
          <w:sz w:val="24"/>
        </w:rPr>
      </w:pPr>
      <w:r>
        <w:rPr>
          <w:rFonts w:hint="eastAsia"/>
          <w:sz w:val="24"/>
        </w:rPr>
        <w:t>⑸供应商和运维人员应严格遵守采购人的出勤、着装、安全等管理规定。在派驻期间，遵守采购人的工作作息时间，同时应按照采购人的要求，在工作需要的时候进行加班。</w:t>
      </w:r>
    </w:p>
    <w:p w14:paraId="6E27936E">
      <w:pPr>
        <w:spacing w:line="360" w:lineRule="auto"/>
        <w:ind w:firstLine="448" w:firstLineChars="200"/>
        <w:rPr>
          <w:sz w:val="24"/>
        </w:rPr>
      </w:pPr>
      <w:r>
        <w:rPr>
          <w:rFonts w:hint="eastAsia"/>
          <w:sz w:val="24"/>
        </w:rPr>
        <w:t>⑹遇有疑难问题时，供应商应及时协调提供二线技术支持。</w:t>
      </w:r>
    </w:p>
    <w:p w14:paraId="443DEFC5">
      <w:pPr>
        <w:spacing w:line="360" w:lineRule="auto"/>
        <w:ind w:firstLine="448" w:firstLineChars="200"/>
        <w:rPr>
          <w:sz w:val="24"/>
        </w:rPr>
      </w:pPr>
      <w:r>
        <w:rPr>
          <w:rFonts w:hint="eastAsia"/>
          <w:sz w:val="24"/>
        </w:rPr>
        <w:t>⑺供应商和运维人员应对采购人负责，按照授权进行工作，不得从事不在授权内的工作内容。因供应商派出的运维人员自身原因造成工作失误，给采购人造成损失的，供应商应承担赔偿责任</w:t>
      </w:r>
    </w:p>
    <w:p w14:paraId="0E3947F7">
      <w:pPr>
        <w:spacing w:line="360" w:lineRule="auto"/>
        <w:ind w:firstLine="448" w:firstLineChars="200"/>
        <w:rPr>
          <w:sz w:val="24"/>
        </w:rPr>
      </w:pPr>
      <w:r>
        <w:rPr>
          <w:rFonts w:hint="eastAsia"/>
          <w:sz w:val="24"/>
        </w:rPr>
        <w:t>⑻供应商和运维人员应按采购人要求协助开展其它工作。</w:t>
      </w:r>
    </w:p>
    <w:p w14:paraId="247CC6BB">
      <w:pPr>
        <w:spacing w:line="360" w:lineRule="auto"/>
        <w:ind w:firstLine="448" w:firstLineChars="200"/>
        <w:outlineLvl w:val="0"/>
        <w:rPr>
          <w:sz w:val="24"/>
        </w:rPr>
      </w:pPr>
      <w:r>
        <w:rPr>
          <w:rFonts w:hint="eastAsia"/>
          <w:sz w:val="24"/>
        </w:rPr>
        <w:t>九、管理实施要求</w:t>
      </w:r>
    </w:p>
    <w:p w14:paraId="5574E0D6">
      <w:pPr>
        <w:spacing w:line="360" w:lineRule="auto"/>
        <w:ind w:firstLine="448" w:firstLineChars="200"/>
        <w:rPr>
          <w:sz w:val="24"/>
        </w:rPr>
      </w:pPr>
      <w:r>
        <w:rPr>
          <w:rFonts w:hint="eastAsia"/>
          <w:sz w:val="24"/>
        </w:rPr>
        <w:t>（一）供应商应成立项目管理组织，严格遵守本项目业务管控、架构管控、项目管控的要求。</w:t>
      </w:r>
    </w:p>
    <w:p w14:paraId="357A9A14">
      <w:pPr>
        <w:spacing w:line="360" w:lineRule="auto"/>
        <w:ind w:firstLine="448" w:firstLineChars="200"/>
        <w:rPr>
          <w:sz w:val="24"/>
        </w:rPr>
      </w:pPr>
      <w:r>
        <w:rPr>
          <w:rFonts w:hint="eastAsia"/>
          <w:sz w:val="24"/>
        </w:rPr>
        <w:t>（二）供应商应基于成熟的项目管理方法论，制订完善的项目管理制度、流程，合理划分项目管理的阶段，借助工程管理工具，在项目实施过程中对项目进行规范化管理，确保项目实施进度和实施质量。</w:t>
      </w:r>
    </w:p>
    <w:p w14:paraId="7B7BA322">
      <w:pPr>
        <w:spacing w:line="360" w:lineRule="auto"/>
        <w:ind w:firstLine="448" w:firstLineChars="200"/>
        <w:rPr>
          <w:sz w:val="24"/>
        </w:rPr>
      </w:pPr>
      <w:r>
        <w:rPr>
          <w:rFonts w:hint="eastAsia"/>
          <w:sz w:val="24"/>
        </w:rPr>
        <w:t>（三）供应商应根据项目管理的需要，提供和使用项目管理工具，当采购人要求时，必须使用采购人提供的项目管理工具。如约定由供应商提供项目管理工具时，供应商各阶段产出物采用特殊格式的，供应商需提供相应的打开、编译、运行、修改、打印等工具。供应商应合法取得相关工具的版权、知识产权或授权供采购人使用，相关费用不论供应商是否进行明细报价都视为已包含在投标总价中，采购人不对工具额外付费。若发生版权、知识产权或授权纠纷，后果由供应商承担。</w:t>
      </w:r>
    </w:p>
    <w:p w14:paraId="0EC35C86">
      <w:pPr>
        <w:spacing w:line="360" w:lineRule="auto"/>
        <w:ind w:firstLine="448" w:firstLineChars="200"/>
        <w:rPr>
          <w:sz w:val="24"/>
        </w:rPr>
      </w:pPr>
      <w:r>
        <w:rPr>
          <w:rFonts w:hint="eastAsia"/>
          <w:sz w:val="24"/>
        </w:rPr>
        <w:t>（四）供应商应提供合理的技术、运维力量配置及工作量单价。</w:t>
      </w:r>
    </w:p>
    <w:p w14:paraId="5D86360F">
      <w:pPr>
        <w:spacing w:line="360" w:lineRule="auto"/>
        <w:ind w:firstLine="448" w:firstLineChars="200"/>
        <w:rPr>
          <w:sz w:val="24"/>
        </w:rPr>
      </w:pPr>
      <w:r>
        <w:rPr>
          <w:rFonts w:hint="eastAsia"/>
          <w:sz w:val="24"/>
        </w:rPr>
        <w:t>（五）在项目实施工程中，采购人可能根据实际情况，在不改变工作量的情况下调整项目运维要求，供应商应充分考虑、无条件满足采购人的要求，采购人对此不再额外付费。</w:t>
      </w:r>
    </w:p>
    <w:p w14:paraId="1D945EC3">
      <w:pPr>
        <w:spacing w:line="360" w:lineRule="auto"/>
        <w:ind w:firstLine="448" w:firstLineChars="200"/>
        <w:outlineLvl w:val="0"/>
        <w:rPr>
          <w:sz w:val="24"/>
        </w:rPr>
      </w:pPr>
      <w:r>
        <w:rPr>
          <w:rFonts w:hint="eastAsia"/>
          <w:sz w:val="24"/>
        </w:rPr>
        <w:t>十、保密要求</w:t>
      </w:r>
    </w:p>
    <w:p w14:paraId="5F48EAB3">
      <w:pPr>
        <w:spacing w:line="360" w:lineRule="auto"/>
        <w:ind w:firstLine="448" w:firstLineChars="200"/>
        <w:rPr>
          <w:sz w:val="24"/>
        </w:rPr>
      </w:pPr>
      <w:r>
        <w:rPr>
          <w:rFonts w:hint="eastAsia"/>
          <w:sz w:val="24"/>
        </w:rPr>
        <w:t>（一）供应商应严格落实国家税务总局采购人网络安全保密管理要求，承担技术支持人员的安全和保密管理责任。按采购人要求签订供应商保密协议书和技术支持人员保密承诺书。</w:t>
      </w:r>
    </w:p>
    <w:p w14:paraId="5AA3449B">
      <w:pPr>
        <w:spacing w:line="360" w:lineRule="auto"/>
        <w:ind w:firstLine="448" w:firstLineChars="200"/>
        <w:rPr>
          <w:sz w:val="24"/>
        </w:rPr>
      </w:pPr>
      <w:r>
        <w:rPr>
          <w:rFonts w:hint="eastAsia"/>
          <w:sz w:val="24"/>
        </w:rPr>
        <w:t>（二）供应商负责派驻技术支持人员背景审查工作，提供其身份证明、履历、家庭成员及主要社会关系、无犯罪记录证明、学历证明（《教育部学历证书电子注册备案表》）、劳动合同、社保和个税缴纳凭证等材料，提交信息备案表。</w:t>
      </w:r>
    </w:p>
    <w:p w14:paraId="5EE0C2EB">
      <w:pPr>
        <w:spacing w:line="360" w:lineRule="auto"/>
        <w:ind w:firstLine="448" w:firstLineChars="200"/>
        <w:rPr>
          <w:sz w:val="24"/>
        </w:rPr>
      </w:pPr>
      <w:r>
        <w:rPr>
          <w:rFonts w:hint="eastAsia"/>
          <w:sz w:val="24"/>
        </w:rPr>
        <w:t>（三）供应商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14:paraId="0CF459F4">
      <w:pPr>
        <w:spacing w:line="360" w:lineRule="auto"/>
        <w:ind w:firstLine="448" w:firstLineChars="200"/>
        <w:rPr>
          <w:sz w:val="24"/>
        </w:rPr>
      </w:pPr>
      <w:r>
        <w:rPr>
          <w:rFonts w:hint="eastAsia"/>
          <w:sz w:val="24"/>
        </w:rPr>
        <w:t>（四）对“保密责任”落实不严格、不到位，造成重大安全事件或产生负面影响的，按照合同中“其他终止合同情况”条款执行，并依照相关法律等规定进行追责。</w:t>
      </w:r>
    </w:p>
    <w:p w14:paraId="10D76115">
      <w:pPr>
        <w:spacing w:line="360" w:lineRule="auto"/>
        <w:ind w:firstLine="448" w:firstLineChars="200"/>
        <w:outlineLvl w:val="0"/>
        <w:rPr>
          <w:sz w:val="24"/>
        </w:rPr>
      </w:pPr>
      <w:r>
        <w:rPr>
          <w:rFonts w:hint="eastAsia"/>
          <w:sz w:val="24"/>
        </w:rPr>
        <w:t>十一、知识转移要求</w:t>
      </w:r>
    </w:p>
    <w:p w14:paraId="0473BEEA">
      <w:pPr>
        <w:spacing w:line="360" w:lineRule="auto"/>
        <w:ind w:firstLine="448" w:firstLineChars="200"/>
        <w:outlineLvl w:val="0"/>
        <w:rPr>
          <w:sz w:val="24"/>
        </w:rPr>
      </w:pPr>
      <w:r>
        <w:rPr>
          <w:rFonts w:hint="eastAsia"/>
          <w:sz w:val="24"/>
        </w:rPr>
        <w:t>（一）根据系统问题处理层级建立运维知识库，将业务知识、操作知识、常见问题、重大紧急事件、故障解决方案等工作资料进行整理、归纳，形成相关知识存入运行维护知识库，制作文字文档、音视频教程和培训资料，以供采购人使用。</w:t>
      </w:r>
    </w:p>
    <w:p w14:paraId="13B0AD31">
      <w:pPr>
        <w:spacing w:line="360" w:lineRule="auto"/>
        <w:ind w:firstLine="448" w:firstLineChars="200"/>
        <w:outlineLvl w:val="0"/>
        <w:rPr>
          <w:sz w:val="24"/>
        </w:rPr>
      </w:pPr>
      <w:r>
        <w:rPr>
          <w:rFonts w:hint="eastAsia"/>
          <w:sz w:val="24"/>
        </w:rPr>
        <w:t>（二）根据本项目具体情况，满足采购人提出的其他知识转移要求。</w:t>
      </w:r>
    </w:p>
    <w:p w14:paraId="222B69C2">
      <w:pPr>
        <w:spacing w:line="360" w:lineRule="auto"/>
        <w:ind w:firstLine="448" w:firstLineChars="200"/>
        <w:outlineLvl w:val="0"/>
        <w:rPr>
          <w:sz w:val="24"/>
        </w:rPr>
      </w:pPr>
      <w:r>
        <w:rPr>
          <w:rFonts w:hint="eastAsia"/>
          <w:sz w:val="24"/>
        </w:rPr>
        <w:t>十二、风险管控要求</w:t>
      </w:r>
    </w:p>
    <w:p w14:paraId="57C46D0D">
      <w:pPr>
        <w:spacing w:line="360" w:lineRule="auto"/>
        <w:ind w:firstLine="448" w:firstLineChars="200"/>
        <w:outlineLvl w:val="0"/>
        <w:rPr>
          <w:sz w:val="24"/>
        </w:rPr>
      </w:pPr>
      <w:r>
        <w:rPr>
          <w:rFonts w:hint="eastAsia"/>
          <w:sz w:val="24"/>
        </w:rPr>
        <w:t>（一）风险管控总体要求</w:t>
      </w:r>
    </w:p>
    <w:p w14:paraId="61A3C7A4">
      <w:pPr>
        <w:spacing w:line="360" w:lineRule="auto"/>
        <w:ind w:firstLine="448" w:firstLineChars="200"/>
        <w:outlineLvl w:val="0"/>
        <w:rPr>
          <w:sz w:val="24"/>
        </w:rPr>
      </w:pPr>
      <w:r>
        <w:rPr>
          <w:rFonts w:hint="eastAsia"/>
          <w:sz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760C33E3">
      <w:pPr>
        <w:spacing w:line="360" w:lineRule="auto"/>
        <w:ind w:firstLine="448" w:firstLineChars="200"/>
        <w:outlineLvl w:val="0"/>
        <w:rPr>
          <w:sz w:val="24"/>
        </w:rPr>
      </w:pPr>
      <w:r>
        <w:rPr>
          <w:rFonts w:hint="eastAsia"/>
          <w:sz w:val="24"/>
        </w:rPr>
        <w:t>（二）风险管控具体要求</w:t>
      </w:r>
    </w:p>
    <w:p w14:paraId="4954FE4C">
      <w:pPr>
        <w:spacing w:line="360" w:lineRule="auto"/>
        <w:ind w:firstLine="448" w:firstLineChars="200"/>
        <w:outlineLvl w:val="0"/>
        <w:rPr>
          <w:sz w:val="24"/>
        </w:rPr>
      </w:pPr>
      <w:r>
        <w:rPr>
          <w:rFonts w:hint="eastAsia"/>
          <w:sz w:val="24"/>
        </w:rPr>
        <w:t>1.风险管控内容要求</w:t>
      </w:r>
    </w:p>
    <w:p w14:paraId="01B9F5F4">
      <w:pPr>
        <w:spacing w:line="360" w:lineRule="auto"/>
        <w:ind w:firstLine="448" w:firstLineChars="200"/>
        <w:outlineLvl w:val="0"/>
        <w:rPr>
          <w:sz w:val="24"/>
        </w:rPr>
      </w:pPr>
      <w:r>
        <w:rPr>
          <w:rFonts w:hint="eastAsia"/>
          <w:sz w:val="24"/>
        </w:rPr>
        <w:t>一是管控人员流动风险：制定合理的薪酬体系和激励机制，避免因人员流动影响项目执行；二是管控运维风险：加强监控预警和安全防护，规范运维操作流程，避免因各种原因导致的生产事故。</w:t>
      </w:r>
    </w:p>
    <w:p w14:paraId="1124F026">
      <w:pPr>
        <w:spacing w:line="360" w:lineRule="auto"/>
        <w:ind w:firstLine="448" w:firstLineChars="200"/>
        <w:outlineLvl w:val="0"/>
        <w:rPr>
          <w:sz w:val="24"/>
        </w:rPr>
      </w:pPr>
      <w:r>
        <w:rPr>
          <w:rFonts w:hint="eastAsia"/>
          <w:sz w:val="24"/>
        </w:rPr>
        <w:t>2.风险管控时间要求</w:t>
      </w:r>
    </w:p>
    <w:p w14:paraId="68FF4414">
      <w:pPr>
        <w:spacing w:line="360" w:lineRule="auto"/>
        <w:ind w:firstLine="448" w:firstLineChars="200"/>
        <w:outlineLvl w:val="0"/>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648E4F0E">
      <w:pPr>
        <w:spacing w:line="360" w:lineRule="auto"/>
        <w:ind w:firstLine="448" w:firstLineChars="200"/>
        <w:outlineLvl w:val="0"/>
        <w:rPr>
          <w:sz w:val="24"/>
        </w:rPr>
      </w:pPr>
      <w:r>
        <w:rPr>
          <w:rFonts w:hint="eastAsia"/>
          <w:sz w:val="24"/>
        </w:rPr>
        <w:t>3.风险管控形式要求</w:t>
      </w:r>
    </w:p>
    <w:p w14:paraId="00A52F42">
      <w:pPr>
        <w:spacing w:line="360" w:lineRule="auto"/>
        <w:ind w:firstLine="448" w:firstLineChars="200"/>
        <w:outlineLvl w:val="0"/>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14:paraId="300B2C5C">
      <w:pPr>
        <w:spacing w:line="360" w:lineRule="auto"/>
        <w:ind w:firstLine="448" w:firstLineChars="200"/>
        <w:outlineLvl w:val="0"/>
        <w:rPr>
          <w:sz w:val="24"/>
        </w:rPr>
      </w:pPr>
      <w:r>
        <w:rPr>
          <w:rFonts w:hint="eastAsia"/>
          <w:sz w:val="24"/>
        </w:rPr>
        <w:t>十三、履约验收要求</w:t>
      </w:r>
    </w:p>
    <w:p w14:paraId="6135BED1">
      <w:pPr>
        <w:spacing w:line="360" w:lineRule="auto"/>
        <w:ind w:firstLine="448" w:firstLineChars="200"/>
        <w:rPr>
          <w:sz w:val="24"/>
        </w:rPr>
      </w:pPr>
      <w:r>
        <w:rPr>
          <w:rFonts w:hint="eastAsia"/>
          <w:sz w:val="24"/>
        </w:rPr>
        <w:t>（一）验收工作由采购人组织实施，采购人、供应商和第三方验收公司等共同参与。</w:t>
      </w:r>
    </w:p>
    <w:p w14:paraId="11BE0B47">
      <w:pPr>
        <w:spacing w:line="360" w:lineRule="auto"/>
        <w:ind w:firstLine="448" w:firstLineChars="200"/>
        <w:rPr>
          <w:sz w:val="24"/>
        </w:rPr>
      </w:pPr>
      <w:r>
        <w:rPr>
          <w:rFonts w:hint="eastAsia"/>
          <w:sz w:val="24"/>
        </w:rPr>
        <w:t>（二）供应商在满足验收条件后，提出项目验收申请，提交验收相关产出物，提供的各类文档应内容完整、描述清晰、经采购人确认后进行项目验收。</w:t>
      </w:r>
    </w:p>
    <w:p w14:paraId="6166A6F6">
      <w:pPr>
        <w:spacing w:line="360" w:lineRule="auto"/>
        <w:ind w:firstLine="448" w:firstLineChars="200"/>
        <w:rPr>
          <w:sz w:val="24"/>
        </w:rPr>
      </w:pPr>
      <w:r>
        <w:rPr>
          <w:rFonts w:hint="eastAsia"/>
          <w:sz w:val="24"/>
        </w:rPr>
        <w:t>（三）以项目合同书、验收前双方确认的工作主要交付物、项目验收报告等作为验收依据。</w:t>
      </w:r>
    </w:p>
    <w:p w14:paraId="44DFE767">
      <w:pPr>
        <w:spacing w:line="360" w:lineRule="auto"/>
        <w:ind w:firstLine="448" w:firstLineChars="200"/>
        <w:rPr>
          <w:sz w:val="24"/>
        </w:rPr>
      </w:pPr>
      <w:r>
        <w:rPr>
          <w:rFonts w:hint="eastAsia"/>
          <w:sz w:val="24"/>
        </w:rPr>
        <w:t>（四）在服务期限内，供应商派出的运维人员应随时监控系统运行状态，做好事件记录，按照要求出具系统运行监控报告。</w:t>
      </w:r>
    </w:p>
    <w:p w14:paraId="0791FCA0">
      <w:pPr>
        <w:spacing w:line="360" w:lineRule="auto"/>
        <w:ind w:firstLine="448" w:firstLineChars="200"/>
        <w:rPr>
          <w:sz w:val="24"/>
        </w:rPr>
      </w:pPr>
      <w:r>
        <w:rPr>
          <w:rFonts w:hint="eastAsia"/>
          <w:sz w:val="24"/>
        </w:rPr>
        <w:t>（五）供应商按月提交工作日志和健康检查报告等运维产出物。提交报告数量、质量及采购人出具的评价意见作为验收依据。评价意见中工时统计来源至少包含考勤、堡垒机、工单、加班审批等数据。</w:t>
      </w:r>
    </w:p>
    <w:p w14:paraId="2F037FD3">
      <w:pPr>
        <w:spacing w:line="360" w:lineRule="auto"/>
        <w:ind w:firstLine="448" w:firstLineChars="200"/>
        <w:outlineLvl w:val="0"/>
        <w:rPr>
          <w:sz w:val="24"/>
        </w:rPr>
      </w:pPr>
      <w:r>
        <w:rPr>
          <w:rFonts w:hint="eastAsia"/>
          <w:sz w:val="24"/>
        </w:rPr>
        <w:t>十四、其他要求</w:t>
      </w:r>
    </w:p>
    <w:p w14:paraId="3B78CDD0">
      <w:pPr>
        <w:widowControl/>
        <w:ind w:firstLine="448" w:firstLineChars="200"/>
        <w:jc w:val="left"/>
        <w:rPr>
          <w:sz w:val="24"/>
        </w:rPr>
      </w:pPr>
      <w:r>
        <w:rPr>
          <w:rFonts w:hint="eastAsia" w:ascii="宋体" w:hAnsi="宋体" w:cs="宋体"/>
          <w:sz w:val="24"/>
        </w:rPr>
        <w:t>★（一）</w:t>
      </w:r>
      <w:r>
        <w:rPr>
          <w:sz w:val="24"/>
        </w:rPr>
        <w:t>税收信息化项目开发和应用管理工作要求</w:t>
      </w:r>
    </w:p>
    <w:p w14:paraId="28F5C45C">
      <w:pPr>
        <w:widowControl/>
        <w:ind w:firstLine="448" w:firstLineChars="200"/>
        <w:jc w:val="left"/>
        <w:rPr>
          <w:sz w:val="24"/>
        </w:rPr>
      </w:pPr>
      <w:r>
        <w:rPr>
          <w:rFonts w:hint="eastAsia"/>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334DFD37">
      <w:pPr>
        <w:widowControl/>
        <w:ind w:firstLine="448" w:firstLineChars="200"/>
        <w:jc w:val="left"/>
        <w:rPr>
          <w:sz w:val="24"/>
        </w:rPr>
      </w:pPr>
      <w:r>
        <w:rPr>
          <w:rFonts w:hint="eastAsia" w:ascii="宋体" w:hAnsi="宋体" w:cs="宋体"/>
          <w:sz w:val="24"/>
        </w:rPr>
        <w:t>★（二）</w:t>
      </w:r>
      <w:r>
        <w:rPr>
          <w:sz w:val="24"/>
        </w:rPr>
        <w:t>供应链安全管理要求</w:t>
      </w:r>
    </w:p>
    <w:p w14:paraId="39FCD826">
      <w:pPr>
        <w:widowControl/>
        <w:ind w:firstLine="448" w:firstLineChars="200"/>
        <w:jc w:val="left"/>
        <w:rPr>
          <w:sz w:val="24"/>
        </w:rPr>
      </w:pPr>
      <w:r>
        <w:rPr>
          <w:sz w:val="24"/>
        </w:rPr>
        <w:t xml:space="preserve">1、人员资格要求 </w:t>
      </w:r>
    </w:p>
    <w:p w14:paraId="76912416">
      <w:pPr>
        <w:widowControl/>
        <w:ind w:firstLine="448" w:firstLineChars="200"/>
        <w:jc w:val="left"/>
        <w:rPr>
          <w:sz w:val="24"/>
        </w:rPr>
      </w:pPr>
      <w:r>
        <w:rPr>
          <w:sz w:val="24"/>
        </w:rPr>
        <w:t xml:space="preserve">（1）签订承诺书。供应商应严格落实国家税务总局网络安全和保密管理要求，承担技术支持人员的网络安全和保密管理责任，按采购人要求签订协议和承诺书。 </w:t>
      </w:r>
    </w:p>
    <w:p w14:paraId="5ACC7424">
      <w:pPr>
        <w:widowControl/>
        <w:ind w:firstLine="448" w:firstLineChars="200"/>
        <w:jc w:val="left"/>
        <w:rPr>
          <w:sz w:val="24"/>
        </w:rPr>
      </w:pPr>
      <w:r>
        <w:rPr>
          <w:sz w:val="24"/>
        </w:rPr>
        <w:t xml:space="preserve">（2）开展背景审查。供应商承担技术支持人员背景审查工作，提供其身份证明、履历、家庭成员及主要社会关系、无犯罪记录证明等材料，并提交采购人进行备案。 </w:t>
      </w:r>
    </w:p>
    <w:p w14:paraId="61E32FD4">
      <w:pPr>
        <w:widowControl/>
        <w:ind w:firstLine="448" w:firstLineChars="200"/>
        <w:jc w:val="left"/>
        <w:rPr>
          <w:sz w:val="24"/>
        </w:rPr>
      </w:pPr>
      <w:r>
        <w:rPr>
          <w:sz w:val="24"/>
        </w:rPr>
        <w:t>（3）设置网络安全负责人（由</w:t>
      </w:r>
      <w:r>
        <w:rPr>
          <w:rFonts w:hint="eastAsia"/>
          <w:sz w:val="24"/>
        </w:rPr>
        <w:t>项目经理</w:t>
      </w:r>
      <w:r>
        <w:rPr>
          <w:sz w:val="24"/>
        </w:rPr>
        <w:t xml:space="preserve">兼任）。供应商为本项目配备一名网络安全负责人，该负责人具备独立决策能力并保持相对稳定，在项目实施的全过程负责网络安全工作，组织落实各项网络安全要求。 </w:t>
      </w:r>
    </w:p>
    <w:p w14:paraId="36271D0D">
      <w:pPr>
        <w:widowControl/>
        <w:ind w:firstLine="448" w:firstLineChars="200"/>
        <w:jc w:val="left"/>
        <w:rPr>
          <w:sz w:val="24"/>
        </w:rPr>
      </w:pPr>
      <w:r>
        <w:rPr>
          <w:sz w:val="24"/>
        </w:rPr>
        <w:t xml:space="preserve">2、日常行为规范要求 </w:t>
      </w:r>
    </w:p>
    <w:p w14:paraId="49B57949">
      <w:pPr>
        <w:widowControl/>
        <w:ind w:firstLine="448" w:firstLineChars="200"/>
        <w:jc w:val="left"/>
        <w:rPr>
          <w:sz w:val="24"/>
        </w:rPr>
      </w:pPr>
      <w:r>
        <w:rPr>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0CBB4286">
      <w:pPr>
        <w:widowControl/>
        <w:ind w:firstLine="448" w:firstLineChars="200"/>
        <w:jc w:val="left"/>
        <w:rPr>
          <w:sz w:val="24"/>
        </w:rPr>
      </w:pPr>
      <w:r>
        <w:rPr>
          <w:sz w:val="24"/>
        </w:rPr>
        <w:t xml:space="preserve">（2）教育培训要求。供应商负责对技术支持人员进行网络和数据安全法律法规、网络安全意识、网络安全管理、网络安全技能、保密意识以及网络安全警示教育等培训，上岗前对其进行考核。 </w:t>
      </w:r>
    </w:p>
    <w:p w14:paraId="16F16139">
      <w:pPr>
        <w:widowControl/>
        <w:ind w:firstLine="448" w:firstLineChars="200"/>
        <w:jc w:val="left"/>
        <w:rPr>
          <w:sz w:val="24"/>
        </w:rPr>
      </w:pPr>
      <w:r>
        <w:rPr>
          <w:sz w:val="24"/>
        </w:rPr>
        <w:t xml:space="preserve">3、违约惩戒措施 </w:t>
      </w:r>
    </w:p>
    <w:p w14:paraId="73CBD4D2">
      <w:pPr>
        <w:widowControl/>
        <w:ind w:firstLine="448" w:firstLineChars="200"/>
        <w:jc w:val="left"/>
        <w:rPr>
          <w:sz w:val="24"/>
        </w:rPr>
      </w:pPr>
      <w:r>
        <w:rPr>
          <w:rFonts w:hint="eastAsia"/>
          <w:sz w:val="24"/>
        </w:rPr>
        <w:t>供应商对供应链安全管理责任落实不到位，造成安全事件或产生不良影响的，采购人按照法律法规及合同约定进行处理。</w:t>
      </w:r>
    </w:p>
    <w:p w14:paraId="1D76E8E3">
      <w:pPr>
        <w:widowControl/>
        <w:ind w:firstLine="448" w:firstLineChars="200"/>
        <w:jc w:val="left"/>
        <w:rPr>
          <w:rFonts w:ascii="宋体" w:hAnsi="宋体" w:cs="宋体"/>
          <w:sz w:val="24"/>
        </w:rPr>
      </w:pPr>
      <w:r>
        <w:rPr>
          <w:rFonts w:hint="eastAsia" w:ascii="宋体" w:hAnsi="宋体" w:cs="宋体"/>
          <w:sz w:val="24"/>
        </w:rPr>
        <w:t>★（三）信息化服务项目人员要求</w:t>
      </w:r>
    </w:p>
    <w:p w14:paraId="44C948CC">
      <w:pPr>
        <w:widowControl/>
        <w:ind w:firstLine="448" w:firstLineChars="200"/>
        <w:jc w:val="left"/>
        <w:rPr>
          <w:rFonts w:ascii="宋体" w:hAnsi="宋体" w:cs="宋体"/>
          <w:sz w:val="24"/>
        </w:rPr>
      </w:pPr>
      <w:r>
        <w:rPr>
          <w:rFonts w:hint="eastAsia" w:ascii="宋体" w:hAnsi="宋体" w:cs="宋体"/>
          <w:sz w:val="24"/>
        </w:rPr>
        <w:t>本项目涉及信息化服务运维人员的，运维人员应当是运维单位的正式人员，或者是与运维单位签订1年以上劳动合同且实际工作满1年的人员，常驻运维人员应当为技术骨干。</w:t>
      </w:r>
    </w:p>
    <w:p w14:paraId="1DCCA4BF">
      <w:pPr>
        <w:widowControl/>
        <w:ind w:firstLine="448" w:firstLineChars="200"/>
        <w:jc w:val="left"/>
        <w:rPr>
          <w:sz w:val="24"/>
        </w:rPr>
      </w:pPr>
      <w:r>
        <w:rPr>
          <w:sz w:val="24"/>
        </w:rPr>
        <w:t>（四）运行维护保障要求</w:t>
      </w:r>
    </w:p>
    <w:p w14:paraId="6CF70ABD">
      <w:pPr>
        <w:widowControl/>
        <w:ind w:firstLine="448" w:firstLineChars="200"/>
        <w:jc w:val="left"/>
        <w:rPr>
          <w:sz w:val="24"/>
        </w:rPr>
      </w:pPr>
      <w:r>
        <w:rPr>
          <w:sz w:val="24"/>
        </w:rPr>
        <w:t>1.供应商在运行维护中出现运行故障（不可抗力因素除外）或发现违规操作，30分钟内未主动上报采购单位的，给予警告，并按次扣除合同总价款1‰的金额；合同生效期间累计扣除不超过合同总价款5%的金额。</w:t>
      </w:r>
    </w:p>
    <w:p w14:paraId="1C377875">
      <w:pPr>
        <w:widowControl/>
        <w:ind w:firstLine="448" w:firstLineChars="200"/>
        <w:jc w:val="left"/>
        <w:rPr>
          <w:sz w:val="24"/>
        </w:rPr>
      </w:pPr>
      <w:r>
        <w:rPr>
          <w:sz w:val="24"/>
        </w:rPr>
        <w:t>2.供应商在运行维护中出现巡检不及时、不到位的，按次扣除合同总价款1‰的金额；合同生效期间累计扣除不超过合同总价款的5%。</w:t>
      </w:r>
    </w:p>
    <w:p w14:paraId="39F834A3">
      <w:pPr>
        <w:widowControl/>
        <w:ind w:firstLine="448" w:firstLineChars="200"/>
        <w:jc w:val="left"/>
        <w:rPr>
          <w:sz w:val="24"/>
        </w:rPr>
      </w:pPr>
      <w:r>
        <w:rPr>
          <w:sz w:val="24"/>
        </w:rPr>
        <w:t>3.供应商负责运维业务系统出现运行故障（不可抗力因素除外），采购人将根据故障频率和恢复时间（故障频率和持续时间判定以采购人通报为准），扣除合同总价款一定比例的金额。运行故障频繁造成全年系统可用性低于99%，按次扣除合同总价款1%的金额；运行故障4小时≤持续时间＜8小时的，按次扣除合同总价款5‰的金额；运行故障8小时≤持续时间＜12小时的，按次扣除合同总价款1%的金额；运行故障持续时间≥12小时的，按次扣除合同总价款5%的金额；隐瞒故障、篡改监控数据和系统日志，按次扣除合同总价款5%的金额。</w:t>
      </w:r>
    </w:p>
    <w:p w14:paraId="52E0DA68">
      <w:pPr>
        <w:widowControl/>
        <w:ind w:firstLine="448" w:firstLineChars="200"/>
        <w:jc w:val="left"/>
        <w:rPr>
          <w:sz w:val="24"/>
        </w:rPr>
      </w:pPr>
      <w:r>
        <w:rPr>
          <w:sz w:val="24"/>
        </w:rPr>
        <w:t>（</w:t>
      </w:r>
      <w:r>
        <w:rPr>
          <w:rFonts w:hint="eastAsia"/>
          <w:sz w:val="24"/>
        </w:rPr>
        <w:t>五</w:t>
      </w:r>
      <w:r>
        <w:rPr>
          <w:sz w:val="24"/>
        </w:rPr>
        <w:t>）廉政要求</w:t>
      </w:r>
    </w:p>
    <w:p w14:paraId="4081A2D1">
      <w:pPr>
        <w:widowControl/>
        <w:ind w:firstLine="448" w:firstLineChars="200"/>
        <w:jc w:val="left"/>
        <w:rPr>
          <w:sz w:val="24"/>
        </w:rPr>
      </w:pPr>
      <w:r>
        <w:rPr>
          <w:rFonts w:hint="eastAsia"/>
          <w:sz w:val="24"/>
        </w:rPr>
        <w:t>供应商在参与税务部门信息化项目工作过程中，需严格遵守法律法规、规范履行合同，积极协助税务部门开展廉政风险防控工作，严格遵守并落实如下要求：</w:t>
      </w:r>
    </w:p>
    <w:p w14:paraId="25F6A92B">
      <w:pPr>
        <w:widowControl/>
        <w:ind w:firstLine="448" w:firstLineChars="200"/>
        <w:jc w:val="left"/>
        <w:rPr>
          <w:sz w:val="24"/>
        </w:rPr>
      </w:pPr>
      <w:r>
        <w:rPr>
          <w:rFonts w:hint="eastAsia"/>
          <w:sz w:val="24"/>
        </w:rPr>
        <w:t>1、积极发挥廉政风险防控正向作用</w:t>
      </w:r>
    </w:p>
    <w:p w14:paraId="43652EDF">
      <w:pPr>
        <w:widowControl/>
        <w:ind w:firstLine="448" w:firstLineChars="200"/>
        <w:jc w:val="left"/>
        <w:rPr>
          <w:sz w:val="24"/>
        </w:rPr>
      </w:pPr>
      <w:r>
        <w:rPr>
          <w:rFonts w:hint="eastAsia"/>
          <w:sz w:val="24"/>
        </w:rPr>
        <w:t>供应商有义务配合税务部门在信息化项目工作中加强廉政风险防控，执行有关措施。</w:t>
      </w:r>
    </w:p>
    <w:p w14:paraId="503C55DE">
      <w:pPr>
        <w:widowControl/>
        <w:ind w:firstLine="448" w:firstLineChars="200"/>
        <w:jc w:val="left"/>
        <w:rPr>
          <w:sz w:val="24"/>
        </w:rPr>
      </w:pPr>
      <w:r>
        <w:rPr>
          <w:rFonts w:hint="eastAsia"/>
          <w:sz w:val="24"/>
        </w:rPr>
        <w:t>2、健全廉政风险防控机制</w:t>
      </w:r>
    </w:p>
    <w:p w14:paraId="604F3F9B">
      <w:pPr>
        <w:widowControl/>
        <w:ind w:firstLine="448" w:firstLineChars="200"/>
        <w:jc w:val="left"/>
        <w:rPr>
          <w:sz w:val="24"/>
        </w:rPr>
      </w:pPr>
      <w:r>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1910FD48">
      <w:pPr>
        <w:widowControl/>
        <w:ind w:firstLine="448" w:firstLineChars="200"/>
        <w:jc w:val="left"/>
        <w:rPr>
          <w:sz w:val="24"/>
        </w:rPr>
      </w:pPr>
      <w:r>
        <w:rPr>
          <w:rFonts w:hint="eastAsia"/>
          <w:sz w:val="24"/>
        </w:rPr>
        <w:t>3、杜绝违纪违法行为</w:t>
      </w:r>
    </w:p>
    <w:p w14:paraId="691CC982">
      <w:pPr>
        <w:widowControl/>
        <w:ind w:firstLine="448" w:firstLineChars="200"/>
        <w:jc w:val="left"/>
        <w:rPr>
          <w:sz w:val="24"/>
        </w:rPr>
      </w:pPr>
      <w:r>
        <w:rPr>
          <w:rFonts w:hint="eastAsia"/>
          <w:sz w:val="24"/>
        </w:rPr>
        <w:t>供应商及相关项目人员必须严格遵守党纪国法，坚守职业道德，杜绝任何形式的利益输送、权力寻租等违纪违法行为，对采购人不得实施以下行为：</w:t>
      </w:r>
    </w:p>
    <w:p w14:paraId="04E3E988">
      <w:pPr>
        <w:widowControl/>
        <w:ind w:firstLine="448" w:firstLineChars="200"/>
        <w:jc w:val="left"/>
        <w:rPr>
          <w:sz w:val="24"/>
        </w:rPr>
      </w:pPr>
      <w:r>
        <w:rPr>
          <w:rFonts w:hint="eastAsia"/>
          <w:sz w:val="24"/>
        </w:rPr>
        <w:t>（1）以各种形式和名义提供礼品、礼金、电子红包、支付凭证、商业预付卡、名贵特产、有价证券、股权、其他金融产品等财物。</w:t>
      </w:r>
    </w:p>
    <w:p w14:paraId="75AE4662">
      <w:pPr>
        <w:widowControl/>
        <w:ind w:firstLine="448" w:firstLineChars="200"/>
        <w:jc w:val="left"/>
        <w:rPr>
          <w:sz w:val="24"/>
        </w:rPr>
      </w:pPr>
      <w:r>
        <w:rPr>
          <w:rFonts w:hint="eastAsia"/>
          <w:sz w:val="24"/>
        </w:rPr>
        <w:t>（2）以各种形式和名义提供宴请、旅游、健身、娱乐、私人会所等活动安排；代付加班餐费、打车费等。</w:t>
      </w:r>
    </w:p>
    <w:p w14:paraId="3D4E6CCA">
      <w:pPr>
        <w:widowControl/>
        <w:ind w:firstLine="448" w:firstLineChars="200"/>
        <w:jc w:val="left"/>
        <w:rPr>
          <w:sz w:val="24"/>
        </w:rPr>
      </w:pPr>
      <w:r>
        <w:rPr>
          <w:rFonts w:hint="eastAsia"/>
          <w:sz w:val="24"/>
        </w:rPr>
        <w:t>（3）以讲课费、咨询费等名义，提供或变相提供报酬。</w:t>
      </w:r>
    </w:p>
    <w:p w14:paraId="693D7A88">
      <w:pPr>
        <w:widowControl/>
        <w:ind w:firstLine="448" w:firstLineChars="200"/>
        <w:jc w:val="left"/>
        <w:rPr>
          <w:sz w:val="24"/>
        </w:rPr>
      </w:pPr>
      <w:r>
        <w:rPr>
          <w:rFonts w:hint="eastAsia"/>
          <w:sz w:val="24"/>
        </w:rPr>
        <w:t>（4）借款、借房、借车，报销应由个人负担的费用。</w:t>
      </w:r>
    </w:p>
    <w:p w14:paraId="0D87CC18">
      <w:pPr>
        <w:widowControl/>
        <w:ind w:firstLine="448" w:firstLineChars="200"/>
        <w:jc w:val="left"/>
        <w:rPr>
          <w:sz w:val="24"/>
        </w:rPr>
      </w:pPr>
      <w:r>
        <w:rPr>
          <w:rFonts w:hint="eastAsia"/>
          <w:sz w:val="24"/>
        </w:rPr>
        <w:t>（5）以无偿、象征性地收取费用等方式提供家政、司机等服务劳务。</w:t>
      </w:r>
    </w:p>
    <w:p w14:paraId="05B7EF45">
      <w:pPr>
        <w:widowControl/>
        <w:ind w:firstLine="448" w:firstLineChars="200"/>
        <w:jc w:val="left"/>
        <w:rPr>
          <w:sz w:val="24"/>
        </w:rPr>
      </w:pPr>
      <w:r>
        <w:rPr>
          <w:rFonts w:hint="eastAsia"/>
          <w:sz w:val="24"/>
        </w:rPr>
        <w:t>（6）其他通过任何形式行贿或输送利益的行为。</w:t>
      </w:r>
    </w:p>
    <w:p w14:paraId="17CE71BC">
      <w:pPr>
        <w:widowControl/>
        <w:ind w:firstLine="448" w:firstLineChars="200"/>
        <w:jc w:val="left"/>
        <w:rPr>
          <w:sz w:val="24"/>
        </w:rPr>
      </w:pPr>
      <w:r>
        <w:rPr>
          <w:rFonts w:hint="eastAsia"/>
          <w:sz w:val="24"/>
        </w:rPr>
        <w:t>4、信守承诺</w:t>
      </w:r>
    </w:p>
    <w:p w14:paraId="174DDFE5">
      <w:pPr>
        <w:widowControl/>
        <w:ind w:firstLine="448" w:firstLineChars="200"/>
        <w:jc w:val="left"/>
        <w:rPr>
          <w:sz w:val="24"/>
        </w:rPr>
      </w:pPr>
      <w:r>
        <w:rPr>
          <w:rFonts w:hint="eastAsia"/>
          <w:sz w:val="24"/>
        </w:rPr>
        <w:t>供应商应承诺在项目实施过程中，严格遵守国家法律法规合法、诚信经营，杜绝商业贿赂、规范经营活动、公开透明合作、严格内部管理，并签订《税务信息化项目服务商廉洁承诺书》</w:t>
      </w:r>
      <w:r>
        <w:rPr>
          <w:sz w:val="24"/>
        </w:rPr>
        <w:t>（格式详见附件A）</w:t>
      </w:r>
      <w:r>
        <w:rPr>
          <w:rFonts w:hint="eastAsia"/>
          <w:sz w:val="24"/>
        </w:rPr>
        <w:t>提交采购人负责项目实施的单位。</w:t>
      </w:r>
    </w:p>
    <w:p w14:paraId="1DD6F811">
      <w:pPr>
        <w:widowControl/>
        <w:ind w:firstLine="448" w:firstLineChars="200"/>
        <w:jc w:val="left"/>
        <w:rPr>
          <w:sz w:val="24"/>
        </w:rPr>
      </w:pPr>
      <w:r>
        <w:rPr>
          <w:rFonts w:hint="eastAsia"/>
          <w:sz w:val="24"/>
        </w:rPr>
        <w:t>5、自觉接受监管</w:t>
      </w:r>
    </w:p>
    <w:p w14:paraId="7972EEF3">
      <w:pPr>
        <w:widowControl/>
        <w:ind w:firstLine="448" w:firstLineChars="200"/>
        <w:jc w:val="left"/>
        <w:rPr>
          <w:sz w:val="24"/>
        </w:rPr>
      </w:pPr>
      <w:r>
        <w:rPr>
          <w:rFonts w:hint="eastAsia"/>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73AF89C9">
      <w:pPr>
        <w:widowControl/>
        <w:ind w:firstLine="448" w:firstLineChars="200"/>
        <w:jc w:val="left"/>
        <w:rPr>
          <w:sz w:val="24"/>
        </w:rPr>
      </w:pPr>
      <w:r>
        <w:rPr>
          <w:rFonts w:hint="eastAsia"/>
          <w:sz w:val="24"/>
        </w:rPr>
        <w:t>6、举报和反馈意见</w:t>
      </w:r>
    </w:p>
    <w:p w14:paraId="100188B6">
      <w:pPr>
        <w:widowControl/>
        <w:ind w:firstLine="448" w:firstLineChars="200"/>
        <w:jc w:val="left"/>
        <w:rPr>
          <w:sz w:val="24"/>
        </w:rPr>
      </w:pPr>
      <w:r>
        <w:rPr>
          <w:rFonts w:hint="eastAsia"/>
          <w:sz w:val="24"/>
        </w:rPr>
        <w:t>项目执行过程中，供应商有权举报、反馈采购人索贿受贿、吃拿卡要、违反中央八项规定精神等违纪违法行为。项目验收前，应填写《税务信息化项目服务商廉政反馈书》</w:t>
      </w:r>
      <w:r>
        <w:rPr>
          <w:sz w:val="24"/>
        </w:rPr>
        <w:t>（格式详见附件A）</w:t>
      </w:r>
      <w:r>
        <w:rPr>
          <w:rFonts w:hint="eastAsia"/>
          <w:sz w:val="24"/>
        </w:rPr>
        <w:t>，提交采购人网络安全和信息化领导小组办公室。</w:t>
      </w:r>
    </w:p>
    <w:p w14:paraId="65D855D6">
      <w:pPr>
        <w:widowControl/>
        <w:ind w:firstLine="448" w:firstLineChars="200"/>
        <w:jc w:val="left"/>
        <w:rPr>
          <w:sz w:val="24"/>
        </w:rPr>
      </w:pPr>
      <w:r>
        <w:rPr>
          <w:rFonts w:hint="eastAsia"/>
          <w:sz w:val="24"/>
        </w:rPr>
        <w:t>（六）违约责任要求</w:t>
      </w:r>
    </w:p>
    <w:p w14:paraId="075A17EB">
      <w:pPr>
        <w:widowControl/>
        <w:ind w:firstLine="448" w:firstLineChars="200"/>
        <w:jc w:val="left"/>
        <w:rPr>
          <w:sz w:val="24"/>
        </w:rPr>
      </w:pPr>
      <w:r>
        <w:rPr>
          <w:rFonts w:hint="eastAsia"/>
          <w:sz w:val="24"/>
        </w:rPr>
        <w:t>1.供应商违反合同约定内容且造成不良后果的，评审过程中被认定以明显低于成本的报价恶意竞标的，另行开发销售合同业务需求范围内软件供纳税人使用的，以及一年内发生2次及以上一般失信行为的，按照规定认定供应商失信行为，并将其失信行为报送税务总局网信办。</w:t>
      </w:r>
    </w:p>
    <w:p w14:paraId="5241141D">
      <w:pPr>
        <w:widowControl/>
        <w:ind w:firstLine="448" w:firstLineChars="200"/>
        <w:jc w:val="left"/>
        <w:rPr>
          <w:sz w:val="24"/>
        </w:rPr>
      </w:pPr>
      <w:r>
        <w:rPr>
          <w:rFonts w:hint="eastAsia"/>
          <w:sz w:val="24"/>
        </w:rPr>
        <w:t>2.供应商违规聘用离职税务人员的，按照规定认定供应商失信行为，并将其失信行为报送税务总局网信办。</w:t>
      </w:r>
    </w:p>
    <w:p w14:paraId="67B5331C">
      <w:pPr>
        <w:widowControl/>
        <w:ind w:firstLine="448" w:firstLineChars="200"/>
        <w:jc w:val="left"/>
        <w:rPr>
          <w:sz w:val="24"/>
        </w:rPr>
      </w:pPr>
      <w:r>
        <w:rPr>
          <w:rFonts w:hint="eastAsia"/>
          <w:sz w:val="24"/>
        </w:rPr>
        <w:t>3.供应商利用为税务机关提供信息化服务便利向纳税人缴费人搭车收费或变相收费的，以及存在国家税务总局发票电子化改革（金税四期）领导小组办公室认定的失信行为的，按照规定认定供应商失信行为，并将其失信行为报送税务总局网信办。</w:t>
      </w:r>
    </w:p>
    <w:p w14:paraId="52B22682">
      <w:pPr>
        <w:widowControl/>
        <w:ind w:firstLine="448" w:firstLineChars="200"/>
        <w:jc w:val="left"/>
        <w:rPr>
          <w:sz w:val="24"/>
        </w:rPr>
      </w:pPr>
      <w:r>
        <w:rPr>
          <w:rFonts w:hint="eastAsia"/>
          <w:sz w:val="24"/>
        </w:rPr>
        <w:t>4.供应商违反网络安全管理规定并造成不良后果的，攻击或侵入税务信息系统（包括CA等）的，以及存在“围猎”税务人员失信行为的，按照规定认定供应商失信行为，并将其失信行为报送税务总局网信办。</w:t>
      </w:r>
    </w:p>
    <w:p w14:paraId="7EFBAC28">
      <w:pPr>
        <w:widowControl/>
        <w:ind w:firstLine="448" w:firstLineChars="200"/>
        <w:jc w:val="left"/>
        <w:rPr>
          <w:sz w:val="24"/>
        </w:rPr>
      </w:pPr>
      <w:r>
        <w:rPr>
          <w:rFonts w:hint="eastAsia"/>
          <w:sz w:val="24"/>
        </w:rPr>
        <w:t>5.供应商存在其他严重失信行为的，经相关部门分析研判，按照规定认定供应商失信行为，并将其失信行为报送税务总局网信办。</w:t>
      </w:r>
    </w:p>
    <w:p w14:paraId="36339719">
      <w:pPr>
        <w:widowControl/>
        <w:ind w:firstLine="448" w:firstLineChars="200"/>
        <w:jc w:val="left"/>
        <w:rPr>
          <w:sz w:val="24"/>
        </w:rPr>
      </w:pPr>
      <w:r>
        <w:rPr>
          <w:rFonts w:hint="eastAsia"/>
          <w:sz w:val="24"/>
        </w:rPr>
        <w:t>（七）知识产权要求</w:t>
      </w:r>
    </w:p>
    <w:p w14:paraId="62111ED0">
      <w:pPr>
        <w:widowControl/>
        <w:ind w:firstLine="448" w:firstLineChars="200"/>
        <w:jc w:val="left"/>
        <w:rPr>
          <w:sz w:val="24"/>
        </w:rPr>
      </w:pPr>
      <w:r>
        <w:rPr>
          <w:rFonts w:hint="eastAsia"/>
          <w:sz w:val="24"/>
        </w:rPr>
        <w:t>采购人对项目实施过程中所产生的所有成果（包括发明、发现、可运行系统、源代码及相关技术资料、文档等）享有所有权（永久使用权、复制权和修改权等）。除本项目工作所需外，未经采购人书面同意，供应商不得擅自使用、复制采购人的商标、标志、数据信息、文档及其他资料。</w:t>
      </w:r>
    </w:p>
    <w:p w14:paraId="15C4DB04">
      <w:pPr>
        <w:widowControl/>
        <w:ind w:firstLine="448" w:firstLineChars="200"/>
        <w:jc w:val="left"/>
        <w:rPr>
          <w:sz w:val="24"/>
        </w:rPr>
      </w:pPr>
      <w:r>
        <w:rPr>
          <w:rFonts w:hint="eastAsia"/>
          <w:sz w:val="24"/>
        </w:rPr>
        <w:t>供应商应保证在本项目中所有预装和为本项目安装的软件为在中国境内具有合法版权或使用权的正版软件且无质量瑕疵。</w:t>
      </w:r>
    </w:p>
    <w:p w14:paraId="7A1F5942">
      <w:pPr>
        <w:widowControl/>
        <w:ind w:firstLine="448" w:firstLineChars="200"/>
        <w:jc w:val="left"/>
        <w:rPr>
          <w:sz w:val="24"/>
        </w:rPr>
      </w:pPr>
      <w:r>
        <w:rPr>
          <w:rFonts w:hint="eastAsia"/>
          <w:sz w:val="24"/>
        </w:rPr>
        <w:t>供应商应保证其所提供的产品及服务不侵犯第三方的知识产权，否则，由此给采购人造成的一切损失由供应商承担。</w:t>
      </w:r>
    </w:p>
    <w:p w14:paraId="6B81BFA8">
      <w:pPr>
        <w:widowControl/>
        <w:ind w:firstLine="448" w:firstLineChars="200"/>
        <w:jc w:val="left"/>
        <w:rPr>
          <w:sz w:val="24"/>
        </w:rPr>
      </w:pPr>
    </w:p>
    <w:p w14:paraId="4AE95A8E">
      <w:pPr>
        <w:widowControl/>
        <w:ind w:firstLine="448" w:firstLineChars="200"/>
        <w:jc w:val="left"/>
        <w:rPr>
          <w:sz w:val="24"/>
        </w:rPr>
      </w:pPr>
    </w:p>
    <w:p w14:paraId="3B017C36">
      <w:pPr>
        <w:widowControl/>
        <w:ind w:firstLine="448" w:firstLineChars="200"/>
        <w:jc w:val="left"/>
        <w:rPr>
          <w:sz w:val="24"/>
        </w:rPr>
      </w:pPr>
    </w:p>
    <w:p w14:paraId="275E6CD0">
      <w:pPr>
        <w:widowControl/>
        <w:ind w:firstLine="448" w:firstLineChars="200"/>
        <w:jc w:val="left"/>
        <w:rPr>
          <w:sz w:val="24"/>
        </w:rPr>
      </w:pPr>
    </w:p>
    <w:p w14:paraId="338764D3">
      <w:pPr>
        <w:widowControl/>
        <w:ind w:firstLine="448" w:firstLineChars="200"/>
        <w:jc w:val="left"/>
        <w:rPr>
          <w:sz w:val="24"/>
        </w:rPr>
      </w:pPr>
    </w:p>
    <w:p w14:paraId="6A0956A9">
      <w:pPr>
        <w:widowControl/>
        <w:ind w:firstLine="448" w:firstLineChars="200"/>
        <w:jc w:val="left"/>
        <w:rPr>
          <w:sz w:val="24"/>
        </w:rPr>
      </w:pPr>
    </w:p>
    <w:p w14:paraId="608963D1">
      <w:pPr>
        <w:widowControl/>
        <w:jc w:val="left"/>
        <w:rPr>
          <w:sz w:val="24"/>
        </w:rPr>
      </w:pPr>
    </w:p>
    <w:p w14:paraId="4A2E0251">
      <w:pPr>
        <w:widowControl/>
        <w:ind w:firstLine="448" w:firstLineChars="200"/>
        <w:jc w:val="left"/>
        <w:rPr>
          <w:sz w:val="24"/>
        </w:rPr>
      </w:pPr>
    </w:p>
    <w:p w14:paraId="732A5516">
      <w:pPr>
        <w:widowControl/>
        <w:jc w:val="left"/>
        <w:rPr>
          <w:sz w:val="24"/>
        </w:rPr>
      </w:pPr>
      <w:r>
        <w:rPr>
          <w:sz w:val="24"/>
        </w:rPr>
        <w:br w:type="page"/>
      </w:r>
    </w:p>
    <w:p w14:paraId="3361B83A">
      <w:pPr>
        <w:widowControl/>
        <w:ind w:firstLine="448" w:firstLineChars="200"/>
        <w:jc w:val="left"/>
        <w:rPr>
          <w:sz w:val="24"/>
        </w:rPr>
      </w:pPr>
      <w:r>
        <w:rPr>
          <w:sz w:val="24"/>
        </w:rPr>
        <w:t>附件A：</w:t>
      </w:r>
    </w:p>
    <w:p w14:paraId="20C030BE">
      <w:pPr>
        <w:pStyle w:val="56"/>
        <w:spacing w:line="360" w:lineRule="auto"/>
        <w:jc w:val="center"/>
        <w:rPr>
          <w:rFonts w:asciiTheme="minorEastAsia" w:hAnsiTheme="minorEastAsia"/>
          <w:lang w:eastAsia="zh-CN"/>
        </w:rPr>
      </w:pPr>
      <w:r>
        <w:rPr>
          <w:rFonts w:asciiTheme="minorEastAsia" w:hAnsiTheme="minorEastAsia"/>
          <w:b/>
          <w:bCs/>
          <w:sz w:val="28"/>
          <w:szCs w:val="28"/>
          <w:lang w:eastAsia="zh-CN"/>
        </w:rPr>
        <w:t>税务信息化服务商廉洁承诺书</w:t>
      </w:r>
    </w:p>
    <w:p w14:paraId="18A1F6D5">
      <w:pPr>
        <w:pStyle w:val="56"/>
        <w:spacing w:line="360" w:lineRule="auto"/>
        <w:ind w:firstLine="560"/>
        <w:rPr>
          <w:lang w:eastAsia="zh-CN"/>
        </w:rPr>
      </w:pPr>
      <w:r>
        <w:rPr>
          <w:rFonts w:eastAsia="仿宋_GB2312"/>
          <w:sz w:val="28"/>
          <w:szCs w:val="28"/>
          <w:lang w:eastAsia="zh-CN"/>
        </w:rPr>
        <w:t> </w:t>
      </w:r>
    </w:p>
    <w:p w14:paraId="4EA3341F">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为深入贯彻落实党中央关于全面从严治党的决策部署，进一步加强税务信息化项目合作中的廉政建设，防范廉政风险发生，确保项目公开、公平、公正推进，我司郑重承诺如下：</w:t>
      </w:r>
    </w:p>
    <w:p w14:paraId="7E346F64">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一、合法合规经营。严格遵守国家法律法规及税务部门的相关规定，坚持廉洁从业、诚信经营的原则。在合作过程中不以任何形式进行利益输送，维护良好的政商关系。</w:t>
      </w:r>
    </w:p>
    <w:p w14:paraId="11BBC542">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二、杜绝商业贿赂。加强内部管理，我司及我司员工均不对采购人工作人员实施以下行为：</w:t>
      </w:r>
    </w:p>
    <w:p w14:paraId="3FDDBD9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（一）以各种形式和名义提供礼品、礼金、电子红包、支付凭证、商业预付卡、名贵特产、有价证券、股权、其他金融产品等财物。</w:t>
      </w:r>
    </w:p>
    <w:p w14:paraId="1BCE85D1">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（二）以各种形式和名义提供宴请、旅游、健身、娱乐、私人会所等活动安排；代付加班餐费、打车费等。</w:t>
      </w:r>
    </w:p>
    <w:p w14:paraId="735DF257">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（三）以讲课费、咨询费等名义，提供或变相提供报酬。</w:t>
      </w:r>
    </w:p>
    <w:p w14:paraId="077A3D6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（四）借款、借房、借车，报销应由个人负担的费用。</w:t>
      </w:r>
    </w:p>
    <w:p w14:paraId="4AE8AFDE">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（五）以无偿、象征性地收取费用等方式提供家政、司机等服务劳务。</w:t>
      </w:r>
    </w:p>
    <w:p w14:paraId="41BDFBB1">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（六）其他通过任何形式行贿或输送利益的行为。</w:t>
      </w:r>
    </w:p>
    <w:p w14:paraId="6DD11A35">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三、规范经营活动。严格按照合同约定履行义务，保证项目质量，按时完成建设任务；在合作过程中不以任何借口拖延工期、虚报成本或谋取私利。</w:t>
      </w:r>
    </w:p>
    <w:p w14:paraId="6A4D4BF2">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四、公开透明合作。我司承诺在项目实施过程中保持公开透明，主动接受税务部门及纪检监察机构的全程监督，并积极配合任何有关廉洁从业的调查工作。</w:t>
      </w:r>
    </w:p>
    <w:p w14:paraId="7F189FA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五、严格内部管理。加强企业内部廉洁教育，确保员工知晓并遵守相关法律法规及廉洁要求；加强项目实施全过程廉洁监督；对于违反廉洁承诺的员工，将严肃处理，并承担相应责任。</w:t>
      </w:r>
    </w:p>
    <w:p w14:paraId="4038BDAD">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六、积极参与监督。在税务信息化项目实施过程中，如发现任何违纪违法行为，将如实反馈问题和意见。</w:t>
      </w:r>
    </w:p>
    <w:p w14:paraId="0AA2B2F5">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    </w:t>
      </w:r>
    </w:p>
    <w:p w14:paraId="54548245">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承诺单位（盖章）：_________________________</w:t>
      </w:r>
    </w:p>
    <w:p w14:paraId="036246A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法定代表人或授权代表签字：________________</w:t>
      </w:r>
    </w:p>
    <w:p w14:paraId="0A05E0DC">
      <w:pPr>
        <w:pStyle w:val="56"/>
        <w:spacing w:line="360" w:lineRule="auto"/>
        <w:ind w:firstLine="560"/>
        <w:rPr>
          <w:sz w:val="21"/>
          <w:szCs w:val="21"/>
        </w:rPr>
      </w:pPr>
      <w:r>
        <w:rPr>
          <w:sz w:val="21"/>
          <w:szCs w:val="21"/>
        </w:rPr>
        <w:t>日期：XX年XX月XX日</w:t>
      </w:r>
    </w:p>
    <w:p w14:paraId="58836E68">
      <w:pPr>
        <w:pStyle w:val="55"/>
        <w:spacing w:line="360" w:lineRule="auto"/>
        <w:ind w:firstLine="490"/>
        <w:rPr>
          <w:rFonts w:asciiTheme="minorEastAsia" w:hAnsiTheme="minorEastAsia"/>
        </w:rPr>
      </w:pPr>
      <w:r>
        <w:rPr>
          <w:rFonts w:asciiTheme="minorEastAsia" w:hAnsiTheme="minorEastAsia"/>
          <w:sz w:val="28"/>
          <w:szCs w:val="28"/>
        </w:rPr>
        <w:t> </w:t>
      </w:r>
    </w:p>
    <w:p w14:paraId="11CA2AFC">
      <w:pPr>
        <w:pStyle w:val="56"/>
        <w:spacing w:line="360" w:lineRule="auto"/>
        <w:jc w:val="center"/>
        <w:rPr>
          <w:rFonts w:eastAsia="仿宋_GB2312"/>
          <w:b/>
          <w:bCs/>
          <w:sz w:val="28"/>
          <w:szCs w:val="28"/>
          <w:lang w:eastAsia="zh-CN"/>
        </w:rPr>
      </w:pPr>
    </w:p>
    <w:p w14:paraId="129AC686">
      <w:pPr>
        <w:pStyle w:val="56"/>
        <w:spacing w:line="360" w:lineRule="auto"/>
        <w:jc w:val="center"/>
        <w:rPr>
          <w:rFonts w:eastAsia="仿宋_GB2312"/>
          <w:b/>
          <w:bCs/>
          <w:sz w:val="28"/>
          <w:szCs w:val="28"/>
          <w:lang w:eastAsia="zh-CN"/>
        </w:rPr>
      </w:pPr>
    </w:p>
    <w:p w14:paraId="115D4E21">
      <w:pPr>
        <w:pStyle w:val="56"/>
        <w:spacing w:line="360" w:lineRule="auto"/>
        <w:jc w:val="center"/>
        <w:rPr>
          <w:lang w:eastAsia="zh-CN"/>
        </w:rPr>
      </w:pPr>
      <w:r>
        <w:rPr>
          <w:rFonts w:eastAsia="仿宋_GB2312"/>
          <w:b/>
          <w:bCs/>
          <w:sz w:val="28"/>
          <w:szCs w:val="28"/>
          <w:lang w:eastAsia="zh-CN"/>
        </w:rPr>
        <w:t>税务信息化廉政情况反馈书</w:t>
      </w:r>
    </w:p>
    <w:p w14:paraId="7B8DC431">
      <w:pPr>
        <w:pStyle w:val="55"/>
        <w:spacing w:line="360" w:lineRule="auto"/>
        <w:ind w:firstLine="490"/>
        <w:rPr>
          <w:lang w:eastAsia="zh-CN"/>
        </w:rPr>
      </w:pPr>
      <w:r>
        <w:rPr>
          <w:rFonts w:eastAsia="Century Gothic"/>
          <w:lang w:eastAsia="zh-CN"/>
        </w:rPr>
        <w:t> </w:t>
      </w:r>
    </w:p>
    <w:tbl>
      <w:tblPr>
        <w:tblStyle w:val="57"/>
        <w:tblW w:w="9350" w:type="dxa"/>
        <w:jc w:val="center"/>
        <w:tblCellSpacing w:w="0" w:type="dxa"/>
        <w:tblLayout w:type="autofit"/>
        <w:tblCellMar>
          <w:top w:w="15" w:type="dxa"/>
          <w:left w:w="15" w:type="dxa"/>
          <w:bottom w:w="15" w:type="dxa"/>
          <w:right w:w="15" w:type="dxa"/>
        </w:tblCellMar>
      </w:tblPr>
      <w:tblGrid>
        <w:gridCol w:w="2372"/>
        <w:gridCol w:w="6978"/>
      </w:tblGrid>
      <w:tr w14:paraId="2F3286D2">
        <w:trPr>
          <w:trHeight w:val="215" w:hRule="atLeast"/>
          <w:tblCellSpacing w:w="0" w:type="dxa"/>
          <w:jc w:val="center"/>
        </w:trPr>
        <w:tc>
          <w:tcPr>
            <w:tcW w:w="9882" w:type="dxa"/>
            <w:gridSpan w:val="2"/>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580CD47E">
            <w:pPr>
              <w:pStyle w:val="56"/>
              <w:adjustRightInd w:val="0"/>
              <w:snapToGrid w:val="0"/>
              <w:ind w:firstLine="481"/>
              <w:jc w:val="center"/>
              <w:textAlignment w:val="center"/>
              <w:rPr>
                <w:sz w:val="21"/>
                <w:szCs w:val="21"/>
              </w:rPr>
            </w:pPr>
            <w:r>
              <w:rPr>
                <w:rFonts w:eastAsia="仿宋_GB2312"/>
                <w:b/>
                <w:bCs/>
                <w:sz w:val="21"/>
                <w:szCs w:val="21"/>
              </w:rPr>
              <w:t>项目基本情况</w:t>
            </w:r>
          </w:p>
        </w:tc>
      </w:tr>
      <w:tr w14:paraId="34755B69">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593D0A">
            <w:pPr>
              <w:pStyle w:val="56"/>
              <w:adjustRightInd w:val="0"/>
              <w:snapToGrid w:val="0"/>
              <w:jc w:val="both"/>
              <w:textAlignment w:val="center"/>
              <w:rPr>
                <w:sz w:val="21"/>
                <w:szCs w:val="21"/>
              </w:rPr>
            </w:pPr>
            <w:r>
              <w:rPr>
                <w:rFonts w:eastAsia="仿宋_GB2312"/>
                <w:b/>
                <w:bCs/>
                <w:sz w:val="21"/>
                <w:szCs w:val="21"/>
              </w:rPr>
              <w:t>项目名称（编号）</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5D6EB38">
            <w:pPr>
              <w:pStyle w:val="56"/>
              <w:adjustRightInd w:val="0"/>
              <w:snapToGrid w:val="0"/>
              <w:ind w:firstLine="480"/>
              <w:jc w:val="center"/>
              <w:textAlignment w:val="center"/>
              <w:rPr>
                <w:sz w:val="21"/>
                <w:szCs w:val="21"/>
                <w:lang w:eastAsia="zh-CN"/>
              </w:rPr>
            </w:pPr>
            <w:r>
              <w:rPr>
                <w:rFonts w:eastAsia="仿宋_GB2312"/>
                <w:sz w:val="21"/>
                <w:szCs w:val="21"/>
                <w:lang w:eastAsia="zh-CN"/>
              </w:rPr>
              <w:t>XXX税务信息化项目  项目编号</w:t>
            </w:r>
          </w:p>
        </w:tc>
      </w:tr>
      <w:tr w14:paraId="76E48767">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FC0B359">
            <w:pPr>
              <w:pStyle w:val="56"/>
              <w:adjustRightInd w:val="0"/>
              <w:snapToGrid w:val="0"/>
              <w:jc w:val="both"/>
              <w:textAlignment w:val="center"/>
              <w:rPr>
                <w:sz w:val="21"/>
                <w:szCs w:val="21"/>
              </w:rPr>
            </w:pPr>
            <w:r>
              <w:rPr>
                <w:rFonts w:eastAsia="仿宋_GB2312"/>
                <w:b/>
                <w:bCs/>
                <w:sz w:val="21"/>
                <w:szCs w:val="21"/>
              </w:rPr>
              <w:t>服务商名称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0451173E">
            <w:pPr>
              <w:pStyle w:val="56"/>
              <w:adjustRightInd w:val="0"/>
              <w:snapToGrid w:val="0"/>
              <w:ind w:firstLine="480"/>
              <w:jc w:val="center"/>
              <w:textAlignment w:val="center"/>
              <w:rPr>
                <w:sz w:val="21"/>
                <w:szCs w:val="21"/>
              </w:rPr>
            </w:pPr>
            <w:r>
              <w:rPr>
                <w:rFonts w:eastAsia="仿宋_GB2312"/>
                <w:sz w:val="21"/>
                <w:szCs w:val="21"/>
              </w:rPr>
              <w:t>XXX公司</w:t>
            </w:r>
          </w:p>
        </w:tc>
      </w:tr>
      <w:tr w14:paraId="71C92193">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3D427D">
            <w:pPr>
              <w:pStyle w:val="56"/>
              <w:adjustRightInd w:val="0"/>
              <w:snapToGrid w:val="0"/>
              <w:jc w:val="both"/>
              <w:textAlignment w:val="center"/>
              <w:rPr>
                <w:sz w:val="21"/>
                <w:szCs w:val="21"/>
              </w:rPr>
            </w:pPr>
            <w:r>
              <w:rPr>
                <w:rFonts w:eastAsia="仿宋_GB2312"/>
                <w:b/>
                <w:bCs/>
                <w:sz w:val="21"/>
                <w:szCs w:val="21"/>
              </w:rPr>
              <w:t>联系人及电话</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07789F19">
            <w:pPr>
              <w:pStyle w:val="56"/>
              <w:adjustRightInd w:val="0"/>
              <w:snapToGrid w:val="0"/>
              <w:ind w:firstLine="480"/>
              <w:jc w:val="center"/>
              <w:textAlignment w:val="center"/>
              <w:rPr>
                <w:sz w:val="21"/>
                <w:szCs w:val="21"/>
                <w:lang w:eastAsia="zh-CN"/>
              </w:rPr>
            </w:pPr>
            <w:r>
              <w:rPr>
                <w:rFonts w:eastAsia="仿宋_GB2312"/>
                <w:sz w:val="21"/>
                <w:szCs w:val="21"/>
                <w:lang w:eastAsia="zh-CN"/>
              </w:rPr>
              <w:t>联系人：  职务：   电话：123-4567890</w:t>
            </w:r>
          </w:p>
        </w:tc>
      </w:tr>
      <w:tr w14:paraId="60BDAF6E">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ABBEDFD">
            <w:pPr>
              <w:pStyle w:val="56"/>
              <w:adjustRightInd w:val="0"/>
              <w:snapToGrid w:val="0"/>
              <w:jc w:val="both"/>
              <w:textAlignment w:val="center"/>
              <w:rPr>
                <w:sz w:val="21"/>
                <w:szCs w:val="21"/>
              </w:rPr>
            </w:pPr>
            <w:r>
              <w:rPr>
                <w:rFonts w:eastAsia="仿宋_GB2312"/>
                <w:b/>
                <w:bCs/>
                <w:sz w:val="21"/>
                <w:szCs w:val="21"/>
              </w:rPr>
              <w:t>项目情况概述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3BE4EF1">
            <w:pPr>
              <w:pStyle w:val="56"/>
              <w:adjustRightInd w:val="0"/>
              <w:snapToGrid w:val="0"/>
              <w:ind w:firstLine="480"/>
              <w:jc w:val="center"/>
              <w:rPr>
                <w:sz w:val="21"/>
                <w:szCs w:val="21"/>
              </w:rPr>
            </w:pPr>
            <w:r>
              <w:rPr>
                <w:rFonts w:eastAsia="仿宋_GB2312"/>
                <w:sz w:val="21"/>
                <w:szCs w:val="21"/>
              </w:rPr>
              <w:t> </w:t>
            </w:r>
          </w:p>
        </w:tc>
      </w:tr>
      <w:tr w14:paraId="2AAD260F">
        <w:trPr>
          <w:trHeight w:val="700"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54E18E19">
            <w:pPr>
              <w:pStyle w:val="56"/>
              <w:adjustRightInd w:val="0"/>
              <w:snapToGrid w:val="0"/>
              <w:ind w:firstLine="481"/>
              <w:jc w:val="center"/>
              <w:textAlignment w:val="center"/>
              <w:rPr>
                <w:sz w:val="21"/>
                <w:szCs w:val="21"/>
              </w:rPr>
            </w:pPr>
            <w:r>
              <w:rPr>
                <w:rFonts w:eastAsia="仿宋_GB2312"/>
                <w:b/>
                <w:bCs/>
                <w:sz w:val="21"/>
                <w:szCs w:val="21"/>
              </w:rPr>
              <w:t>廉洁承诺履行情况</w:t>
            </w:r>
          </w:p>
        </w:tc>
      </w:tr>
      <w:tr w14:paraId="4F3252B7">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8CE16E">
            <w:pPr>
              <w:pStyle w:val="56"/>
              <w:adjustRightInd w:val="0"/>
              <w:snapToGrid w:val="0"/>
              <w:jc w:val="both"/>
              <w:textAlignment w:val="center"/>
              <w:rPr>
                <w:sz w:val="21"/>
                <w:szCs w:val="21"/>
              </w:rPr>
            </w:pPr>
            <w:r>
              <w:rPr>
                <w:rFonts w:eastAsia="仿宋_GB2312"/>
                <w:b/>
                <w:bCs/>
                <w:sz w:val="21"/>
                <w:szCs w:val="21"/>
              </w:rPr>
              <w:t>反馈项</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6DBF919">
            <w:pPr>
              <w:pStyle w:val="56"/>
              <w:adjustRightInd w:val="0"/>
              <w:snapToGrid w:val="0"/>
              <w:ind w:firstLine="2640"/>
              <w:jc w:val="both"/>
              <w:textAlignment w:val="center"/>
              <w:rPr>
                <w:sz w:val="21"/>
                <w:szCs w:val="21"/>
              </w:rPr>
            </w:pPr>
            <w:r>
              <w:rPr>
                <w:rFonts w:eastAsia="仿宋_GB2312"/>
                <w:sz w:val="21"/>
                <w:szCs w:val="21"/>
              </w:rPr>
              <w:t>反馈内容</w:t>
            </w:r>
          </w:p>
        </w:tc>
      </w:tr>
      <w:tr w14:paraId="25C67E8A">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FB1727C">
            <w:pPr>
              <w:pStyle w:val="56"/>
              <w:adjustRightInd w:val="0"/>
              <w:snapToGrid w:val="0"/>
              <w:jc w:val="both"/>
              <w:textAlignment w:val="center"/>
              <w:rPr>
                <w:sz w:val="21"/>
                <w:szCs w:val="21"/>
              </w:rPr>
            </w:pPr>
            <w:r>
              <w:rPr>
                <w:rFonts w:eastAsia="仿宋_GB2312"/>
                <w:b/>
                <w:bCs/>
                <w:sz w:val="21"/>
                <w:szCs w:val="21"/>
              </w:rPr>
              <w:t>杜绝商业贿赂</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E65BB89">
            <w:pPr>
              <w:pStyle w:val="56"/>
              <w:adjustRightInd w:val="0"/>
              <w:snapToGrid w:val="0"/>
              <w:textAlignment w:val="center"/>
              <w:rPr>
                <w:sz w:val="21"/>
                <w:szCs w:val="21"/>
                <w:lang w:eastAsia="zh-CN"/>
              </w:rPr>
            </w:pPr>
            <w:r>
              <w:rPr>
                <w:rFonts w:eastAsia="仿宋_GB2312"/>
                <w:sz w:val="21"/>
                <w:szCs w:val="21"/>
                <w:lang w:eastAsia="zh-CN"/>
              </w:rPr>
              <w:t>向税务工作人员及其家属赠送礼品、礼金或提供任何形式的宴请、娱乐活动情况。</w:t>
            </w:r>
          </w:p>
        </w:tc>
      </w:tr>
      <w:tr w14:paraId="57EFCE4A">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3ABF9EF">
            <w:pPr>
              <w:pStyle w:val="56"/>
              <w:adjustRightInd w:val="0"/>
              <w:snapToGrid w:val="0"/>
              <w:jc w:val="both"/>
              <w:textAlignment w:val="center"/>
              <w:rPr>
                <w:sz w:val="21"/>
                <w:szCs w:val="21"/>
              </w:rPr>
            </w:pPr>
            <w:r>
              <w:rPr>
                <w:rFonts w:eastAsia="仿宋_GB2312"/>
                <w:b/>
                <w:bCs/>
                <w:sz w:val="21"/>
                <w:szCs w:val="21"/>
              </w:rPr>
              <w:t>规范经营活动</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2C2F8D6C">
            <w:pPr>
              <w:pStyle w:val="56"/>
              <w:adjustRightInd w:val="0"/>
              <w:snapToGrid w:val="0"/>
              <w:textAlignment w:val="center"/>
              <w:rPr>
                <w:sz w:val="21"/>
                <w:szCs w:val="21"/>
                <w:lang w:eastAsia="zh-CN"/>
              </w:rPr>
            </w:pPr>
            <w:r>
              <w:rPr>
                <w:rFonts w:eastAsia="仿宋_GB2312"/>
                <w:sz w:val="21"/>
                <w:szCs w:val="21"/>
                <w:lang w:eastAsia="zh-CN"/>
              </w:rPr>
              <w:t>按照合同要求，按时完成各阶段任务，确保项目质量和进度情况。</w:t>
            </w:r>
          </w:p>
        </w:tc>
      </w:tr>
      <w:tr w14:paraId="693BDB75">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E83BB1">
            <w:pPr>
              <w:pStyle w:val="56"/>
              <w:adjustRightInd w:val="0"/>
              <w:snapToGrid w:val="0"/>
              <w:jc w:val="both"/>
              <w:textAlignment w:val="center"/>
              <w:rPr>
                <w:sz w:val="21"/>
                <w:szCs w:val="21"/>
              </w:rPr>
            </w:pPr>
            <w:r>
              <w:rPr>
                <w:rFonts w:eastAsia="仿宋_GB2312"/>
                <w:b/>
                <w:bCs/>
                <w:sz w:val="21"/>
                <w:szCs w:val="21"/>
              </w:rPr>
              <w:t>公开透明合作</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0174987">
            <w:pPr>
              <w:pStyle w:val="56"/>
              <w:adjustRightInd w:val="0"/>
              <w:snapToGrid w:val="0"/>
              <w:textAlignment w:val="center"/>
              <w:rPr>
                <w:sz w:val="21"/>
                <w:szCs w:val="21"/>
                <w:lang w:eastAsia="zh-CN"/>
              </w:rPr>
            </w:pPr>
            <w:r>
              <w:rPr>
                <w:rFonts w:eastAsia="仿宋_GB2312"/>
                <w:sz w:val="21"/>
                <w:szCs w:val="21"/>
                <w:lang w:eastAsia="zh-CN"/>
              </w:rPr>
              <w:t>在项目实施过程中保持信息公开透明，主动接受相关部门的监督和检查情况。</w:t>
            </w:r>
          </w:p>
        </w:tc>
      </w:tr>
      <w:tr w14:paraId="619AFCB3">
        <w:trPr>
          <w:trHeight w:val="405"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59243770">
            <w:pPr>
              <w:pStyle w:val="56"/>
              <w:adjustRightInd w:val="0"/>
              <w:snapToGrid w:val="0"/>
              <w:ind w:firstLine="481"/>
              <w:jc w:val="center"/>
              <w:textAlignment w:val="center"/>
              <w:rPr>
                <w:sz w:val="21"/>
                <w:szCs w:val="21"/>
                <w:lang w:eastAsia="zh-CN"/>
              </w:rPr>
            </w:pPr>
            <w:r>
              <w:rPr>
                <w:rFonts w:eastAsia="仿宋_GB2312"/>
                <w:b/>
                <w:bCs/>
                <w:sz w:val="21"/>
                <w:szCs w:val="21"/>
                <w:lang w:eastAsia="zh-CN"/>
              </w:rPr>
              <w:t>税务人员履职期间廉政情况</w:t>
            </w:r>
          </w:p>
        </w:tc>
      </w:tr>
      <w:tr w14:paraId="01766270">
        <w:trPr>
          <w:trHeight w:val="505" w:hRule="atLeast"/>
          <w:tblCellSpacing w:w="0" w:type="dxa"/>
          <w:jc w:val="center"/>
        </w:trPr>
        <w:tc>
          <w:tcPr>
            <w:tcW w:w="2673" w:type="dxa"/>
            <w:vMerge w:val="restart"/>
            <w:tcBorders>
              <w:left w:val="single" w:color="000000" w:sz="8" w:space="0"/>
              <w:right w:val="single" w:color="000000" w:sz="8" w:space="0"/>
            </w:tcBorders>
            <w:tcMar>
              <w:top w:w="0" w:type="dxa"/>
              <w:left w:w="128" w:type="dxa"/>
              <w:bottom w:w="0" w:type="dxa"/>
              <w:right w:w="128" w:type="dxa"/>
            </w:tcMar>
            <w:vAlign w:val="center"/>
          </w:tcPr>
          <w:p w14:paraId="0BF30D4E">
            <w:pPr>
              <w:pStyle w:val="56"/>
              <w:adjustRightInd w:val="0"/>
              <w:snapToGrid w:val="0"/>
              <w:jc w:val="both"/>
              <w:textAlignment w:val="center"/>
              <w:rPr>
                <w:sz w:val="21"/>
                <w:szCs w:val="21"/>
                <w:lang w:eastAsia="zh-CN"/>
              </w:rPr>
            </w:pPr>
            <w:r>
              <w:rPr>
                <w:rFonts w:eastAsia="仿宋_GB2312"/>
                <w:b/>
                <w:bCs/>
                <w:sz w:val="21"/>
                <w:szCs w:val="21"/>
                <w:lang w:eastAsia="zh-CN"/>
              </w:rPr>
              <w:t>税务人员履职过程存在违纪违规行为</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3DBC849A">
            <w:pPr>
              <w:pStyle w:val="56"/>
              <w:adjustRightInd w:val="0"/>
              <w:snapToGrid w:val="0"/>
              <w:ind w:firstLine="480"/>
              <w:jc w:val="center"/>
              <w:textAlignment w:val="center"/>
              <w:rPr>
                <w:sz w:val="21"/>
                <w:szCs w:val="21"/>
              </w:rPr>
            </w:pPr>
            <w:r>
              <w:rPr>
                <w:rFonts w:eastAsia="仿宋_GB2312"/>
                <w:sz w:val="21"/>
                <w:szCs w:val="21"/>
              </w:rPr>
              <w:t>否</w:t>
            </w:r>
          </w:p>
        </w:tc>
      </w:tr>
      <w:tr w14:paraId="6B76EEDD">
        <w:trPr>
          <w:trHeight w:val="311" w:hRule="atLeast"/>
          <w:tblCellSpacing w:w="0" w:type="dxa"/>
          <w:jc w:val="center"/>
        </w:trPr>
        <w:tc>
          <w:tcPr>
            <w:tcW w:w="0" w:type="auto"/>
            <w:vMerge w:val="continue"/>
            <w:tcBorders>
              <w:left w:val="single" w:color="000000" w:sz="8" w:space="0"/>
              <w:right w:val="single" w:color="000000" w:sz="8" w:space="0"/>
            </w:tcBorders>
            <w:vAlign w:val="center"/>
          </w:tcPr>
          <w:p w14:paraId="5EC97657">
            <w:pPr>
              <w:adjustRightInd w:val="0"/>
              <w:snapToGrid w:val="0"/>
              <w:rPr>
                <w:rFonts w:eastAsia="仿宋_GB2312"/>
                <w:kern w:val="0"/>
                <w:sz w:val="21"/>
                <w:szCs w:val="21"/>
                <w:lang w:eastAsia="en-US"/>
              </w:rPr>
            </w:pPr>
          </w:p>
        </w:tc>
        <w:tc>
          <w:tcPr>
            <w:tcW w:w="7671" w:type="dxa"/>
            <w:vMerge w:val="restart"/>
            <w:tcBorders>
              <w:right w:val="single" w:color="000000" w:sz="8" w:space="0"/>
            </w:tcBorders>
            <w:tcMar>
              <w:top w:w="0" w:type="dxa"/>
              <w:left w:w="108" w:type="dxa"/>
              <w:bottom w:w="0" w:type="dxa"/>
              <w:right w:w="128" w:type="dxa"/>
            </w:tcMar>
            <w:vAlign w:val="center"/>
          </w:tcPr>
          <w:p w14:paraId="1BF106A9">
            <w:pPr>
              <w:pStyle w:val="56"/>
              <w:adjustRightInd w:val="0"/>
              <w:snapToGrid w:val="0"/>
              <w:ind w:firstLine="480"/>
              <w:jc w:val="center"/>
              <w:textAlignment w:val="center"/>
              <w:rPr>
                <w:sz w:val="21"/>
                <w:szCs w:val="21"/>
              </w:rPr>
            </w:pPr>
            <w:r>
              <w:rPr>
                <w:rFonts w:eastAsia="仿宋_GB2312"/>
                <w:sz w:val="21"/>
                <w:szCs w:val="21"/>
              </w:rPr>
              <w:t>是（说明具体情况）</w:t>
            </w:r>
          </w:p>
        </w:tc>
      </w:tr>
      <w:tr w14:paraId="03EC9403">
        <w:trPr>
          <w:trHeight w:val="537" w:hRule="atLeast"/>
          <w:tblCellSpacing w:w="0" w:type="dxa"/>
          <w:jc w:val="center"/>
        </w:trPr>
        <w:tc>
          <w:tcPr>
            <w:tcW w:w="0" w:type="auto"/>
            <w:vMerge w:val="continue"/>
            <w:tcBorders>
              <w:left w:val="single" w:color="000000" w:sz="8" w:space="0"/>
              <w:right w:val="single" w:color="000000" w:sz="8" w:space="0"/>
            </w:tcBorders>
            <w:vAlign w:val="center"/>
          </w:tcPr>
          <w:p w14:paraId="28F3302D">
            <w:pPr>
              <w:adjustRightInd w:val="0"/>
              <w:snapToGrid w:val="0"/>
              <w:rPr>
                <w:rFonts w:eastAsia="仿宋_GB2312"/>
                <w:kern w:val="0"/>
                <w:sz w:val="21"/>
                <w:szCs w:val="21"/>
                <w:lang w:eastAsia="en-US"/>
              </w:rPr>
            </w:pPr>
          </w:p>
        </w:tc>
        <w:tc>
          <w:tcPr>
            <w:tcW w:w="0" w:type="auto"/>
            <w:vMerge w:val="continue"/>
            <w:tcBorders>
              <w:right w:val="single" w:color="000000" w:sz="8" w:space="0"/>
            </w:tcBorders>
            <w:vAlign w:val="center"/>
          </w:tcPr>
          <w:p w14:paraId="50DFBFA2">
            <w:pPr>
              <w:adjustRightInd w:val="0"/>
              <w:snapToGrid w:val="0"/>
              <w:rPr>
                <w:rFonts w:eastAsia="仿宋_GB2312"/>
                <w:kern w:val="0"/>
                <w:sz w:val="21"/>
                <w:szCs w:val="21"/>
                <w:lang w:eastAsia="en-US"/>
              </w:rPr>
            </w:pPr>
          </w:p>
        </w:tc>
      </w:tr>
    </w:tbl>
    <w:p w14:paraId="3C28E8D4">
      <w:pPr>
        <w:pStyle w:val="56"/>
        <w:spacing w:line="360" w:lineRule="auto"/>
        <w:rPr>
          <w:lang w:eastAsia="zh-CN"/>
        </w:rPr>
      </w:pPr>
      <w:r>
        <w:rPr>
          <w:rFonts w:eastAsia="仿宋_GB2312"/>
          <w:sz w:val="28"/>
          <w:szCs w:val="28"/>
          <w:lang w:eastAsia="zh-CN"/>
        </w:rPr>
        <w:t>提交单位（盖章）：XXX公司</w:t>
      </w:r>
      <w:r>
        <w:rPr>
          <w:rFonts w:eastAsia="仿宋_GB2312"/>
          <w:sz w:val="28"/>
          <w:szCs w:val="28"/>
          <w:lang w:eastAsia="zh-CN"/>
        </w:rPr>
        <w:br w:type="textWrapping"/>
      </w:r>
      <w:r>
        <w:rPr>
          <w:rFonts w:eastAsia="仿宋_GB2312"/>
          <w:sz w:val="28"/>
          <w:szCs w:val="28"/>
          <w:lang w:eastAsia="zh-CN"/>
        </w:rPr>
        <w:t>法定代表人或授权代表签字：_________________________</w:t>
      </w:r>
      <w:r>
        <w:rPr>
          <w:rFonts w:eastAsia="仿宋_GB2312"/>
          <w:sz w:val="28"/>
          <w:szCs w:val="28"/>
          <w:lang w:eastAsia="zh-CN"/>
        </w:rPr>
        <w:br w:type="textWrapping"/>
      </w:r>
      <w:r>
        <w:rPr>
          <w:rFonts w:eastAsia="仿宋_GB2312"/>
          <w:sz w:val="28"/>
          <w:szCs w:val="28"/>
          <w:lang w:eastAsia="zh-CN"/>
        </w:rPr>
        <w:t>                                           日期：XX年XX月XX日</w:t>
      </w:r>
    </w:p>
    <w:p w14:paraId="2D3B90A6">
      <w:pPr>
        <w:spacing w:line="360" w:lineRule="auto"/>
        <w:ind w:firstLine="448" w:firstLineChars="200"/>
        <w:outlineLvl w:val="0"/>
        <w:rPr>
          <w:sz w:val="24"/>
        </w:rPr>
      </w:pPr>
    </w:p>
    <w:p w14:paraId="111C045C">
      <w:pPr>
        <w:spacing w:line="360" w:lineRule="auto"/>
        <w:ind w:firstLine="448" w:firstLineChars="200"/>
        <w:outlineLvl w:val="0"/>
        <w:rPr>
          <w:sz w:val="24"/>
        </w:rPr>
      </w:pPr>
    </w:p>
    <w:p w14:paraId="3BE63F2B">
      <w:pPr>
        <w:pStyle w:val="16"/>
        <w:rPr>
          <w:rFonts w:ascii="Times New Roman" w:hAnsi="Times New Roman"/>
          <w:lang w:eastAsia="zh-CN"/>
        </w:rPr>
      </w:pPr>
    </w:p>
    <w:p w14:paraId="1D7F9E4A">
      <w:pPr>
        <w:pStyle w:val="16"/>
        <w:rPr>
          <w:rFonts w:ascii="Times New Roman" w:hAnsi="Times New Roman"/>
          <w:lang w:eastAsia="zh-CN"/>
        </w:rPr>
      </w:pPr>
    </w:p>
    <w:p w14:paraId="54449147">
      <w:pPr>
        <w:widowControl/>
        <w:jc w:val="left"/>
        <w:rPr>
          <w:b/>
          <w:bCs/>
          <w:kern w:val="28"/>
          <w:sz w:val="32"/>
          <w:szCs w:val="32"/>
          <w:lang w:val="zh-CN"/>
        </w:rPr>
      </w:pPr>
      <w:r>
        <w:br w:type="page"/>
      </w:r>
    </w:p>
    <w:p w14:paraId="69F4C700">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7B1E3DA9">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41B97D0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499D48B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40B1772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25B41DF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11157F6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53807FF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710AD98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0147244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7A81758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53B8D89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7D8A0E2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009BF2E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2DCD130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157E458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65B1D099">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4EE38A2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51767A4C">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74CE84E4">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33AC85D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2A9C4ECD">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（4）下载招标文件时，应以联合体协议中确定的主体方名义下载。</w:t>
      </w:r>
    </w:p>
    <w:p w14:paraId="5E0BDB6B">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63339940">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402FC90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1135F6C8">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6A3977FD">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75CC308E">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405E382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4C77FBC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71E30D7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52EAE3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540075D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6968FF4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396670E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47A3F05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012F697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3BEC976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52A207D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1274E3F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27F6B2E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2AADD65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6B9AB1B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3C51B90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68AB711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07AA115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4D26DD8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1D7D3E9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3C22DD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585D6D3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53E6328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5CB1DF0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115DCBD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2A1EE30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3EC2F6A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w:t>
      </w:r>
      <w:r>
        <w:rPr>
          <w:rFonts w:hint="eastAsia"/>
          <w:color w:val="auto"/>
        </w:rPr>
        <w:t>采购人或天津市政府采购中心</w:t>
      </w:r>
      <w:r>
        <w:rPr>
          <w:rFonts w:hint="eastAsia" w:ascii="Times New Roman" w:hAnsi="Times New Roman" w:eastAsia="宋体" w:cs="Times New Roman"/>
          <w:color w:val="auto"/>
        </w:rPr>
        <w:t>有权将质疑函转发质疑事项各关联方，请其作出解释说明。对捏造事实、滥用维权扰乱采购秩序的恶意质疑者，将上报天津市财政局政府采购处依法处理。</w:t>
      </w:r>
    </w:p>
    <w:p w14:paraId="2929016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1DB3CCA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1815EE3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59A0C475">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2CED17B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44E4182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25FC10E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4ECB036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16E0BCC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55FEF3E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1222354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459E168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5250353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40164CD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714C025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0AF42A7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047C081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480BEF1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60DE076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73F99CC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5A65435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77EE0EA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55AF9CC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72E8D67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377D2D7E">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4C897D8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4FC5D38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3F656AF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4612CA4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6A170C9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314C712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4BF47B7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72E1DED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2C6C640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1BFDF5C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39768B3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7BFC1AD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0FBE868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7326331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6F351DC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4EF418C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488706D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25F7427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5AA8651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5952351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67CC2D2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2ACA05E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4DC2C80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0465644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2CA23DD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上述技术响应文件可以是文字资料、图纸或数据，其内容应包括但不限于人力、物力等资源的投入以及服务内容、方式、手段、措施、质量保证及建议等。</w:t>
      </w:r>
    </w:p>
    <w:p w14:paraId="0795F23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6E1EF64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3A6CE7D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44DCF61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7BA5414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4C7A260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55AE838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761010B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257B681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1398405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3283A234">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452B9F7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33FF966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36EC73C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28A0D1A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194E0F1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69726D9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368DFB1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13AE8FF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30B48FED">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43723D6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70A77DFE">
      <w:pPr>
        <w:pStyle w:val="30"/>
        <w:spacing w:line="360" w:lineRule="auto"/>
        <w:ind w:firstLine="448" w:firstLineChars="200"/>
        <w:jc w:val="both"/>
        <w:rPr>
          <w:rFonts w:ascii="Times New Roman" w:hAnsi="Times New Roman" w:eastAsia="宋体" w:cs="Times New Roman"/>
          <w:color w:val="auto"/>
        </w:rPr>
      </w:pPr>
    </w:p>
    <w:p w14:paraId="1D7A4EA6">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797CA15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304DEE6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358C91C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2936067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47E8081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4C502DF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2E517B3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334C9F1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0B209C2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2163A56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534081E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149E902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5CD84D0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79BFCEA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1971A3F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2CBED68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52CB131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6BFB8BC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5F2A8DC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395FE1D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6518D07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0CD6169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336E5DA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30FEB34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6A79841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0A80412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51601B9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2B69428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F7E2A0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4B99CCB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066F118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29CA60C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2210EB1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6AF0CE7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47E53A1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072AA1B8">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5D11E67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37BC62D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487C319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00E0DDB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64B7235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12ABE52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067302EC">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2725EA1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2D636F0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170264C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52E462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0DCD58D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071F146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6D12D31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7432821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1F7214D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13B021A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633EFF2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0AE6550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5F21329D">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76F1E3C2">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2AD9DBD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6F9B81C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70D6F01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3E41E34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2ECC15B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1A921B2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B5D860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254A73E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0C6FE83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5488A63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11F2ABE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2EA3BED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2C96DD7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5ED5309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667B815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0ACE2CA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1C111750">
      <w:pPr>
        <w:widowControl/>
        <w:jc w:val="left"/>
        <w:rPr>
          <w:b/>
          <w:bCs/>
          <w:kern w:val="28"/>
          <w:sz w:val="32"/>
          <w:szCs w:val="32"/>
          <w:lang w:val="zh-CN" w:eastAsia="zh-CN"/>
        </w:rPr>
      </w:pPr>
      <w:r>
        <w:br w:type="page"/>
      </w:r>
    </w:p>
    <w:p w14:paraId="3119AB85">
      <w:pPr>
        <w:pStyle w:val="16"/>
        <w:rPr>
          <w:rFonts w:ascii="Times New Roman" w:hAnsi="Times New Roman"/>
        </w:rPr>
      </w:pPr>
      <w:r>
        <w:rPr>
          <w:rFonts w:ascii="Times New Roman" w:hAnsi="Times New Roman"/>
        </w:rPr>
        <w:t>第四部分  合同条款</w:t>
      </w:r>
    </w:p>
    <w:p w14:paraId="21163325">
      <w:pPr>
        <w:tabs>
          <w:tab w:val="left" w:pos="412"/>
          <w:tab w:val="left" w:pos="618"/>
        </w:tabs>
        <w:spacing w:line="520" w:lineRule="exact"/>
        <w:jc w:val="center"/>
        <w:rPr>
          <w:b/>
          <w:sz w:val="30"/>
          <w:szCs w:val="30"/>
        </w:rPr>
      </w:pPr>
      <w:r>
        <w:rPr>
          <w:b/>
          <w:sz w:val="30"/>
          <w:szCs w:val="30"/>
        </w:rPr>
        <w:t>合同一般条款</w:t>
      </w:r>
    </w:p>
    <w:p w14:paraId="119AB33A">
      <w:pPr>
        <w:tabs>
          <w:tab w:val="left" w:pos="0"/>
          <w:tab w:val="left" w:pos="315"/>
        </w:tabs>
        <w:spacing w:line="520" w:lineRule="exact"/>
        <w:ind w:firstLine="480"/>
        <w:rPr>
          <w:sz w:val="24"/>
          <w:szCs w:val="24"/>
        </w:rPr>
      </w:pPr>
      <w:r>
        <w:rPr>
          <w:sz w:val="24"/>
          <w:szCs w:val="24"/>
        </w:rPr>
        <w:t xml:space="preserve">需方：  </w:t>
      </w:r>
    </w:p>
    <w:p w14:paraId="7CFD47F5">
      <w:pPr>
        <w:tabs>
          <w:tab w:val="left" w:pos="0"/>
          <w:tab w:val="left" w:pos="315"/>
        </w:tabs>
        <w:spacing w:line="520" w:lineRule="exact"/>
        <w:ind w:firstLine="480"/>
        <w:rPr>
          <w:sz w:val="24"/>
          <w:szCs w:val="24"/>
        </w:rPr>
      </w:pPr>
      <w:r>
        <w:rPr>
          <w:sz w:val="24"/>
          <w:szCs w:val="24"/>
        </w:rPr>
        <w:t xml:space="preserve">供方： </w:t>
      </w:r>
    </w:p>
    <w:p w14:paraId="05293E82">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13BB067C">
      <w:pPr>
        <w:pStyle w:val="35"/>
        <w:numPr>
          <w:ilvl w:val="0"/>
          <w:numId w:val="2"/>
        </w:numPr>
        <w:spacing w:line="480" w:lineRule="exact"/>
        <w:ind w:firstLineChars="0"/>
        <w:rPr>
          <w:sz w:val="24"/>
          <w:szCs w:val="24"/>
        </w:rPr>
      </w:pPr>
      <w:r>
        <w:rPr>
          <w:rFonts w:hint="eastAsia"/>
          <w:sz w:val="24"/>
          <w:szCs w:val="24"/>
        </w:rPr>
        <w:t>本合同为中小企业预留合同</w:t>
      </w:r>
    </w:p>
    <w:p w14:paraId="2D5F74B2">
      <w:pPr>
        <w:pStyle w:val="35"/>
        <w:numPr>
          <w:ilvl w:val="0"/>
          <w:numId w:val="2"/>
        </w:numPr>
        <w:spacing w:line="480" w:lineRule="exact"/>
        <w:ind w:firstLineChars="0"/>
        <w:rPr>
          <w:sz w:val="24"/>
          <w:szCs w:val="24"/>
        </w:rPr>
      </w:pPr>
      <w:r>
        <w:rPr>
          <w:rFonts w:hint="eastAsia"/>
          <w:sz w:val="24"/>
          <w:szCs w:val="24"/>
        </w:rPr>
        <w:t>本合同非中小企业预留合同</w:t>
      </w:r>
    </w:p>
    <w:p w14:paraId="6A158F4C">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0783B283">
      <w:pPr>
        <w:tabs>
          <w:tab w:val="left" w:pos="1133"/>
        </w:tabs>
        <w:spacing w:line="520" w:lineRule="exact"/>
        <w:ind w:firstLine="448" w:firstLineChars="200"/>
        <w:rPr>
          <w:sz w:val="24"/>
          <w:szCs w:val="24"/>
        </w:rPr>
      </w:pPr>
      <w:r>
        <w:rPr>
          <w:sz w:val="24"/>
          <w:szCs w:val="24"/>
        </w:rPr>
        <w:t>一、采购内容：  （详见附件）</w:t>
      </w:r>
    </w:p>
    <w:p w14:paraId="42C951E1">
      <w:pPr>
        <w:tabs>
          <w:tab w:val="left" w:pos="1133"/>
        </w:tabs>
        <w:spacing w:line="520" w:lineRule="exact"/>
        <w:ind w:firstLine="448" w:firstLineChars="200"/>
        <w:rPr>
          <w:sz w:val="24"/>
          <w:szCs w:val="24"/>
        </w:rPr>
      </w:pPr>
      <w:r>
        <w:rPr>
          <w:sz w:val="24"/>
          <w:szCs w:val="24"/>
        </w:rPr>
        <w:t xml:space="preserve">    合同总价款：人民币  元</w:t>
      </w:r>
    </w:p>
    <w:p w14:paraId="031954B9">
      <w:pPr>
        <w:tabs>
          <w:tab w:val="left" w:pos="1133"/>
        </w:tabs>
        <w:spacing w:line="520" w:lineRule="exact"/>
        <w:ind w:firstLine="448" w:firstLineChars="200"/>
        <w:rPr>
          <w:sz w:val="24"/>
          <w:szCs w:val="24"/>
        </w:rPr>
      </w:pPr>
      <w:r>
        <w:rPr>
          <w:sz w:val="24"/>
          <w:szCs w:val="24"/>
        </w:rPr>
        <w:t xml:space="preserve">    大写：人民币  元整</w:t>
      </w:r>
    </w:p>
    <w:p w14:paraId="198BA0E1">
      <w:pPr>
        <w:tabs>
          <w:tab w:val="left" w:pos="360"/>
        </w:tabs>
        <w:spacing w:line="520" w:lineRule="exact"/>
        <w:ind w:firstLine="448" w:firstLineChars="200"/>
        <w:rPr>
          <w:sz w:val="24"/>
          <w:szCs w:val="24"/>
        </w:rPr>
      </w:pPr>
      <w:r>
        <w:rPr>
          <w:sz w:val="24"/>
          <w:szCs w:val="24"/>
        </w:rPr>
        <w:t>二、质量要求及对质量负责条件和期限：见附件。</w:t>
      </w:r>
    </w:p>
    <w:p w14:paraId="70BFF5D8">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0762E1D2">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3E44957F">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36332EB3">
      <w:pPr>
        <w:tabs>
          <w:tab w:val="left" w:pos="360"/>
          <w:tab w:val="left" w:pos="721"/>
        </w:tabs>
        <w:spacing w:line="520" w:lineRule="exact"/>
        <w:rPr>
          <w:sz w:val="24"/>
          <w:szCs w:val="24"/>
        </w:rPr>
      </w:pPr>
      <w:r>
        <w:rPr>
          <w:sz w:val="24"/>
          <w:szCs w:val="24"/>
        </w:rPr>
        <w:t xml:space="preserve">    六、验收工作由需方负责对合同进行验收。</w:t>
      </w:r>
    </w:p>
    <w:p w14:paraId="53A4B0D0">
      <w:pPr>
        <w:tabs>
          <w:tab w:val="left" w:pos="360"/>
        </w:tabs>
        <w:spacing w:line="520" w:lineRule="exact"/>
        <w:rPr>
          <w:sz w:val="24"/>
          <w:szCs w:val="24"/>
        </w:rPr>
      </w:pPr>
      <w:r>
        <w:rPr>
          <w:sz w:val="24"/>
          <w:szCs w:val="24"/>
        </w:rPr>
        <w:t xml:space="preserve">    七、货款支付方式：见附件。</w:t>
      </w:r>
    </w:p>
    <w:p w14:paraId="0435AA49">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6A95DD1F">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357FC33A">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5960EB3C">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0138A0CA">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3728DA1A">
        <w:tc>
          <w:tcPr>
            <w:tcW w:w="4261" w:type="dxa"/>
          </w:tcPr>
          <w:p w14:paraId="30595919">
            <w:pPr>
              <w:tabs>
                <w:tab w:val="left" w:pos="0"/>
                <w:tab w:val="left" w:pos="315"/>
              </w:tabs>
              <w:spacing w:line="520" w:lineRule="exact"/>
              <w:rPr>
                <w:sz w:val="24"/>
                <w:szCs w:val="24"/>
              </w:rPr>
            </w:pPr>
            <w:r>
              <w:rPr>
                <w:sz w:val="24"/>
                <w:szCs w:val="24"/>
              </w:rPr>
              <w:t xml:space="preserve">供方（公章）： </w:t>
            </w:r>
          </w:p>
        </w:tc>
        <w:tc>
          <w:tcPr>
            <w:tcW w:w="4261" w:type="dxa"/>
          </w:tcPr>
          <w:p w14:paraId="5DB40775">
            <w:pPr>
              <w:tabs>
                <w:tab w:val="left" w:pos="0"/>
                <w:tab w:val="left" w:pos="315"/>
              </w:tabs>
              <w:spacing w:line="520" w:lineRule="exact"/>
              <w:rPr>
                <w:sz w:val="24"/>
                <w:szCs w:val="24"/>
              </w:rPr>
            </w:pPr>
            <w:r>
              <w:rPr>
                <w:sz w:val="24"/>
                <w:szCs w:val="24"/>
              </w:rPr>
              <w:t xml:space="preserve">需方（公章）： </w:t>
            </w:r>
          </w:p>
        </w:tc>
      </w:tr>
      <w:tr w14:paraId="5BFFF5E1">
        <w:tc>
          <w:tcPr>
            <w:tcW w:w="4261" w:type="dxa"/>
          </w:tcPr>
          <w:p w14:paraId="667230EC">
            <w:pPr>
              <w:tabs>
                <w:tab w:val="left" w:pos="0"/>
                <w:tab w:val="left" w:pos="315"/>
              </w:tabs>
              <w:spacing w:line="520" w:lineRule="exact"/>
              <w:rPr>
                <w:sz w:val="24"/>
                <w:szCs w:val="24"/>
              </w:rPr>
            </w:pPr>
            <w:r>
              <w:rPr>
                <w:sz w:val="24"/>
                <w:szCs w:val="24"/>
              </w:rPr>
              <w:t xml:space="preserve">地址：  </w:t>
            </w:r>
          </w:p>
        </w:tc>
        <w:tc>
          <w:tcPr>
            <w:tcW w:w="4261" w:type="dxa"/>
          </w:tcPr>
          <w:p w14:paraId="42788391">
            <w:pPr>
              <w:tabs>
                <w:tab w:val="left" w:pos="0"/>
                <w:tab w:val="left" w:pos="315"/>
              </w:tabs>
              <w:spacing w:line="520" w:lineRule="exact"/>
              <w:rPr>
                <w:sz w:val="24"/>
                <w:szCs w:val="24"/>
              </w:rPr>
            </w:pPr>
            <w:r>
              <w:rPr>
                <w:sz w:val="24"/>
                <w:szCs w:val="24"/>
              </w:rPr>
              <w:t xml:space="preserve">地址： </w:t>
            </w:r>
          </w:p>
        </w:tc>
      </w:tr>
      <w:tr w14:paraId="097DC470">
        <w:tc>
          <w:tcPr>
            <w:tcW w:w="4261" w:type="dxa"/>
          </w:tcPr>
          <w:p w14:paraId="7AD29A2C">
            <w:pPr>
              <w:tabs>
                <w:tab w:val="left" w:pos="360"/>
              </w:tabs>
              <w:spacing w:line="520" w:lineRule="exact"/>
              <w:rPr>
                <w:sz w:val="24"/>
                <w:szCs w:val="24"/>
              </w:rPr>
            </w:pPr>
            <w:r>
              <w:rPr>
                <w:sz w:val="24"/>
                <w:szCs w:val="24"/>
              </w:rPr>
              <w:t xml:space="preserve">法定代表人： </w:t>
            </w:r>
          </w:p>
        </w:tc>
        <w:tc>
          <w:tcPr>
            <w:tcW w:w="4261" w:type="dxa"/>
          </w:tcPr>
          <w:p w14:paraId="09BD1B57">
            <w:pPr>
              <w:tabs>
                <w:tab w:val="left" w:pos="360"/>
              </w:tabs>
              <w:spacing w:line="520" w:lineRule="exact"/>
              <w:rPr>
                <w:sz w:val="24"/>
                <w:szCs w:val="24"/>
              </w:rPr>
            </w:pPr>
            <w:r>
              <w:rPr>
                <w:sz w:val="24"/>
                <w:szCs w:val="24"/>
              </w:rPr>
              <w:t xml:space="preserve">法定代表人： </w:t>
            </w:r>
          </w:p>
        </w:tc>
      </w:tr>
      <w:tr w14:paraId="2BC69AA3">
        <w:tc>
          <w:tcPr>
            <w:tcW w:w="4261" w:type="dxa"/>
          </w:tcPr>
          <w:p w14:paraId="2FDA9870">
            <w:pPr>
              <w:tabs>
                <w:tab w:val="left" w:pos="360"/>
              </w:tabs>
              <w:spacing w:line="520" w:lineRule="exact"/>
              <w:rPr>
                <w:sz w:val="24"/>
                <w:szCs w:val="24"/>
              </w:rPr>
            </w:pPr>
            <w:r>
              <w:rPr>
                <w:sz w:val="24"/>
                <w:szCs w:val="24"/>
              </w:rPr>
              <w:t xml:space="preserve">委托代理人： </w:t>
            </w:r>
          </w:p>
        </w:tc>
        <w:tc>
          <w:tcPr>
            <w:tcW w:w="4261" w:type="dxa"/>
          </w:tcPr>
          <w:p w14:paraId="4D7AE29A">
            <w:pPr>
              <w:tabs>
                <w:tab w:val="left" w:pos="360"/>
              </w:tabs>
              <w:spacing w:line="520" w:lineRule="exact"/>
              <w:rPr>
                <w:sz w:val="24"/>
                <w:szCs w:val="24"/>
              </w:rPr>
            </w:pPr>
            <w:r>
              <w:rPr>
                <w:sz w:val="24"/>
                <w:szCs w:val="24"/>
              </w:rPr>
              <w:t xml:space="preserve">委托代理人： </w:t>
            </w:r>
          </w:p>
        </w:tc>
      </w:tr>
      <w:tr w14:paraId="608A1BD1">
        <w:tc>
          <w:tcPr>
            <w:tcW w:w="4261" w:type="dxa"/>
          </w:tcPr>
          <w:p w14:paraId="55369213">
            <w:pPr>
              <w:tabs>
                <w:tab w:val="left" w:pos="360"/>
              </w:tabs>
              <w:spacing w:line="520" w:lineRule="exact"/>
              <w:rPr>
                <w:sz w:val="24"/>
                <w:szCs w:val="24"/>
              </w:rPr>
            </w:pPr>
            <w:r>
              <w:rPr>
                <w:sz w:val="24"/>
                <w:szCs w:val="24"/>
              </w:rPr>
              <w:t>电话：</w:t>
            </w:r>
          </w:p>
        </w:tc>
        <w:tc>
          <w:tcPr>
            <w:tcW w:w="4261" w:type="dxa"/>
          </w:tcPr>
          <w:p w14:paraId="7DC08026">
            <w:pPr>
              <w:tabs>
                <w:tab w:val="left" w:pos="360"/>
              </w:tabs>
              <w:spacing w:line="520" w:lineRule="exact"/>
              <w:rPr>
                <w:sz w:val="24"/>
                <w:szCs w:val="24"/>
              </w:rPr>
            </w:pPr>
            <w:r>
              <w:rPr>
                <w:sz w:val="24"/>
                <w:szCs w:val="24"/>
              </w:rPr>
              <w:t>电话：</w:t>
            </w:r>
          </w:p>
        </w:tc>
      </w:tr>
    </w:tbl>
    <w:p w14:paraId="01412B83">
      <w:pPr>
        <w:rPr>
          <w:sz w:val="24"/>
          <w:szCs w:val="24"/>
        </w:rPr>
      </w:pPr>
    </w:p>
    <w:p w14:paraId="2B224DC1">
      <w:pPr>
        <w:rPr>
          <w:szCs w:val="24"/>
        </w:rPr>
      </w:pPr>
      <w:r>
        <w:rPr>
          <w:sz w:val="24"/>
          <w:szCs w:val="24"/>
        </w:rPr>
        <w:t>时间：20</w:t>
      </w:r>
      <w:r>
        <w:rPr>
          <w:rFonts w:hint="eastAsia"/>
          <w:sz w:val="24"/>
          <w:szCs w:val="24"/>
        </w:rPr>
        <w:t xml:space="preserve">  </w:t>
      </w:r>
      <w:r>
        <w:rPr>
          <w:sz w:val="24"/>
          <w:szCs w:val="24"/>
        </w:rPr>
        <w:t>年  月  日</w:t>
      </w:r>
    </w:p>
    <w:p w14:paraId="22A2301A">
      <w:pPr>
        <w:jc w:val="center"/>
        <w:rPr>
          <w:b/>
          <w:sz w:val="30"/>
          <w:szCs w:val="30"/>
        </w:rPr>
      </w:pPr>
      <w:r>
        <w:rPr>
          <w:b/>
          <w:sz w:val="30"/>
          <w:szCs w:val="30"/>
        </w:rPr>
        <w:br w:type="page"/>
      </w:r>
      <w:r>
        <w:rPr>
          <w:b/>
          <w:sz w:val="30"/>
          <w:szCs w:val="30"/>
        </w:rPr>
        <w:t>合同特殊条款</w:t>
      </w:r>
    </w:p>
    <w:p w14:paraId="5BCFA73A">
      <w:pPr>
        <w:tabs>
          <w:tab w:val="left" w:pos="360"/>
        </w:tabs>
        <w:spacing w:line="520" w:lineRule="exact"/>
        <w:ind w:firstLine="383" w:firstLineChars="171"/>
        <w:rPr>
          <w:sz w:val="24"/>
          <w:szCs w:val="24"/>
        </w:rPr>
      </w:pPr>
    </w:p>
    <w:p w14:paraId="2CB83725">
      <w:pPr>
        <w:tabs>
          <w:tab w:val="left" w:pos="360"/>
        </w:tabs>
        <w:spacing w:line="520" w:lineRule="exact"/>
        <w:ind w:firstLine="383" w:firstLineChars="171"/>
        <w:rPr>
          <w:sz w:val="24"/>
          <w:szCs w:val="24"/>
        </w:rPr>
      </w:pPr>
      <w:r>
        <w:rPr>
          <w:sz w:val="24"/>
          <w:szCs w:val="24"/>
        </w:rPr>
        <w:t xml:space="preserve"> 合同特殊条款是合同一般条款的补充和修改。如果两者之间有抵触，应以特殊条款为准。</w:t>
      </w:r>
    </w:p>
    <w:p w14:paraId="76DBFC09">
      <w:pPr>
        <w:tabs>
          <w:tab w:val="left" w:pos="360"/>
        </w:tabs>
        <w:spacing w:line="520" w:lineRule="exact"/>
        <w:ind w:firstLine="383" w:firstLineChars="171"/>
        <w:rPr>
          <w:sz w:val="24"/>
          <w:szCs w:val="24"/>
        </w:rPr>
      </w:pPr>
      <w:r>
        <w:rPr>
          <w:sz w:val="24"/>
          <w:szCs w:val="24"/>
        </w:rPr>
        <w:t xml:space="preserve"> 合同特殊条款由</w:t>
      </w:r>
      <w:r>
        <w:rPr>
          <w:rFonts w:hint="eastAsia"/>
          <w:sz w:val="24"/>
          <w:szCs w:val="24"/>
        </w:rPr>
        <w:t>供方</w:t>
      </w:r>
      <w:r>
        <w:rPr>
          <w:sz w:val="24"/>
          <w:szCs w:val="24"/>
        </w:rPr>
        <w:t>和需方根据项目的具体情况协商拟订。</w:t>
      </w:r>
    </w:p>
    <w:p w14:paraId="7F2DE49C">
      <w:pPr>
        <w:autoSpaceDE w:val="0"/>
        <w:autoSpaceDN w:val="0"/>
        <w:adjustRightInd w:val="0"/>
        <w:spacing w:line="360" w:lineRule="auto"/>
        <w:ind w:firstLine="448" w:firstLineChars="200"/>
        <w:rPr>
          <w:sz w:val="24"/>
        </w:rPr>
      </w:pPr>
    </w:p>
    <w:p w14:paraId="2ED70469">
      <w:pPr>
        <w:widowControl/>
        <w:jc w:val="left"/>
        <w:rPr>
          <w:sz w:val="24"/>
        </w:rPr>
      </w:pPr>
      <w:r>
        <w:rPr>
          <w:sz w:val="24"/>
        </w:rPr>
        <w:br w:type="page"/>
      </w:r>
    </w:p>
    <w:p w14:paraId="09A21EC2">
      <w:pPr>
        <w:pStyle w:val="16"/>
        <w:rPr>
          <w:rFonts w:ascii="Times New Roman" w:hAnsi="Times New Roman"/>
        </w:rPr>
      </w:pPr>
      <w:r>
        <w:rPr>
          <w:rFonts w:ascii="Times New Roman" w:hAnsi="Times New Roman"/>
        </w:rPr>
        <w:t>第五部分  投标文件格式</w:t>
      </w:r>
    </w:p>
    <w:p w14:paraId="44A2B8EB">
      <w:pPr>
        <w:autoSpaceDN w:val="0"/>
        <w:spacing w:line="360" w:lineRule="auto"/>
        <w:jc w:val="center"/>
        <w:rPr>
          <w:b/>
          <w:bCs/>
          <w:sz w:val="24"/>
        </w:rPr>
      </w:pPr>
      <w:r>
        <w:rPr>
          <w:b/>
          <w:bCs/>
          <w:sz w:val="24"/>
        </w:rPr>
        <w:t>投标文件封面格式</w:t>
      </w:r>
    </w:p>
    <w:p w14:paraId="5CAD8FF5">
      <w:pPr>
        <w:autoSpaceDE w:val="0"/>
        <w:autoSpaceDN w:val="0"/>
        <w:adjustRightInd w:val="0"/>
        <w:spacing w:line="520" w:lineRule="exact"/>
      </w:pPr>
    </w:p>
    <w:p w14:paraId="1AC8C7E9">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08A592D0">
      <w:pPr>
        <w:autoSpaceDE w:val="0"/>
        <w:autoSpaceDN w:val="0"/>
        <w:adjustRightInd w:val="0"/>
        <w:spacing w:line="520" w:lineRule="exact"/>
        <w:rPr>
          <w:b/>
          <w:kern w:val="0"/>
          <w:sz w:val="24"/>
        </w:rPr>
      </w:pPr>
    </w:p>
    <w:p w14:paraId="3A179692">
      <w:pPr>
        <w:autoSpaceDE w:val="0"/>
        <w:autoSpaceDN w:val="0"/>
        <w:adjustRightInd w:val="0"/>
        <w:spacing w:line="520" w:lineRule="exact"/>
        <w:rPr>
          <w:b/>
          <w:kern w:val="0"/>
          <w:sz w:val="24"/>
        </w:rPr>
      </w:pPr>
    </w:p>
    <w:p w14:paraId="0CB2BDE3">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7D7BBE6F">
      <w:pPr>
        <w:autoSpaceDE w:val="0"/>
        <w:autoSpaceDN w:val="0"/>
        <w:adjustRightInd w:val="0"/>
        <w:spacing w:line="520" w:lineRule="exact"/>
        <w:rPr>
          <w:b/>
          <w:kern w:val="0"/>
          <w:sz w:val="36"/>
          <w:szCs w:val="36"/>
        </w:rPr>
      </w:pPr>
    </w:p>
    <w:p w14:paraId="602147D4">
      <w:pPr>
        <w:autoSpaceDE w:val="0"/>
        <w:autoSpaceDN w:val="0"/>
        <w:adjustRightInd w:val="0"/>
        <w:spacing w:line="520" w:lineRule="exact"/>
        <w:jc w:val="center"/>
        <w:rPr>
          <w:b/>
          <w:kern w:val="0"/>
          <w:sz w:val="24"/>
        </w:rPr>
      </w:pPr>
      <w:r>
        <w:rPr>
          <w:b/>
          <w:kern w:val="0"/>
          <w:sz w:val="24"/>
        </w:rPr>
        <w:t>（加盖电子签章）</w:t>
      </w:r>
    </w:p>
    <w:p w14:paraId="65D76F05">
      <w:pPr>
        <w:spacing w:before="85" w:beforeLines="30" w:after="199" w:afterLines="70" w:line="540" w:lineRule="exact"/>
        <w:ind w:left="582" w:leftChars="300"/>
        <w:rPr>
          <w:b/>
          <w:sz w:val="34"/>
          <w:szCs w:val="34"/>
        </w:rPr>
      </w:pPr>
      <w:r>
        <w:rPr>
          <w:b/>
          <w:sz w:val="34"/>
          <w:szCs w:val="34"/>
        </w:rPr>
        <w:t>项目编号：</w:t>
      </w:r>
    </w:p>
    <w:p w14:paraId="2A0BA51A">
      <w:pPr>
        <w:spacing w:before="85" w:beforeLines="30" w:after="199" w:afterLines="70" w:line="540" w:lineRule="exact"/>
        <w:ind w:left="2027" w:leftChars="300" w:hanging="1445" w:hangingChars="446"/>
        <w:rPr>
          <w:b/>
          <w:sz w:val="34"/>
          <w:szCs w:val="34"/>
        </w:rPr>
      </w:pPr>
      <w:r>
        <w:rPr>
          <w:b/>
          <w:sz w:val="34"/>
          <w:szCs w:val="34"/>
        </w:rPr>
        <w:t>项目名称：</w:t>
      </w:r>
    </w:p>
    <w:p w14:paraId="680C1A48">
      <w:pPr>
        <w:spacing w:before="85" w:beforeLines="30" w:after="199" w:afterLines="70" w:line="540" w:lineRule="exact"/>
        <w:ind w:left="2027" w:leftChars="300" w:hanging="1445" w:hangingChars="446"/>
        <w:rPr>
          <w:b/>
          <w:sz w:val="34"/>
          <w:szCs w:val="34"/>
        </w:rPr>
      </w:pPr>
      <w:r>
        <w:rPr>
          <w:b/>
          <w:sz w:val="34"/>
          <w:szCs w:val="34"/>
        </w:rPr>
        <w:t>所投包号：</w:t>
      </w:r>
    </w:p>
    <w:p w14:paraId="2358B5E9">
      <w:pPr>
        <w:spacing w:before="85" w:beforeLines="30" w:after="199" w:afterLines="70" w:line="540" w:lineRule="exact"/>
        <w:ind w:left="582" w:leftChars="300"/>
        <w:rPr>
          <w:b/>
          <w:sz w:val="34"/>
          <w:szCs w:val="34"/>
        </w:rPr>
      </w:pPr>
      <w:r>
        <w:rPr>
          <w:b/>
          <w:sz w:val="34"/>
          <w:szCs w:val="34"/>
        </w:rPr>
        <w:t>投标单位名称：</w:t>
      </w:r>
    </w:p>
    <w:p w14:paraId="4C8A64E9">
      <w:pPr>
        <w:spacing w:before="85" w:beforeLines="30" w:after="199" w:afterLines="70" w:line="540" w:lineRule="exact"/>
        <w:ind w:left="582" w:leftChars="300"/>
        <w:rPr>
          <w:b/>
          <w:sz w:val="34"/>
          <w:szCs w:val="34"/>
        </w:rPr>
      </w:pPr>
      <w:r>
        <w:rPr>
          <w:rFonts w:hint="eastAsia"/>
          <w:b/>
          <w:sz w:val="34"/>
          <w:szCs w:val="34"/>
        </w:rPr>
        <w:t>投标代表人姓名：</w:t>
      </w:r>
    </w:p>
    <w:p w14:paraId="11473261">
      <w:pPr>
        <w:spacing w:before="85" w:beforeLines="30" w:after="199" w:afterLines="70" w:line="540" w:lineRule="exact"/>
        <w:ind w:left="582" w:leftChars="300"/>
        <w:rPr>
          <w:b/>
          <w:sz w:val="34"/>
          <w:szCs w:val="34"/>
        </w:rPr>
      </w:pPr>
    </w:p>
    <w:p w14:paraId="41C8ED26">
      <w:pPr>
        <w:spacing w:before="85" w:beforeLines="30" w:after="199" w:afterLines="70" w:line="540" w:lineRule="exact"/>
        <w:ind w:left="582" w:leftChars="300"/>
        <w:rPr>
          <w:b/>
          <w:sz w:val="34"/>
          <w:szCs w:val="34"/>
        </w:rPr>
      </w:pPr>
    </w:p>
    <w:p w14:paraId="4B569339">
      <w:pPr>
        <w:spacing w:before="85" w:beforeLines="30" w:after="199" w:afterLines="70" w:line="540" w:lineRule="exact"/>
        <w:ind w:left="582" w:leftChars="300"/>
        <w:rPr>
          <w:b/>
          <w:sz w:val="34"/>
          <w:szCs w:val="34"/>
        </w:rPr>
      </w:pPr>
    </w:p>
    <w:p w14:paraId="6C4B0140">
      <w:pPr>
        <w:spacing w:before="85" w:beforeLines="30" w:after="199" w:afterLines="70" w:line="540" w:lineRule="exact"/>
        <w:ind w:left="582" w:leftChars="300"/>
        <w:rPr>
          <w:b/>
          <w:bCs/>
          <w:sz w:val="24"/>
        </w:rPr>
      </w:pPr>
      <w:r>
        <w:rPr>
          <w:b/>
          <w:sz w:val="34"/>
          <w:szCs w:val="34"/>
        </w:rPr>
        <w:t>投标日期：   年   月   日</w:t>
      </w:r>
    </w:p>
    <w:p w14:paraId="007E1D63">
      <w:pPr>
        <w:widowControl/>
        <w:jc w:val="left"/>
        <w:rPr>
          <w:b/>
          <w:bCs/>
          <w:sz w:val="24"/>
        </w:rPr>
      </w:pPr>
      <w:r>
        <w:rPr>
          <w:b/>
          <w:bCs/>
          <w:sz w:val="24"/>
        </w:rPr>
        <w:br w:type="page"/>
      </w:r>
    </w:p>
    <w:p w14:paraId="7CCCC83B">
      <w:pPr>
        <w:autoSpaceDN w:val="0"/>
        <w:spacing w:line="360" w:lineRule="auto"/>
        <w:jc w:val="center"/>
        <w:rPr>
          <w:b/>
          <w:bCs/>
          <w:sz w:val="24"/>
        </w:rPr>
      </w:pPr>
      <w:r>
        <w:rPr>
          <w:b/>
          <w:bCs/>
          <w:sz w:val="24"/>
        </w:rPr>
        <w:t>投标文件总目录</w:t>
      </w:r>
    </w:p>
    <w:p w14:paraId="0D36B7C5">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30CCAB77">
      <w:pPr>
        <w:widowControl/>
        <w:jc w:val="center"/>
        <w:rPr>
          <w:b/>
          <w:sz w:val="24"/>
        </w:rPr>
      </w:pPr>
    </w:p>
    <w:p w14:paraId="01271791">
      <w:pPr>
        <w:widowControl/>
        <w:jc w:val="left"/>
        <w:rPr>
          <w:b/>
          <w:sz w:val="24"/>
        </w:rPr>
      </w:pPr>
      <w:r>
        <w:rPr>
          <w:b/>
          <w:sz w:val="24"/>
        </w:rPr>
        <w:br w:type="page"/>
      </w:r>
    </w:p>
    <w:p w14:paraId="752F5BCB">
      <w:pPr>
        <w:widowControl/>
        <w:jc w:val="center"/>
        <w:rPr>
          <w:b/>
          <w:sz w:val="24"/>
        </w:rPr>
      </w:pPr>
      <w:r>
        <w:rPr>
          <w:b/>
          <w:sz w:val="24"/>
        </w:rPr>
        <w:t>评分因素及评标标准页码检索</w:t>
      </w:r>
    </w:p>
    <w:p w14:paraId="6575C178">
      <w:pPr>
        <w:widowControl/>
        <w:jc w:val="center"/>
        <w:rPr>
          <w:b/>
          <w:sz w:val="24"/>
        </w:rPr>
      </w:pPr>
      <w:r>
        <w:rPr>
          <w:b/>
          <w:bCs/>
          <w:sz w:val="24"/>
        </w:rPr>
        <w:t>（需投标人按招标文件“评分因素及评标标准”中每个评分项逐项列明页码）</w:t>
      </w:r>
    </w:p>
    <w:p w14:paraId="7A3EB247">
      <w:pPr>
        <w:widowControl/>
        <w:jc w:val="left"/>
        <w:rPr>
          <w:sz w:val="24"/>
        </w:rPr>
      </w:pPr>
      <w:r>
        <w:rPr>
          <w:sz w:val="24"/>
        </w:rPr>
        <w:br w:type="page"/>
      </w:r>
    </w:p>
    <w:p w14:paraId="7C080D1B">
      <w:pPr>
        <w:widowControl/>
        <w:jc w:val="left"/>
        <w:rPr>
          <w:b/>
          <w:bCs/>
          <w:sz w:val="24"/>
        </w:rPr>
      </w:pPr>
      <w:r>
        <w:rPr>
          <w:b/>
          <w:sz w:val="24"/>
        </w:rPr>
        <w:t>附件1</w:t>
      </w:r>
    </w:p>
    <w:p w14:paraId="6A8DC444">
      <w:pPr>
        <w:autoSpaceDN w:val="0"/>
        <w:spacing w:line="360" w:lineRule="auto"/>
        <w:jc w:val="center"/>
        <w:rPr>
          <w:b/>
          <w:bCs/>
          <w:sz w:val="24"/>
        </w:rPr>
      </w:pPr>
      <w:r>
        <w:rPr>
          <w:b/>
          <w:bCs/>
          <w:sz w:val="24"/>
        </w:rPr>
        <w:t>投标书</w:t>
      </w:r>
    </w:p>
    <w:p w14:paraId="615EE7AC">
      <w:pPr>
        <w:spacing w:line="360" w:lineRule="auto"/>
        <w:rPr>
          <w:sz w:val="24"/>
        </w:rPr>
      </w:pPr>
      <w:r>
        <w:rPr>
          <w:sz w:val="24"/>
        </w:rPr>
        <w:t>致：天津市政府采购中心</w:t>
      </w:r>
    </w:p>
    <w:p w14:paraId="5E10DD10">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7385E57C">
      <w:pPr>
        <w:spacing w:line="360" w:lineRule="auto"/>
        <w:ind w:firstLine="448" w:firstLineChars="200"/>
        <w:rPr>
          <w:sz w:val="24"/>
        </w:rPr>
      </w:pPr>
      <w:r>
        <w:rPr>
          <w:sz w:val="24"/>
        </w:rPr>
        <w:t>据此函，签字代表宣布同意如下：</w:t>
      </w:r>
    </w:p>
    <w:p w14:paraId="78E4F02F">
      <w:pPr>
        <w:spacing w:line="360" w:lineRule="auto"/>
        <w:ind w:firstLine="448" w:firstLineChars="200"/>
        <w:rPr>
          <w:sz w:val="24"/>
        </w:rPr>
      </w:pPr>
      <w:r>
        <w:rPr>
          <w:sz w:val="24"/>
        </w:rPr>
        <w:t>1. 所附投标报价表中规定的应提供和交付的服务投标总价为：</w:t>
      </w:r>
    </w:p>
    <w:p w14:paraId="40E68305">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3F3D28C8">
      <w:pPr>
        <w:spacing w:line="360" w:lineRule="auto"/>
        <w:ind w:firstLine="448" w:firstLineChars="200"/>
        <w:rPr>
          <w:sz w:val="24"/>
        </w:rPr>
      </w:pPr>
      <w:r>
        <w:rPr>
          <w:sz w:val="24"/>
        </w:rPr>
        <w:t>2. 我公司将按招标文件的规定履行合同责任和义务。</w:t>
      </w:r>
    </w:p>
    <w:p w14:paraId="0CBF3866">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4EED354A">
      <w:pPr>
        <w:spacing w:line="360" w:lineRule="auto"/>
        <w:ind w:firstLine="448" w:firstLineChars="200"/>
        <w:rPr>
          <w:sz w:val="24"/>
        </w:rPr>
      </w:pPr>
      <w:r>
        <w:rPr>
          <w:sz w:val="24"/>
        </w:rPr>
        <w:t>4. 我公司的投标有效期为开标之日起60天。</w:t>
      </w:r>
    </w:p>
    <w:p w14:paraId="3F255755">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4DD0CC3C">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260B4236">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7C5E1995">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19A1649D">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795E54C5">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232A2822">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77BE231F">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6FBEE12B">
      <w:pPr>
        <w:spacing w:line="360" w:lineRule="auto"/>
        <w:ind w:firstLine="448" w:firstLineChars="200"/>
        <w:rPr>
          <w:sz w:val="24"/>
        </w:rPr>
      </w:pPr>
      <w:r>
        <w:rPr>
          <w:rFonts w:hint="eastAsia"/>
          <w:sz w:val="24"/>
        </w:rPr>
        <w:t>纳税人识别号：</w:t>
      </w:r>
    </w:p>
    <w:p w14:paraId="75C622A7">
      <w:pPr>
        <w:spacing w:line="360" w:lineRule="auto"/>
        <w:ind w:firstLine="448" w:firstLineChars="200"/>
        <w:rPr>
          <w:sz w:val="24"/>
        </w:rPr>
      </w:pPr>
      <w:r>
        <w:rPr>
          <w:rFonts w:hint="eastAsia"/>
          <w:sz w:val="24"/>
        </w:rPr>
        <w:t>地址、电话：</w:t>
      </w:r>
    </w:p>
    <w:p w14:paraId="295CCB79">
      <w:pPr>
        <w:spacing w:line="360" w:lineRule="auto"/>
        <w:ind w:firstLine="448" w:firstLineChars="200"/>
        <w:rPr>
          <w:sz w:val="24"/>
        </w:rPr>
      </w:pPr>
      <w:r>
        <w:rPr>
          <w:rFonts w:hint="eastAsia"/>
          <w:sz w:val="24"/>
        </w:rPr>
        <w:t>开户行及账号：</w:t>
      </w:r>
    </w:p>
    <w:p w14:paraId="52FA686F">
      <w:pPr>
        <w:spacing w:line="360" w:lineRule="auto"/>
        <w:ind w:firstLine="448" w:firstLineChars="200"/>
        <w:rPr>
          <w:sz w:val="24"/>
        </w:rPr>
      </w:pPr>
      <w:r>
        <w:rPr>
          <w:rFonts w:hint="eastAsia"/>
          <w:sz w:val="24"/>
        </w:rPr>
        <w:t>开具发票类型：□增值税专用发票         □增值税普通发票</w:t>
      </w:r>
    </w:p>
    <w:p w14:paraId="70C689E9">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091F31A8">
      <w:pPr>
        <w:spacing w:line="360" w:lineRule="auto"/>
        <w:ind w:firstLine="448" w:firstLineChars="200"/>
        <w:rPr>
          <w:b/>
          <w:sz w:val="24"/>
        </w:rPr>
      </w:pPr>
      <w:r>
        <w:rPr>
          <w:rFonts w:hint="eastAsia"/>
          <w:b/>
          <w:sz w:val="24"/>
        </w:rPr>
        <w:t>□</w:t>
      </w:r>
      <w:r>
        <w:rPr>
          <w:b/>
          <w:sz w:val="24"/>
        </w:rPr>
        <w:t>上门自取</w:t>
      </w:r>
    </w:p>
    <w:p w14:paraId="4889D111">
      <w:pPr>
        <w:spacing w:line="360" w:lineRule="auto"/>
        <w:ind w:firstLine="448" w:firstLineChars="200"/>
        <w:rPr>
          <w:sz w:val="24"/>
        </w:rPr>
      </w:pPr>
    </w:p>
    <w:p w14:paraId="350E61B4">
      <w:pPr>
        <w:spacing w:line="360" w:lineRule="auto"/>
        <w:ind w:firstLine="448" w:firstLineChars="200"/>
        <w:rPr>
          <w:b/>
          <w:sz w:val="24"/>
        </w:rPr>
      </w:pPr>
      <w:r>
        <w:rPr>
          <w:rFonts w:hint="eastAsia"/>
          <w:b/>
          <w:sz w:val="24"/>
        </w:rPr>
        <w:t>□</w:t>
      </w:r>
      <w:r>
        <w:rPr>
          <w:b/>
          <w:sz w:val="24"/>
        </w:rPr>
        <w:t>到付邮寄</w:t>
      </w:r>
    </w:p>
    <w:p w14:paraId="43B5E586">
      <w:pPr>
        <w:spacing w:line="360" w:lineRule="auto"/>
        <w:ind w:firstLine="448" w:firstLineChars="200"/>
        <w:rPr>
          <w:sz w:val="24"/>
        </w:rPr>
      </w:pPr>
      <w:r>
        <w:rPr>
          <w:sz w:val="24"/>
        </w:rPr>
        <w:t>邮寄地址</w:t>
      </w:r>
      <w:r>
        <w:rPr>
          <w:rFonts w:hint="eastAsia"/>
          <w:sz w:val="24"/>
        </w:rPr>
        <w:t>、邮编</w:t>
      </w:r>
      <w:r>
        <w:rPr>
          <w:sz w:val="24"/>
        </w:rPr>
        <w:t>：</w:t>
      </w:r>
    </w:p>
    <w:p w14:paraId="1AEA3FD9">
      <w:pPr>
        <w:spacing w:line="360" w:lineRule="auto"/>
        <w:ind w:firstLine="448" w:firstLineChars="200"/>
        <w:rPr>
          <w:sz w:val="24"/>
        </w:rPr>
      </w:pPr>
      <w:r>
        <w:rPr>
          <w:sz w:val="24"/>
        </w:rPr>
        <w:t>邮寄联系人、手机号码：</w:t>
      </w:r>
    </w:p>
    <w:p w14:paraId="4941C04F">
      <w:pPr>
        <w:spacing w:line="360" w:lineRule="auto"/>
        <w:ind w:firstLine="3808" w:firstLineChars="1700"/>
        <w:rPr>
          <w:sz w:val="24"/>
        </w:rPr>
      </w:pPr>
    </w:p>
    <w:p w14:paraId="24BE6361">
      <w:pPr>
        <w:spacing w:line="360" w:lineRule="auto"/>
        <w:ind w:firstLine="3808" w:firstLineChars="1700"/>
        <w:rPr>
          <w:sz w:val="24"/>
        </w:rPr>
      </w:pPr>
      <w:r>
        <w:rPr>
          <w:sz w:val="24"/>
        </w:rPr>
        <w:t>投标人名称：</w:t>
      </w:r>
    </w:p>
    <w:p w14:paraId="765046F2">
      <w:pPr>
        <w:spacing w:line="360" w:lineRule="auto"/>
        <w:ind w:firstLine="3808" w:firstLineChars="1700"/>
        <w:rPr>
          <w:sz w:val="24"/>
        </w:rPr>
      </w:pPr>
    </w:p>
    <w:p w14:paraId="0CB39ED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2C4AF71">
      <w:pPr>
        <w:spacing w:line="460" w:lineRule="exact"/>
        <w:rPr>
          <w:sz w:val="24"/>
        </w:rPr>
      </w:pPr>
    </w:p>
    <w:p w14:paraId="35BBAB6D">
      <w:pPr>
        <w:widowControl/>
        <w:jc w:val="left"/>
        <w:rPr>
          <w:sz w:val="24"/>
        </w:rPr>
      </w:pPr>
      <w:r>
        <w:rPr>
          <w:sz w:val="24"/>
        </w:rPr>
        <w:br w:type="page"/>
      </w:r>
    </w:p>
    <w:p w14:paraId="6DF28AB4">
      <w:pPr>
        <w:spacing w:line="460" w:lineRule="exact"/>
        <w:rPr>
          <w:b/>
          <w:sz w:val="24"/>
        </w:rPr>
      </w:pPr>
      <w:r>
        <w:rPr>
          <w:b/>
          <w:sz w:val="24"/>
        </w:rPr>
        <w:t>附件2</w:t>
      </w:r>
    </w:p>
    <w:p w14:paraId="4FCE7E90">
      <w:pPr>
        <w:ind w:right="84"/>
        <w:jc w:val="center"/>
        <w:rPr>
          <w:b/>
          <w:sz w:val="24"/>
        </w:rPr>
      </w:pPr>
    </w:p>
    <w:p w14:paraId="30E8510C">
      <w:pPr>
        <w:ind w:right="84"/>
        <w:jc w:val="center"/>
        <w:rPr>
          <w:b/>
          <w:sz w:val="24"/>
        </w:rPr>
      </w:pPr>
      <w:r>
        <w:rPr>
          <w:rFonts w:hint="eastAsia"/>
          <w:b/>
          <w:sz w:val="24"/>
        </w:rPr>
        <w:t>供应商资格声明函</w:t>
      </w:r>
    </w:p>
    <w:p w14:paraId="73BD37FB">
      <w:pPr>
        <w:spacing w:line="360" w:lineRule="auto"/>
        <w:ind w:firstLine="420"/>
        <w:jc w:val="center"/>
        <w:rPr>
          <w:b/>
          <w:sz w:val="24"/>
        </w:rPr>
      </w:pPr>
    </w:p>
    <w:p w14:paraId="637C6629">
      <w:pPr>
        <w:spacing w:line="360" w:lineRule="auto"/>
        <w:rPr>
          <w:sz w:val="24"/>
        </w:rPr>
      </w:pPr>
      <w:r>
        <w:rPr>
          <w:rFonts w:hint="eastAsia"/>
          <w:sz w:val="24"/>
        </w:rPr>
        <w:t>天津市政府采购中心：</w:t>
      </w:r>
    </w:p>
    <w:p w14:paraId="47A845B7">
      <w:pPr>
        <w:spacing w:line="360" w:lineRule="auto"/>
        <w:ind w:firstLine="448" w:firstLineChars="200"/>
        <w:rPr>
          <w:sz w:val="24"/>
        </w:rPr>
      </w:pPr>
      <w:r>
        <w:rPr>
          <w:rFonts w:hint="eastAsia"/>
          <w:sz w:val="24"/>
        </w:rPr>
        <w:t>我单位自愿参与本项目的政府采购活动，郑重承诺如下：</w:t>
      </w:r>
    </w:p>
    <w:p w14:paraId="63FC5EF1">
      <w:pPr>
        <w:spacing w:line="360" w:lineRule="auto"/>
        <w:ind w:firstLine="448" w:firstLineChars="200"/>
        <w:rPr>
          <w:sz w:val="24"/>
        </w:rPr>
      </w:pPr>
      <w:r>
        <w:rPr>
          <w:rFonts w:hint="eastAsia"/>
          <w:sz w:val="24"/>
        </w:rPr>
        <w:t>（一）我单位具有良好的商业信誉和健全的财务会计制度；</w:t>
      </w:r>
    </w:p>
    <w:p w14:paraId="49388631">
      <w:pPr>
        <w:spacing w:line="360" w:lineRule="auto"/>
        <w:ind w:firstLine="448" w:firstLineChars="200"/>
        <w:rPr>
          <w:sz w:val="24"/>
        </w:rPr>
      </w:pPr>
      <w:r>
        <w:rPr>
          <w:rFonts w:hint="eastAsia"/>
          <w:sz w:val="24"/>
        </w:rPr>
        <w:t>（二）我单位依法缴纳税收和社会保障资金；</w:t>
      </w:r>
    </w:p>
    <w:p w14:paraId="68585D8A">
      <w:pPr>
        <w:spacing w:line="360" w:lineRule="auto"/>
        <w:ind w:firstLine="448" w:firstLineChars="200"/>
        <w:rPr>
          <w:sz w:val="24"/>
        </w:rPr>
      </w:pPr>
      <w:r>
        <w:rPr>
          <w:rFonts w:hint="eastAsia"/>
          <w:sz w:val="24"/>
        </w:rPr>
        <w:t>（三）我单位具备履行合同所必需的设备和专业技术能力；</w:t>
      </w:r>
    </w:p>
    <w:p w14:paraId="7F2F3115">
      <w:pPr>
        <w:spacing w:line="360" w:lineRule="auto"/>
        <w:ind w:firstLine="448" w:firstLineChars="200"/>
        <w:rPr>
          <w:sz w:val="24"/>
        </w:rPr>
      </w:pPr>
      <w:r>
        <w:rPr>
          <w:rFonts w:hint="eastAsia"/>
          <w:sz w:val="24"/>
        </w:rPr>
        <w:t>（四）参加政府采购活动前3年我单位在经营活动中没有重大违法记录；</w:t>
      </w:r>
    </w:p>
    <w:p w14:paraId="413AC8D0">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4410C410">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78AC330A">
        <w:tc>
          <w:tcPr>
            <w:tcW w:w="1061" w:type="pct"/>
            <w:vAlign w:val="center"/>
          </w:tcPr>
          <w:p w14:paraId="02C11DA6">
            <w:pPr>
              <w:jc w:val="center"/>
              <w:rPr>
                <w:szCs w:val="21"/>
              </w:rPr>
            </w:pPr>
            <w:r>
              <w:rPr>
                <w:rFonts w:hint="eastAsia"/>
                <w:szCs w:val="21"/>
              </w:rPr>
              <w:t>序号</w:t>
            </w:r>
          </w:p>
        </w:tc>
        <w:tc>
          <w:tcPr>
            <w:tcW w:w="2273" w:type="pct"/>
            <w:vAlign w:val="center"/>
          </w:tcPr>
          <w:p w14:paraId="5E389F44">
            <w:pPr>
              <w:jc w:val="center"/>
              <w:rPr>
                <w:szCs w:val="21"/>
              </w:rPr>
            </w:pPr>
            <w:r>
              <w:rPr>
                <w:rFonts w:hint="eastAsia"/>
                <w:szCs w:val="21"/>
              </w:rPr>
              <w:t>单位名称</w:t>
            </w:r>
          </w:p>
        </w:tc>
        <w:tc>
          <w:tcPr>
            <w:tcW w:w="1667" w:type="pct"/>
            <w:vAlign w:val="center"/>
          </w:tcPr>
          <w:p w14:paraId="4BBA5AA8">
            <w:pPr>
              <w:jc w:val="center"/>
              <w:rPr>
                <w:szCs w:val="21"/>
              </w:rPr>
            </w:pPr>
            <w:r>
              <w:rPr>
                <w:rFonts w:hint="eastAsia"/>
                <w:szCs w:val="21"/>
              </w:rPr>
              <w:t>相互关系类型</w:t>
            </w:r>
          </w:p>
        </w:tc>
      </w:tr>
      <w:tr w14:paraId="48112785">
        <w:tc>
          <w:tcPr>
            <w:tcW w:w="1061" w:type="pct"/>
            <w:vAlign w:val="center"/>
          </w:tcPr>
          <w:p w14:paraId="2928268C">
            <w:pPr>
              <w:jc w:val="center"/>
              <w:rPr>
                <w:szCs w:val="21"/>
              </w:rPr>
            </w:pPr>
            <w:r>
              <w:rPr>
                <w:rFonts w:hint="eastAsia"/>
                <w:szCs w:val="21"/>
              </w:rPr>
              <w:t>1</w:t>
            </w:r>
          </w:p>
        </w:tc>
        <w:tc>
          <w:tcPr>
            <w:tcW w:w="2273" w:type="pct"/>
            <w:vAlign w:val="center"/>
          </w:tcPr>
          <w:p w14:paraId="07DF697F">
            <w:pPr>
              <w:jc w:val="center"/>
              <w:rPr>
                <w:szCs w:val="21"/>
              </w:rPr>
            </w:pPr>
          </w:p>
        </w:tc>
        <w:tc>
          <w:tcPr>
            <w:tcW w:w="1667" w:type="pct"/>
            <w:vAlign w:val="center"/>
          </w:tcPr>
          <w:p w14:paraId="3BABDF3D">
            <w:pPr>
              <w:jc w:val="center"/>
              <w:rPr>
                <w:szCs w:val="21"/>
              </w:rPr>
            </w:pPr>
          </w:p>
        </w:tc>
      </w:tr>
      <w:tr w14:paraId="68429F14">
        <w:tc>
          <w:tcPr>
            <w:tcW w:w="1061" w:type="pct"/>
            <w:vAlign w:val="center"/>
          </w:tcPr>
          <w:p w14:paraId="42439503">
            <w:pPr>
              <w:jc w:val="center"/>
              <w:rPr>
                <w:szCs w:val="21"/>
              </w:rPr>
            </w:pPr>
            <w:r>
              <w:rPr>
                <w:rFonts w:hint="eastAsia"/>
                <w:szCs w:val="21"/>
              </w:rPr>
              <w:t>2</w:t>
            </w:r>
          </w:p>
        </w:tc>
        <w:tc>
          <w:tcPr>
            <w:tcW w:w="2273" w:type="pct"/>
            <w:vAlign w:val="center"/>
          </w:tcPr>
          <w:p w14:paraId="016E9716">
            <w:pPr>
              <w:jc w:val="center"/>
              <w:rPr>
                <w:szCs w:val="21"/>
              </w:rPr>
            </w:pPr>
          </w:p>
        </w:tc>
        <w:tc>
          <w:tcPr>
            <w:tcW w:w="1667" w:type="pct"/>
            <w:vAlign w:val="center"/>
          </w:tcPr>
          <w:p w14:paraId="42839E66">
            <w:pPr>
              <w:jc w:val="center"/>
              <w:rPr>
                <w:szCs w:val="21"/>
              </w:rPr>
            </w:pPr>
          </w:p>
        </w:tc>
      </w:tr>
      <w:tr w14:paraId="06C14ABD">
        <w:tc>
          <w:tcPr>
            <w:tcW w:w="1061" w:type="pct"/>
            <w:vAlign w:val="center"/>
          </w:tcPr>
          <w:p w14:paraId="12186FB1">
            <w:pPr>
              <w:jc w:val="center"/>
              <w:rPr>
                <w:szCs w:val="21"/>
              </w:rPr>
            </w:pPr>
            <w:r>
              <w:rPr>
                <w:rFonts w:hint="eastAsia"/>
                <w:szCs w:val="21"/>
              </w:rPr>
              <w:t>3</w:t>
            </w:r>
          </w:p>
        </w:tc>
        <w:tc>
          <w:tcPr>
            <w:tcW w:w="2273" w:type="pct"/>
            <w:vAlign w:val="center"/>
          </w:tcPr>
          <w:p w14:paraId="1EB59840">
            <w:pPr>
              <w:jc w:val="center"/>
              <w:rPr>
                <w:szCs w:val="21"/>
              </w:rPr>
            </w:pPr>
          </w:p>
        </w:tc>
        <w:tc>
          <w:tcPr>
            <w:tcW w:w="1667" w:type="pct"/>
            <w:vAlign w:val="center"/>
          </w:tcPr>
          <w:p w14:paraId="6B3D1E06">
            <w:pPr>
              <w:jc w:val="center"/>
              <w:rPr>
                <w:szCs w:val="21"/>
              </w:rPr>
            </w:pPr>
          </w:p>
        </w:tc>
      </w:tr>
    </w:tbl>
    <w:p w14:paraId="1E0A9ECA">
      <w:pPr>
        <w:spacing w:line="360" w:lineRule="auto"/>
        <w:ind w:firstLine="448" w:firstLineChars="200"/>
        <w:rPr>
          <w:sz w:val="24"/>
        </w:rPr>
      </w:pPr>
      <w:r>
        <w:rPr>
          <w:rFonts w:hint="eastAsia"/>
          <w:sz w:val="24"/>
        </w:rPr>
        <w:t>上表未填写的，视为不存在第（六）条所列情形</w:t>
      </w:r>
    </w:p>
    <w:p w14:paraId="7354EE73">
      <w:pPr>
        <w:spacing w:line="360" w:lineRule="auto"/>
        <w:ind w:firstLine="448" w:firstLineChars="200"/>
        <w:rPr>
          <w:sz w:val="24"/>
        </w:rPr>
      </w:pPr>
    </w:p>
    <w:p w14:paraId="56843B4D">
      <w:pPr>
        <w:spacing w:line="360" w:lineRule="auto"/>
        <w:ind w:firstLine="448" w:firstLineChars="200"/>
        <w:rPr>
          <w:sz w:val="24"/>
        </w:rPr>
      </w:pPr>
      <w:r>
        <w:rPr>
          <w:rFonts w:hint="eastAsia"/>
          <w:sz w:val="24"/>
        </w:rPr>
        <w:t>上述声明真实有效，否则我单位承担全部责任和不利后果。</w:t>
      </w:r>
    </w:p>
    <w:p w14:paraId="28863AB3">
      <w:pPr>
        <w:spacing w:line="360" w:lineRule="auto"/>
        <w:ind w:firstLine="448" w:firstLineChars="200"/>
        <w:rPr>
          <w:sz w:val="24"/>
        </w:rPr>
      </w:pPr>
    </w:p>
    <w:p w14:paraId="139F1465">
      <w:pPr>
        <w:spacing w:line="360" w:lineRule="auto"/>
        <w:ind w:firstLine="224" w:firstLineChars="100"/>
        <w:rPr>
          <w:sz w:val="24"/>
        </w:rPr>
      </w:pPr>
      <w:r>
        <w:rPr>
          <w:sz w:val="24"/>
        </w:rPr>
        <w:t>投标人名称：</w:t>
      </w:r>
    </w:p>
    <w:p w14:paraId="502994B1">
      <w:pPr>
        <w:spacing w:line="360" w:lineRule="auto"/>
        <w:ind w:firstLine="224" w:firstLineChars="100"/>
        <w:rPr>
          <w:sz w:val="24"/>
        </w:rPr>
      </w:pPr>
    </w:p>
    <w:p w14:paraId="0FC4A295">
      <w:pPr>
        <w:spacing w:line="360" w:lineRule="auto"/>
        <w:ind w:firstLine="224" w:firstLineChars="100"/>
        <w:rPr>
          <w:sz w:val="24"/>
        </w:rPr>
      </w:pPr>
      <w:r>
        <w:rPr>
          <w:sz w:val="24"/>
        </w:rPr>
        <w:t xml:space="preserve">日期：  </w:t>
      </w:r>
    </w:p>
    <w:p w14:paraId="4B87C35D">
      <w:pPr>
        <w:widowControl/>
        <w:jc w:val="left"/>
        <w:rPr>
          <w:b/>
          <w:sz w:val="24"/>
        </w:rPr>
      </w:pPr>
    </w:p>
    <w:p w14:paraId="6858B42F">
      <w:pPr>
        <w:widowControl/>
        <w:jc w:val="left"/>
        <w:rPr>
          <w:b/>
          <w:sz w:val="24"/>
        </w:rPr>
      </w:pPr>
    </w:p>
    <w:p w14:paraId="6EB07A63">
      <w:pPr>
        <w:widowControl/>
        <w:jc w:val="left"/>
        <w:rPr>
          <w:b/>
          <w:sz w:val="24"/>
        </w:rPr>
      </w:pPr>
    </w:p>
    <w:p w14:paraId="77AEE8C6">
      <w:pPr>
        <w:widowControl/>
        <w:jc w:val="left"/>
        <w:rPr>
          <w:b/>
          <w:sz w:val="24"/>
        </w:rPr>
      </w:pPr>
      <w:r>
        <w:rPr>
          <w:b/>
          <w:sz w:val="24"/>
        </w:rPr>
        <w:br w:type="page"/>
      </w:r>
    </w:p>
    <w:p w14:paraId="060E127A">
      <w:pPr>
        <w:spacing w:line="460" w:lineRule="exact"/>
        <w:rPr>
          <w:b/>
          <w:sz w:val="24"/>
        </w:rPr>
      </w:pPr>
      <w:r>
        <w:rPr>
          <w:rFonts w:hint="eastAsia"/>
          <w:b/>
          <w:bCs/>
          <w:sz w:val="24"/>
        </w:rPr>
        <w:t>附件2-1：招标文件第一部分供应商资格要求的证件</w:t>
      </w:r>
    </w:p>
    <w:p w14:paraId="16A7AFAF">
      <w:pPr>
        <w:widowControl/>
        <w:jc w:val="left"/>
        <w:rPr>
          <w:b/>
          <w:sz w:val="24"/>
        </w:rPr>
      </w:pPr>
      <w:r>
        <w:rPr>
          <w:b/>
          <w:sz w:val="24"/>
        </w:rPr>
        <w:br w:type="page"/>
      </w:r>
    </w:p>
    <w:p w14:paraId="50C47F0E">
      <w:pPr>
        <w:widowControl/>
        <w:jc w:val="left"/>
        <w:rPr>
          <w:b/>
          <w:sz w:val="24"/>
        </w:rPr>
      </w:pPr>
      <w:r>
        <w:rPr>
          <w:b/>
          <w:sz w:val="24"/>
        </w:rPr>
        <w:t>附件</w:t>
      </w:r>
      <w:r>
        <w:rPr>
          <w:rFonts w:hint="eastAsia"/>
          <w:b/>
          <w:sz w:val="24"/>
        </w:rPr>
        <w:t>3-1</w:t>
      </w:r>
    </w:p>
    <w:p w14:paraId="053DFA5D">
      <w:pPr>
        <w:autoSpaceDN w:val="0"/>
        <w:spacing w:line="360" w:lineRule="auto"/>
        <w:jc w:val="center"/>
        <w:rPr>
          <w:b/>
          <w:bCs/>
          <w:sz w:val="24"/>
        </w:rPr>
      </w:pPr>
      <w:r>
        <w:rPr>
          <w:b/>
          <w:bCs/>
          <w:sz w:val="24"/>
        </w:rPr>
        <w:t>开标一览表</w:t>
      </w:r>
    </w:p>
    <w:p w14:paraId="0B9DA931">
      <w:pPr>
        <w:ind w:right="84"/>
        <w:rPr>
          <w:sz w:val="24"/>
        </w:rPr>
      </w:pPr>
    </w:p>
    <w:p w14:paraId="5148ED20">
      <w:pPr>
        <w:spacing w:line="460" w:lineRule="exact"/>
        <w:rPr>
          <w:sz w:val="24"/>
        </w:rPr>
      </w:pPr>
      <w:r>
        <w:rPr>
          <w:sz w:val="24"/>
        </w:rPr>
        <w:t>项目名称：</w:t>
      </w:r>
      <w:r>
        <w:rPr>
          <w:sz w:val="24"/>
          <w:u w:val="single"/>
        </w:rPr>
        <w:t xml:space="preserve">                    </w:t>
      </w:r>
    </w:p>
    <w:p w14:paraId="3E85E5C0">
      <w:pPr>
        <w:spacing w:line="460" w:lineRule="exact"/>
        <w:rPr>
          <w:sz w:val="24"/>
        </w:rPr>
      </w:pPr>
      <w:r>
        <w:rPr>
          <w:sz w:val="24"/>
        </w:rPr>
        <w:t>项目编号：</w:t>
      </w:r>
      <w:r>
        <w:rPr>
          <w:sz w:val="24"/>
          <w:u w:val="single"/>
        </w:rPr>
        <w:t xml:space="preserve">                    </w:t>
      </w:r>
    </w:p>
    <w:p w14:paraId="5C99CF8F">
      <w:pPr>
        <w:spacing w:line="460" w:lineRule="exact"/>
        <w:rPr>
          <w:sz w:val="24"/>
          <w:u w:val="single"/>
        </w:rPr>
      </w:pPr>
      <w:r>
        <w:rPr>
          <w:sz w:val="24"/>
        </w:rPr>
        <w:t>包号：</w:t>
      </w:r>
      <w:r>
        <w:rPr>
          <w:sz w:val="24"/>
          <w:u w:val="single"/>
        </w:rPr>
        <w:t xml:space="preserve">                        </w:t>
      </w:r>
    </w:p>
    <w:p w14:paraId="35E2A6A3">
      <w:pPr>
        <w:spacing w:line="460" w:lineRule="exact"/>
        <w:rPr>
          <w:sz w:val="24"/>
        </w:rPr>
      </w:pPr>
      <w:r>
        <w:rPr>
          <w:sz w:val="24"/>
        </w:rPr>
        <w:t xml:space="preserve">                                                       单位：元</w:t>
      </w:r>
    </w:p>
    <w:tbl>
      <w:tblPr>
        <w:tblStyle w:val="22"/>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51"/>
        <w:gridCol w:w="1375"/>
        <w:gridCol w:w="2048"/>
        <w:gridCol w:w="1680"/>
      </w:tblGrid>
      <w:tr w14:paraId="677642EA">
        <w:trPr>
          <w:jc w:val="center"/>
        </w:trPr>
        <w:tc>
          <w:tcPr>
            <w:tcW w:w="692" w:type="pct"/>
            <w:vAlign w:val="center"/>
          </w:tcPr>
          <w:p w14:paraId="76E61F97">
            <w:pPr>
              <w:spacing w:line="460" w:lineRule="exact"/>
              <w:jc w:val="center"/>
              <w:rPr>
                <w:sz w:val="24"/>
              </w:rPr>
            </w:pPr>
            <w:r>
              <w:rPr>
                <w:sz w:val="24"/>
              </w:rPr>
              <w:t>包号</w:t>
            </w:r>
          </w:p>
        </w:tc>
        <w:tc>
          <w:tcPr>
            <w:tcW w:w="1473" w:type="pct"/>
            <w:vAlign w:val="center"/>
          </w:tcPr>
          <w:p w14:paraId="4866328C">
            <w:pPr>
              <w:spacing w:line="460" w:lineRule="exact"/>
              <w:jc w:val="center"/>
              <w:rPr>
                <w:sz w:val="24"/>
              </w:rPr>
            </w:pPr>
            <w:r>
              <w:rPr>
                <w:sz w:val="24"/>
              </w:rPr>
              <w:t>服务名称</w:t>
            </w:r>
          </w:p>
        </w:tc>
        <w:tc>
          <w:tcPr>
            <w:tcW w:w="764" w:type="pct"/>
            <w:vAlign w:val="center"/>
          </w:tcPr>
          <w:p w14:paraId="4113DECE">
            <w:pPr>
              <w:spacing w:line="460" w:lineRule="exact"/>
              <w:jc w:val="center"/>
              <w:rPr>
                <w:sz w:val="24"/>
              </w:rPr>
            </w:pPr>
            <w:r>
              <w:rPr>
                <w:sz w:val="24"/>
              </w:rPr>
              <w:t>数量</w:t>
            </w:r>
          </w:p>
        </w:tc>
        <w:tc>
          <w:tcPr>
            <w:tcW w:w="1138" w:type="pct"/>
            <w:vAlign w:val="center"/>
          </w:tcPr>
          <w:p w14:paraId="343C9831">
            <w:pPr>
              <w:spacing w:line="460" w:lineRule="exact"/>
              <w:jc w:val="center"/>
              <w:rPr>
                <w:sz w:val="24"/>
              </w:rPr>
            </w:pPr>
            <w:r>
              <w:rPr>
                <w:sz w:val="24"/>
              </w:rPr>
              <w:t>投标总价</w:t>
            </w:r>
          </w:p>
        </w:tc>
        <w:tc>
          <w:tcPr>
            <w:tcW w:w="933" w:type="pct"/>
            <w:vAlign w:val="center"/>
          </w:tcPr>
          <w:p w14:paraId="2F31F49B">
            <w:pPr>
              <w:spacing w:line="460" w:lineRule="exact"/>
              <w:jc w:val="center"/>
              <w:rPr>
                <w:sz w:val="24"/>
              </w:rPr>
            </w:pPr>
            <w:r>
              <w:rPr>
                <w:sz w:val="24"/>
              </w:rPr>
              <w:t>备注</w:t>
            </w:r>
          </w:p>
        </w:tc>
      </w:tr>
      <w:tr w14:paraId="3CBA7135">
        <w:trPr>
          <w:jc w:val="center"/>
        </w:trPr>
        <w:tc>
          <w:tcPr>
            <w:tcW w:w="692" w:type="pct"/>
            <w:vAlign w:val="center"/>
          </w:tcPr>
          <w:p w14:paraId="57B20517">
            <w:pPr>
              <w:spacing w:line="460" w:lineRule="exact"/>
              <w:jc w:val="center"/>
              <w:rPr>
                <w:sz w:val="24"/>
              </w:rPr>
            </w:pPr>
            <w:r>
              <w:rPr>
                <w:rFonts w:hint="eastAsia"/>
                <w:sz w:val="24"/>
              </w:rPr>
              <w:t>1</w:t>
            </w:r>
          </w:p>
        </w:tc>
        <w:tc>
          <w:tcPr>
            <w:tcW w:w="1473" w:type="pct"/>
            <w:vAlign w:val="center"/>
          </w:tcPr>
          <w:p w14:paraId="29D99308">
            <w:pPr>
              <w:spacing w:line="460" w:lineRule="exact"/>
              <w:jc w:val="center"/>
              <w:rPr>
                <w:sz w:val="24"/>
              </w:rPr>
            </w:pPr>
            <w:r>
              <w:rPr>
                <w:rFonts w:hint="eastAsia"/>
                <w:sz w:val="24"/>
              </w:rPr>
              <w:t>国家税务总局天津市税务局全国统一规范电子税务局等系统运行维护</w:t>
            </w:r>
          </w:p>
        </w:tc>
        <w:tc>
          <w:tcPr>
            <w:tcW w:w="764" w:type="pct"/>
            <w:vAlign w:val="center"/>
          </w:tcPr>
          <w:p w14:paraId="7ADA86E5">
            <w:pPr>
              <w:spacing w:line="460" w:lineRule="exact"/>
              <w:jc w:val="center"/>
              <w:rPr>
                <w:sz w:val="24"/>
              </w:rPr>
            </w:pPr>
            <w:r>
              <w:rPr>
                <w:rFonts w:hint="eastAsia"/>
                <w:sz w:val="24"/>
              </w:rPr>
              <w:t>1项</w:t>
            </w:r>
          </w:p>
        </w:tc>
        <w:tc>
          <w:tcPr>
            <w:tcW w:w="1138" w:type="pct"/>
            <w:vAlign w:val="center"/>
          </w:tcPr>
          <w:p w14:paraId="1A2F201C">
            <w:pPr>
              <w:spacing w:line="460" w:lineRule="exact"/>
              <w:jc w:val="center"/>
              <w:rPr>
                <w:sz w:val="24"/>
              </w:rPr>
            </w:pPr>
          </w:p>
        </w:tc>
        <w:tc>
          <w:tcPr>
            <w:tcW w:w="933" w:type="pct"/>
            <w:vAlign w:val="center"/>
          </w:tcPr>
          <w:p w14:paraId="4A23C3CA">
            <w:pPr>
              <w:spacing w:line="460" w:lineRule="exact"/>
              <w:jc w:val="center"/>
              <w:rPr>
                <w:sz w:val="24"/>
              </w:rPr>
            </w:pPr>
            <w:r>
              <w:rPr>
                <w:sz w:val="24"/>
              </w:rPr>
              <w:t>服务期</w:t>
            </w:r>
            <w:r>
              <w:rPr>
                <w:rFonts w:hint="eastAsia"/>
                <w:sz w:val="24"/>
              </w:rPr>
              <w:t>6个月</w:t>
            </w:r>
          </w:p>
        </w:tc>
      </w:tr>
      <w:tr w14:paraId="31BC494B">
        <w:trPr>
          <w:jc w:val="center"/>
        </w:trPr>
        <w:tc>
          <w:tcPr>
            <w:tcW w:w="692" w:type="pct"/>
          </w:tcPr>
          <w:p w14:paraId="43851420">
            <w:pPr>
              <w:spacing w:line="460" w:lineRule="exact"/>
              <w:rPr>
                <w:sz w:val="24"/>
              </w:rPr>
            </w:pPr>
          </w:p>
        </w:tc>
        <w:tc>
          <w:tcPr>
            <w:tcW w:w="1473" w:type="pct"/>
          </w:tcPr>
          <w:p w14:paraId="728121B6">
            <w:pPr>
              <w:spacing w:line="460" w:lineRule="exact"/>
              <w:rPr>
                <w:sz w:val="24"/>
              </w:rPr>
            </w:pPr>
          </w:p>
        </w:tc>
        <w:tc>
          <w:tcPr>
            <w:tcW w:w="764" w:type="pct"/>
          </w:tcPr>
          <w:p w14:paraId="0FB8DAA9">
            <w:pPr>
              <w:spacing w:line="460" w:lineRule="exact"/>
              <w:rPr>
                <w:sz w:val="24"/>
              </w:rPr>
            </w:pPr>
          </w:p>
        </w:tc>
        <w:tc>
          <w:tcPr>
            <w:tcW w:w="1138" w:type="pct"/>
          </w:tcPr>
          <w:p w14:paraId="13D294D8">
            <w:pPr>
              <w:spacing w:line="460" w:lineRule="exact"/>
              <w:rPr>
                <w:sz w:val="24"/>
              </w:rPr>
            </w:pPr>
          </w:p>
        </w:tc>
        <w:tc>
          <w:tcPr>
            <w:tcW w:w="933" w:type="pct"/>
          </w:tcPr>
          <w:p w14:paraId="208F7B9B">
            <w:pPr>
              <w:spacing w:line="460" w:lineRule="exact"/>
              <w:rPr>
                <w:sz w:val="24"/>
              </w:rPr>
            </w:pPr>
          </w:p>
        </w:tc>
      </w:tr>
      <w:tr w14:paraId="39AD0962">
        <w:trPr>
          <w:jc w:val="center"/>
        </w:trPr>
        <w:tc>
          <w:tcPr>
            <w:tcW w:w="692" w:type="pct"/>
          </w:tcPr>
          <w:p w14:paraId="343BB8F7">
            <w:pPr>
              <w:spacing w:line="460" w:lineRule="exact"/>
              <w:rPr>
                <w:sz w:val="24"/>
              </w:rPr>
            </w:pPr>
          </w:p>
        </w:tc>
        <w:tc>
          <w:tcPr>
            <w:tcW w:w="1473" w:type="pct"/>
          </w:tcPr>
          <w:p w14:paraId="68770CC9">
            <w:pPr>
              <w:spacing w:line="460" w:lineRule="exact"/>
              <w:rPr>
                <w:sz w:val="24"/>
              </w:rPr>
            </w:pPr>
          </w:p>
        </w:tc>
        <w:tc>
          <w:tcPr>
            <w:tcW w:w="764" w:type="pct"/>
          </w:tcPr>
          <w:p w14:paraId="76FA57AE">
            <w:pPr>
              <w:spacing w:line="460" w:lineRule="exact"/>
              <w:rPr>
                <w:sz w:val="24"/>
              </w:rPr>
            </w:pPr>
          </w:p>
        </w:tc>
        <w:tc>
          <w:tcPr>
            <w:tcW w:w="1138" w:type="pct"/>
          </w:tcPr>
          <w:p w14:paraId="22D69556">
            <w:pPr>
              <w:spacing w:line="460" w:lineRule="exact"/>
              <w:rPr>
                <w:sz w:val="24"/>
              </w:rPr>
            </w:pPr>
          </w:p>
        </w:tc>
        <w:tc>
          <w:tcPr>
            <w:tcW w:w="933" w:type="pct"/>
          </w:tcPr>
          <w:p w14:paraId="4C6450BC">
            <w:pPr>
              <w:spacing w:line="460" w:lineRule="exact"/>
              <w:rPr>
                <w:sz w:val="24"/>
              </w:rPr>
            </w:pPr>
          </w:p>
        </w:tc>
      </w:tr>
      <w:tr w14:paraId="4A91E0CE">
        <w:trPr>
          <w:jc w:val="center"/>
        </w:trPr>
        <w:tc>
          <w:tcPr>
            <w:tcW w:w="692" w:type="pct"/>
          </w:tcPr>
          <w:p w14:paraId="529BE7E6">
            <w:pPr>
              <w:spacing w:line="460" w:lineRule="exact"/>
              <w:rPr>
                <w:sz w:val="24"/>
              </w:rPr>
            </w:pPr>
          </w:p>
        </w:tc>
        <w:tc>
          <w:tcPr>
            <w:tcW w:w="1473" w:type="pct"/>
          </w:tcPr>
          <w:p w14:paraId="63028B28">
            <w:pPr>
              <w:spacing w:line="460" w:lineRule="exact"/>
              <w:rPr>
                <w:sz w:val="24"/>
              </w:rPr>
            </w:pPr>
          </w:p>
        </w:tc>
        <w:tc>
          <w:tcPr>
            <w:tcW w:w="764" w:type="pct"/>
          </w:tcPr>
          <w:p w14:paraId="6E197AF0">
            <w:pPr>
              <w:spacing w:line="460" w:lineRule="exact"/>
              <w:rPr>
                <w:sz w:val="24"/>
              </w:rPr>
            </w:pPr>
          </w:p>
        </w:tc>
        <w:tc>
          <w:tcPr>
            <w:tcW w:w="1138" w:type="pct"/>
          </w:tcPr>
          <w:p w14:paraId="2704376C">
            <w:pPr>
              <w:spacing w:line="460" w:lineRule="exact"/>
              <w:rPr>
                <w:sz w:val="24"/>
              </w:rPr>
            </w:pPr>
          </w:p>
        </w:tc>
        <w:tc>
          <w:tcPr>
            <w:tcW w:w="933" w:type="pct"/>
          </w:tcPr>
          <w:p w14:paraId="431A650A">
            <w:pPr>
              <w:spacing w:line="460" w:lineRule="exact"/>
              <w:rPr>
                <w:sz w:val="24"/>
              </w:rPr>
            </w:pPr>
          </w:p>
        </w:tc>
      </w:tr>
      <w:tr w14:paraId="290478B3">
        <w:trPr>
          <w:jc w:val="center"/>
        </w:trPr>
        <w:tc>
          <w:tcPr>
            <w:tcW w:w="692" w:type="pct"/>
          </w:tcPr>
          <w:p w14:paraId="4B02284C">
            <w:pPr>
              <w:spacing w:line="460" w:lineRule="exact"/>
              <w:rPr>
                <w:sz w:val="24"/>
              </w:rPr>
            </w:pPr>
          </w:p>
        </w:tc>
        <w:tc>
          <w:tcPr>
            <w:tcW w:w="1473" w:type="pct"/>
          </w:tcPr>
          <w:p w14:paraId="47FAF520">
            <w:pPr>
              <w:spacing w:line="460" w:lineRule="exact"/>
              <w:rPr>
                <w:sz w:val="24"/>
              </w:rPr>
            </w:pPr>
          </w:p>
        </w:tc>
        <w:tc>
          <w:tcPr>
            <w:tcW w:w="764" w:type="pct"/>
          </w:tcPr>
          <w:p w14:paraId="17DF3B85">
            <w:pPr>
              <w:spacing w:line="460" w:lineRule="exact"/>
              <w:rPr>
                <w:sz w:val="24"/>
              </w:rPr>
            </w:pPr>
          </w:p>
        </w:tc>
        <w:tc>
          <w:tcPr>
            <w:tcW w:w="1138" w:type="pct"/>
          </w:tcPr>
          <w:p w14:paraId="32BBE9EC">
            <w:pPr>
              <w:spacing w:line="460" w:lineRule="exact"/>
              <w:rPr>
                <w:sz w:val="24"/>
              </w:rPr>
            </w:pPr>
          </w:p>
        </w:tc>
        <w:tc>
          <w:tcPr>
            <w:tcW w:w="933" w:type="pct"/>
          </w:tcPr>
          <w:p w14:paraId="24A9E14D">
            <w:pPr>
              <w:spacing w:line="460" w:lineRule="exact"/>
              <w:rPr>
                <w:sz w:val="24"/>
              </w:rPr>
            </w:pPr>
          </w:p>
        </w:tc>
      </w:tr>
      <w:tr w14:paraId="6B0BAC3F">
        <w:trPr>
          <w:jc w:val="center"/>
        </w:trPr>
        <w:tc>
          <w:tcPr>
            <w:tcW w:w="692" w:type="pct"/>
          </w:tcPr>
          <w:p w14:paraId="36E1D24C">
            <w:pPr>
              <w:spacing w:line="460" w:lineRule="exact"/>
              <w:rPr>
                <w:sz w:val="24"/>
              </w:rPr>
            </w:pPr>
          </w:p>
        </w:tc>
        <w:tc>
          <w:tcPr>
            <w:tcW w:w="1473" w:type="pct"/>
          </w:tcPr>
          <w:p w14:paraId="2DDB4806">
            <w:pPr>
              <w:spacing w:line="460" w:lineRule="exact"/>
              <w:rPr>
                <w:sz w:val="24"/>
              </w:rPr>
            </w:pPr>
          </w:p>
        </w:tc>
        <w:tc>
          <w:tcPr>
            <w:tcW w:w="764" w:type="pct"/>
          </w:tcPr>
          <w:p w14:paraId="6A4B25ED">
            <w:pPr>
              <w:spacing w:line="460" w:lineRule="exact"/>
              <w:rPr>
                <w:sz w:val="24"/>
              </w:rPr>
            </w:pPr>
          </w:p>
        </w:tc>
        <w:tc>
          <w:tcPr>
            <w:tcW w:w="1138" w:type="pct"/>
          </w:tcPr>
          <w:p w14:paraId="1E46ED58">
            <w:pPr>
              <w:spacing w:line="460" w:lineRule="exact"/>
              <w:rPr>
                <w:sz w:val="24"/>
              </w:rPr>
            </w:pPr>
          </w:p>
        </w:tc>
        <w:tc>
          <w:tcPr>
            <w:tcW w:w="933" w:type="pct"/>
          </w:tcPr>
          <w:p w14:paraId="03238CE7">
            <w:pPr>
              <w:spacing w:line="460" w:lineRule="exact"/>
              <w:rPr>
                <w:sz w:val="24"/>
              </w:rPr>
            </w:pPr>
          </w:p>
        </w:tc>
      </w:tr>
      <w:tr w14:paraId="0832188D">
        <w:trPr>
          <w:jc w:val="center"/>
        </w:trPr>
        <w:tc>
          <w:tcPr>
            <w:tcW w:w="692" w:type="pct"/>
          </w:tcPr>
          <w:p w14:paraId="6064E64F">
            <w:pPr>
              <w:spacing w:line="460" w:lineRule="exact"/>
              <w:rPr>
                <w:sz w:val="24"/>
              </w:rPr>
            </w:pPr>
          </w:p>
        </w:tc>
        <w:tc>
          <w:tcPr>
            <w:tcW w:w="1473" w:type="pct"/>
          </w:tcPr>
          <w:p w14:paraId="0170D543">
            <w:pPr>
              <w:spacing w:line="460" w:lineRule="exact"/>
              <w:rPr>
                <w:sz w:val="24"/>
              </w:rPr>
            </w:pPr>
          </w:p>
        </w:tc>
        <w:tc>
          <w:tcPr>
            <w:tcW w:w="764" w:type="pct"/>
          </w:tcPr>
          <w:p w14:paraId="11B7FBE7">
            <w:pPr>
              <w:spacing w:line="460" w:lineRule="exact"/>
              <w:rPr>
                <w:sz w:val="24"/>
              </w:rPr>
            </w:pPr>
          </w:p>
        </w:tc>
        <w:tc>
          <w:tcPr>
            <w:tcW w:w="1138" w:type="pct"/>
          </w:tcPr>
          <w:p w14:paraId="7B90354D">
            <w:pPr>
              <w:spacing w:line="460" w:lineRule="exact"/>
              <w:rPr>
                <w:sz w:val="24"/>
              </w:rPr>
            </w:pPr>
          </w:p>
        </w:tc>
        <w:tc>
          <w:tcPr>
            <w:tcW w:w="933" w:type="pct"/>
          </w:tcPr>
          <w:p w14:paraId="4E04923A">
            <w:pPr>
              <w:spacing w:line="460" w:lineRule="exact"/>
              <w:rPr>
                <w:sz w:val="24"/>
              </w:rPr>
            </w:pPr>
          </w:p>
        </w:tc>
      </w:tr>
      <w:tr w14:paraId="7CD324AE">
        <w:trPr>
          <w:jc w:val="center"/>
        </w:trPr>
        <w:tc>
          <w:tcPr>
            <w:tcW w:w="692" w:type="pct"/>
          </w:tcPr>
          <w:p w14:paraId="0C27B038">
            <w:pPr>
              <w:spacing w:line="460" w:lineRule="exact"/>
              <w:rPr>
                <w:sz w:val="24"/>
              </w:rPr>
            </w:pPr>
          </w:p>
        </w:tc>
        <w:tc>
          <w:tcPr>
            <w:tcW w:w="1473" w:type="pct"/>
          </w:tcPr>
          <w:p w14:paraId="6A4881B5">
            <w:pPr>
              <w:spacing w:line="460" w:lineRule="exact"/>
              <w:rPr>
                <w:sz w:val="24"/>
              </w:rPr>
            </w:pPr>
          </w:p>
        </w:tc>
        <w:tc>
          <w:tcPr>
            <w:tcW w:w="764" w:type="pct"/>
          </w:tcPr>
          <w:p w14:paraId="4F8694AD">
            <w:pPr>
              <w:spacing w:line="460" w:lineRule="exact"/>
              <w:rPr>
                <w:sz w:val="24"/>
              </w:rPr>
            </w:pPr>
          </w:p>
        </w:tc>
        <w:tc>
          <w:tcPr>
            <w:tcW w:w="1138" w:type="pct"/>
          </w:tcPr>
          <w:p w14:paraId="745C6530">
            <w:pPr>
              <w:spacing w:line="460" w:lineRule="exact"/>
              <w:rPr>
                <w:sz w:val="24"/>
              </w:rPr>
            </w:pPr>
          </w:p>
        </w:tc>
        <w:tc>
          <w:tcPr>
            <w:tcW w:w="933" w:type="pct"/>
          </w:tcPr>
          <w:p w14:paraId="41908855">
            <w:pPr>
              <w:spacing w:line="460" w:lineRule="exact"/>
              <w:rPr>
                <w:sz w:val="24"/>
              </w:rPr>
            </w:pPr>
          </w:p>
        </w:tc>
      </w:tr>
      <w:tr w14:paraId="38D4B65A">
        <w:trPr>
          <w:jc w:val="center"/>
        </w:trPr>
        <w:tc>
          <w:tcPr>
            <w:tcW w:w="692" w:type="pct"/>
          </w:tcPr>
          <w:p w14:paraId="234E26B0">
            <w:pPr>
              <w:spacing w:line="460" w:lineRule="exact"/>
              <w:rPr>
                <w:sz w:val="24"/>
              </w:rPr>
            </w:pPr>
          </w:p>
        </w:tc>
        <w:tc>
          <w:tcPr>
            <w:tcW w:w="1473" w:type="pct"/>
          </w:tcPr>
          <w:p w14:paraId="13AC1579">
            <w:pPr>
              <w:spacing w:line="460" w:lineRule="exact"/>
              <w:rPr>
                <w:sz w:val="24"/>
              </w:rPr>
            </w:pPr>
          </w:p>
        </w:tc>
        <w:tc>
          <w:tcPr>
            <w:tcW w:w="764" w:type="pct"/>
          </w:tcPr>
          <w:p w14:paraId="756046A3">
            <w:pPr>
              <w:spacing w:line="460" w:lineRule="exact"/>
              <w:rPr>
                <w:sz w:val="24"/>
              </w:rPr>
            </w:pPr>
          </w:p>
        </w:tc>
        <w:tc>
          <w:tcPr>
            <w:tcW w:w="1138" w:type="pct"/>
          </w:tcPr>
          <w:p w14:paraId="4301963B">
            <w:pPr>
              <w:spacing w:line="460" w:lineRule="exact"/>
              <w:rPr>
                <w:sz w:val="24"/>
              </w:rPr>
            </w:pPr>
          </w:p>
        </w:tc>
        <w:tc>
          <w:tcPr>
            <w:tcW w:w="933" w:type="pct"/>
          </w:tcPr>
          <w:p w14:paraId="4AE35583">
            <w:pPr>
              <w:spacing w:line="460" w:lineRule="exact"/>
              <w:rPr>
                <w:sz w:val="24"/>
              </w:rPr>
            </w:pPr>
          </w:p>
        </w:tc>
      </w:tr>
      <w:tr w14:paraId="4A665416">
        <w:trPr>
          <w:jc w:val="center"/>
        </w:trPr>
        <w:tc>
          <w:tcPr>
            <w:tcW w:w="692" w:type="pct"/>
          </w:tcPr>
          <w:p w14:paraId="1CB6B9A0">
            <w:pPr>
              <w:spacing w:line="460" w:lineRule="exact"/>
              <w:rPr>
                <w:sz w:val="24"/>
              </w:rPr>
            </w:pPr>
          </w:p>
        </w:tc>
        <w:tc>
          <w:tcPr>
            <w:tcW w:w="1473" w:type="pct"/>
          </w:tcPr>
          <w:p w14:paraId="328A8380">
            <w:pPr>
              <w:spacing w:line="460" w:lineRule="exact"/>
              <w:rPr>
                <w:sz w:val="24"/>
              </w:rPr>
            </w:pPr>
          </w:p>
        </w:tc>
        <w:tc>
          <w:tcPr>
            <w:tcW w:w="764" w:type="pct"/>
          </w:tcPr>
          <w:p w14:paraId="1789DE46">
            <w:pPr>
              <w:spacing w:line="460" w:lineRule="exact"/>
              <w:rPr>
                <w:sz w:val="24"/>
              </w:rPr>
            </w:pPr>
          </w:p>
        </w:tc>
        <w:tc>
          <w:tcPr>
            <w:tcW w:w="1138" w:type="pct"/>
          </w:tcPr>
          <w:p w14:paraId="69F048A9">
            <w:pPr>
              <w:spacing w:line="460" w:lineRule="exact"/>
              <w:rPr>
                <w:sz w:val="24"/>
              </w:rPr>
            </w:pPr>
          </w:p>
        </w:tc>
        <w:tc>
          <w:tcPr>
            <w:tcW w:w="933" w:type="pct"/>
          </w:tcPr>
          <w:p w14:paraId="340BC19B">
            <w:pPr>
              <w:spacing w:line="460" w:lineRule="exact"/>
              <w:rPr>
                <w:sz w:val="24"/>
              </w:rPr>
            </w:pPr>
          </w:p>
        </w:tc>
      </w:tr>
      <w:tr w14:paraId="71467864">
        <w:trPr>
          <w:jc w:val="center"/>
        </w:trPr>
        <w:tc>
          <w:tcPr>
            <w:tcW w:w="692" w:type="pct"/>
          </w:tcPr>
          <w:p w14:paraId="14230DAF">
            <w:pPr>
              <w:spacing w:line="460" w:lineRule="exact"/>
              <w:rPr>
                <w:sz w:val="24"/>
              </w:rPr>
            </w:pPr>
          </w:p>
        </w:tc>
        <w:tc>
          <w:tcPr>
            <w:tcW w:w="1473" w:type="pct"/>
          </w:tcPr>
          <w:p w14:paraId="2D79CEAA">
            <w:pPr>
              <w:spacing w:line="460" w:lineRule="exact"/>
              <w:rPr>
                <w:sz w:val="24"/>
              </w:rPr>
            </w:pPr>
          </w:p>
        </w:tc>
        <w:tc>
          <w:tcPr>
            <w:tcW w:w="764" w:type="pct"/>
          </w:tcPr>
          <w:p w14:paraId="321A5E03">
            <w:pPr>
              <w:spacing w:line="460" w:lineRule="exact"/>
              <w:rPr>
                <w:sz w:val="24"/>
              </w:rPr>
            </w:pPr>
          </w:p>
        </w:tc>
        <w:tc>
          <w:tcPr>
            <w:tcW w:w="1138" w:type="pct"/>
          </w:tcPr>
          <w:p w14:paraId="2283B7E9">
            <w:pPr>
              <w:spacing w:line="460" w:lineRule="exact"/>
              <w:rPr>
                <w:sz w:val="24"/>
              </w:rPr>
            </w:pPr>
          </w:p>
        </w:tc>
        <w:tc>
          <w:tcPr>
            <w:tcW w:w="933" w:type="pct"/>
          </w:tcPr>
          <w:p w14:paraId="6EEC8579">
            <w:pPr>
              <w:spacing w:line="460" w:lineRule="exact"/>
              <w:rPr>
                <w:sz w:val="24"/>
              </w:rPr>
            </w:pPr>
          </w:p>
        </w:tc>
      </w:tr>
      <w:tr w14:paraId="112AE0FF">
        <w:trPr>
          <w:jc w:val="center"/>
        </w:trPr>
        <w:tc>
          <w:tcPr>
            <w:tcW w:w="692" w:type="pct"/>
          </w:tcPr>
          <w:p w14:paraId="0E186451">
            <w:pPr>
              <w:spacing w:line="460" w:lineRule="exact"/>
              <w:rPr>
                <w:sz w:val="24"/>
              </w:rPr>
            </w:pPr>
          </w:p>
        </w:tc>
        <w:tc>
          <w:tcPr>
            <w:tcW w:w="1473" w:type="pct"/>
          </w:tcPr>
          <w:p w14:paraId="44A80A27">
            <w:pPr>
              <w:spacing w:line="460" w:lineRule="exact"/>
              <w:rPr>
                <w:sz w:val="24"/>
              </w:rPr>
            </w:pPr>
          </w:p>
        </w:tc>
        <w:tc>
          <w:tcPr>
            <w:tcW w:w="764" w:type="pct"/>
          </w:tcPr>
          <w:p w14:paraId="31659F97">
            <w:pPr>
              <w:spacing w:line="460" w:lineRule="exact"/>
              <w:rPr>
                <w:sz w:val="24"/>
              </w:rPr>
            </w:pPr>
          </w:p>
        </w:tc>
        <w:tc>
          <w:tcPr>
            <w:tcW w:w="1138" w:type="pct"/>
          </w:tcPr>
          <w:p w14:paraId="140273AF">
            <w:pPr>
              <w:spacing w:line="460" w:lineRule="exact"/>
              <w:rPr>
                <w:sz w:val="24"/>
              </w:rPr>
            </w:pPr>
          </w:p>
        </w:tc>
        <w:tc>
          <w:tcPr>
            <w:tcW w:w="933" w:type="pct"/>
          </w:tcPr>
          <w:p w14:paraId="089685BD">
            <w:pPr>
              <w:spacing w:line="460" w:lineRule="exact"/>
              <w:rPr>
                <w:sz w:val="24"/>
              </w:rPr>
            </w:pPr>
          </w:p>
        </w:tc>
      </w:tr>
    </w:tbl>
    <w:p w14:paraId="4EC04AAA">
      <w:pPr>
        <w:spacing w:line="360" w:lineRule="auto"/>
        <w:ind w:right="84" w:firstLine="420"/>
        <w:rPr>
          <w:sz w:val="24"/>
        </w:rPr>
      </w:pPr>
    </w:p>
    <w:p w14:paraId="534EC13C">
      <w:pPr>
        <w:spacing w:line="360" w:lineRule="auto"/>
        <w:ind w:right="84" w:firstLine="420"/>
        <w:rPr>
          <w:sz w:val="24"/>
        </w:rPr>
      </w:pPr>
    </w:p>
    <w:p w14:paraId="011E1CC3">
      <w:pPr>
        <w:spacing w:line="360" w:lineRule="auto"/>
        <w:ind w:firstLine="3808" w:firstLineChars="1700"/>
        <w:rPr>
          <w:sz w:val="24"/>
        </w:rPr>
      </w:pPr>
      <w:r>
        <w:rPr>
          <w:sz w:val="24"/>
        </w:rPr>
        <w:t>投标人名称：</w:t>
      </w:r>
    </w:p>
    <w:p w14:paraId="1EE7C09A">
      <w:pPr>
        <w:spacing w:line="360" w:lineRule="auto"/>
        <w:ind w:firstLine="3808" w:firstLineChars="1700"/>
        <w:rPr>
          <w:sz w:val="24"/>
        </w:rPr>
      </w:pPr>
    </w:p>
    <w:p w14:paraId="379E6D4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72F2232">
      <w:pPr>
        <w:spacing w:line="360" w:lineRule="auto"/>
        <w:ind w:right="84" w:firstLine="420"/>
        <w:rPr>
          <w:sz w:val="24"/>
        </w:rPr>
      </w:pPr>
    </w:p>
    <w:p w14:paraId="5CDEBC0D">
      <w:pPr>
        <w:widowControl/>
        <w:jc w:val="left"/>
        <w:rPr>
          <w:sz w:val="24"/>
        </w:rPr>
      </w:pPr>
      <w:r>
        <w:rPr>
          <w:sz w:val="24"/>
        </w:rPr>
        <w:br w:type="page"/>
      </w:r>
    </w:p>
    <w:p w14:paraId="57883ACB">
      <w:pPr>
        <w:tabs>
          <w:tab w:val="left" w:pos="360"/>
        </w:tabs>
        <w:spacing w:after="285" w:afterLines="100" w:line="360" w:lineRule="auto"/>
        <w:rPr>
          <w:b/>
          <w:sz w:val="24"/>
        </w:rPr>
      </w:pPr>
      <w:r>
        <w:rPr>
          <w:b/>
          <w:sz w:val="24"/>
        </w:rPr>
        <w:t>附件3</w:t>
      </w:r>
      <w:r>
        <w:rPr>
          <w:rFonts w:hint="eastAsia"/>
          <w:b/>
          <w:sz w:val="24"/>
        </w:rPr>
        <w:t>-2</w:t>
      </w:r>
    </w:p>
    <w:p w14:paraId="438F9129">
      <w:pPr>
        <w:autoSpaceDN w:val="0"/>
        <w:spacing w:line="360" w:lineRule="auto"/>
        <w:jc w:val="center"/>
        <w:rPr>
          <w:b/>
          <w:bCs/>
          <w:sz w:val="24"/>
        </w:rPr>
      </w:pPr>
      <w:r>
        <w:rPr>
          <w:b/>
          <w:bCs/>
          <w:sz w:val="24"/>
        </w:rPr>
        <w:t>开标分项一览表</w:t>
      </w:r>
    </w:p>
    <w:p w14:paraId="4944BBE8">
      <w:pPr>
        <w:ind w:right="84"/>
        <w:rPr>
          <w:sz w:val="24"/>
        </w:rPr>
      </w:pPr>
    </w:p>
    <w:p w14:paraId="10DEBA87">
      <w:pPr>
        <w:spacing w:line="460" w:lineRule="exact"/>
        <w:ind w:left="192"/>
        <w:rPr>
          <w:sz w:val="24"/>
        </w:rPr>
      </w:pPr>
      <w:r>
        <w:rPr>
          <w:sz w:val="24"/>
        </w:rPr>
        <w:t>项目名称：</w:t>
      </w:r>
      <w:r>
        <w:rPr>
          <w:sz w:val="24"/>
          <w:u w:val="single"/>
        </w:rPr>
        <w:t xml:space="preserve">                    </w:t>
      </w:r>
    </w:p>
    <w:p w14:paraId="2E1B7E2E">
      <w:pPr>
        <w:spacing w:line="460" w:lineRule="exact"/>
        <w:ind w:left="192"/>
        <w:rPr>
          <w:sz w:val="24"/>
        </w:rPr>
      </w:pPr>
      <w:r>
        <w:rPr>
          <w:sz w:val="24"/>
        </w:rPr>
        <w:t>项目编号：</w:t>
      </w:r>
      <w:r>
        <w:rPr>
          <w:sz w:val="24"/>
          <w:u w:val="single"/>
        </w:rPr>
        <w:t xml:space="preserve">                    </w:t>
      </w:r>
    </w:p>
    <w:p w14:paraId="1B07AF23">
      <w:pPr>
        <w:spacing w:line="460" w:lineRule="exact"/>
        <w:ind w:left="192"/>
        <w:rPr>
          <w:sz w:val="24"/>
        </w:rPr>
      </w:pPr>
      <w:r>
        <w:rPr>
          <w:sz w:val="24"/>
        </w:rPr>
        <w:t>包    号：</w:t>
      </w:r>
      <w:r>
        <w:rPr>
          <w:sz w:val="24"/>
          <w:u w:val="single"/>
        </w:rPr>
        <w:t xml:space="preserve">                    </w:t>
      </w:r>
    </w:p>
    <w:p w14:paraId="6FD2703E">
      <w:pPr>
        <w:spacing w:line="460" w:lineRule="exact"/>
        <w:ind w:firstLine="6496"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13A8A5AE">
        <w:trPr>
          <w:trHeight w:val="555" w:hRule="atLeast"/>
          <w:jc w:val="center"/>
        </w:trPr>
        <w:tc>
          <w:tcPr>
            <w:tcW w:w="878" w:type="dxa"/>
            <w:vAlign w:val="center"/>
          </w:tcPr>
          <w:p w14:paraId="76FE5CC1">
            <w:pPr>
              <w:widowControl/>
              <w:jc w:val="center"/>
              <w:rPr>
                <w:b/>
                <w:bCs/>
                <w:kern w:val="0"/>
                <w:sz w:val="24"/>
                <w:szCs w:val="24"/>
              </w:rPr>
            </w:pPr>
            <w:r>
              <w:rPr>
                <w:b/>
                <w:bCs/>
                <w:kern w:val="0"/>
                <w:sz w:val="24"/>
                <w:szCs w:val="24"/>
              </w:rPr>
              <w:t>项号</w:t>
            </w:r>
          </w:p>
        </w:tc>
        <w:tc>
          <w:tcPr>
            <w:tcW w:w="2349" w:type="dxa"/>
            <w:vAlign w:val="center"/>
          </w:tcPr>
          <w:p w14:paraId="19A3C862">
            <w:pPr>
              <w:widowControl/>
              <w:jc w:val="center"/>
              <w:rPr>
                <w:b/>
                <w:bCs/>
                <w:kern w:val="0"/>
                <w:sz w:val="24"/>
                <w:szCs w:val="24"/>
              </w:rPr>
            </w:pPr>
            <w:r>
              <w:rPr>
                <w:b/>
                <w:bCs/>
                <w:kern w:val="0"/>
                <w:sz w:val="24"/>
                <w:szCs w:val="24"/>
              </w:rPr>
              <w:t>服务名称</w:t>
            </w:r>
          </w:p>
        </w:tc>
        <w:tc>
          <w:tcPr>
            <w:tcW w:w="1701" w:type="dxa"/>
            <w:vAlign w:val="center"/>
          </w:tcPr>
          <w:p w14:paraId="3BA0290E">
            <w:pPr>
              <w:widowControl/>
              <w:jc w:val="center"/>
              <w:rPr>
                <w:b/>
                <w:bCs/>
                <w:kern w:val="0"/>
                <w:sz w:val="24"/>
                <w:szCs w:val="24"/>
              </w:rPr>
            </w:pPr>
            <w:r>
              <w:rPr>
                <w:b/>
                <w:bCs/>
                <w:kern w:val="0"/>
                <w:sz w:val="24"/>
                <w:szCs w:val="24"/>
              </w:rPr>
              <w:t>总价</w:t>
            </w:r>
          </w:p>
        </w:tc>
        <w:tc>
          <w:tcPr>
            <w:tcW w:w="2238" w:type="dxa"/>
            <w:vAlign w:val="center"/>
          </w:tcPr>
          <w:p w14:paraId="676B97E6">
            <w:pPr>
              <w:widowControl/>
              <w:jc w:val="center"/>
              <w:rPr>
                <w:b/>
                <w:bCs/>
                <w:kern w:val="0"/>
                <w:sz w:val="24"/>
                <w:szCs w:val="24"/>
              </w:rPr>
            </w:pPr>
            <w:r>
              <w:rPr>
                <w:b/>
                <w:bCs/>
                <w:kern w:val="0"/>
                <w:sz w:val="24"/>
                <w:szCs w:val="24"/>
              </w:rPr>
              <w:t>数量</w:t>
            </w:r>
          </w:p>
        </w:tc>
        <w:tc>
          <w:tcPr>
            <w:tcW w:w="1848" w:type="dxa"/>
            <w:vAlign w:val="center"/>
          </w:tcPr>
          <w:p w14:paraId="22AD11FC">
            <w:pPr>
              <w:widowControl/>
              <w:jc w:val="center"/>
              <w:rPr>
                <w:b/>
                <w:bCs/>
                <w:kern w:val="0"/>
                <w:sz w:val="24"/>
                <w:szCs w:val="24"/>
              </w:rPr>
            </w:pPr>
            <w:r>
              <w:rPr>
                <w:b/>
                <w:bCs/>
                <w:kern w:val="0"/>
                <w:sz w:val="24"/>
                <w:szCs w:val="24"/>
              </w:rPr>
              <w:t>备注</w:t>
            </w:r>
          </w:p>
        </w:tc>
      </w:tr>
      <w:tr w14:paraId="0BD9D021">
        <w:trPr>
          <w:trHeight w:val="465" w:hRule="atLeast"/>
          <w:jc w:val="center"/>
        </w:trPr>
        <w:tc>
          <w:tcPr>
            <w:tcW w:w="878" w:type="dxa"/>
            <w:vAlign w:val="center"/>
          </w:tcPr>
          <w:p w14:paraId="2C97C889">
            <w:pPr>
              <w:widowControl/>
              <w:jc w:val="center"/>
              <w:rPr>
                <w:kern w:val="0"/>
                <w:sz w:val="24"/>
                <w:szCs w:val="24"/>
              </w:rPr>
            </w:pPr>
            <w:r>
              <w:rPr>
                <w:kern w:val="0"/>
                <w:sz w:val="24"/>
                <w:szCs w:val="24"/>
              </w:rPr>
              <w:t>1</w:t>
            </w:r>
          </w:p>
        </w:tc>
        <w:tc>
          <w:tcPr>
            <w:tcW w:w="2349" w:type="dxa"/>
            <w:vAlign w:val="center"/>
          </w:tcPr>
          <w:p w14:paraId="75F90DB8">
            <w:pPr>
              <w:widowControl/>
              <w:jc w:val="center"/>
              <w:rPr>
                <w:kern w:val="0"/>
                <w:sz w:val="24"/>
                <w:szCs w:val="24"/>
              </w:rPr>
            </w:pPr>
            <w:r>
              <w:rPr>
                <w:rFonts w:hint="eastAsia"/>
                <w:sz w:val="24"/>
              </w:rPr>
              <w:t>国家税务总局天津市税务局全国统一规范电子税务局等系统运行维护</w:t>
            </w:r>
          </w:p>
        </w:tc>
        <w:tc>
          <w:tcPr>
            <w:tcW w:w="1701" w:type="dxa"/>
            <w:vAlign w:val="center"/>
          </w:tcPr>
          <w:p w14:paraId="3FD6FAE5">
            <w:pPr>
              <w:widowControl/>
              <w:jc w:val="center"/>
              <w:rPr>
                <w:kern w:val="0"/>
                <w:sz w:val="24"/>
                <w:szCs w:val="24"/>
              </w:rPr>
            </w:pPr>
          </w:p>
        </w:tc>
        <w:tc>
          <w:tcPr>
            <w:tcW w:w="2238" w:type="dxa"/>
            <w:vAlign w:val="center"/>
          </w:tcPr>
          <w:p w14:paraId="41992F42">
            <w:pPr>
              <w:widowControl/>
              <w:jc w:val="center"/>
              <w:rPr>
                <w:sz w:val="24"/>
                <w:szCs w:val="24"/>
              </w:rPr>
            </w:pPr>
            <w:r>
              <w:rPr>
                <w:sz w:val="24"/>
                <w:szCs w:val="24"/>
              </w:rPr>
              <w:t>1项</w:t>
            </w:r>
          </w:p>
        </w:tc>
        <w:tc>
          <w:tcPr>
            <w:tcW w:w="1848" w:type="dxa"/>
            <w:vAlign w:val="center"/>
          </w:tcPr>
          <w:p w14:paraId="410D0CC3">
            <w:pPr>
              <w:widowControl/>
              <w:jc w:val="center"/>
              <w:rPr>
                <w:sz w:val="24"/>
                <w:szCs w:val="24"/>
              </w:rPr>
            </w:pPr>
          </w:p>
        </w:tc>
      </w:tr>
      <w:tr w14:paraId="22DFAED8">
        <w:trPr>
          <w:trHeight w:val="465" w:hRule="atLeast"/>
          <w:jc w:val="center"/>
        </w:trPr>
        <w:tc>
          <w:tcPr>
            <w:tcW w:w="9014" w:type="dxa"/>
            <w:gridSpan w:val="5"/>
            <w:vAlign w:val="center"/>
          </w:tcPr>
          <w:p w14:paraId="30E96493">
            <w:pPr>
              <w:widowControl/>
              <w:jc w:val="left"/>
              <w:rPr>
                <w:kern w:val="0"/>
                <w:sz w:val="24"/>
                <w:szCs w:val="24"/>
              </w:rPr>
            </w:pPr>
            <w:r>
              <w:rPr>
                <w:kern w:val="0"/>
                <w:sz w:val="24"/>
                <w:szCs w:val="24"/>
              </w:rPr>
              <w:t>其中</w:t>
            </w:r>
          </w:p>
        </w:tc>
      </w:tr>
      <w:tr w14:paraId="2997F35E">
        <w:trPr>
          <w:trHeight w:val="465" w:hRule="atLeast"/>
          <w:jc w:val="center"/>
        </w:trPr>
        <w:tc>
          <w:tcPr>
            <w:tcW w:w="3227" w:type="dxa"/>
            <w:gridSpan w:val="2"/>
            <w:vAlign w:val="center"/>
          </w:tcPr>
          <w:p w14:paraId="542327E8">
            <w:pPr>
              <w:widowControl/>
              <w:jc w:val="left"/>
              <w:rPr>
                <w:b/>
                <w:sz w:val="24"/>
                <w:szCs w:val="24"/>
              </w:rPr>
            </w:pPr>
            <w:r>
              <w:rPr>
                <w:b/>
                <w:sz w:val="24"/>
                <w:szCs w:val="24"/>
              </w:rPr>
              <w:t>分项名称</w:t>
            </w:r>
          </w:p>
        </w:tc>
        <w:tc>
          <w:tcPr>
            <w:tcW w:w="1701" w:type="dxa"/>
            <w:vAlign w:val="center"/>
          </w:tcPr>
          <w:p w14:paraId="46D5AFA5">
            <w:pPr>
              <w:widowControl/>
              <w:jc w:val="center"/>
              <w:rPr>
                <w:b/>
                <w:kern w:val="0"/>
                <w:sz w:val="24"/>
                <w:szCs w:val="24"/>
              </w:rPr>
            </w:pPr>
            <w:r>
              <w:rPr>
                <w:b/>
                <w:kern w:val="0"/>
                <w:sz w:val="24"/>
                <w:szCs w:val="24"/>
              </w:rPr>
              <w:t>价格</w:t>
            </w:r>
          </w:p>
        </w:tc>
        <w:tc>
          <w:tcPr>
            <w:tcW w:w="2238" w:type="dxa"/>
            <w:vAlign w:val="center"/>
          </w:tcPr>
          <w:p w14:paraId="6BD09291">
            <w:pPr>
              <w:widowControl/>
              <w:jc w:val="center"/>
              <w:rPr>
                <w:b/>
                <w:kern w:val="0"/>
                <w:sz w:val="24"/>
                <w:szCs w:val="24"/>
              </w:rPr>
            </w:pPr>
            <w:r>
              <w:rPr>
                <w:b/>
                <w:kern w:val="0"/>
                <w:sz w:val="24"/>
                <w:szCs w:val="24"/>
              </w:rPr>
              <w:t>数量</w:t>
            </w:r>
          </w:p>
        </w:tc>
        <w:tc>
          <w:tcPr>
            <w:tcW w:w="1848" w:type="dxa"/>
            <w:vAlign w:val="center"/>
          </w:tcPr>
          <w:p w14:paraId="48EA7C22">
            <w:pPr>
              <w:widowControl/>
              <w:jc w:val="center"/>
              <w:rPr>
                <w:b/>
                <w:bCs/>
                <w:kern w:val="0"/>
                <w:sz w:val="24"/>
                <w:szCs w:val="24"/>
              </w:rPr>
            </w:pPr>
            <w:r>
              <w:rPr>
                <w:b/>
                <w:bCs/>
                <w:kern w:val="0"/>
                <w:sz w:val="24"/>
                <w:szCs w:val="24"/>
              </w:rPr>
              <w:t>备注</w:t>
            </w:r>
          </w:p>
        </w:tc>
      </w:tr>
      <w:tr w14:paraId="31FC10FD">
        <w:trPr>
          <w:trHeight w:val="465" w:hRule="atLeast"/>
          <w:jc w:val="center"/>
        </w:trPr>
        <w:tc>
          <w:tcPr>
            <w:tcW w:w="3227" w:type="dxa"/>
            <w:gridSpan w:val="2"/>
            <w:vAlign w:val="center"/>
          </w:tcPr>
          <w:p w14:paraId="25B0EB56">
            <w:pPr>
              <w:widowControl/>
              <w:jc w:val="left"/>
              <w:rPr>
                <w:kern w:val="0"/>
                <w:sz w:val="24"/>
                <w:szCs w:val="24"/>
              </w:rPr>
            </w:pPr>
          </w:p>
        </w:tc>
        <w:tc>
          <w:tcPr>
            <w:tcW w:w="1701" w:type="dxa"/>
            <w:vAlign w:val="center"/>
          </w:tcPr>
          <w:p w14:paraId="34865809">
            <w:pPr>
              <w:widowControl/>
              <w:jc w:val="center"/>
              <w:rPr>
                <w:kern w:val="0"/>
                <w:sz w:val="24"/>
                <w:szCs w:val="24"/>
              </w:rPr>
            </w:pPr>
          </w:p>
        </w:tc>
        <w:tc>
          <w:tcPr>
            <w:tcW w:w="2238" w:type="dxa"/>
            <w:vAlign w:val="center"/>
          </w:tcPr>
          <w:p w14:paraId="5DE7A0DD">
            <w:pPr>
              <w:widowControl/>
              <w:jc w:val="center"/>
              <w:rPr>
                <w:kern w:val="0"/>
                <w:sz w:val="24"/>
                <w:szCs w:val="24"/>
              </w:rPr>
            </w:pPr>
          </w:p>
        </w:tc>
        <w:tc>
          <w:tcPr>
            <w:tcW w:w="1848" w:type="dxa"/>
            <w:vAlign w:val="center"/>
          </w:tcPr>
          <w:p w14:paraId="7297C721">
            <w:pPr>
              <w:widowControl/>
              <w:jc w:val="center"/>
              <w:rPr>
                <w:sz w:val="24"/>
                <w:szCs w:val="24"/>
              </w:rPr>
            </w:pPr>
          </w:p>
        </w:tc>
      </w:tr>
      <w:tr w14:paraId="6725FED4">
        <w:trPr>
          <w:trHeight w:val="465" w:hRule="atLeast"/>
          <w:jc w:val="center"/>
        </w:trPr>
        <w:tc>
          <w:tcPr>
            <w:tcW w:w="3227" w:type="dxa"/>
            <w:gridSpan w:val="2"/>
            <w:vAlign w:val="center"/>
          </w:tcPr>
          <w:p w14:paraId="146B9A7E">
            <w:pPr>
              <w:widowControl/>
              <w:jc w:val="left"/>
              <w:rPr>
                <w:kern w:val="0"/>
                <w:sz w:val="24"/>
                <w:szCs w:val="24"/>
              </w:rPr>
            </w:pPr>
          </w:p>
        </w:tc>
        <w:tc>
          <w:tcPr>
            <w:tcW w:w="1701" w:type="dxa"/>
            <w:vAlign w:val="center"/>
          </w:tcPr>
          <w:p w14:paraId="283D448E">
            <w:pPr>
              <w:widowControl/>
              <w:jc w:val="center"/>
              <w:rPr>
                <w:kern w:val="0"/>
                <w:sz w:val="24"/>
                <w:szCs w:val="24"/>
              </w:rPr>
            </w:pPr>
          </w:p>
        </w:tc>
        <w:tc>
          <w:tcPr>
            <w:tcW w:w="2238" w:type="dxa"/>
            <w:vAlign w:val="center"/>
          </w:tcPr>
          <w:p w14:paraId="34A3FFDA">
            <w:pPr>
              <w:widowControl/>
              <w:jc w:val="center"/>
              <w:rPr>
                <w:kern w:val="0"/>
                <w:sz w:val="24"/>
                <w:szCs w:val="24"/>
              </w:rPr>
            </w:pPr>
          </w:p>
        </w:tc>
        <w:tc>
          <w:tcPr>
            <w:tcW w:w="1848" w:type="dxa"/>
            <w:vAlign w:val="center"/>
          </w:tcPr>
          <w:p w14:paraId="4318BC2E">
            <w:pPr>
              <w:widowControl/>
              <w:jc w:val="center"/>
              <w:rPr>
                <w:sz w:val="24"/>
                <w:szCs w:val="24"/>
              </w:rPr>
            </w:pPr>
          </w:p>
        </w:tc>
      </w:tr>
      <w:tr w14:paraId="6B1B941D">
        <w:trPr>
          <w:trHeight w:val="465" w:hRule="atLeast"/>
          <w:jc w:val="center"/>
        </w:trPr>
        <w:tc>
          <w:tcPr>
            <w:tcW w:w="3227" w:type="dxa"/>
            <w:gridSpan w:val="2"/>
            <w:vAlign w:val="center"/>
          </w:tcPr>
          <w:p w14:paraId="2323B902">
            <w:pPr>
              <w:widowControl/>
              <w:jc w:val="left"/>
              <w:rPr>
                <w:kern w:val="0"/>
                <w:sz w:val="24"/>
                <w:szCs w:val="24"/>
              </w:rPr>
            </w:pPr>
          </w:p>
        </w:tc>
        <w:tc>
          <w:tcPr>
            <w:tcW w:w="1701" w:type="dxa"/>
            <w:vAlign w:val="center"/>
          </w:tcPr>
          <w:p w14:paraId="1AF819D7">
            <w:pPr>
              <w:widowControl/>
              <w:jc w:val="center"/>
              <w:rPr>
                <w:kern w:val="0"/>
                <w:sz w:val="24"/>
                <w:szCs w:val="24"/>
              </w:rPr>
            </w:pPr>
          </w:p>
        </w:tc>
        <w:tc>
          <w:tcPr>
            <w:tcW w:w="2238" w:type="dxa"/>
            <w:vAlign w:val="center"/>
          </w:tcPr>
          <w:p w14:paraId="1C378124">
            <w:pPr>
              <w:widowControl/>
              <w:jc w:val="center"/>
              <w:rPr>
                <w:kern w:val="0"/>
                <w:sz w:val="24"/>
                <w:szCs w:val="24"/>
              </w:rPr>
            </w:pPr>
          </w:p>
        </w:tc>
        <w:tc>
          <w:tcPr>
            <w:tcW w:w="1848" w:type="dxa"/>
            <w:vAlign w:val="center"/>
          </w:tcPr>
          <w:p w14:paraId="2AF9D9CC">
            <w:pPr>
              <w:widowControl/>
              <w:jc w:val="center"/>
              <w:rPr>
                <w:sz w:val="24"/>
                <w:szCs w:val="24"/>
              </w:rPr>
            </w:pPr>
          </w:p>
        </w:tc>
      </w:tr>
      <w:tr w14:paraId="1440AD4A">
        <w:trPr>
          <w:trHeight w:val="465" w:hRule="atLeast"/>
          <w:jc w:val="center"/>
        </w:trPr>
        <w:tc>
          <w:tcPr>
            <w:tcW w:w="3227" w:type="dxa"/>
            <w:gridSpan w:val="2"/>
            <w:vAlign w:val="center"/>
          </w:tcPr>
          <w:p w14:paraId="6160387A">
            <w:pPr>
              <w:widowControl/>
              <w:jc w:val="left"/>
              <w:rPr>
                <w:kern w:val="0"/>
                <w:sz w:val="24"/>
                <w:szCs w:val="24"/>
              </w:rPr>
            </w:pPr>
          </w:p>
        </w:tc>
        <w:tc>
          <w:tcPr>
            <w:tcW w:w="1701" w:type="dxa"/>
            <w:vAlign w:val="center"/>
          </w:tcPr>
          <w:p w14:paraId="5291805A">
            <w:pPr>
              <w:widowControl/>
              <w:jc w:val="center"/>
              <w:rPr>
                <w:kern w:val="0"/>
                <w:sz w:val="24"/>
                <w:szCs w:val="24"/>
              </w:rPr>
            </w:pPr>
          </w:p>
        </w:tc>
        <w:tc>
          <w:tcPr>
            <w:tcW w:w="2238" w:type="dxa"/>
            <w:vAlign w:val="center"/>
          </w:tcPr>
          <w:p w14:paraId="613B82AF">
            <w:pPr>
              <w:widowControl/>
              <w:jc w:val="center"/>
              <w:rPr>
                <w:kern w:val="0"/>
                <w:sz w:val="24"/>
                <w:szCs w:val="24"/>
              </w:rPr>
            </w:pPr>
          </w:p>
        </w:tc>
        <w:tc>
          <w:tcPr>
            <w:tcW w:w="1848" w:type="dxa"/>
            <w:vAlign w:val="center"/>
          </w:tcPr>
          <w:p w14:paraId="3041C02B">
            <w:pPr>
              <w:widowControl/>
              <w:jc w:val="center"/>
              <w:rPr>
                <w:sz w:val="24"/>
                <w:szCs w:val="24"/>
              </w:rPr>
            </w:pPr>
          </w:p>
        </w:tc>
      </w:tr>
      <w:tr w14:paraId="412FD972">
        <w:trPr>
          <w:trHeight w:val="465" w:hRule="atLeast"/>
          <w:jc w:val="center"/>
        </w:trPr>
        <w:tc>
          <w:tcPr>
            <w:tcW w:w="3227" w:type="dxa"/>
            <w:gridSpan w:val="2"/>
            <w:vAlign w:val="center"/>
          </w:tcPr>
          <w:p w14:paraId="4BEB7359">
            <w:pPr>
              <w:widowControl/>
              <w:jc w:val="left"/>
              <w:rPr>
                <w:sz w:val="24"/>
              </w:rPr>
            </w:pPr>
          </w:p>
        </w:tc>
        <w:tc>
          <w:tcPr>
            <w:tcW w:w="1701" w:type="dxa"/>
            <w:vAlign w:val="center"/>
          </w:tcPr>
          <w:p w14:paraId="3208B396">
            <w:pPr>
              <w:widowControl/>
              <w:jc w:val="center"/>
              <w:rPr>
                <w:kern w:val="0"/>
                <w:sz w:val="24"/>
                <w:szCs w:val="24"/>
              </w:rPr>
            </w:pPr>
          </w:p>
        </w:tc>
        <w:tc>
          <w:tcPr>
            <w:tcW w:w="2238" w:type="dxa"/>
            <w:vAlign w:val="center"/>
          </w:tcPr>
          <w:p w14:paraId="4E7F9FE1">
            <w:pPr>
              <w:widowControl/>
              <w:jc w:val="center"/>
              <w:rPr>
                <w:kern w:val="0"/>
                <w:sz w:val="24"/>
                <w:szCs w:val="24"/>
              </w:rPr>
            </w:pPr>
          </w:p>
        </w:tc>
        <w:tc>
          <w:tcPr>
            <w:tcW w:w="1848" w:type="dxa"/>
            <w:vAlign w:val="center"/>
          </w:tcPr>
          <w:p w14:paraId="74874787">
            <w:pPr>
              <w:widowControl/>
              <w:jc w:val="center"/>
              <w:rPr>
                <w:kern w:val="0"/>
                <w:sz w:val="24"/>
                <w:szCs w:val="24"/>
              </w:rPr>
            </w:pPr>
          </w:p>
        </w:tc>
      </w:tr>
    </w:tbl>
    <w:p w14:paraId="0ED51309">
      <w:pPr>
        <w:ind w:left="180"/>
        <w:rPr>
          <w:sz w:val="22"/>
          <w:szCs w:val="24"/>
        </w:rPr>
      </w:pPr>
      <w:r>
        <w:rPr>
          <w:sz w:val="22"/>
          <w:szCs w:val="24"/>
        </w:rPr>
        <w:t>注：1. 本表第一行填写本项目投标总价，须与附件</w:t>
      </w:r>
      <w:r>
        <w:rPr>
          <w:rFonts w:hint="eastAsia"/>
          <w:sz w:val="22"/>
          <w:szCs w:val="24"/>
        </w:rPr>
        <w:t>3</w:t>
      </w:r>
      <w:r>
        <w:rPr>
          <w:sz w:val="22"/>
          <w:szCs w:val="24"/>
        </w:rPr>
        <w:t>中投标总价保持一致。</w:t>
      </w:r>
    </w:p>
    <w:p w14:paraId="13C30313">
      <w:pPr>
        <w:ind w:left="180" w:firstLine="408" w:firstLineChars="200"/>
      </w:pPr>
      <w:r>
        <w:rPr>
          <w:sz w:val="22"/>
          <w:szCs w:val="24"/>
        </w:rPr>
        <w:t>2. 下面应填写分项价格及分项名称（分项名称可根据实际情况增减、修改），分项价格汇总应等于总价。</w:t>
      </w:r>
    </w:p>
    <w:p w14:paraId="6949B70F">
      <w:pPr>
        <w:ind w:left="180" w:firstLine="388" w:firstLineChars="200"/>
      </w:pPr>
    </w:p>
    <w:p w14:paraId="60FE3855">
      <w:pPr>
        <w:spacing w:line="360" w:lineRule="auto"/>
        <w:ind w:firstLine="3808" w:firstLineChars="1700"/>
        <w:rPr>
          <w:sz w:val="24"/>
        </w:rPr>
      </w:pPr>
    </w:p>
    <w:p w14:paraId="72928446">
      <w:pPr>
        <w:spacing w:line="360" w:lineRule="auto"/>
        <w:ind w:firstLine="3808" w:firstLineChars="1700"/>
        <w:rPr>
          <w:sz w:val="24"/>
        </w:rPr>
      </w:pPr>
      <w:r>
        <w:rPr>
          <w:sz w:val="24"/>
        </w:rPr>
        <w:t>投标人名称：</w:t>
      </w:r>
    </w:p>
    <w:p w14:paraId="7209B435">
      <w:pPr>
        <w:spacing w:line="360" w:lineRule="auto"/>
        <w:ind w:firstLine="3808" w:firstLineChars="1700"/>
        <w:rPr>
          <w:sz w:val="24"/>
        </w:rPr>
      </w:pPr>
    </w:p>
    <w:p w14:paraId="212E7B51">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br w:type="page"/>
      </w:r>
    </w:p>
    <w:p w14:paraId="09D9FC13">
      <w:pPr>
        <w:tabs>
          <w:tab w:val="left" w:pos="360"/>
        </w:tabs>
        <w:spacing w:after="285" w:afterLines="100" w:line="360" w:lineRule="auto"/>
        <w:rPr>
          <w:b/>
          <w:sz w:val="24"/>
        </w:rPr>
      </w:pPr>
      <w:r>
        <w:rPr>
          <w:b/>
          <w:sz w:val="24"/>
        </w:rPr>
        <w:t>附件4</w:t>
      </w:r>
    </w:p>
    <w:p w14:paraId="5B6482B8">
      <w:pPr>
        <w:autoSpaceDN w:val="0"/>
        <w:spacing w:line="360" w:lineRule="auto"/>
        <w:jc w:val="center"/>
        <w:rPr>
          <w:b/>
          <w:bCs/>
          <w:sz w:val="24"/>
        </w:rPr>
      </w:pPr>
      <w:r>
        <w:rPr>
          <w:b/>
          <w:bCs/>
          <w:sz w:val="24"/>
        </w:rPr>
        <w:t>商务要求点对点应答表</w:t>
      </w:r>
    </w:p>
    <w:p w14:paraId="3EFA0C66">
      <w:pPr>
        <w:spacing w:line="460" w:lineRule="exact"/>
        <w:rPr>
          <w:sz w:val="24"/>
        </w:rPr>
      </w:pPr>
    </w:p>
    <w:p w14:paraId="6F2E2409">
      <w:pPr>
        <w:spacing w:line="460" w:lineRule="exact"/>
        <w:rPr>
          <w:sz w:val="24"/>
        </w:rPr>
      </w:pPr>
      <w:r>
        <w:rPr>
          <w:sz w:val="24"/>
        </w:rPr>
        <w:t>项目名称：</w:t>
      </w:r>
      <w:r>
        <w:rPr>
          <w:sz w:val="24"/>
          <w:u w:val="single"/>
        </w:rPr>
        <w:t xml:space="preserve">                    </w:t>
      </w:r>
    </w:p>
    <w:p w14:paraId="7A3632CA">
      <w:pPr>
        <w:spacing w:line="460" w:lineRule="exact"/>
        <w:rPr>
          <w:sz w:val="24"/>
        </w:rPr>
      </w:pPr>
      <w:r>
        <w:rPr>
          <w:sz w:val="24"/>
        </w:rPr>
        <w:t>项目编号：</w:t>
      </w:r>
      <w:r>
        <w:rPr>
          <w:sz w:val="24"/>
          <w:u w:val="single"/>
        </w:rPr>
        <w:t xml:space="preserve">                    </w:t>
      </w:r>
    </w:p>
    <w:p w14:paraId="6EBDF555">
      <w:pPr>
        <w:spacing w:line="460" w:lineRule="exact"/>
        <w:rPr>
          <w:sz w:val="24"/>
          <w:u w:val="single"/>
        </w:rPr>
      </w:pPr>
      <w:r>
        <w:rPr>
          <w:sz w:val="24"/>
        </w:rPr>
        <w:t>包号：</w:t>
      </w:r>
      <w:r>
        <w:rPr>
          <w:sz w:val="24"/>
          <w:u w:val="single"/>
        </w:rPr>
        <w:t xml:space="preserve">                        </w:t>
      </w:r>
    </w:p>
    <w:p w14:paraId="2810F860">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5777E067">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3ED5D9C7">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061DB7B6">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2DA6DB89">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187F4208">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7B79F55B">
            <w:pPr>
              <w:widowControl/>
              <w:jc w:val="center"/>
              <w:rPr>
                <w:kern w:val="0"/>
                <w:szCs w:val="21"/>
              </w:rPr>
            </w:pPr>
            <w:r>
              <w:rPr>
                <w:kern w:val="0"/>
                <w:szCs w:val="21"/>
              </w:rPr>
              <w:t>备注</w:t>
            </w:r>
          </w:p>
        </w:tc>
      </w:tr>
      <w:tr w14:paraId="4E6CB50B">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994FDDF">
            <w:pPr>
              <w:widowControl/>
              <w:jc w:val="left"/>
              <w:rPr>
                <w:kern w:val="0"/>
                <w:szCs w:val="21"/>
              </w:rPr>
            </w:pPr>
            <w:r>
              <w:rPr>
                <w:kern w:val="0"/>
                <w:szCs w:val="21"/>
              </w:rPr>
              <w:t>（一）报价要求</w:t>
            </w:r>
          </w:p>
        </w:tc>
      </w:tr>
      <w:tr w14:paraId="73C8C24F">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5FFBAAB1">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EFD2EBA">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4F6A5E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10CBF97">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71F5420">
            <w:pPr>
              <w:widowControl/>
              <w:jc w:val="left"/>
              <w:rPr>
                <w:kern w:val="0"/>
                <w:szCs w:val="21"/>
              </w:rPr>
            </w:pPr>
            <w:r>
              <w:rPr>
                <w:kern w:val="0"/>
                <w:szCs w:val="21"/>
              </w:rPr>
              <w:t>　</w:t>
            </w:r>
          </w:p>
        </w:tc>
      </w:tr>
      <w:tr w14:paraId="2E6D2D1F">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BEF2B70">
            <w:pPr>
              <w:widowControl/>
              <w:jc w:val="left"/>
              <w:rPr>
                <w:kern w:val="0"/>
                <w:szCs w:val="21"/>
              </w:rPr>
            </w:pPr>
            <w:r>
              <w:rPr>
                <w:kern w:val="0"/>
                <w:szCs w:val="21"/>
              </w:rPr>
              <w:t>（</w:t>
            </w:r>
            <w:r>
              <w:rPr>
                <w:rFonts w:hint="eastAsia"/>
                <w:kern w:val="0"/>
                <w:szCs w:val="21"/>
              </w:rPr>
              <w:t>二</w:t>
            </w:r>
            <w:r>
              <w:rPr>
                <w:kern w:val="0"/>
                <w:szCs w:val="21"/>
              </w:rPr>
              <w:t>）时间、地点要求</w:t>
            </w:r>
          </w:p>
        </w:tc>
      </w:tr>
      <w:tr w14:paraId="6CA115A5">
        <w:tc>
          <w:tcPr>
            <w:tcW w:w="974" w:type="pct"/>
            <w:tcBorders>
              <w:top w:val="nil"/>
              <w:left w:val="single" w:color="auto" w:sz="8" w:space="0"/>
              <w:bottom w:val="single" w:color="auto" w:sz="8" w:space="0"/>
              <w:right w:val="single" w:color="auto" w:sz="8" w:space="0"/>
            </w:tcBorders>
            <w:shd w:val="clear" w:color="auto" w:fill="auto"/>
            <w:vAlign w:val="center"/>
          </w:tcPr>
          <w:p w14:paraId="16762430">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C3B885A">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F10B76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0990E1F">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5A021D3">
            <w:pPr>
              <w:widowControl/>
              <w:jc w:val="left"/>
              <w:rPr>
                <w:kern w:val="0"/>
                <w:szCs w:val="21"/>
              </w:rPr>
            </w:pPr>
            <w:r>
              <w:rPr>
                <w:kern w:val="0"/>
                <w:szCs w:val="21"/>
              </w:rPr>
              <w:t>　</w:t>
            </w:r>
          </w:p>
        </w:tc>
      </w:tr>
      <w:tr w14:paraId="3DA3F79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AFEA5F0">
            <w:pPr>
              <w:widowControl/>
              <w:jc w:val="left"/>
              <w:rPr>
                <w:kern w:val="0"/>
                <w:szCs w:val="21"/>
              </w:rPr>
            </w:pPr>
            <w:r>
              <w:rPr>
                <w:kern w:val="0"/>
                <w:szCs w:val="21"/>
              </w:rPr>
              <w:t>（</w:t>
            </w:r>
            <w:r>
              <w:rPr>
                <w:rFonts w:hint="eastAsia"/>
                <w:kern w:val="0"/>
                <w:szCs w:val="21"/>
              </w:rPr>
              <w:t>三</w:t>
            </w:r>
            <w:r>
              <w:rPr>
                <w:kern w:val="0"/>
                <w:szCs w:val="21"/>
              </w:rPr>
              <w:t>）付款方式</w:t>
            </w:r>
          </w:p>
        </w:tc>
      </w:tr>
      <w:tr w14:paraId="4D83520D">
        <w:tc>
          <w:tcPr>
            <w:tcW w:w="974" w:type="pct"/>
            <w:tcBorders>
              <w:top w:val="nil"/>
              <w:left w:val="single" w:color="auto" w:sz="8" w:space="0"/>
              <w:bottom w:val="single" w:color="auto" w:sz="8" w:space="0"/>
              <w:right w:val="single" w:color="auto" w:sz="8" w:space="0"/>
            </w:tcBorders>
            <w:shd w:val="clear" w:color="auto" w:fill="auto"/>
            <w:vAlign w:val="center"/>
          </w:tcPr>
          <w:p w14:paraId="6B0728BE">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2D628A6">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6A8D8A0">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0C77E4A">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6C4359A">
            <w:pPr>
              <w:widowControl/>
              <w:jc w:val="left"/>
              <w:rPr>
                <w:kern w:val="0"/>
                <w:szCs w:val="21"/>
              </w:rPr>
            </w:pPr>
            <w:r>
              <w:rPr>
                <w:kern w:val="0"/>
                <w:szCs w:val="21"/>
              </w:rPr>
              <w:t>　</w:t>
            </w:r>
          </w:p>
        </w:tc>
      </w:tr>
      <w:tr w14:paraId="0A3A4535">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C38A3EB">
            <w:pPr>
              <w:widowControl/>
              <w:jc w:val="left"/>
              <w:rPr>
                <w:kern w:val="0"/>
                <w:szCs w:val="21"/>
              </w:rPr>
            </w:pPr>
            <w:r>
              <w:rPr>
                <w:kern w:val="0"/>
                <w:szCs w:val="21"/>
              </w:rPr>
              <w:t>（</w:t>
            </w:r>
            <w:r>
              <w:rPr>
                <w:rFonts w:hint="eastAsia"/>
                <w:kern w:val="0"/>
                <w:szCs w:val="21"/>
              </w:rPr>
              <w:t>四</w:t>
            </w:r>
            <w:r>
              <w:rPr>
                <w:kern w:val="0"/>
                <w:szCs w:val="21"/>
              </w:rPr>
              <w:t>）投标保证金和履约保证金</w:t>
            </w:r>
          </w:p>
        </w:tc>
      </w:tr>
      <w:tr w14:paraId="01178C24">
        <w:tc>
          <w:tcPr>
            <w:tcW w:w="974" w:type="pct"/>
            <w:tcBorders>
              <w:top w:val="nil"/>
              <w:left w:val="single" w:color="auto" w:sz="8" w:space="0"/>
              <w:bottom w:val="single" w:color="auto" w:sz="8" w:space="0"/>
              <w:right w:val="single" w:color="auto" w:sz="8" w:space="0"/>
            </w:tcBorders>
            <w:shd w:val="clear" w:color="auto" w:fill="auto"/>
            <w:vAlign w:val="center"/>
          </w:tcPr>
          <w:p w14:paraId="7AD97108">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C8AABCD">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21544A1">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8DCA4A7">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A56F6AE">
            <w:pPr>
              <w:widowControl/>
              <w:jc w:val="left"/>
              <w:rPr>
                <w:kern w:val="0"/>
                <w:szCs w:val="21"/>
              </w:rPr>
            </w:pPr>
            <w:r>
              <w:rPr>
                <w:kern w:val="0"/>
                <w:szCs w:val="21"/>
              </w:rPr>
              <w:t>　</w:t>
            </w:r>
          </w:p>
        </w:tc>
      </w:tr>
    </w:tbl>
    <w:p w14:paraId="30663EF7">
      <w:pPr>
        <w:spacing w:line="620" w:lineRule="exact"/>
        <w:rPr>
          <w:sz w:val="24"/>
        </w:rPr>
      </w:pPr>
      <w:r>
        <w:rPr>
          <w:sz w:val="24"/>
        </w:rPr>
        <w:t>注：</w:t>
      </w:r>
    </w:p>
    <w:p w14:paraId="158CACCB">
      <w:pPr>
        <w:spacing w:line="360" w:lineRule="auto"/>
        <w:rPr>
          <w:sz w:val="24"/>
        </w:rPr>
      </w:pPr>
      <w:r>
        <w:rPr>
          <w:sz w:val="24"/>
        </w:rPr>
        <w:t>1. 不如实填写偏离情况的投标文件将视为虚假材料。</w:t>
      </w:r>
    </w:p>
    <w:p w14:paraId="54C3B0A0">
      <w:pPr>
        <w:spacing w:line="360" w:lineRule="auto"/>
        <w:rPr>
          <w:sz w:val="24"/>
        </w:rPr>
      </w:pPr>
      <w:r>
        <w:rPr>
          <w:sz w:val="24"/>
        </w:rPr>
        <w:t>2. 招标要求指招标文件中规定的具体要求，投标应答指投标文件的具体内容。</w:t>
      </w:r>
    </w:p>
    <w:p w14:paraId="70DAA1E4">
      <w:pPr>
        <w:spacing w:line="360" w:lineRule="auto"/>
        <w:rPr>
          <w:sz w:val="24"/>
        </w:rPr>
      </w:pPr>
      <w:r>
        <w:rPr>
          <w:sz w:val="24"/>
        </w:rPr>
        <w:t>4. 偏离说明指招标要求与投标应答之间的不同之处。</w:t>
      </w:r>
    </w:p>
    <w:p w14:paraId="40E09C17">
      <w:pPr>
        <w:spacing w:line="360" w:lineRule="auto"/>
        <w:rPr>
          <w:sz w:val="24"/>
        </w:rPr>
      </w:pPr>
    </w:p>
    <w:p w14:paraId="0A53B2D8">
      <w:pPr>
        <w:spacing w:line="360" w:lineRule="auto"/>
        <w:ind w:firstLine="3808" w:firstLineChars="1700"/>
        <w:rPr>
          <w:sz w:val="24"/>
        </w:rPr>
      </w:pPr>
      <w:r>
        <w:rPr>
          <w:sz w:val="24"/>
        </w:rPr>
        <w:t>投标人名称：</w:t>
      </w:r>
    </w:p>
    <w:p w14:paraId="493B4EEE">
      <w:pPr>
        <w:spacing w:line="360" w:lineRule="auto"/>
        <w:ind w:firstLine="3808" w:firstLineChars="1700"/>
        <w:rPr>
          <w:sz w:val="24"/>
        </w:rPr>
      </w:pPr>
    </w:p>
    <w:p w14:paraId="532F22C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7584BCC">
      <w:pPr>
        <w:tabs>
          <w:tab w:val="left" w:pos="360"/>
        </w:tabs>
        <w:spacing w:after="285" w:afterLines="100" w:line="360" w:lineRule="auto"/>
        <w:rPr>
          <w:b/>
          <w:sz w:val="24"/>
        </w:rPr>
      </w:pPr>
      <w:r>
        <w:rPr>
          <w:sz w:val="24"/>
        </w:rPr>
        <w:br w:type="page"/>
      </w:r>
      <w:r>
        <w:rPr>
          <w:b/>
          <w:sz w:val="24"/>
        </w:rPr>
        <w:t>附件5</w:t>
      </w:r>
    </w:p>
    <w:p w14:paraId="1E316D9B">
      <w:pPr>
        <w:autoSpaceDN w:val="0"/>
        <w:spacing w:line="360" w:lineRule="auto"/>
        <w:jc w:val="center"/>
        <w:rPr>
          <w:b/>
          <w:bCs/>
          <w:sz w:val="24"/>
        </w:rPr>
      </w:pPr>
      <w:r>
        <w:rPr>
          <w:b/>
          <w:bCs/>
          <w:sz w:val="24"/>
        </w:rPr>
        <w:t>技术要求点对点应答表</w:t>
      </w:r>
    </w:p>
    <w:p w14:paraId="3459BC1A">
      <w:pPr>
        <w:spacing w:line="460" w:lineRule="exact"/>
        <w:rPr>
          <w:sz w:val="24"/>
        </w:rPr>
      </w:pPr>
    </w:p>
    <w:p w14:paraId="2CA09D17">
      <w:pPr>
        <w:spacing w:line="460" w:lineRule="exact"/>
        <w:rPr>
          <w:sz w:val="24"/>
        </w:rPr>
      </w:pPr>
      <w:r>
        <w:rPr>
          <w:sz w:val="24"/>
        </w:rPr>
        <w:t>项目名称：</w:t>
      </w:r>
      <w:r>
        <w:rPr>
          <w:sz w:val="24"/>
          <w:u w:val="single"/>
        </w:rPr>
        <w:t xml:space="preserve">                    </w:t>
      </w:r>
    </w:p>
    <w:p w14:paraId="502BE184">
      <w:pPr>
        <w:spacing w:line="460" w:lineRule="exact"/>
        <w:rPr>
          <w:sz w:val="24"/>
        </w:rPr>
      </w:pPr>
      <w:r>
        <w:rPr>
          <w:sz w:val="24"/>
        </w:rPr>
        <w:t>项目编号：</w:t>
      </w:r>
      <w:r>
        <w:rPr>
          <w:sz w:val="24"/>
          <w:u w:val="single"/>
        </w:rPr>
        <w:t xml:space="preserve">                    </w:t>
      </w:r>
    </w:p>
    <w:p w14:paraId="775C3995">
      <w:pPr>
        <w:spacing w:line="460" w:lineRule="exact"/>
        <w:rPr>
          <w:sz w:val="24"/>
          <w:u w:val="single"/>
        </w:rPr>
      </w:pPr>
      <w:r>
        <w:rPr>
          <w:sz w:val="24"/>
        </w:rPr>
        <w:t>包号：</w:t>
      </w:r>
      <w:r>
        <w:rPr>
          <w:sz w:val="24"/>
          <w:u w:val="single"/>
        </w:rPr>
        <w:t xml:space="preserve">                        </w:t>
      </w:r>
    </w:p>
    <w:p w14:paraId="33C3FE2B">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717A5341">
        <w:trPr>
          <w:tblHeader/>
          <w:jc w:val="center"/>
        </w:trPr>
        <w:tc>
          <w:tcPr>
            <w:tcW w:w="843" w:type="dxa"/>
            <w:shd w:val="clear" w:color="auto" w:fill="auto"/>
            <w:vAlign w:val="center"/>
          </w:tcPr>
          <w:p w14:paraId="4CF84981">
            <w:pPr>
              <w:widowControl/>
              <w:snapToGrid w:val="0"/>
              <w:jc w:val="center"/>
              <w:rPr>
                <w:kern w:val="0"/>
                <w:sz w:val="24"/>
                <w:szCs w:val="21"/>
              </w:rPr>
            </w:pPr>
            <w:r>
              <w:rPr>
                <w:kern w:val="0"/>
                <w:sz w:val="24"/>
                <w:szCs w:val="21"/>
              </w:rPr>
              <w:t>序号</w:t>
            </w:r>
          </w:p>
        </w:tc>
        <w:tc>
          <w:tcPr>
            <w:tcW w:w="3922" w:type="dxa"/>
            <w:shd w:val="clear" w:color="auto" w:fill="auto"/>
            <w:vAlign w:val="center"/>
          </w:tcPr>
          <w:p w14:paraId="5FED1B39">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D5802A4">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127E9EC">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37DCAB4A">
            <w:pPr>
              <w:widowControl/>
              <w:snapToGrid w:val="0"/>
              <w:jc w:val="center"/>
              <w:rPr>
                <w:kern w:val="0"/>
                <w:sz w:val="24"/>
                <w:szCs w:val="21"/>
              </w:rPr>
            </w:pPr>
            <w:r>
              <w:rPr>
                <w:kern w:val="0"/>
                <w:sz w:val="24"/>
                <w:szCs w:val="21"/>
              </w:rPr>
              <w:t>备注</w:t>
            </w:r>
          </w:p>
        </w:tc>
      </w:tr>
      <w:tr w14:paraId="424BEAC1">
        <w:trPr>
          <w:jc w:val="center"/>
        </w:trPr>
        <w:tc>
          <w:tcPr>
            <w:tcW w:w="843" w:type="dxa"/>
            <w:shd w:val="clear" w:color="auto" w:fill="auto"/>
            <w:vAlign w:val="center"/>
          </w:tcPr>
          <w:p w14:paraId="5E353A25">
            <w:pPr>
              <w:widowControl/>
              <w:snapToGrid w:val="0"/>
              <w:jc w:val="center"/>
              <w:rPr>
                <w:kern w:val="0"/>
                <w:sz w:val="24"/>
                <w:szCs w:val="21"/>
              </w:rPr>
            </w:pPr>
            <w:r>
              <w:rPr>
                <w:kern w:val="0"/>
                <w:sz w:val="24"/>
                <w:szCs w:val="21"/>
              </w:rPr>
              <w:t>1</w:t>
            </w:r>
          </w:p>
        </w:tc>
        <w:tc>
          <w:tcPr>
            <w:tcW w:w="3922" w:type="dxa"/>
            <w:shd w:val="clear" w:color="auto" w:fill="auto"/>
            <w:vAlign w:val="center"/>
          </w:tcPr>
          <w:p w14:paraId="017FA45D">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135CCF73">
            <w:pPr>
              <w:widowControl/>
              <w:snapToGrid w:val="0"/>
              <w:jc w:val="center"/>
              <w:rPr>
                <w:kern w:val="0"/>
                <w:sz w:val="24"/>
                <w:szCs w:val="21"/>
              </w:rPr>
            </w:pPr>
          </w:p>
        </w:tc>
        <w:tc>
          <w:tcPr>
            <w:tcW w:w="1289" w:type="dxa"/>
            <w:shd w:val="clear" w:color="auto" w:fill="auto"/>
            <w:vAlign w:val="center"/>
          </w:tcPr>
          <w:p w14:paraId="2C9F28AD">
            <w:pPr>
              <w:widowControl/>
              <w:snapToGrid w:val="0"/>
              <w:jc w:val="center"/>
              <w:rPr>
                <w:kern w:val="0"/>
                <w:sz w:val="24"/>
                <w:szCs w:val="21"/>
              </w:rPr>
            </w:pPr>
          </w:p>
        </w:tc>
        <w:tc>
          <w:tcPr>
            <w:tcW w:w="843" w:type="dxa"/>
            <w:shd w:val="clear" w:color="auto" w:fill="auto"/>
            <w:vAlign w:val="center"/>
          </w:tcPr>
          <w:p w14:paraId="11E9F24B">
            <w:pPr>
              <w:widowControl/>
              <w:snapToGrid w:val="0"/>
              <w:jc w:val="center"/>
              <w:rPr>
                <w:kern w:val="0"/>
                <w:sz w:val="24"/>
                <w:szCs w:val="21"/>
              </w:rPr>
            </w:pPr>
          </w:p>
        </w:tc>
      </w:tr>
      <w:tr w14:paraId="10DB3351">
        <w:trPr>
          <w:jc w:val="center"/>
        </w:trPr>
        <w:tc>
          <w:tcPr>
            <w:tcW w:w="9335" w:type="dxa"/>
            <w:gridSpan w:val="5"/>
            <w:shd w:val="clear" w:color="auto" w:fill="auto"/>
            <w:vAlign w:val="center"/>
          </w:tcPr>
          <w:p w14:paraId="6B9293E4">
            <w:pPr>
              <w:widowControl/>
              <w:snapToGrid w:val="0"/>
              <w:ind w:firstLine="336" w:firstLineChars="150"/>
              <w:rPr>
                <w:kern w:val="0"/>
                <w:sz w:val="24"/>
                <w:szCs w:val="21"/>
              </w:rPr>
            </w:pPr>
            <w:r>
              <w:rPr>
                <w:kern w:val="0"/>
                <w:sz w:val="24"/>
                <w:szCs w:val="21"/>
              </w:rPr>
              <w:t>2. 项目需求书要求</w:t>
            </w:r>
          </w:p>
        </w:tc>
      </w:tr>
      <w:tr w14:paraId="7BFBAC28">
        <w:trPr>
          <w:jc w:val="center"/>
        </w:trPr>
        <w:tc>
          <w:tcPr>
            <w:tcW w:w="843" w:type="dxa"/>
            <w:shd w:val="clear" w:color="auto" w:fill="auto"/>
            <w:vAlign w:val="center"/>
          </w:tcPr>
          <w:p w14:paraId="0A56D579">
            <w:pPr>
              <w:widowControl/>
              <w:snapToGrid w:val="0"/>
              <w:jc w:val="center"/>
              <w:rPr>
                <w:kern w:val="0"/>
                <w:sz w:val="24"/>
                <w:szCs w:val="21"/>
              </w:rPr>
            </w:pPr>
            <w:r>
              <w:rPr>
                <w:kern w:val="0"/>
                <w:sz w:val="24"/>
                <w:szCs w:val="21"/>
              </w:rPr>
              <w:t>序号</w:t>
            </w:r>
          </w:p>
        </w:tc>
        <w:tc>
          <w:tcPr>
            <w:tcW w:w="3922" w:type="dxa"/>
            <w:shd w:val="clear" w:color="auto" w:fill="auto"/>
            <w:vAlign w:val="center"/>
          </w:tcPr>
          <w:p w14:paraId="01F94AD2">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3BD8A4EE">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5A49FA8">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3D7C6398">
            <w:pPr>
              <w:widowControl/>
              <w:snapToGrid w:val="0"/>
              <w:jc w:val="center"/>
              <w:rPr>
                <w:kern w:val="0"/>
                <w:sz w:val="24"/>
                <w:szCs w:val="21"/>
              </w:rPr>
            </w:pPr>
            <w:r>
              <w:rPr>
                <w:kern w:val="0"/>
                <w:sz w:val="24"/>
                <w:szCs w:val="21"/>
              </w:rPr>
              <w:t>备注</w:t>
            </w:r>
          </w:p>
        </w:tc>
      </w:tr>
      <w:tr w14:paraId="696C71D4">
        <w:trPr>
          <w:jc w:val="center"/>
        </w:trPr>
        <w:tc>
          <w:tcPr>
            <w:tcW w:w="843" w:type="dxa"/>
            <w:shd w:val="clear" w:color="auto" w:fill="auto"/>
            <w:vAlign w:val="center"/>
          </w:tcPr>
          <w:p w14:paraId="22A7F62D">
            <w:pPr>
              <w:widowControl/>
              <w:snapToGrid w:val="0"/>
              <w:jc w:val="center"/>
              <w:rPr>
                <w:kern w:val="0"/>
                <w:sz w:val="24"/>
                <w:szCs w:val="21"/>
              </w:rPr>
            </w:pPr>
          </w:p>
        </w:tc>
        <w:tc>
          <w:tcPr>
            <w:tcW w:w="3922" w:type="dxa"/>
            <w:shd w:val="clear" w:color="auto" w:fill="auto"/>
            <w:vAlign w:val="center"/>
          </w:tcPr>
          <w:p w14:paraId="7663AC70">
            <w:pPr>
              <w:widowControl/>
              <w:snapToGrid w:val="0"/>
              <w:jc w:val="center"/>
              <w:rPr>
                <w:kern w:val="0"/>
                <w:sz w:val="24"/>
                <w:szCs w:val="21"/>
              </w:rPr>
            </w:pPr>
          </w:p>
        </w:tc>
        <w:tc>
          <w:tcPr>
            <w:tcW w:w="2438" w:type="dxa"/>
            <w:shd w:val="clear" w:color="auto" w:fill="auto"/>
            <w:vAlign w:val="center"/>
          </w:tcPr>
          <w:p w14:paraId="369EC382">
            <w:pPr>
              <w:widowControl/>
              <w:snapToGrid w:val="0"/>
              <w:jc w:val="center"/>
              <w:rPr>
                <w:kern w:val="0"/>
                <w:sz w:val="24"/>
                <w:szCs w:val="21"/>
              </w:rPr>
            </w:pPr>
          </w:p>
        </w:tc>
        <w:tc>
          <w:tcPr>
            <w:tcW w:w="1289" w:type="dxa"/>
            <w:shd w:val="clear" w:color="auto" w:fill="auto"/>
            <w:vAlign w:val="center"/>
          </w:tcPr>
          <w:p w14:paraId="7E794A5F">
            <w:pPr>
              <w:widowControl/>
              <w:snapToGrid w:val="0"/>
              <w:jc w:val="center"/>
              <w:rPr>
                <w:kern w:val="0"/>
                <w:sz w:val="24"/>
                <w:szCs w:val="21"/>
              </w:rPr>
            </w:pPr>
          </w:p>
        </w:tc>
        <w:tc>
          <w:tcPr>
            <w:tcW w:w="843" w:type="dxa"/>
            <w:shd w:val="clear" w:color="auto" w:fill="auto"/>
            <w:vAlign w:val="center"/>
          </w:tcPr>
          <w:p w14:paraId="149DAB61">
            <w:pPr>
              <w:widowControl/>
              <w:snapToGrid w:val="0"/>
              <w:jc w:val="center"/>
              <w:rPr>
                <w:kern w:val="0"/>
                <w:sz w:val="24"/>
                <w:szCs w:val="21"/>
              </w:rPr>
            </w:pPr>
          </w:p>
        </w:tc>
      </w:tr>
      <w:tr w14:paraId="39F8D860">
        <w:trPr>
          <w:jc w:val="center"/>
        </w:trPr>
        <w:tc>
          <w:tcPr>
            <w:tcW w:w="843" w:type="dxa"/>
            <w:shd w:val="clear" w:color="auto" w:fill="auto"/>
            <w:vAlign w:val="center"/>
          </w:tcPr>
          <w:p w14:paraId="406E6D08">
            <w:pPr>
              <w:widowControl/>
              <w:snapToGrid w:val="0"/>
              <w:jc w:val="center"/>
              <w:rPr>
                <w:kern w:val="0"/>
                <w:sz w:val="24"/>
                <w:szCs w:val="21"/>
              </w:rPr>
            </w:pPr>
          </w:p>
        </w:tc>
        <w:tc>
          <w:tcPr>
            <w:tcW w:w="3922" w:type="dxa"/>
            <w:shd w:val="clear" w:color="auto" w:fill="auto"/>
            <w:vAlign w:val="center"/>
          </w:tcPr>
          <w:p w14:paraId="54C66CD6">
            <w:pPr>
              <w:widowControl/>
              <w:snapToGrid w:val="0"/>
              <w:jc w:val="center"/>
              <w:rPr>
                <w:kern w:val="0"/>
                <w:sz w:val="24"/>
                <w:szCs w:val="21"/>
              </w:rPr>
            </w:pPr>
          </w:p>
        </w:tc>
        <w:tc>
          <w:tcPr>
            <w:tcW w:w="2438" w:type="dxa"/>
            <w:shd w:val="clear" w:color="auto" w:fill="auto"/>
            <w:vAlign w:val="center"/>
          </w:tcPr>
          <w:p w14:paraId="520629D6">
            <w:pPr>
              <w:widowControl/>
              <w:snapToGrid w:val="0"/>
              <w:jc w:val="center"/>
              <w:rPr>
                <w:kern w:val="0"/>
                <w:sz w:val="24"/>
                <w:szCs w:val="21"/>
              </w:rPr>
            </w:pPr>
          </w:p>
        </w:tc>
        <w:tc>
          <w:tcPr>
            <w:tcW w:w="1289" w:type="dxa"/>
            <w:shd w:val="clear" w:color="auto" w:fill="auto"/>
            <w:vAlign w:val="center"/>
          </w:tcPr>
          <w:p w14:paraId="022F5E0B">
            <w:pPr>
              <w:widowControl/>
              <w:snapToGrid w:val="0"/>
              <w:jc w:val="center"/>
              <w:rPr>
                <w:kern w:val="0"/>
                <w:sz w:val="24"/>
                <w:szCs w:val="21"/>
              </w:rPr>
            </w:pPr>
          </w:p>
        </w:tc>
        <w:tc>
          <w:tcPr>
            <w:tcW w:w="843" w:type="dxa"/>
            <w:shd w:val="clear" w:color="auto" w:fill="auto"/>
            <w:vAlign w:val="center"/>
          </w:tcPr>
          <w:p w14:paraId="6F42D40A">
            <w:pPr>
              <w:widowControl/>
              <w:snapToGrid w:val="0"/>
              <w:jc w:val="center"/>
              <w:rPr>
                <w:kern w:val="0"/>
                <w:sz w:val="24"/>
                <w:szCs w:val="21"/>
              </w:rPr>
            </w:pPr>
          </w:p>
        </w:tc>
      </w:tr>
      <w:tr w14:paraId="5326BA26">
        <w:trPr>
          <w:jc w:val="center"/>
        </w:trPr>
        <w:tc>
          <w:tcPr>
            <w:tcW w:w="843" w:type="dxa"/>
            <w:shd w:val="clear" w:color="auto" w:fill="auto"/>
            <w:vAlign w:val="center"/>
          </w:tcPr>
          <w:p w14:paraId="2CF2D790">
            <w:pPr>
              <w:widowControl/>
              <w:snapToGrid w:val="0"/>
              <w:jc w:val="center"/>
              <w:rPr>
                <w:kern w:val="0"/>
                <w:sz w:val="24"/>
                <w:szCs w:val="21"/>
              </w:rPr>
            </w:pPr>
          </w:p>
        </w:tc>
        <w:tc>
          <w:tcPr>
            <w:tcW w:w="3922" w:type="dxa"/>
            <w:shd w:val="clear" w:color="auto" w:fill="auto"/>
            <w:vAlign w:val="center"/>
          </w:tcPr>
          <w:p w14:paraId="1544EA2D">
            <w:pPr>
              <w:widowControl/>
              <w:snapToGrid w:val="0"/>
              <w:jc w:val="center"/>
              <w:rPr>
                <w:kern w:val="0"/>
                <w:sz w:val="24"/>
                <w:szCs w:val="21"/>
              </w:rPr>
            </w:pPr>
          </w:p>
        </w:tc>
        <w:tc>
          <w:tcPr>
            <w:tcW w:w="2438" w:type="dxa"/>
            <w:shd w:val="clear" w:color="auto" w:fill="auto"/>
            <w:vAlign w:val="center"/>
          </w:tcPr>
          <w:p w14:paraId="732F192C">
            <w:pPr>
              <w:widowControl/>
              <w:snapToGrid w:val="0"/>
              <w:jc w:val="center"/>
              <w:rPr>
                <w:kern w:val="0"/>
                <w:sz w:val="24"/>
                <w:szCs w:val="21"/>
              </w:rPr>
            </w:pPr>
          </w:p>
        </w:tc>
        <w:tc>
          <w:tcPr>
            <w:tcW w:w="1289" w:type="dxa"/>
            <w:shd w:val="clear" w:color="auto" w:fill="auto"/>
            <w:vAlign w:val="center"/>
          </w:tcPr>
          <w:p w14:paraId="410A0498">
            <w:pPr>
              <w:widowControl/>
              <w:snapToGrid w:val="0"/>
              <w:jc w:val="center"/>
              <w:rPr>
                <w:kern w:val="0"/>
                <w:sz w:val="24"/>
                <w:szCs w:val="21"/>
              </w:rPr>
            </w:pPr>
          </w:p>
        </w:tc>
        <w:tc>
          <w:tcPr>
            <w:tcW w:w="843" w:type="dxa"/>
            <w:shd w:val="clear" w:color="auto" w:fill="auto"/>
            <w:vAlign w:val="center"/>
          </w:tcPr>
          <w:p w14:paraId="740A7D47">
            <w:pPr>
              <w:widowControl/>
              <w:snapToGrid w:val="0"/>
              <w:jc w:val="center"/>
              <w:rPr>
                <w:kern w:val="0"/>
                <w:sz w:val="24"/>
                <w:szCs w:val="21"/>
              </w:rPr>
            </w:pPr>
          </w:p>
        </w:tc>
      </w:tr>
      <w:tr w14:paraId="737DB229">
        <w:trPr>
          <w:jc w:val="center"/>
        </w:trPr>
        <w:tc>
          <w:tcPr>
            <w:tcW w:w="843" w:type="dxa"/>
            <w:shd w:val="clear" w:color="auto" w:fill="auto"/>
            <w:vAlign w:val="center"/>
          </w:tcPr>
          <w:p w14:paraId="20D67293">
            <w:pPr>
              <w:widowControl/>
              <w:snapToGrid w:val="0"/>
              <w:jc w:val="center"/>
              <w:rPr>
                <w:kern w:val="0"/>
                <w:sz w:val="24"/>
                <w:szCs w:val="21"/>
              </w:rPr>
            </w:pPr>
          </w:p>
        </w:tc>
        <w:tc>
          <w:tcPr>
            <w:tcW w:w="3922" w:type="dxa"/>
            <w:shd w:val="clear" w:color="auto" w:fill="auto"/>
            <w:vAlign w:val="center"/>
          </w:tcPr>
          <w:p w14:paraId="0F8CF52A">
            <w:pPr>
              <w:widowControl/>
              <w:snapToGrid w:val="0"/>
              <w:jc w:val="center"/>
              <w:rPr>
                <w:kern w:val="0"/>
                <w:sz w:val="24"/>
                <w:szCs w:val="21"/>
              </w:rPr>
            </w:pPr>
          </w:p>
        </w:tc>
        <w:tc>
          <w:tcPr>
            <w:tcW w:w="2438" w:type="dxa"/>
            <w:shd w:val="clear" w:color="auto" w:fill="auto"/>
            <w:vAlign w:val="center"/>
          </w:tcPr>
          <w:p w14:paraId="79D6D32A">
            <w:pPr>
              <w:widowControl/>
              <w:snapToGrid w:val="0"/>
              <w:jc w:val="center"/>
              <w:rPr>
                <w:kern w:val="0"/>
                <w:sz w:val="24"/>
                <w:szCs w:val="21"/>
              </w:rPr>
            </w:pPr>
          </w:p>
        </w:tc>
        <w:tc>
          <w:tcPr>
            <w:tcW w:w="1289" w:type="dxa"/>
            <w:shd w:val="clear" w:color="auto" w:fill="auto"/>
            <w:vAlign w:val="center"/>
          </w:tcPr>
          <w:p w14:paraId="72C07AAC">
            <w:pPr>
              <w:widowControl/>
              <w:snapToGrid w:val="0"/>
              <w:jc w:val="center"/>
              <w:rPr>
                <w:kern w:val="0"/>
                <w:sz w:val="24"/>
                <w:szCs w:val="21"/>
              </w:rPr>
            </w:pPr>
          </w:p>
        </w:tc>
        <w:tc>
          <w:tcPr>
            <w:tcW w:w="843" w:type="dxa"/>
            <w:shd w:val="clear" w:color="auto" w:fill="auto"/>
            <w:vAlign w:val="center"/>
          </w:tcPr>
          <w:p w14:paraId="294D5D11">
            <w:pPr>
              <w:widowControl/>
              <w:snapToGrid w:val="0"/>
              <w:jc w:val="center"/>
              <w:rPr>
                <w:kern w:val="0"/>
                <w:sz w:val="24"/>
                <w:szCs w:val="21"/>
              </w:rPr>
            </w:pPr>
          </w:p>
        </w:tc>
      </w:tr>
      <w:tr w14:paraId="5A9AE94D">
        <w:trPr>
          <w:jc w:val="center"/>
        </w:trPr>
        <w:tc>
          <w:tcPr>
            <w:tcW w:w="843" w:type="dxa"/>
            <w:shd w:val="clear" w:color="auto" w:fill="auto"/>
            <w:vAlign w:val="center"/>
          </w:tcPr>
          <w:p w14:paraId="48E04B33">
            <w:pPr>
              <w:widowControl/>
              <w:snapToGrid w:val="0"/>
              <w:jc w:val="center"/>
              <w:rPr>
                <w:kern w:val="0"/>
                <w:sz w:val="24"/>
                <w:szCs w:val="21"/>
              </w:rPr>
            </w:pPr>
          </w:p>
        </w:tc>
        <w:tc>
          <w:tcPr>
            <w:tcW w:w="3922" w:type="dxa"/>
            <w:shd w:val="clear" w:color="auto" w:fill="auto"/>
            <w:vAlign w:val="center"/>
          </w:tcPr>
          <w:p w14:paraId="6F865F32">
            <w:pPr>
              <w:widowControl/>
              <w:snapToGrid w:val="0"/>
              <w:jc w:val="center"/>
              <w:rPr>
                <w:kern w:val="0"/>
                <w:sz w:val="24"/>
                <w:szCs w:val="21"/>
              </w:rPr>
            </w:pPr>
          </w:p>
        </w:tc>
        <w:tc>
          <w:tcPr>
            <w:tcW w:w="2438" w:type="dxa"/>
            <w:shd w:val="clear" w:color="auto" w:fill="auto"/>
            <w:vAlign w:val="center"/>
          </w:tcPr>
          <w:p w14:paraId="4E5B433B">
            <w:pPr>
              <w:widowControl/>
              <w:snapToGrid w:val="0"/>
              <w:jc w:val="center"/>
              <w:rPr>
                <w:kern w:val="0"/>
                <w:sz w:val="24"/>
                <w:szCs w:val="21"/>
              </w:rPr>
            </w:pPr>
          </w:p>
        </w:tc>
        <w:tc>
          <w:tcPr>
            <w:tcW w:w="1289" w:type="dxa"/>
            <w:shd w:val="clear" w:color="auto" w:fill="auto"/>
            <w:vAlign w:val="center"/>
          </w:tcPr>
          <w:p w14:paraId="2A6182FF">
            <w:pPr>
              <w:widowControl/>
              <w:snapToGrid w:val="0"/>
              <w:jc w:val="center"/>
              <w:rPr>
                <w:kern w:val="0"/>
                <w:sz w:val="24"/>
                <w:szCs w:val="21"/>
              </w:rPr>
            </w:pPr>
          </w:p>
        </w:tc>
        <w:tc>
          <w:tcPr>
            <w:tcW w:w="843" w:type="dxa"/>
            <w:shd w:val="clear" w:color="auto" w:fill="auto"/>
            <w:vAlign w:val="center"/>
          </w:tcPr>
          <w:p w14:paraId="7F3F20AB">
            <w:pPr>
              <w:widowControl/>
              <w:snapToGrid w:val="0"/>
              <w:jc w:val="center"/>
              <w:rPr>
                <w:kern w:val="0"/>
                <w:sz w:val="24"/>
                <w:szCs w:val="21"/>
              </w:rPr>
            </w:pPr>
          </w:p>
        </w:tc>
      </w:tr>
    </w:tbl>
    <w:p w14:paraId="366389BE">
      <w:pPr>
        <w:spacing w:line="620" w:lineRule="exact"/>
        <w:rPr>
          <w:sz w:val="24"/>
        </w:rPr>
      </w:pPr>
      <w:r>
        <w:rPr>
          <w:sz w:val="24"/>
        </w:rPr>
        <w:t>注：</w:t>
      </w:r>
    </w:p>
    <w:p w14:paraId="4558160C">
      <w:pPr>
        <w:spacing w:line="360" w:lineRule="auto"/>
        <w:rPr>
          <w:sz w:val="24"/>
        </w:rPr>
      </w:pPr>
      <w:r>
        <w:rPr>
          <w:sz w:val="24"/>
        </w:rPr>
        <w:t>1. 不如实填写偏离情况的投标文件将视为虚假材料。</w:t>
      </w:r>
    </w:p>
    <w:p w14:paraId="0093D30E">
      <w:pPr>
        <w:spacing w:line="360" w:lineRule="auto"/>
        <w:rPr>
          <w:sz w:val="24"/>
        </w:rPr>
      </w:pPr>
      <w:r>
        <w:rPr>
          <w:sz w:val="24"/>
        </w:rPr>
        <w:t>2. 招标要求指招标文件中规定的具体要求，投标应答指投标文件的具体内容。</w:t>
      </w:r>
    </w:p>
    <w:p w14:paraId="79E44753">
      <w:pPr>
        <w:spacing w:line="360" w:lineRule="auto"/>
        <w:rPr>
          <w:sz w:val="24"/>
        </w:rPr>
      </w:pPr>
      <w:r>
        <w:rPr>
          <w:sz w:val="24"/>
        </w:rPr>
        <w:t>3. 偏离说明指招标要求与投标应答之间的不同之处。</w:t>
      </w:r>
    </w:p>
    <w:p w14:paraId="6E17BBCF">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3A78585E">
      <w:pPr>
        <w:spacing w:line="360" w:lineRule="auto"/>
        <w:ind w:firstLine="3808" w:firstLineChars="1700"/>
        <w:rPr>
          <w:sz w:val="24"/>
        </w:rPr>
      </w:pPr>
      <w:r>
        <w:rPr>
          <w:sz w:val="24"/>
        </w:rPr>
        <w:t>投标人名称：</w:t>
      </w:r>
    </w:p>
    <w:p w14:paraId="505D835B">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80CCAEB">
      <w:pPr>
        <w:tabs>
          <w:tab w:val="left" w:pos="360"/>
        </w:tabs>
        <w:spacing w:after="285" w:afterLines="100" w:line="360" w:lineRule="auto"/>
        <w:rPr>
          <w:b/>
          <w:sz w:val="24"/>
        </w:rPr>
      </w:pPr>
      <w:r>
        <w:rPr>
          <w:sz w:val="24"/>
        </w:rPr>
        <w:br w:type="page"/>
      </w:r>
      <w:r>
        <w:rPr>
          <w:b/>
          <w:sz w:val="24"/>
        </w:rPr>
        <w:t>附件6</w:t>
      </w:r>
    </w:p>
    <w:p w14:paraId="7B7EDB2D">
      <w:pPr>
        <w:autoSpaceDN w:val="0"/>
        <w:spacing w:line="360" w:lineRule="auto"/>
        <w:jc w:val="center"/>
        <w:rPr>
          <w:b/>
          <w:bCs/>
          <w:sz w:val="24"/>
        </w:rPr>
      </w:pPr>
      <w:r>
        <w:rPr>
          <w:b/>
          <w:sz w:val="24"/>
        </w:rPr>
        <w:t>主要相关项目业绩一览表</w:t>
      </w:r>
    </w:p>
    <w:p w14:paraId="77031BCA">
      <w:pPr>
        <w:spacing w:line="460" w:lineRule="exact"/>
        <w:ind w:left="192"/>
        <w:rPr>
          <w:sz w:val="24"/>
        </w:rPr>
      </w:pPr>
    </w:p>
    <w:p w14:paraId="436CFE48">
      <w:pPr>
        <w:spacing w:line="460" w:lineRule="exact"/>
        <w:rPr>
          <w:sz w:val="24"/>
        </w:rPr>
      </w:pPr>
      <w:r>
        <w:rPr>
          <w:sz w:val="24"/>
        </w:rPr>
        <w:t>项目名称：</w:t>
      </w:r>
      <w:r>
        <w:rPr>
          <w:sz w:val="24"/>
          <w:u w:val="single"/>
        </w:rPr>
        <w:t xml:space="preserve">                    </w:t>
      </w:r>
    </w:p>
    <w:p w14:paraId="01DF2CA7">
      <w:pPr>
        <w:spacing w:line="460" w:lineRule="exact"/>
        <w:rPr>
          <w:sz w:val="24"/>
        </w:rPr>
      </w:pPr>
      <w:r>
        <w:rPr>
          <w:sz w:val="24"/>
        </w:rPr>
        <w:t>项目编号：</w:t>
      </w:r>
      <w:r>
        <w:rPr>
          <w:sz w:val="24"/>
          <w:u w:val="single"/>
        </w:rPr>
        <w:t xml:space="preserve">                    </w:t>
      </w:r>
    </w:p>
    <w:p w14:paraId="13ABD51B">
      <w:pPr>
        <w:spacing w:line="460" w:lineRule="exact"/>
        <w:rPr>
          <w:sz w:val="24"/>
          <w:u w:val="single"/>
        </w:rPr>
      </w:pPr>
      <w:r>
        <w:rPr>
          <w:sz w:val="24"/>
        </w:rPr>
        <w:t>包号：</w:t>
      </w:r>
      <w:r>
        <w:rPr>
          <w:sz w:val="24"/>
          <w:u w:val="single"/>
        </w:rPr>
        <w:t xml:space="preserve">                        </w:t>
      </w:r>
    </w:p>
    <w:p w14:paraId="650FB933">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2C6C054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3D0B7EE">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4552833E">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3493AF7C">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18F256AC">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40F0F37E">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2543E7AB">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3316E307">
            <w:pPr>
              <w:snapToGrid w:val="0"/>
              <w:jc w:val="center"/>
              <w:rPr>
                <w:sz w:val="24"/>
              </w:rPr>
            </w:pPr>
            <w:r>
              <w:rPr>
                <w:sz w:val="24"/>
              </w:rPr>
              <w:t>合同金额</w:t>
            </w:r>
          </w:p>
        </w:tc>
      </w:tr>
      <w:tr w14:paraId="54BFAB7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249A22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86844A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B19874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0DEFEB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B0D0C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11E8D1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B51662">
            <w:pPr>
              <w:snapToGrid w:val="0"/>
              <w:jc w:val="center"/>
              <w:rPr>
                <w:sz w:val="24"/>
              </w:rPr>
            </w:pPr>
          </w:p>
        </w:tc>
      </w:tr>
      <w:tr w14:paraId="3AC7DF1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4342B1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CE402F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C4270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065062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D2EDFC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5458A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1CFA87">
            <w:pPr>
              <w:snapToGrid w:val="0"/>
              <w:jc w:val="center"/>
              <w:rPr>
                <w:sz w:val="24"/>
              </w:rPr>
            </w:pPr>
          </w:p>
        </w:tc>
      </w:tr>
      <w:tr w14:paraId="72A5115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521329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2CB4ED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365CA7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39942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B0CA65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BF392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7C559E1">
            <w:pPr>
              <w:snapToGrid w:val="0"/>
              <w:jc w:val="center"/>
              <w:rPr>
                <w:sz w:val="24"/>
              </w:rPr>
            </w:pPr>
          </w:p>
        </w:tc>
      </w:tr>
      <w:tr w14:paraId="5E58131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78392A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87B98F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C4FA21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629700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33EFB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F87C1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4709A5">
            <w:pPr>
              <w:snapToGrid w:val="0"/>
              <w:jc w:val="center"/>
              <w:rPr>
                <w:sz w:val="24"/>
              </w:rPr>
            </w:pPr>
          </w:p>
        </w:tc>
      </w:tr>
      <w:tr w14:paraId="03080A3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40B6CB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174428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0AB6A7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60609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0BA7B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1D49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DF81FC5">
            <w:pPr>
              <w:snapToGrid w:val="0"/>
              <w:jc w:val="center"/>
              <w:rPr>
                <w:sz w:val="24"/>
              </w:rPr>
            </w:pPr>
          </w:p>
        </w:tc>
      </w:tr>
      <w:tr w14:paraId="1A267D3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CAE942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C9AD14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3105B3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5C4A8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82722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D0230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B836DE8">
            <w:pPr>
              <w:snapToGrid w:val="0"/>
              <w:jc w:val="center"/>
              <w:rPr>
                <w:sz w:val="24"/>
              </w:rPr>
            </w:pPr>
          </w:p>
        </w:tc>
      </w:tr>
      <w:tr w14:paraId="718BD44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E267DC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38149F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D3C2A7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1E79D7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70A99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2E9801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D9D99A2">
            <w:pPr>
              <w:snapToGrid w:val="0"/>
              <w:jc w:val="center"/>
              <w:rPr>
                <w:sz w:val="24"/>
              </w:rPr>
            </w:pPr>
          </w:p>
        </w:tc>
      </w:tr>
      <w:tr w14:paraId="2639C77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2344E6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4DB6B5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EC8F71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3DFCA2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80D520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58562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BDE566">
            <w:pPr>
              <w:snapToGrid w:val="0"/>
              <w:jc w:val="center"/>
              <w:rPr>
                <w:sz w:val="24"/>
              </w:rPr>
            </w:pPr>
          </w:p>
        </w:tc>
      </w:tr>
      <w:tr w14:paraId="1BF285D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D4A8F5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44227E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4C189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8489CD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766D6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25683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03B24D">
            <w:pPr>
              <w:snapToGrid w:val="0"/>
              <w:jc w:val="center"/>
              <w:rPr>
                <w:sz w:val="24"/>
              </w:rPr>
            </w:pPr>
          </w:p>
        </w:tc>
      </w:tr>
      <w:tr w14:paraId="229E371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AAAD9A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38AA03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08D473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3DD8EB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23FFAB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D53C4A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3598FB8">
            <w:pPr>
              <w:snapToGrid w:val="0"/>
              <w:jc w:val="center"/>
              <w:rPr>
                <w:sz w:val="24"/>
              </w:rPr>
            </w:pPr>
          </w:p>
        </w:tc>
      </w:tr>
      <w:tr w14:paraId="49858AE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BE9936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4F3596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686F16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CFE4E6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A2A42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69686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FEB700">
            <w:pPr>
              <w:snapToGrid w:val="0"/>
              <w:jc w:val="center"/>
              <w:rPr>
                <w:sz w:val="24"/>
              </w:rPr>
            </w:pPr>
          </w:p>
        </w:tc>
      </w:tr>
    </w:tbl>
    <w:p w14:paraId="054D7401">
      <w:pPr>
        <w:spacing w:line="560" w:lineRule="exact"/>
        <w:rPr>
          <w:sz w:val="24"/>
        </w:rPr>
      </w:pPr>
      <w:r>
        <w:rPr>
          <w:sz w:val="24"/>
        </w:rPr>
        <w:t>备注：若招标文件第二部分评分因素及评标标准中要求提供业绩的，投标人所列业绩应按其要求将证明材料按顺序附后。</w:t>
      </w:r>
    </w:p>
    <w:p w14:paraId="4A670358">
      <w:pPr>
        <w:spacing w:line="560" w:lineRule="exact"/>
        <w:rPr>
          <w:sz w:val="24"/>
        </w:rPr>
      </w:pPr>
    </w:p>
    <w:p w14:paraId="6222148D">
      <w:pPr>
        <w:spacing w:line="360" w:lineRule="auto"/>
        <w:ind w:firstLine="3808" w:firstLineChars="1700"/>
        <w:rPr>
          <w:sz w:val="24"/>
        </w:rPr>
      </w:pPr>
      <w:r>
        <w:rPr>
          <w:sz w:val="24"/>
        </w:rPr>
        <w:t>投标人名称：</w:t>
      </w:r>
    </w:p>
    <w:p w14:paraId="51B123EF">
      <w:pPr>
        <w:spacing w:line="360" w:lineRule="auto"/>
        <w:ind w:firstLine="3808" w:firstLineChars="1700"/>
        <w:rPr>
          <w:sz w:val="24"/>
        </w:rPr>
      </w:pPr>
    </w:p>
    <w:p w14:paraId="7DE4564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D315B6E">
      <w:pPr>
        <w:spacing w:line="460" w:lineRule="exact"/>
        <w:rPr>
          <w:sz w:val="24"/>
        </w:rPr>
      </w:pPr>
    </w:p>
    <w:p w14:paraId="03FD5DE1">
      <w:pPr>
        <w:widowControl/>
        <w:jc w:val="left"/>
        <w:rPr>
          <w:sz w:val="24"/>
        </w:rPr>
      </w:pPr>
      <w:r>
        <w:rPr>
          <w:sz w:val="24"/>
        </w:rPr>
        <w:br w:type="page"/>
      </w:r>
    </w:p>
    <w:p w14:paraId="531F8002">
      <w:pPr>
        <w:spacing w:line="480" w:lineRule="auto"/>
        <w:rPr>
          <w:b/>
          <w:sz w:val="24"/>
        </w:rPr>
      </w:pPr>
      <w:r>
        <w:rPr>
          <w:rFonts w:hint="eastAsia"/>
          <w:b/>
          <w:sz w:val="24"/>
        </w:rPr>
        <w:t>附件7</w:t>
      </w:r>
    </w:p>
    <w:p w14:paraId="46842823">
      <w:pPr>
        <w:autoSpaceDN w:val="0"/>
        <w:spacing w:line="360" w:lineRule="auto"/>
        <w:jc w:val="center"/>
        <w:rPr>
          <w:b/>
          <w:bCs/>
          <w:sz w:val="24"/>
        </w:rPr>
      </w:pPr>
      <w:r>
        <w:rPr>
          <w:rFonts w:hint="eastAsia"/>
          <w:b/>
          <w:bCs/>
          <w:sz w:val="24"/>
        </w:rPr>
        <w:t>投标</w:t>
      </w:r>
      <w:r>
        <w:rPr>
          <w:b/>
          <w:bCs/>
          <w:sz w:val="24"/>
        </w:rPr>
        <w:t>代表人授权书</w:t>
      </w:r>
    </w:p>
    <w:p w14:paraId="191EB4D3">
      <w:pPr>
        <w:spacing w:line="360" w:lineRule="auto"/>
        <w:rPr>
          <w:sz w:val="24"/>
          <w:szCs w:val="21"/>
        </w:rPr>
      </w:pPr>
    </w:p>
    <w:p w14:paraId="2912CD88">
      <w:pPr>
        <w:spacing w:line="360" w:lineRule="auto"/>
        <w:rPr>
          <w:sz w:val="24"/>
          <w:szCs w:val="21"/>
        </w:rPr>
      </w:pPr>
      <w:r>
        <w:rPr>
          <w:sz w:val="24"/>
          <w:szCs w:val="21"/>
        </w:rPr>
        <w:t>致：天津市政府采购中心</w:t>
      </w:r>
    </w:p>
    <w:p w14:paraId="43AE866B">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7D100077">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03E64E8F">
      <w:pPr>
        <w:spacing w:line="360" w:lineRule="auto"/>
        <w:ind w:firstLine="448" w:firstLineChars="200"/>
        <w:rPr>
          <w:sz w:val="24"/>
          <w:szCs w:val="21"/>
        </w:rPr>
      </w:pPr>
      <w:r>
        <w:rPr>
          <w:sz w:val="24"/>
          <w:szCs w:val="21"/>
        </w:rPr>
        <w:t>本授权书至投标有效期结束前始终有效。</w:t>
      </w:r>
    </w:p>
    <w:p w14:paraId="7A1507F5">
      <w:pPr>
        <w:spacing w:line="360" w:lineRule="auto"/>
        <w:ind w:firstLine="448" w:firstLineChars="200"/>
        <w:rPr>
          <w:sz w:val="24"/>
          <w:szCs w:val="21"/>
        </w:rPr>
      </w:pPr>
      <w:r>
        <w:rPr>
          <w:sz w:val="24"/>
          <w:szCs w:val="21"/>
        </w:rPr>
        <w:t>投标代表人无转委托权，特此委托。</w:t>
      </w:r>
    </w:p>
    <w:p w14:paraId="53A59C13">
      <w:pPr>
        <w:spacing w:line="360" w:lineRule="auto"/>
        <w:ind w:firstLine="448" w:firstLineChars="200"/>
        <w:rPr>
          <w:sz w:val="24"/>
        </w:rPr>
      </w:pPr>
    </w:p>
    <w:p w14:paraId="26E290EB">
      <w:pPr>
        <w:spacing w:line="360" w:lineRule="auto"/>
        <w:ind w:firstLine="448" w:firstLineChars="200"/>
        <w:rPr>
          <w:sz w:val="24"/>
        </w:rPr>
      </w:pPr>
    </w:p>
    <w:p w14:paraId="175E84F9">
      <w:pPr>
        <w:spacing w:line="360" w:lineRule="auto"/>
        <w:ind w:firstLine="448" w:firstLineChars="200"/>
        <w:rPr>
          <w:sz w:val="24"/>
        </w:rPr>
      </w:pPr>
    </w:p>
    <w:p w14:paraId="30D8A434">
      <w:pPr>
        <w:spacing w:line="480" w:lineRule="auto"/>
        <w:jc w:val="center"/>
        <w:rPr>
          <w:sz w:val="24"/>
        </w:rPr>
      </w:pPr>
      <w:r>
        <w:rPr>
          <w:sz w:val="24"/>
        </w:rPr>
        <w:t xml:space="preserve">     年   月   日  </w:t>
      </w:r>
    </w:p>
    <w:p w14:paraId="34833826">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70F7972C">
        <w:tc>
          <w:tcPr>
            <w:tcW w:w="4264" w:type="dxa"/>
          </w:tcPr>
          <w:p w14:paraId="71985BFB">
            <w:pPr>
              <w:spacing w:line="360" w:lineRule="auto"/>
              <w:jc w:val="left"/>
              <w:rPr>
                <w:sz w:val="24"/>
              </w:rPr>
            </w:pPr>
            <w:r>
              <w:rPr>
                <w:sz w:val="24"/>
              </w:rPr>
              <w:t>投标代表人身份证正面</w:t>
            </w:r>
          </w:p>
          <w:p w14:paraId="6388AD01">
            <w:pPr>
              <w:spacing w:line="360" w:lineRule="auto"/>
              <w:jc w:val="left"/>
              <w:rPr>
                <w:sz w:val="24"/>
              </w:rPr>
            </w:pPr>
          </w:p>
          <w:p w14:paraId="5206765D">
            <w:pPr>
              <w:spacing w:line="360" w:lineRule="auto"/>
              <w:jc w:val="left"/>
              <w:rPr>
                <w:sz w:val="24"/>
              </w:rPr>
            </w:pPr>
          </w:p>
          <w:p w14:paraId="0B5ECC06">
            <w:pPr>
              <w:spacing w:line="360" w:lineRule="auto"/>
              <w:jc w:val="left"/>
              <w:rPr>
                <w:sz w:val="24"/>
              </w:rPr>
            </w:pPr>
          </w:p>
          <w:p w14:paraId="73740C42">
            <w:pPr>
              <w:spacing w:line="360" w:lineRule="auto"/>
              <w:jc w:val="left"/>
              <w:rPr>
                <w:sz w:val="24"/>
              </w:rPr>
            </w:pPr>
          </w:p>
          <w:p w14:paraId="3998AEEC">
            <w:pPr>
              <w:spacing w:line="360" w:lineRule="auto"/>
              <w:jc w:val="left"/>
              <w:rPr>
                <w:sz w:val="24"/>
              </w:rPr>
            </w:pPr>
          </w:p>
        </w:tc>
        <w:tc>
          <w:tcPr>
            <w:tcW w:w="4264" w:type="dxa"/>
          </w:tcPr>
          <w:p w14:paraId="5F6D81DD">
            <w:pPr>
              <w:spacing w:line="360" w:lineRule="auto"/>
              <w:jc w:val="left"/>
              <w:rPr>
                <w:sz w:val="24"/>
              </w:rPr>
            </w:pPr>
            <w:r>
              <w:rPr>
                <w:sz w:val="24"/>
              </w:rPr>
              <w:t>投标代表人身份证背面</w:t>
            </w:r>
          </w:p>
        </w:tc>
      </w:tr>
    </w:tbl>
    <w:p w14:paraId="1299253D">
      <w:pPr>
        <w:widowControl/>
        <w:jc w:val="left"/>
        <w:rPr>
          <w:sz w:val="24"/>
        </w:rPr>
      </w:pPr>
      <w:r>
        <w:rPr>
          <w:sz w:val="24"/>
        </w:rPr>
        <w:br w:type="page"/>
      </w:r>
    </w:p>
    <w:p w14:paraId="7CA8715A">
      <w:pPr>
        <w:autoSpaceDN w:val="0"/>
        <w:spacing w:line="360" w:lineRule="auto"/>
        <w:jc w:val="left"/>
        <w:rPr>
          <w:b/>
          <w:bCs/>
          <w:sz w:val="24"/>
        </w:rPr>
      </w:pPr>
      <w:r>
        <w:rPr>
          <w:b/>
          <w:bCs/>
          <w:sz w:val="24"/>
        </w:rPr>
        <w:t>附件</w:t>
      </w:r>
      <w:r>
        <w:rPr>
          <w:rFonts w:hint="eastAsia"/>
          <w:b/>
          <w:bCs/>
          <w:sz w:val="24"/>
        </w:rPr>
        <w:t>8</w:t>
      </w:r>
    </w:p>
    <w:p w14:paraId="1A800849">
      <w:pPr>
        <w:autoSpaceDE w:val="0"/>
        <w:autoSpaceDN w:val="0"/>
        <w:spacing w:line="480" w:lineRule="auto"/>
        <w:jc w:val="center"/>
        <w:rPr>
          <w:sz w:val="24"/>
          <w:szCs w:val="24"/>
        </w:rPr>
      </w:pPr>
      <w:r>
        <w:rPr>
          <w:b/>
          <w:sz w:val="24"/>
          <w:szCs w:val="24"/>
        </w:rPr>
        <w:t>中小企业声明函（服务）</w:t>
      </w:r>
    </w:p>
    <w:p w14:paraId="3C2B189F">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                          </w:t>
      </w:r>
      <w:r>
        <w:rPr>
          <w:sz w:val="24"/>
          <w:szCs w:val="24"/>
        </w:rPr>
        <w:t>采购活动，服务全部由符合政策要求的中小企业承接。相关企业（含联合体中的中小企业、签订分包意向协议的中小企业）的具体情况如下：</w:t>
      </w:r>
    </w:p>
    <w:p w14:paraId="67AA3B4C">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                               </w:t>
      </w:r>
      <w:r>
        <w:rPr>
          <w:sz w:val="24"/>
          <w:szCs w:val="24"/>
        </w:rPr>
        <w:t>，属于</w:t>
      </w:r>
      <w:r>
        <w:rPr>
          <w:sz w:val="24"/>
          <w:szCs w:val="24"/>
          <w:u w:val="single"/>
        </w:rPr>
        <w:t xml:space="preserve"> </w:t>
      </w:r>
      <w:r>
        <w:rPr>
          <w:rFonts w:hint="eastAsia"/>
          <w:sz w:val="24"/>
          <w:u w:val="single"/>
        </w:rPr>
        <w:t xml:space="preserve">软件和信息技术服务业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1E6E0DFC">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644B742">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0928514D">
      <w:pPr>
        <w:autoSpaceDE w:val="0"/>
        <w:autoSpaceDN w:val="0"/>
        <w:spacing w:line="500" w:lineRule="exact"/>
        <w:ind w:left="3840"/>
        <w:jc w:val="left"/>
        <w:rPr>
          <w:sz w:val="24"/>
          <w:szCs w:val="24"/>
        </w:rPr>
      </w:pPr>
      <w:r>
        <w:rPr>
          <w:sz w:val="24"/>
          <w:szCs w:val="24"/>
        </w:rPr>
        <w:t>投标人名称：</w:t>
      </w:r>
    </w:p>
    <w:p w14:paraId="373D467A">
      <w:pPr>
        <w:autoSpaceDE w:val="0"/>
        <w:autoSpaceDN w:val="0"/>
        <w:spacing w:line="500" w:lineRule="exact"/>
        <w:ind w:left="3840"/>
        <w:jc w:val="left"/>
        <w:rPr>
          <w:sz w:val="32"/>
        </w:rPr>
      </w:pPr>
      <w:r>
        <w:rPr>
          <w:sz w:val="24"/>
          <w:szCs w:val="24"/>
        </w:rPr>
        <w:t>日期：</w:t>
      </w:r>
    </w:p>
    <w:p w14:paraId="6F9ED5F6">
      <w:pPr>
        <w:spacing w:line="360" w:lineRule="auto"/>
        <w:ind w:right="84" w:firstLine="224" w:firstLineChars="100"/>
        <w:rPr>
          <w:b/>
          <w:sz w:val="24"/>
          <w:szCs w:val="24"/>
        </w:rPr>
      </w:pPr>
      <w:r>
        <w:rPr>
          <w:b/>
          <w:sz w:val="24"/>
          <w:szCs w:val="24"/>
        </w:rPr>
        <w:t>注：</w:t>
      </w:r>
    </w:p>
    <w:p w14:paraId="348BE4D6">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35ECC6B9">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1B3D5657">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41FF5941">
      <w:pPr>
        <w:autoSpaceDN w:val="0"/>
        <w:spacing w:line="360" w:lineRule="auto"/>
        <w:rPr>
          <w:b/>
          <w:bCs/>
          <w:sz w:val="24"/>
        </w:rPr>
      </w:pPr>
      <w:r>
        <w:rPr>
          <w:sz w:val="24"/>
        </w:rPr>
        <w:br w:type="page"/>
      </w:r>
      <w:bookmarkStart w:id="6" w:name="OLE_LINK14"/>
      <w:bookmarkStart w:id="7" w:name="OLE_LINK13"/>
      <w:r>
        <w:rPr>
          <w:rFonts w:hint="eastAsia"/>
          <w:b/>
          <w:bCs/>
          <w:sz w:val="24"/>
        </w:rPr>
        <w:t>附件9</w:t>
      </w:r>
    </w:p>
    <w:bookmarkEnd w:id="6"/>
    <w:bookmarkEnd w:id="7"/>
    <w:p w14:paraId="60DC068A">
      <w:pPr>
        <w:autoSpaceDN w:val="0"/>
        <w:spacing w:line="360" w:lineRule="auto"/>
        <w:jc w:val="left"/>
        <w:rPr>
          <w:b/>
          <w:bCs/>
          <w:sz w:val="24"/>
        </w:rPr>
      </w:pPr>
      <w:r>
        <w:rPr>
          <w:rFonts w:hint="eastAsia"/>
          <w:b/>
          <w:kern w:val="0"/>
          <w:sz w:val="24"/>
          <w:szCs w:val="21"/>
        </w:rPr>
        <w:t>若不是残疾人福利性单位，投标文件中可不提供此声明函</w:t>
      </w:r>
    </w:p>
    <w:p w14:paraId="7D548743">
      <w:pPr>
        <w:autoSpaceDN w:val="0"/>
        <w:spacing w:line="360" w:lineRule="auto"/>
        <w:jc w:val="center"/>
        <w:rPr>
          <w:b/>
          <w:bCs/>
          <w:sz w:val="24"/>
        </w:rPr>
      </w:pPr>
    </w:p>
    <w:p w14:paraId="40E6038C">
      <w:pPr>
        <w:snapToGrid w:val="0"/>
        <w:spacing w:line="360" w:lineRule="auto"/>
        <w:jc w:val="center"/>
        <w:rPr>
          <w:b/>
          <w:bCs/>
          <w:sz w:val="24"/>
        </w:rPr>
      </w:pPr>
      <w:r>
        <w:rPr>
          <w:rFonts w:hint="eastAsia"/>
          <w:b/>
          <w:bCs/>
          <w:sz w:val="24"/>
        </w:rPr>
        <w:t>残疾人福利性单位声明函</w:t>
      </w:r>
    </w:p>
    <w:p w14:paraId="46C96AF9">
      <w:pPr>
        <w:snapToGrid w:val="0"/>
        <w:spacing w:line="360" w:lineRule="auto"/>
        <w:ind w:firstLine="448" w:firstLineChars="200"/>
        <w:jc w:val="left"/>
        <w:rPr>
          <w:b/>
          <w:bCs/>
          <w:sz w:val="24"/>
        </w:rPr>
      </w:pPr>
    </w:p>
    <w:p w14:paraId="77147E0F">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D81E3FF">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5BB6D603">
      <w:pPr>
        <w:snapToGrid w:val="0"/>
        <w:spacing w:line="360" w:lineRule="auto"/>
        <w:ind w:firstLine="448" w:firstLineChars="200"/>
        <w:jc w:val="left"/>
        <w:rPr>
          <w:bCs/>
          <w:sz w:val="24"/>
        </w:rPr>
      </w:pPr>
    </w:p>
    <w:p w14:paraId="090DE00C">
      <w:pPr>
        <w:snapToGrid w:val="0"/>
        <w:spacing w:line="360" w:lineRule="auto"/>
        <w:ind w:firstLine="448" w:firstLineChars="200"/>
        <w:jc w:val="left"/>
        <w:rPr>
          <w:bCs/>
          <w:sz w:val="24"/>
        </w:rPr>
      </w:pPr>
    </w:p>
    <w:p w14:paraId="0736EDAF">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7DB36152">
      <w:pPr>
        <w:snapToGrid w:val="0"/>
        <w:spacing w:line="360" w:lineRule="auto"/>
        <w:ind w:firstLine="448" w:firstLineChars="200"/>
        <w:jc w:val="left"/>
        <w:rPr>
          <w:bCs/>
          <w:sz w:val="24"/>
        </w:rPr>
      </w:pPr>
    </w:p>
    <w:p w14:paraId="19F71524">
      <w:pPr>
        <w:snapToGrid w:val="0"/>
        <w:spacing w:line="360" w:lineRule="auto"/>
        <w:ind w:firstLine="448" w:firstLineChars="200"/>
        <w:jc w:val="left"/>
        <w:rPr>
          <w:sz w:val="24"/>
          <w:szCs w:val="21"/>
        </w:rPr>
      </w:pPr>
      <w:r>
        <w:rPr>
          <w:rFonts w:hint="eastAsia"/>
          <w:bCs/>
          <w:sz w:val="24"/>
        </w:rPr>
        <w:t xml:space="preserve">               日  期：</w:t>
      </w:r>
    </w:p>
    <w:p w14:paraId="19F5FE4B">
      <w:pPr>
        <w:snapToGrid w:val="0"/>
        <w:spacing w:line="360" w:lineRule="auto"/>
        <w:ind w:firstLine="448" w:firstLineChars="200"/>
        <w:jc w:val="left"/>
        <w:rPr>
          <w:sz w:val="24"/>
          <w:szCs w:val="21"/>
        </w:rPr>
      </w:pPr>
    </w:p>
    <w:p w14:paraId="74809AF6">
      <w:pPr>
        <w:snapToGrid w:val="0"/>
        <w:spacing w:line="360" w:lineRule="auto"/>
        <w:ind w:firstLine="448" w:firstLineChars="200"/>
        <w:rPr>
          <w:sz w:val="24"/>
          <w:szCs w:val="21"/>
        </w:rPr>
      </w:pPr>
      <w:r>
        <w:rPr>
          <w:sz w:val="24"/>
          <w:szCs w:val="21"/>
        </w:rPr>
        <w:t>注：</w:t>
      </w:r>
    </w:p>
    <w:p w14:paraId="445BFB6E">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4C516320">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70FCADC2">
      <w:pPr>
        <w:widowControl/>
        <w:jc w:val="left"/>
        <w:rPr>
          <w:sz w:val="24"/>
        </w:rPr>
      </w:pPr>
      <w:r>
        <w:rPr>
          <w:sz w:val="24"/>
        </w:rPr>
        <w:br w:type="page"/>
      </w:r>
    </w:p>
    <w:p w14:paraId="19F9CD51">
      <w:pPr>
        <w:tabs>
          <w:tab w:val="left" w:pos="360"/>
        </w:tabs>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758092FB">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p w14:paraId="1BF1E570">
      <w:pPr>
        <w:tabs>
          <w:tab w:val="left" w:pos="360"/>
        </w:tabs>
        <w:spacing w:after="285" w:afterLines="100" w:line="360" w:lineRule="auto"/>
        <w:ind w:firstLine="448" w:firstLineChars="200"/>
        <w:rPr>
          <w:sz w:val="24"/>
          <w:szCs w:val="21"/>
        </w:rPr>
      </w:pPr>
    </w:p>
    <w:sectPr>
      <w:footerReference r:id="rId4"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苹方-简">
    <w:panose1 w:val="020B0400000000000000"/>
    <w:charset w:val="86"/>
    <w:family w:val="auto"/>
    <w:pitch w:val="default"/>
    <w:sig w:usb0="A00002FF" w:usb1="7ACFFDFB" w:usb2="00000017"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Century Gothic">
    <w:panose1 w:val="020B0502020202020204"/>
    <w:charset w:val="00"/>
    <w:family w:val="swiss"/>
    <w:pitch w:val="default"/>
    <w:sig w:usb0="00000003" w:usb1="00000000" w:usb2="00000000" w:usb3="00000000" w:csb0="0000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9BBF3">
    <w:pPr>
      <w:pStyle w:val="14"/>
      <w:jc w:val="center"/>
    </w:pPr>
    <w:r>
      <w:rPr>
        <w:b/>
      </w:rPr>
      <w:fldChar w:fldCharType="begin"/>
    </w:r>
    <w:r>
      <w:rPr>
        <w:b/>
      </w:rPr>
      <w:instrText xml:space="preserve">PAGE  \* Arabic  \* MERGEFORMAT</w:instrText>
    </w:r>
    <w:r>
      <w:rPr>
        <w:b/>
      </w:rPr>
      <w:fldChar w:fldCharType="separate"/>
    </w:r>
    <w:r>
      <w:rPr>
        <w:b/>
        <w:lang w:val="zh-CN"/>
      </w:rPr>
      <w:t>48</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14413">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64D"/>
    <w:rsid w:val="000B2975"/>
    <w:rsid w:val="000B3B22"/>
    <w:rsid w:val="000B4BF2"/>
    <w:rsid w:val="000C24D7"/>
    <w:rsid w:val="000C337F"/>
    <w:rsid w:val="000C6CA8"/>
    <w:rsid w:val="000C7A3F"/>
    <w:rsid w:val="000D1424"/>
    <w:rsid w:val="000D18BF"/>
    <w:rsid w:val="000D26D7"/>
    <w:rsid w:val="000D2E2F"/>
    <w:rsid w:val="000D2F5A"/>
    <w:rsid w:val="000D514E"/>
    <w:rsid w:val="000D5DE9"/>
    <w:rsid w:val="000D6C11"/>
    <w:rsid w:val="000D6CA1"/>
    <w:rsid w:val="000E1CB6"/>
    <w:rsid w:val="000E50F9"/>
    <w:rsid w:val="000E5380"/>
    <w:rsid w:val="000E6A76"/>
    <w:rsid w:val="000E7E48"/>
    <w:rsid w:val="000F1202"/>
    <w:rsid w:val="000F1454"/>
    <w:rsid w:val="000F31B3"/>
    <w:rsid w:val="000F48D9"/>
    <w:rsid w:val="000F4D4E"/>
    <w:rsid w:val="000F5C82"/>
    <w:rsid w:val="000F6957"/>
    <w:rsid w:val="001038F9"/>
    <w:rsid w:val="001047BE"/>
    <w:rsid w:val="001072ED"/>
    <w:rsid w:val="001079F4"/>
    <w:rsid w:val="00110A24"/>
    <w:rsid w:val="00111969"/>
    <w:rsid w:val="00115721"/>
    <w:rsid w:val="001165C6"/>
    <w:rsid w:val="0012139A"/>
    <w:rsid w:val="00121CDE"/>
    <w:rsid w:val="00122957"/>
    <w:rsid w:val="00123BF8"/>
    <w:rsid w:val="00125059"/>
    <w:rsid w:val="001256ED"/>
    <w:rsid w:val="0012609D"/>
    <w:rsid w:val="00130AD2"/>
    <w:rsid w:val="001354C5"/>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77D80"/>
    <w:rsid w:val="00181ED5"/>
    <w:rsid w:val="001822E0"/>
    <w:rsid w:val="001834DA"/>
    <w:rsid w:val="001837F4"/>
    <w:rsid w:val="00183D6B"/>
    <w:rsid w:val="0018594D"/>
    <w:rsid w:val="00185D85"/>
    <w:rsid w:val="001871F3"/>
    <w:rsid w:val="00192CBF"/>
    <w:rsid w:val="00193212"/>
    <w:rsid w:val="00193BCD"/>
    <w:rsid w:val="0019431D"/>
    <w:rsid w:val="00194FBC"/>
    <w:rsid w:val="001968FF"/>
    <w:rsid w:val="00196A86"/>
    <w:rsid w:val="00196D6B"/>
    <w:rsid w:val="00196E07"/>
    <w:rsid w:val="001A142F"/>
    <w:rsid w:val="001A1AFA"/>
    <w:rsid w:val="001A2919"/>
    <w:rsid w:val="001A3DE3"/>
    <w:rsid w:val="001A46F9"/>
    <w:rsid w:val="001A5FD4"/>
    <w:rsid w:val="001A609F"/>
    <w:rsid w:val="001A758C"/>
    <w:rsid w:val="001B5BEA"/>
    <w:rsid w:val="001B6668"/>
    <w:rsid w:val="001C0E64"/>
    <w:rsid w:val="001C1981"/>
    <w:rsid w:val="001C4E69"/>
    <w:rsid w:val="001C50CC"/>
    <w:rsid w:val="001C53AD"/>
    <w:rsid w:val="001D1850"/>
    <w:rsid w:val="001D4F15"/>
    <w:rsid w:val="001D4FB9"/>
    <w:rsid w:val="001E3051"/>
    <w:rsid w:val="001E3CB7"/>
    <w:rsid w:val="001F0ABE"/>
    <w:rsid w:val="001F2B50"/>
    <w:rsid w:val="001F345B"/>
    <w:rsid w:val="001F4AD6"/>
    <w:rsid w:val="001F5D75"/>
    <w:rsid w:val="001F623F"/>
    <w:rsid w:val="001F65EF"/>
    <w:rsid w:val="001F6DCF"/>
    <w:rsid w:val="001F7224"/>
    <w:rsid w:val="00200009"/>
    <w:rsid w:val="00201479"/>
    <w:rsid w:val="002019E0"/>
    <w:rsid w:val="002027E3"/>
    <w:rsid w:val="00206328"/>
    <w:rsid w:val="00206F1C"/>
    <w:rsid w:val="002113A2"/>
    <w:rsid w:val="00212E26"/>
    <w:rsid w:val="00214D65"/>
    <w:rsid w:val="0021541C"/>
    <w:rsid w:val="0021638D"/>
    <w:rsid w:val="002164D4"/>
    <w:rsid w:val="0022038D"/>
    <w:rsid w:val="00220883"/>
    <w:rsid w:val="00224174"/>
    <w:rsid w:val="00226247"/>
    <w:rsid w:val="00230077"/>
    <w:rsid w:val="00231FDD"/>
    <w:rsid w:val="002320BD"/>
    <w:rsid w:val="00233239"/>
    <w:rsid w:val="002333B4"/>
    <w:rsid w:val="00236008"/>
    <w:rsid w:val="00243DC1"/>
    <w:rsid w:val="00244482"/>
    <w:rsid w:val="0024790F"/>
    <w:rsid w:val="00247A26"/>
    <w:rsid w:val="00247CAD"/>
    <w:rsid w:val="00250531"/>
    <w:rsid w:val="00251ED7"/>
    <w:rsid w:val="0025595D"/>
    <w:rsid w:val="00256A4A"/>
    <w:rsid w:val="002575F6"/>
    <w:rsid w:val="00260635"/>
    <w:rsid w:val="00261C83"/>
    <w:rsid w:val="00264E8A"/>
    <w:rsid w:val="00265B2C"/>
    <w:rsid w:val="00266956"/>
    <w:rsid w:val="00266AAA"/>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616"/>
    <w:rsid w:val="002B7EB8"/>
    <w:rsid w:val="002C696D"/>
    <w:rsid w:val="002D03FB"/>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20416"/>
    <w:rsid w:val="003204B8"/>
    <w:rsid w:val="003218CF"/>
    <w:rsid w:val="00321DA5"/>
    <w:rsid w:val="00321E5F"/>
    <w:rsid w:val="00322E0A"/>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4B1D"/>
    <w:rsid w:val="003A56FE"/>
    <w:rsid w:val="003A7561"/>
    <w:rsid w:val="003A7FEB"/>
    <w:rsid w:val="003B23AD"/>
    <w:rsid w:val="003B24A5"/>
    <w:rsid w:val="003B6D2D"/>
    <w:rsid w:val="003B78E0"/>
    <w:rsid w:val="003C2C87"/>
    <w:rsid w:val="003C2DC5"/>
    <w:rsid w:val="003C3FFF"/>
    <w:rsid w:val="003C640D"/>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3D8B"/>
    <w:rsid w:val="003F43B7"/>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0F4B"/>
    <w:rsid w:val="00431536"/>
    <w:rsid w:val="00431C42"/>
    <w:rsid w:val="00432C99"/>
    <w:rsid w:val="00433C64"/>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429B"/>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C5C37"/>
    <w:rsid w:val="004D3A89"/>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7D63"/>
    <w:rsid w:val="005407BF"/>
    <w:rsid w:val="00542508"/>
    <w:rsid w:val="00543020"/>
    <w:rsid w:val="00544107"/>
    <w:rsid w:val="005449BE"/>
    <w:rsid w:val="005506C7"/>
    <w:rsid w:val="0055079B"/>
    <w:rsid w:val="00550B2F"/>
    <w:rsid w:val="00554BBD"/>
    <w:rsid w:val="005553CF"/>
    <w:rsid w:val="00555DDD"/>
    <w:rsid w:val="0055739D"/>
    <w:rsid w:val="00557BB1"/>
    <w:rsid w:val="0056011E"/>
    <w:rsid w:val="00561038"/>
    <w:rsid w:val="005626F3"/>
    <w:rsid w:val="00562A6B"/>
    <w:rsid w:val="00563595"/>
    <w:rsid w:val="0056453E"/>
    <w:rsid w:val="00566018"/>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3CE3"/>
    <w:rsid w:val="005B631B"/>
    <w:rsid w:val="005B6420"/>
    <w:rsid w:val="005B681B"/>
    <w:rsid w:val="005C3BD0"/>
    <w:rsid w:val="005C3C8F"/>
    <w:rsid w:val="005C463B"/>
    <w:rsid w:val="005C5EB1"/>
    <w:rsid w:val="005C60A0"/>
    <w:rsid w:val="005D1B17"/>
    <w:rsid w:val="005D34F6"/>
    <w:rsid w:val="005D3683"/>
    <w:rsid w:val="005D3AB2"/>
    <w:rsid w:val="005D4A74"/>
    <w:rsid w:val="005D59D2"/>
    <w:rsid w:val="005D6A9F"/>
    <w:rsid w:val="005D792B"/>
    <w:rsid w:val="005E2966"/>
    <w:rsid w:val="005E6149"/>
    <w:rsid w:val="005E7FF4"/>
    <w:rsid w:val="005F09CC"/>
    <w:rsid w:val="005F0BBC"/>
    <w:rsid w:val="005F2890"/>
    <w:rsid w:val="005F297C"/>
    <w:rsid w:val="005F3EB2"/>
    <w:rsid w:val="005F486A"/>
    <w:rsid w:val="005F6C47"/>
    <w:rsid w:val="005F7DB3"/>
    <w:rsid w:val="006001B2"/>
    <w:rsid w:val="006014DA"/>
    <w:rsid w:val="0060236B"/>
    <w:rsid w:val="006038D0"/>
    <w:rsid w:val="00606818"/>
    <w:rsid w:val="00611900"/>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22CF"/>
    <w:rsid w:val="00653266"/>
    <w:rsid w:val="006538BF"/>
    <w:rsid w:val="0065671E"/>
    <w:rsid w:val="00656777"/>
    <w:rsid w:val="00657014"/>
    <w:rsid w:val="006572FA"/>
    <w:rsid w:val="00662408"/>
    <w:rsid w:val="00663645"/>
    <w:rsid w:val="00665F3D"/>
    <w:rsid w:val="00667577"/>
    <w:rsid w:val="00670BE5"/>
    <w:rsid w:val="00674152"/>
    <w:rsid w:val="006741E5"/>
    <w:rsid w:val="0067617C"/>
    <w:rsid w:val="006802EF"/>
    <w:rsid w:val="00685987"/>
    <w:rsid w:val="006901DD"/>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4201"/>
    <w:rsid w:val="006B52A7"/>
    <w:rsid w:val="006C0461"/>
    <w:rsid w:val="006C1836"/>
    <w:rsid w:val="006C1DA9"/>
    <w:rsid w:val="006C23C2"/>
    <w:rsid w:val="006C2D9B"/>
    <w:rsid w:val="006C52B5"/>
    <w:rsid w:val="006C59A5"/>
    <w:rsid w:val="006C7FB3"/>
    <w:rsid w:val="006E0CD2"/>
    <w:rsid w:val="006E1997"/>
    <w:rsid w:val="006E1D56"/>
    <w:rsid w:val="006E2EB7"/>
    <w:rsid w:val="006E5440"/>
    <w:rsid w:val="006E54B4"/>
    <w:rsid w:val="006E5DC3"/>
    <w:rsid w:val="006E76A5"/>
    <w:rsid w:val="006F0645"/>
    <w:rsid w:val="006F1700"/>
    <w:rsid w:val="006F239F"/>
    <w:rsid w:val="006F2555"/>
    <w:rsid w:val="0070070A"/>
    <w:rsid w:val="00702C0D"/>
    <w:rsid w:val="00706B6F"/>
    <w:rsid w:val="00711804"/>
    <w:rsid w:val="0071193F"/>
    <w:rsid w:val="0071433C"/>
    <w:rsid w:val="007157A0"/>
    <w:rsid w:val="00720A22"/>
    <w:rsid w:val="00722BBA"/>
    <w:rsid w:val="007236BA"/>
    <w:rsid w:val="007238DD"/>
    <w:rsid w:val="00723D02"/>
    <w:rsid w:val="00723D84"/>
    <w:rsid w:val="00723EDE"/>
    <w:rsid w:val="00724717"/>
    <w:rsid w:val="00725591"/>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5C7"/>
    <w:rsid w:val="00766870"/>
    <w:rsid w:val="00766AA4"/>
    <w:rsid w:val="007702C7"/>
    <w:rsid w:val="007737A3"/>
    <w:rsid w:val="007738A0"/>
    <w:rsid w:val="00773DFC"/>
    <w:rsid w:val="0077606A"/>
    <w:rsid w:val="0078146D"/>
    <w:rsid w:val="00781801"/>
    <w:rsid w:val="0078423C"/>
    <w:rsid w:val="00784A9B"/>
    <w:rsid w:val="00784C33"/>
    <w:rsid w:val="00786C64"/>
    <w:rsid w:val="00786E2F"/>
    <w:rsid w:val="00787DDE"/>
    <w:rsid w:val="0079363C"/>
    <w:rsid w:val="00793B6E"/>
    <w:rsid w:val="0079785B"/>
    <w:rsid w:val="007A4BB5"/>
    <w:rsid w:val="007A4FB6"/>
    <w:rsid w:val="007A5AEB"/>
    <w:rsid w:val="007A6AA6"/>
    <w:rsid w:val="007B06F9"/>
    <w:rsid w:val="007B0F26"/>
    <w:rsid w:val="007B1550"/>
    <w:rsid w:val="007B1B3A"/>
    <w:rsid w:val="007B4E82"/>
    <w:rsid w:val="007B5D7F"/>
    <w:rsid w:val="007B7C1E"/>
    <w:rsid w:val="007C16EC"/>
    <w:rsid w:val="007C1D1B"/>
    <w:rsid w:val="007D05B4"/>
    <w:rsid w:val="007D2C2E"/>
    <w:rsid w:val="007D5983"/>
    <w:rsid w:val="007D5B3D"/>
    <w:rsid w:val="007D6EC1"/>
    <w:rsid w:val="007E0946"/>
    <w:rsid w:val="007E0E61"/>
    <w:rsid w:val="007E197E"/>
    <w:rsid w:val="007E26D5"/>
    <w:rsid w:val="007E4CD6"/>
    <w:rsid w:val="007E73D8"/>
    <w:rsid w:val="007F1F0C"/>
    <w:rsid w:val="007F4D3E"/>
    <w:rsid w:val="007F5589"/>
    <w:rsid w:val="007F55DE"/>
    <w:rsid w:val="007F6768"/>
    <w:rsid w:val="007F7510"/>
    <w:rsid w:val="007F783D"/>
    <w:rsid w:val="007F79A8"/>
    <w:rsid w:val="0080028A"/>
    <w:rsid w:val="008005A8"/>
    <w:rsid w:val="008029B5"/>
    <w:rsid w:val="00802CE5"/>
    <w:rsid w:val="00805098"/>
    <w:rsid w:val="00807A77"/>
    <w:rsid w:val="0081188B"/>
    <w:rsid w:val="008133BC"/>
    <w:rsid w:val="00813CB3"/>
    <w:rsid w:val="00814C9A"/>
    <w:rsid w:val="00817833"/>
    <w:rsid w:val="008213F7"/>
    <w:rsid w:val="008259FC"/>
    <w:rsid w:val="00826405"/>
    <w:rsid w:val="0082733F"/>
    <w:rsid w:val="00832534"/>
    <w:rsid w:val="00834EDE"/>
    <w:rsid w:val="00837228"/>
    <w:rsid w:val="008444AE"/>
    <w:rsid w:val="008465BF"/>
    <w:rsid w:val="00846602"/>
    <w:rsid w:val="00846E31"/>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7777D"/>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06E7"/>
    <w:rsid w:val="008A1E8A"/>
    <w:rsid w:val="008A27BF"/>
    <w:rsid w:val="008A5D68"/>
    <w:rsid w:val="008B202B"/>
    <w:rsid w:val="008B3001"/>
    <w:rsid w:val="008B36FA"/>
    <w:rsid w:val="008B3CFE"/>
    <w:rsid w:val="008B5DBC"/>
    <w:rsid w:val="008C0CE7"/>
    <w:rsid w:val="008C16B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B44"/>
    <w:rsid w:val="00913DFF"/>
    <w:rsid w:val="00913F09"/>
    <w:rsid w:val="0091445C"/>
    <w:rsid w:val="0091647A"/>
    <w:rsid w:val="00916DF9"/>
    <w:rsid w:val="00916EDA"/>
    <w:rsid w:val="00917496"/>
    <w:rsid w:val="0092119D"/>
    <w:rsid w:val="0092151E"/>
    <w:rsid w:val="0092600D"/>
    <w:rsid w:val="0093630E"/>
    <w:rsid w:val="00936E99"/>
    <w:rsid w:val="00937842"/>
    <w:rsid w:val="009412AF"/>
    <w:rsid w:val="009416CC"/>
    <w:rsid w:val="0094212E"/>
    <w:rsid w:val="0094458A"/>
    <w:rsid w:val="0094466C"/>
    <w:rsid w:val="00946039"/>
    <w:rsid w:val="00947EC9"/>
    <w:rsid w:val="009516C8"/>
    <w:rsid w:val="00951A8D"/>
    <w:rsid w:val="009533CE"/>
    <w:rsid w:val="00955668"/>
    <w:rsid w:val="00955B43"/>
    <w:rsid w:val="0095612C"/>
    <w:rsid w:val="009602D2"/>
    <w:rsid w:val="00962A82"/>
    <w:rsid w:val="009662F0"/>
    <w:rsid w:val="00967AB5"/>
    <w:rsid w:val="00971BBA"/>
    <w:rsid w:val="00974525"/>
    <w:rsid w:val="00974B43"/>
    <w:rsid w:val="0097634A"/>
    <w:rsid w:val="00977FB6"/>
    <w:rsid w:val="009809F0"/>
    <w:rsid w:val="009820A2"/>
    <w:rsid w:val="009821C3"/>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2708"/>
    <w:rsid w:val="009B477B"/>
    <w:rsid w:val="009B50B5"/>
    <w:rsid w:val="009B7E64"/>
    <w:rsid w:val="009C0311"/>
    <w:rsid w:val="009C0EA3"/>
    <w:rsid w:val="009C5244"/>
    <w:rsid w:val="009C69C7"/>
    <w:rsid w:val="009C7082"/>
    <w:rsid w:val="009D187B"/>
    <w:rsid w:val="009D1E28"/>
    <w:rsid w:val="009D2385"/>
    <w:rsid w:val="009D24A0"/>
    <w:rsid w:val="009D2A2A"/>
    <w:rsid w:val="009D5C8E"/>
    <w:rsid w:val="009E0499"/>
    <w:rsid w:val="009E105F"/>
    <w:rsid w:val="009E2558"/>
    <w:rsid w:val="009E3B6B"/>
    <w:rsid w:val="009E44DC"/>
    <w:rsid w:val="009E5191"/>
    <w:rsid w:val="009E6664"/>
    <w:rsid w:val="009E7D35"/>
    <w:rsid w:val="009F13EE"/>
    <w:rsid w:val="009F2269"/>
    <w:rsid w:val="009F2A1C"/>
    <w:rsid w:val="009F3382"/>
    <w:rsid w:val="009F598A"/>
    <w:rsid w:val="009F5AC3"/>
    <w:rsid w:val="009F60C9"/>
    <w:rsid w:val="009F753A"/>
    <w:rsid w:val="009F7705"/>
    <w:rsid w:val="00A002FE"/>
    <w:rsid w:val="00A0055C"/>
    <w:rsid w:val="00A00EA3"/>
    <w:rsid w:val="00A01308"/>
    <w:rsid w:val="00A02228"/>
    <w:rsid w:val="00A03BA6"/>
    <w:rsid w:val="00A03C90"/>
    <w:rsid w:val="00A03EDD"/>
    <w:rsid w:val="00A043E4"/>
    <w:rsid w:val="00A071FC"/>
    <w:rsid w:val="00A07548"/>
    <w:rsid w:val="00A11FFD"/>
    <w:rsid w:val="00A12C8D"/>
    <w:rsid w:val="00A13EEB"/>
    <w:rsid w:val="00A148A6"/>
    <w:rsid w:val="00A14B45"/>
    <w:rsid w:val="00A15907"/>
    <w:rsid w:val="00A2223B"/>
    <w:rsid w:val="00A22269"/>
    <w:rsid w:val="00A224A8"/>
    <w:rsid w:val="00A252F0"/>
    <w:rsid w:val="00A264A9"/>
    <w:rsid w:val="00A26C90"/>
    <w:rsid w:val="00A31B59"/>
    <w:rsid w:val="00A34CD9"/>
    <w:rsid w:val="00A3561D"/>
    <w:rsid w:val="00A35BC5"/>
    <w:rsid w:val="00A41C04"/>
    <w:rsid w:val="00A440E2"/>
    <w:rsid w:val="00A45815"/>
    <w:rsid w:val="00A5132F"/>
    <w:rsid w:val="00A5241A"/>
    <w:rsid w:val="00A53A2E"/>
    <w:rsid w:val="00A53C66"/>
    <w:rsid w:val="00A53EAD"/>
    <w:rsid w:val="00A54DCE"/>
    <w:rsid w:val="00A55CB3"/>
    <w:rsid w:val="00A57696"/>
    <w:rsid w:val="00A60795"/>
    <w:rsid w:val="00A60AF2"/>
    <w:rsid w:val="00A62455"/>
    <w:rsid w:val="00A63263"/>
    <w:rsid w:val="00A64F8F"/>
    <w:rsid w:val="00A65965"/>
    <w:rsid w:val="00A67797"/>
    <w:rsid w:val="00A711EB"/>
    <w:rsid w:val="00A771E9"/>
    <w:rsid w:val="00A8009D"/>
    <w:rsid w:val="00A80AAB"/>
    <w:rsid w:val="00A81B92"/>
    <w:rsid w:val="00A83C11"/>
    <w:rsid w:val="00A90C1C"/>
    <w:rsid w:val="00A90E13"/>
    <w:rsid w:val="00A917A0"/>
    <w:rsid w:val="00A92667"/>
    <w:rsid w:val="00A92A1A"/>
    <w:rsid w:val="00A936E7"/>
    <w:rsid w:val="00A951EA"/>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1FE1"/>
    <w:rsid w:val="00AB209F"/>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6633"/>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79C"/>
    <w:rsid w:val="00B51D96"/>
    <w:rsid w:val="00B51DD5"/>
    <w:rsid w:val="00B526E2"/>
    <w:rsid w:val="00B53BD7"/>
    <w:rsid w:val="00B54B2C"/>
    <w:rsid w:val="00B55825"/>
    <w:rsid w:val="00B558D2"/>
    <w:rsid w:val="00B56096"/>
    <w:rsid w:val="00B64DA1"/>
    <w:rsid w:val="00B662C3"/>
    <w:rsid w:val="00B6637D"/>
    <w:rsid w:val="00B666EF"/>
    <w:rsid w:val="00B671A0"/>
    <w:rsid w:val="00B6721D"/>
    <w:rsid w:val="00B672EC"/>
    <w:rsid w:val="00B67A36"/>
    <w:rsid w:val="00B7176B"/>
    <w:rsid w:val="00B71CE7"/>
    <w:rsid w:val="00B724B4"/>
    <w:rsid w:val="00B728F9"/>
    <w:rsid w:val="00B8108E"/>
    <w:rsid w:val="00B8141F"/>
    <w:rsid w:val="00B84566"/>
    <w:rsid w:val="00B85D52"/>
    <w:rsid w:val="00B86890"/>
    <w:rsid w:val="00B91501"/>
    <w:rsid w:val="00BA116E"/>
    <w:rsid w:val="00BA1219"/>
    <w:rsid w:val="00BA33E7"/>
    <w:rsid w:val="00BA48C0"/>
    <w:rsid w:val="00BA4E83"/>
    <w:rsid w:val="00BA6825"/>
    <w:rsid w:val="00BA7E36"/>
    <w:rsid w:val="00BB0774"/>
    <w:rsid w:val="00BB21E1"/>
    <w:rsid w:val="00BB5591"/>
    <w:rsid w:val="00BC0250"/>
    <w:rsid w:val="00BC3F7B"/>
    <w:rsid w:val="00BC5201"/>
    <w:rsid w:val="00BC5D73"/>
    <w:rsid w:val="00BC64F6"/>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42B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90170"/>
    <w:rsid w:val="00C938D1"/>
    <w:rsid w:val="00C96973"/>
    <w:rsid w:val="00CA0D71"/>
    <w:rsid w:val="00CA262C"/>
    <w:rsid w:val="00CA2C16"/>
    <w:rsid w:val="00CA4635"/>
    <w:rsid w:val="00CA59AD"/>
    <w:rsid w:val="00CA66F7"/>
    <w:rsid w:val="00CA6807"/>
    <w:rsid w:val="00CB0677"/>
    <w:rsid w:val="00CB1696"/>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AB7"/>
    <w:rsid w:val="00CF6EAD"/>
    <w:rsid w:val="00CF7006"/>
    <w:rsid w:val="00D05217"/>
    <w:rsid w:val="00D0548F"/>
    <w:rsid w:val="00D059B8"/>
    <w:rsid w:val="00D05F41"/>
    <w:rsid w:val="00D06931"/>
    <w:rsid w:val="00D07C99"/>
    <w:rsid w:val="00D12CAF"/>
    <w:rsid w:val="00D13280"/>
    <w:rsid w:val="00D16646"/>
    <w:rsid w:val="00D2261A"/>
    <w:rsid w:val="00D23135"/>
    <w:rsid w:val="00D23EA4"/>
    <w:rsid w:val="00D260FE"/>
    <w:rsid w:val="00D27BDA"/>
    <w:rsid w:val="00D31B46"/>
    <w:rsid w:val="00D41CD8"/>
    <w:rsid w:val="00D4221A"/>
    <w:rsid w:val="00D43D4D"/>
    <w:rsid w:val="00D53725"/>
    <w:rsid w:val="00D57E7B"/>
    <w:rsid w:val="00D616C1"/>
    <w:rsid w:val="00D62803"/>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2C07"/>
    <w:rsid w:val="00D93AC5"/>
    <w:rsid w:val="00D94293"/>
    <w:rsid w:val="00D9463C"/>
    <w:rsid w:val="00D94BC3"/>
    <w:rsid w:val="00D9515A"/>
    <w:rsid w:val="00D97552"/>
    <w:rsid w:val="00D97DB2"/>
    <w:rsid w:val="00DA04B3"/>
    <w:rsid w:val="00DA059D"/>
    <w:rsid w:val="00DA1558"/>
    <w:rsid w:val="00DA1933"/>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44EA"/>
    <w:rsid w:val="00DF650C"/>
    <w:rsid w:val="00E0035A"/>
    <w:rsid w:val="00E03E6D"/>
    <w:rsid w:val="00E0438B"/>
    <w:rsid w:val="00E07B01"/>
    <w:rsid w:val="00E11279"/>
    <w:rsid w:val="00E1179C"/>
    <w:rsid w:val="00E12E28"/>
    <w:rsid w:val="00E15D14"/>
    <w:rsid w:val="00E15DBA"/>
    <w:rsid w:val="00E20F2B"/>
    <w:rsid w:val="00E227FF"/>
    <w:rsid w:val="00E26969"/>
    <w:rsid w:val="00E269BA"/>
    <w:rsid w:val="00E349FE"/>
    <w:rsid w:val="00E3578B"/>
    <w:rsid w:val="00E35F8C"/>
    <w:rsid w:val="00E36C66"/>
    <w:rsid w:val="00E40D53"/>
    <w:rsid w:val="00E41D23"/>
    <w:rsid w:val="00E455E0"/>
    <w:rsid w:val="00E472F7"/>
    <w:rsid w:val="00E51DD4"/>
    <w:rsid w:val="00E53059"/>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7AD"/>
    <w:rsid w:val="00E85C37"/>
    <w:rsid w:val="00E902A9"/>
    <w:rsid w:val="00E92A1C"/>
    <w:rsid w:val="00E92B29"/>
    <w:rsid w:val="00E92C60"/>
    <w:rsid w:val="00E940DA"/>
    <w:rsid w:val="00E94513"/>
    <w:rsid w:val="00EA027B"/>
    <w:rsid w:val="00EA3BA2"/>
    <w:rsid w:val="00EA43F5"/>
    <w:rsid w:val="00EA48B8"/>
    <w:rsid w:val="00EA58EC"/>
    <w:rsid w:val="00EA61D7"/>
    <w:rsid w:val="00EA6EC8"/>
    <w:rsid w:val="00EB01B6"/>
    <w:rsid w:val="00EB0A05"/>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0D3"/>
    <w:rsid w:val="00EF18D1"/>
    <w:rsid w:val="00EF492C"/>
    <w:rsid w:val="00EF5154"/>
    <w:rsid w:val="00EF5351"/>
    <w:rsid w:val="00EF6D6A"/>
    <w:rsid w:val="00EF7338"/>
    <w:rsid w:val="00F041C4"/>
    <w:rsid w:val="00F04FF1"/>
    <w:rsid w:val="00F06646"/>
    <w:rsid w:val="00F0691A"/>
    <w:rsid w:val="00F06D5E"/>
    <w:rsid w:val="00F075BC"/>
    <w:rsid w:val="00F07FF9"/>
    <w:rsid w:val="00F1659A"/>
    <w:rsid w:val="00F17B48"/>
    <w:rsid w:val="00F21FAF"/>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5772D"/>
    <w:rsid w:val="00F61CAD"/>
    <w:rsid w:val="00F6284E"/>
    <w:rsid w:val="00F645A1"/>
    <w:rsid w:val="00F64C54"/>
    <w:rsid w:val="00F66DD2"/>
    <w:rsid w:val="00F67C9D"/>
    <w:rsid w:val="00F67E53"/>
    <w:rsid w:val="00F67F16"/>
    <w:rsid w:val="00F70820"/>
    <w:rsid w:val="00F7324C"/>
    <w:rsid w:val="00F75995"/>
    <w:rsid w:val="00F76002"/>
    <w:rsid w:val="00F83946"/>
    <w:rsid w:val="00F86DB5"/>
    <w:rsid w:val="00F86E3C"/>
    <w:rsid w:val="00F86E7B"/>
    <w:rsid w:val="00F9096B"/>
    <w:rsid w:val="00F9117A"/>
    <w:rsid w:val="00F92891"/>
    <w:rsid w:val="00F930F6"/>
    <w:rsid w:val="00F94E9B"/>
    <w:rsid w:val="00F97162"/>
    <w:rsid w:val="00F975AE"/>
    <w:rsid w:val="00F97B13"/>
    <w:rsid w:val="00FA16EF"/>
    <w:rsid w:val="00FA1B18"/>
    <w:rsid w:val="00FA4865"/>
    <w:rsid w:val="00FA5282"/>
    <w:rsid w:val="00FA52A3"/>
    <w:rsid w:val="00FA620A"/>
    <w:rsid w:val="00FA64DD"/>
    <w:rsid w:val="00FB0A47"/>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E7CB7"/>
    <w:rsid w:val="00FF267E"/>
    <w:rsid w:val="00FF5906"/>
    <w:rsid w:val="FDDB9FAC"/>
    <w:rsid w:val="FFFB3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9"/>
    <w:semiHidden/>
    <w:unhideWhenUsed/>
    <w:uiPriority w:val="99"/>
    <w:pPr>
      <w:jc w:val="left"/>
    </w:pPr>
  </w:style>
  <w:style w:type="paragraph" w:styleId="6">
    <w:name w:val="Body Text"/>
    <w:basedOn w:val="1"/>
    <w:link w:val="51"/>
    <w:semiHidden/>
    <w:unhideWhenUsed/>
    <w:uiPriority w:val="99"/>
    <w:pPr>
      <w:spacing w:after="120"/>
    </w:pPr>
  </w:style>
  <w:style w:type="paragraph" w:styleId="7">
    <w:name w:val="Body Text Indent"/>
    <w:basedOn w:val="1"/>
    <w:link w:val="29"/>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1"/>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4"/>
    <w:uiPriority w:val="0"/>
    <w:pPr>
      <w:adjustRightInd w:val="0"/>
      <w:spacing w:line="360" w:lineRule="atLeast"/>
      <w:textAlignment w:val="baseline"/>
    </w:pPr>
    <w:rPr>
      <w:sz w:val="32"/>
    </w:rPr>
  </w:style>
  <w:style w:type="paragraph" w:styleId="12">
    <w:name w:val="Body Text Indent 2"/>
    <w:basedOn w:val="1"/>
    <w:link w:val="36"/>
    <w:semiHidden/>
    <w:unhideWhenUsed/>
    <w:uiPriority w:val="99"/>
    <w:pPr>
      <w:spacing w:after="120" w:line="480" w:lineRule="auto"/>
      <w:ind w:left="420" w:leftChars="200"/>
    </w:pPr>
  </w:style>
  <w:style w:type="paragraph" w:styleId="13">
    <w:name w:val="Balloon Text"/>
    <w:basedOn w:val="1"/>
    <w:link w:val="50"/>
    <w:semiHidden/>
    <w:unhideWhenUsed/>
    <w:uiPriority w:val="99"/>
    <w:rPr>
      <w:sz w:val="18"/>
      <w:szCs w:val="18"/>
    </w:rPr>
  </w:style>
  <w:style w:type="paragraph" w:styleId="14">
    <w:name w:val="footer"/>
    <w:basedOn w:val="1"/>
    <w:link w:val="33"/>
    <w:unhideWhenUsed/>
    <w:uiPriority w:val="99"/>
    <w:pPr>
      <w:tabs>
        <w:tab w:val="center" w:pos="4153"/>
        <w:tab w:val="right" w:pos="8306"/>
      </w:tabs>
      <w:snapToGrid w:val="0"/>
      <w:jc w:val="left"/>
    </w:pPr>
    <w:rPr>
      <w:sz w:val="18"/>
      <w:szCs w:val="18"/>
    </w:rPr>
  </w:style>
  <w:style w:type="paragraph" w:styleId="15">
    <w:name w:val="header"/>
    <w:basedOn w:val="1"/>
    <w:link w:val="32"/>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2"/>
    <w:semiHidden/>
    <w:unhideWhenUsed/>
    <w:uiPriority w:val="99"/>
    <w:pPr>
      <w:spacing w:after="120"/>
      <w:ind w:left="420" w:leftChars="200"/>
    </w:pPr>
    <w:rPr>
      <w:sz w:val="16"/>
      <w:szCs w:val="16"/>
    </w:rPr>
  </w:style>
  <w:style w:type="paragraph" w:styleId="19">
    <w:name w:val="Body Text 2"/>
    <w:basedOn w:val="1"/>
    <w:link w:val="38"/>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page number"/>
    <w:basedOn w:val="24"/>
    <w:uiPriority w:val="0"/>
  </w:style>
  <w:style w:type="character" w:styleId="27">
    <w:name w:val="Hyperlink"/>
    <w:basedOn w:val="24"/>
    <w:unhideWhenUsed/>
    <w:uiPriority w:val="99"/>
    <w:rPr>
      <w:color w:val="0000FF" w:themeColor="hyperlink"/>
      <w:u w:val="single"/>
      <w14:textFill>
        <w14:solidFill>
          <w14:schemeClr w14:val="hlink"/>
        </w14:solidFill>
      </w14:textFill>
    </w:rPr>
  </w:style>
  <w:style w:type="character" w:styleId="28">
    <w:name w:val="annotation reference"/>
    <w:basedOn w:val="24"/>
    <w:semiHidden/>
    <w:unhideWhenUsed/>
    <w:uiPriority w:val="99"/>
    <w:rPr>
      <w:sz w:val="21"/>
      <w:szCs w:val="21"/>
    </w:rPr>
  </w:style>
  <w:style w:type="character" w:customStyle="1" w:styleId="29">
    <w:name w:val="正文文本缩进 Char"/>
    <w:basedOn w:val="24"/>
    <w:link w:val="7"/>
    <w:uiPriority w:val="0"/>
    <w:rPr>
      <w:rFonts w:ascii="宋体" w:hAnsi="宋体" w:eastAsia="宋体" w:cs="Times New Roman"/>
      <w:sz w:val="24"/>
      <w:szCs w:val="20"/>
    </w:rPr>
  </w:style>
  <w:style w:type="paragraph" w:customStyle="1" w:styleId="30">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2">
    <w:name w:val="页眉 Char"/>
    <w:basedOn w:val="24"/>
    <w:link w:val="15"/>
    <w:uiPriority w:val="99"/>
    <w:rPr>
      <w:rFonts w:ascii="Times New Roman" w:hAnsi="Times New Roman" w:eastAsia="宋体" w:cs="Times New Roman"/>
      <w:sz w:val="18"/>
      <w:szCs w:val="18"/>
    </w:rPr>
  </w:style>
  <w:style w:type="character" w:customStyle="1" w:styleId="33">
    <w:name w:val="页脚 Char"/>
    <w:basedOn w:val="24"/>
    <w:link w:val="14"/>
    <w:uiPriority w:val="99"/>
    <w:rPr>
      <w:rFonts w:ascii="Times New Roman" w:hAnsi="Times New Roman" w:eastAsia="宋体" w:cs="Times New Roman"/>
      <w:sz w:val="18"/>
      <w:szCs w:val="18"/>
    </w:rPr>
  </w:style>
  <w:style w:type="character" w:customStyle="1" w:styleId="34">
    <w:name w:val="日期 Char"/>
    <w:basedOn w:val="24"/>
    <w:link w:val="11"/>
    <w:uiPriority w:val="0"/>
    <w:rPr>
      <w:rFonts w:ascii="Times New Roman" w:hAnsi="Times New Roman" w:eastAsia="宋体" w:cs="Times New Roman"/>
      <w:sz w:val="32"/>
      <w:szCs w:val="20"/>
    </w:rPr>
  </w:style>
  <w:style w:type="paragraph" w:styleId="35">
    <w:name w:val="List Paragraph"/>
    <w:basedOn w:val="1"/>
    <w:link w:val="54"/>
    <w:qFormat/>
    <w:uiPriority w:val="34"/>
    <w:pPr>
      <w:ind w:firstLine="420" w:firstLineChars="200"/>
    </w:pPr>
  </w:style>
  <w:style w:type="character" w:customStyle="1" w:styleId="36">
    <w:name w:val="正文文本缩进 2 Char"/>
    <w:basedOn w:val="24"/>
    <w:link w:val="12"/>
    <w:semiHidden/>
    <w:uiPriority w:val="99"/>
    <w:rPr>
      <w:rFonts w:ascii="Times New Roman" w:hAnsi="Times New Roman" w:eastAsia="宋体" w:cs="Times New Roman"/>
      <w:szCs w:val="20"/>
    </w:rPr>
  </w:style>
  <w:style w:type="character" w:customStyle="1" w:styleId="37">
    <w:name w:val="标题 3 Char"/>
    <w:basedOn w:val="24"/>
    <w:link w:val="2"/>
    <w:uiPriority w:val="0"/>
    <w:rPr>
      <w:rFonts w:ascii="Times New Roman" w:hAnsi="Times New Roman" w:eastAsia="宋体" w:cs="Times New Roman"/>
      <w:b/>
      <w:bCs/>
      <w:sz w:val="32"/>
      <w:szCs w:val="32"/>
    </w:rPr>
  </w:style>
  <w:style w:type="character" w:customStyle="1" w:styleId="38">
    <w:name w:val="正文文本 2 Char"/>
    <w:basedOn w:val="24"/>
    <w:link w:val="19"/>
    <w:semiHidden/>
    <w:uiPriority w:val="99"/>
    <w:rPr>
      <w:rFonts w:ascii="Times New Roman" w:hAnsi="Times New Roman" w:eastAsia="宋体" w:cs="Times New Roman"/>
      <w:szCs w:val="20"/>
    </w:rPr>
  </w:style>
  <w:style w:type="paragraph" w:customStyle="1" w:styleId="39">
    <w:name w:val="Char"/>
    <w:basedOn w:val="1"/>
    <w:autoRedefine/>
    <w:uiPriority w:val="0"/>
    <w:pPr>
      <w:tabs>
        <w:tab w:val="left" w:pos="360"/>
      </w:tabs>
    </w:pPr>
    <w:rPr>
      <w:sz w:val="24"/>
      <w:szCs w:val="24"/>
    </w:rPr>
  </w:style>
  <w:style w:type="character" w:customStyle="1" w:styleId="40">
    <w:name w:val="纯文本 Char"/>
    <w:basedOn w:val="24"/>
    <w:semiHidden/>
    <w:uiPriority w:val="99"/>
    <w:rPr>
      <w:rFonts w:ascii="宋体" w:hAnsi="Courier New" w:eastAsia="宋体" w:cs="Courier New"/>
      <w:szCs w:val="21"/>
    </w:rPr>
  </w:style>
  <w:style w:type="character" w:customStyle="1" w:styleId="41">
    <w:name w:val="纯文本 Char1"/>
    <w:link w:val="9"/>
    <w:locked/>
    <w:uiPriority w:val="0"/>
    <w:rPr>
      <w:rFonts w:ascii="宋体" w:hAnsi="Courier New" w:eastAsia="宋体" w:cs="Times New Roman"/>
      <w:szCs w:val="20"/>
      <w:lang w:val="zh-CN" w:eastAsia="zh-CN"/>
    </w:rPr>
  </w:style>
  <w:style w:type="character" w:customStyle="1" w:styleId="42">
    <w:name w:val="正文文本缩进 3 Char"/>
    <w:basedOn w:val="24"/>
    <w:link w:val="18"/>
    <w:semiHidden/>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autoRedefine/>
    <w:uiPriority w:val="0"/>
    <w:pPr>
      <w:tabs>
        <w:tab w:val="left" w:pos="360"/>
      </w:tabs>
    </w:pPr>
    <w:rPr>
      <w:sz w:val="24"/>
      <w:szCs w:val="24"/>
    </w:rPr>
  </w:style>
  <w:style w:type="paragraph" w:customStyle="1" w:styleId="48">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批注文字 Char"/>
    <w:basedOn w:val="24"/>
    <w:link w:val="5"/>
    <w:semiHidden/>
    <w:uiPriority w:val="99"/>
    <w:rPr>
      <w:rFonts w:ascii="Times New Roman" w:hAnsi="Times New Roman" w:eastAsia="宋体" w:cs="Times New Roman"/>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正文文本 Char"/>
    <w:basedOn w:val="24"/>
    <w:link w:val="6"/>
    <w:semiHidden/>
    <w:uiPriority w:val="99"/>
    <w:rPr>
      <w:rFonts w:ascii="Times New Roman" w:hAnsi="Times New Roman" w:eastAsia="宋体" w:cs="Times New Roman"/>
      <w:szCs w:val="20"/>
    </w:rPr>
  </w:style>
  <w:style w:type="character" w:customStyle="1" w:styleId="52">
    <w:name w:val="Default Char"/>
    <w:link w:val="30"/>
    <w:qFormat/>
    <w:locked/>
    <w:uiPriority w:val="0"/>
    <w:rPr>
      <w:rFonts w:ascii="......." w:hAnsi="Calibri" w:eastAsia="......." w:cs="......."/>
      <w:color w:val="000000"/>
      <w:kern w:val="0"/>
      <w:sz w:val="24"/>
      <w:szCs w:val="24"/>
    </w:rPr>
  </w:style>
  <w:style w:type="character" w:customStyle="1" w:styleId="53">
    <w:name w:val="批注主题 Char"/>
    <w:basedOn w:val="49"/>
    <w:link w:val="21"/>
    <w:semiHidden/>
    <w:uiPriority w:val="99"/>
    <w:rPr>
      <w:rFonts w:ascii="Times New Roman" w:hAnsi="Times New Roman" w:eastAsia="宋体" w:cs="Times New Roman"/>
      <w:b/>
      <w:bCs/>
      <w:szCs w:val="20"/>
    </w:rPr>
  </w:style>
  <w:style w:type="character" w:customStyle="1" w:styleId="54">
    <w:name w:val="列出段落 Char"/>
    <w:link w:val="35"/>
    <w:uiPriority w:val="34"/>
    <w:rPr>
      <w:rFonts w:ascii="Times New Roman" w:hAnsi="Times New Roman" w:eastAsia="宋体" w:cs="Times New Roman"/>
      <w:szCs w:val="20"/>
    </w:rPr>
  </w:style>
  <w:style w:type="paragraph" w:customStyle="1" w:styleId="55">
    <w:name w:val="15"/>
    <w:basedOn w:val="1"/>
    <w:uiPriority w:val="0"/>
    <w:pPr>
      <w:widowControl/>
      <w:jc w:val="left"/>
    </w:pPr>
    <w:rPr>
      <w:rFonts w:eastAsiaTheme="minorEastAsia"/>
      <w:kern w:val="0"/>
      <w:sz w:val="24"/>
      <w:szCs w:val="24"/>
      <w:lang w:eastAsia="en-US"/>
    </w:rPr>
  </w:style>
  <w:style w:type="paragraph" w:customStyle="1" w:styleId="56">
    <w:name w:val="16"/>
    <w:basedOn w:val="1"/>
    <w:uiPriority w:val="0"/>
    <w:pPr>
      <w:widowControl/>
      <w:jc w:val="left"/>
    </w:pPr>
    <w:rPr>
      <w:rFonts w:eastAsiaTheme="minorEastAsia"/>
      <w:kern w:val="0"/>
      <w:sz w:val="24"/>
      <w:szCs w:val="24"/>
      <w:lang w:eastAsia="en-US"/>
    </w:rPr>
  </w:style>
  <w:style w:type="table" w:customStyle="1" w:styleId="57">
    <w:name w:val="17"/>
    <w:basedOn w:val="22"/>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B52D2F-514C-42DB-B8FC-BF22BC64CEF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82</Pages>
  <Words>7072</Words>
  <Characters>40313</Characters>
  <Lines>335</Lines>
  <Paragraphs>94</Paragraphs>
  <TotalTime>331</TotalTime>
  <ScaleCrop>false</ScaleCrop>
  <LinksUpToDate>false</LinksUpToDate>
  <CharactersWithSpaces>47291</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2025-11-28T16:44:00Z</dcterms:created>
  <dc:creator>未定义</dc:creator>
  <cp:lastModifiedBy>陈慧璐</cp:lastModifiedBy>
  <dcterms:modified xsi:type="dcterms:W3CDTF">2025-12-11T16:20:47Z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EDCEAFF1E5643980BC6F3A69BBB175B0_42</vt:lpwstr>
  </property>
</Properties>
</file>