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7C213">
      <w:pPr>
        <w:rPr>
          <w:rFonts w:hint="eastAsia" w:eastAsia="仿宋_GB2312"/>
          <w:sz w:val="84"/>
        </w:rPr>
      </w:pPr>
    </w:p>
    <w:p w14:paraId="4B504721">
      <w:pPr>
        <w:ind w:right="105"/>
        <w:jc w:val="right"/>
        <w:rPr>
          <w:rFonts w:eastAsia="黑体"/>
          <w:b/>
          <w:spacing w:val="40"/>
          <w:w w:val="66"/>
          <w:sz w:val="60"/>
          <w:szCs w:val="60"/>
        </w:rPr>
      </w:pPr>
      <w:r>
        <w:rPr>
          <w:rFonts w:hint="eastAsia" w:eastAsia="黑体"/>
          <w:b/>
          <w:spacing w:val="40"/>
          <w:w w:val="66"/>
          <w:sz w:val="60"/>
          <w:szCs w:val="60"/>
        </w:rPr>
        <w:t>国家税务总局天津市税务局应用支撑</w:t>
      </w:r>
    </w:p>
    <w:p w14:paraId="3EDA1B09">
      <w:pPr>
        <w:ind w:right="105"/>
        <w:jc w:val="right"/>
        <w:rPr>
          <w:rFonts w:eastAsia="黑体"/>
          <w:b/>
          <w:spacing w:val="40"/>
          <w:w w:val="66"/>
          <w:sz w:val="60"/>
          <w:szCs w:val="60"/>
        </w:rPr>
      </w:pPr>
      <w:r>
        <w:rPr>
          <w:rFonts w:hint="eastAsia" w:eastAsia="黑体"/>
          <w:b/>
          <w:spacing w:val="40"/>
          <w:w w:val="66"/>
          <w:sz w:val="60"/>
          <w:szCs w:val="60"/>
        </w:rPr>
        <w:t>平台等系统运行维护项目</w:t>
      </w:r>
    </w:p>
    <w:p w14:paraId="59ADC405">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61EE702A">
      <w:pPr>
        <w:ind w:right="1025"/>
        <w:jc w:val="center"/>
        <w:rPr>
          <w:rFonts w:eastAsia="黑体"/>
          <w:b/>
          <w:spacing w:val="40"/>
          <w:w w:val="66"/>
          <w:sz w:val="60"/>
          <w:szCs w:val="60"/>
        </w:rPr>
      </w:pPr>
    </w:p>
    <w:p w14:paraId="64835AE1">
      <w:pPr>
        <w:jc w:val="center"/>
        <w:rPr>
          <w:rFonts w:eastAsia="黑体"/>
          <w:b/>
          <w:spacing w:val="40"/>
          <w:w w:val="66"/>
          <w:sz w:val="15"/>
          <w:szCs w:val="15"/>
        </w:rPr>
      </w:pPr>
      <w:r>
        <w:rPr>
          <w:rFonts w:eastAsia="黑体"/>
          <w:b/>
          <w:spacing w:val="40"/>
          <w:w w:val="66"/>
          <w:sz w:val="56"/>
          <w:szCs w:val="56"/>
        </w:rPr>
        <w:t xml:space="preserve">            </w:t>
      </w:r>
    </w:p>
    <w:p w14:paraId="4BF3D639">
      <w:pPr>
        <w:jc w:val="center"/>
        <w:rPr>
          <w:rFonts w:eastAsia="黑体"/>
          <w:spacing w:val="40"/>
          <w:w w:val="66"/>
          <w:sz w:val="32"/>
          <w:szCs w:val="32"/>
        </w:rPr>
      </w:pPr>
      <w:r>
        <w:rPr>
          <w:rFonts w:eastAsia="黑体"/>
          <w:spacing w:val="40"/>
          <w:w w:val="66"/>
          <w:sz w:val="32"/>
          <w:szCs w:val="32"/>
        </w:rPr>
        <w:t>（项目编号：TGPC-2025-D-1330）</w:t>
      </w:r>
    </w:p>
    <w:p w14:paraId="51E75F93">
      <w:pPr>
        <w:rPr>
          <w:sz w:val="40"/>
        </w:rPr>
      </w:pPr>
    </w:p>
    <w:p w14:paraId="5EC67120">
      <w:pPr>
        <w:rPr>
          <w:sz w:val="36"/>
        </w:rPr>
      </w:pPr>
    </w:p>
    <w:p w14:paraId="4DEA3B4B">
      <w:pPr>
        <w:rPr>
          <w:sz w:val="36"/>
        </w:rPr>
      </w:pPr>
    </w:p>
    <w:p w14:paraId="213C66AE">
      <w:pPr>
        <w:rPr>
          <w:sz w:val="36"/>
        </w:rPr>
      </w:pPr>
    </w:p>
    <w:p w14:paraId="31433805">
      <w:pPr>
        <w:rPr>
          <w:sz w:val="36"/>
        </w:rPr>
      </w:pPr>
    </w:p>
    <w:p w14:paraId="117823E3">
      <w:pPr>
        <w:rPr>
          <w:sz w:val="36"/>
        </w:rPr>
      </w:pPr>
    </w:p>
    <w:p w14:paraId="0D846D71">
      <w:pPr>
        <w:rPr>
          <w:sz w:val="36"/>
        </w:rPr>
      </w:pPr>
    </w:p>
    <w:p w14:paraId="6747346B">
      <w:pPr>
        <w:rPr>
          <w:sz w:val="36"/>
        </w:rPr>
      </w:pPr>
    </w:p>
    <w:p w14:paraId="0F058FD1">
      <w:pPr>
        <w:rPr>
          <w:sz w:val="36"/>
        </w:rPr>
      </w:pPr>
    </w:p>
    <w:p w14:paraId="7B9A4F20">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218D703">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5.12</w:t>
      </w:r>
    </w:p>
    <w:p w14:paraId="78B2EBE1">
      <w:pPr>
        <w:widowControl/>
        <w:jc w:val="left"/>
        <w:rPr>
          <w:rFonts w:eastAsia="仿宋_GB2312"/>
          <w:b/>
          <w:bCs/>
          <w:kern w:val="0"/>
          <w:sz w:val="44"/>
          <w:szCs w:val="44"/>
        </w:rPr>
      </w:pPr>
    </w:p>
    <w:p w14:paraId="3F4F7219">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7E3D48CC">
      <w:pPr>
        <w:ind w:firstLine="408" w:firstLineChars="100"/>
        <w:jc w:val="center"/>
        <w:rPr>
          <w:b/>
          <w:spacing w:val="20"/>
          <w:w w:val="80"/>
          <w:sz w:val="48"/>
          <w:szCs w:val="48"/>
        </w:rPr>
      </w:pPr>
      <w:r>
        <w:rPr>
          <w:b/>
          <w:spacing w:val="20"/>
          <w:w w:val="80"/>
          <w:sz w:val="48"/>
          <w:szCs w:val="48"/>
        </w:rPr>
        <w:t>目  录</w:t>
      </w:r>
    </w:p>
    <w:p w14:paraId="7E945CA4">
      <w:pPr>
        <w:spacing w:line="560" w:lineRule="exact"/>
        <w:ind w:right="-141" w:rightChars="-73"/>
        <w:rPr>
          <w:b/>
          <w:sz w:val="24"/>
        </w:rPr>
      </w:pPr>
      <w:r>
        <w:rPr>
          <w:b/>
          <w:sz w:val="24"/>
        </w:rPr>
        <w:t>第一部分  投标邀请函</w:t>
      </w:r>
    </w:p>
    <w:p w14:paraId="63492982">
      <w:pPr>
        <w:spacing w:line="560" w:lineRule="exact"/>
        <w:ind w:right="-141" w:rightChars="-73"/>
        <w:rPr>
          <w:b/>
          <w:sz w:val="24"/>
        </w:rPr>
      </w:pPr>
    </w:p>
    <w:p w14:paraId="6E0FD30C">
      <w:pPr>
        <w:spacing w:line="560" w:lineRule="exact"/>
        <w:ind w:right="-141" w:rightChars="-73"/>
        <w:rPr>
          <w:b/>
          <w:sz w:val="24"/>
        </w:rPr>
      </w:pPr>
      <w:r>
        <w:rPr>
          <w:b/>
          <w:sz w:val="24"/>
        </w:rPr>
        <w:t>第二部分  招标项目要求</w:t>
      </w:r>
    </w:p>
    <w:p w14:paraId="17BC47B4">
      <w:pPr>
        <w:spacing w:line="560" w:lineRule="exact"/>
        <w:ind w:right="-141" w:rightChars="-73"/>
        <w:rPr>
          <w:b/>
          <w:sz w:val="24"/>
        </w:rPr>
      </w:pPr>
    </w:p>
    <w:p w14:paraId="64236524">
      <w:pPr>
        <w:spacing w:line="560" w:lineRule="exact"/>
        <w:ind w:right="-141" w:rightChars="-73"/>
        <w:rPr>
          <w:b/>
          <w:sz w:val="24"/>
        </w:rPr>
      </w:pPr>
      <w:r>
        <w:rPr>
          <w:b/>
          <w:sz w:val="24"/>
        </w:rPr>
        <w:t>第三部分  投标须知</w:t>
      </w:r>
    </w:p>
    <w:p w14:paraId="6788851A">
      <w:pPr>
        <w:spacing w:line="560" w:lineRule="exact"/>
        <w:ind w:right="-141" w:rightChars="-73"/>
        <w:rPr>
          <w:sz w:val="24"/>
        </w:rPr>
      </w:pPr>
    </w:p>
    <w:p w14:paraId="145BC96D">
      <w:pPr>
        <w:spacing w:line="560" w:lineRule="exact"/>
        <w:rPr>
          <w:b/>
          <w:sz w:val="24"/>
        </w:rPr>
      </w:pPr>
      <w:r>
        <w:rPr>
          <w:b/>
          <w:sz w:val="24"/>
        </w:rPr>
        <w:t>第四部分  合同条款</w:t>
      </w:r>
    </w:p>
    <w:p w14:paraId="379BFCC0">
      <w:pPr>
        <w:spacing w:line="560" w:lineRule="exact"/>
        <w:rPr>
          <w:sz w:val="24"/>
        </w:rPr>
      </w:pPr>
    </w:p>
    <w:p w14:paraId="4C46F720">
      <w:pPr>
        <w:spacing w:line="560" w:lineRule="exact"/>
        <w:rPr>
          <w:sz w:val="24"/>
        </w:rPr>
      </w:pPr>
      <w:r>
        <w:rPr>
          <w:b/>
          <w:sz w:val="24"/>
        </w:rPr>
        <w:t>第五部分  投标文件格式</w:t>
      </w:r>
    </w:p>
    <w:p w14:paraId="376500AD">
      <w:pPr>
        <w:rPr>
          <w:sz w:val="24"/>
        </w:rPr>
      </w:pPr>
    </w:p>
    <w:p w14:paraId="1A2BAD2E">
      <w:pPr>
        <w:rPr>
          <w:sz w:val="24"/>
        </w:rPr>
      </w:pPr>
    </w:p>
    <w:p w14:paraId="13BFBC83">
      <w:pPr>
        <w:rPr>
          <w:sz w:val="24"/>
        </w:rPr>
      </w:pPr>
    </w:p>
    <w:p w14:paraId="0591A007">
      <w:pPr>
        <w:rPr>
          <w:sz w:val="24"/>
        </w:rPr>
      </w:pPr>
    </w:p>
    <w:p w14:paraId="4EDE68D3">
      <w:pPr>
        <w:rPr>
          <w:sz w:val="24"/>
        </w:rPr>
      </w:pPr>
    </w:p>
    <w:p w14:paraId="1924D6A7">
      <w:pPr>
        <w:rPr>
          <w:sz w:val="24"/>
        </w:rPr>
      </w:pPr>
    </w:p>
    <w:p w14:paraId="66714214">
      <w:pPr>
        <w:rPr>
          <w:b/>
        </w:rPr>
      </w:pPr>
    </w:p>
    <w:p w14:paraId="0ABF8B69">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1F8AC6F4">
      <w:pPr>
        <w:pStyle w:val="16"/>
        <w:rPr>
          <w:rFonts w:ascii="Times New Roman" w:hAnsi="Times New Roman"/>
        </w:rPr>
      </w:pPr>
      <w:r>
        <w:rPr>
          <w:rFonts w:ascii="Times New Roman" w:hAnsi="Times New Roman"/>
        </w:rPr>
        <w:t>第一部分  投标邀请函</w:t>
      </w:r>
      <w:bookmarkEnd w:id="0"/>
    </w:p>
    <w:p w14:paraId="6F769398">
      <w:pPr>
        <w:pStyle w:val="30"/>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国家税务总局天津市税务局应用支撑平台等系统运行维护项目</w:t>
      </w:r>
      <w:r>
        <w:rPr>
          <w:rFonts w:ascii="Times New Roman" w:hAnsi="Times New Roman" w:cs="Times New Roman" w:eastAsiaTheme="minorEastAsia"/>
          <w:color w:val="auto"/>
          <w:szCs w:val="32"/>
        </w:rPr>
        <w:t>实施政府采购。现欢迎合格的供应商参加投标。</w:t>
      </w:r>
    </w:p>
    <w:p w14:paraId="65968A42">
      <w:pPr>
        <w:pStyle w:val="30"/>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5DA73D0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5260836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国家税务总局天津市税务局应用支撑平台等系统运行维护项目</w:t>
      </w:r>
    </w:p>
    <w:p w14:paraId="2E1E650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（二）项目编号：TGPC-2025-D-1330</w:t>
      </w:r>
      <w:r>
        <w:rPr>
          <w:rFonts w:hint="eastAsia" w:ascii="Times New Roman" w:hAnsi="Times New Roman" w:eastAsia="宋体" w:cs="Times New Roman"/>
          <w:color w:val="auto"/>
        </w:rPr>
        <w:t xml:space="preserve"> </w:t>
      </w:r>
    </w:p>
    <w:p w14:paraId="6EE0CC8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093C115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天津税务2025年应用支撑平台等系统运行维护1项，合同履行期限：合同规定的服务起始之日起6个月的服务期。</w:t>
      </w:r>
    </w:p>
    <w:p w14:paraId="49BF3B5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519F4CD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第一包：1720800</w:t>
      </w:r>
      <w:r>
        <w:rPr>
          <w:rFonts w:hint="eastAsia" w:ascii="Times New Roman" w:hAnsi="Times New Roman" w:eastAsia="宋体" w:cs="Times New Roman"/>
          <w:color w:val="auto"/>
        </w:rPr>
        <w:t>元</w:t>
      </w:r>
    </w:p>
    <w:p w14:paraId="350618F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56A2ADF6">
      <w:pPr>
        <w:pStyle w:val="30"/>
        <w:spacing w:line="360" w:lineRule="auto"/>
        <w:ind w:firstLine="448"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（一）供应商应具备《中华人民共和国政府采购法》第二十二条第一款和《政府采购法实施条例》第十八条规定的条件，提供以下材料：</w:t>
      </w:r>
    </w:p>
    <w:p w14:paraId="4BB08D4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3A61494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bookmarkEnd w:id="1"/>
    <w:bookmarkEnd w:id="2"/>
    <w:p w14:paraId="777C81F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（二）本项目接受联合体投标。若为联合体投标，投标文件应</w:t>
      </w:r>
      <w:r>
        <w:rPr>
          <w:rFonts w:hint="eastAsia" w:ascii="Times New Roman" w:hAnsi="Times New Roman" w:eastAsia="宋体" w:cs="Times New Roman"/>
          <w:color w:val="auto"/>
          <w:szCs w:val="32"/>
        </w:rPr>
        <w:t>加盖联合体主体方的电子签章，并提供联合体各方均盖章共同投标协议扫描件；联合体各方均应满足第（一）条的规定，并提供相关证明材料和</w:t>
      </w:r>
      <w:r>
        <w:rPr>
          <w:rFonts w:hint="eastAsia" w:ascii="Times New Roman" w:hAnsi="Times New Roman" w:eastAsia="宋体" w:cs="Times New Roman"/>
          <w:color w:val="auto"/>
        </w:rPr>
        <w:t>《供应商资格声明函》（格式见附件2）。</w:t>
      </w:r>
    </w:p>
    <w:p w14:paraId="2D2F924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7A9142D9">
      <w:pPr>
        <w:pStyle w:val="30"/>
        <w:spacing w:line="360" w:lineRule="auto"/>
        <w:ind w:firstLine="448" w:firstLineChars="200"/>
        <w:rPr>
          <w:rFonts w:ascii="Times New Roman" w:hAnsi="Times New Roman" w:cs="Times New Roman" w:eastAsiaTheme="minorEastAsia"/>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对小微企业报价给予20%的扣除。若为联合体投标，联合体的组成各方均为小微企业的，对该联合体报价给予20%的扣除；大中型企业与小微企业组成联合体共同参加本项目政府采购活动的，联合协议中约定，对于联合协议约定小微企业的合同份额占到合同总金额30%以上的，给予联合体报价6%的扣除。</w:t>
      </w:r>
    </w:p>
    <w:p w14:paraId="1908DC63">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0041B20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050A93B3">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0A9B2B1C">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29105B8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7147E8CB">
      <w:pPr>
        <w:pStyle w:val="30"/>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585EA94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10491A1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6218397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color w:val="auto"/>
        </w:rPr>
        <w:t>http://tjgpc.zwfwb.tj.gov.cn</w:t>
      </w:r>
      <w:r>
        <w:rPr>
          <w:rStyle w:val="27"/>
          <w:rFonts w:hint="eastAsia" w:ascii="Times New Roman" w:hAnsi="Times New Roman" w:eastAsia="宋体" w:cs="Times New Roman"/>
          <w:color w:val="auto"/>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263A865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23C7B6E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38AA3A4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5FA97D9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23A9CE5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3A47B78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3E8E7F0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2C5FEAC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0A616A64">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6D724AC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7DF030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E319AE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67C92FC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3CA6959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完成开标解密的投标为有效投标。</w:t>
      </w:r>
    </w:p>
    <w:p w14:paraId="19E953D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4CFB6B5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0至1</w:t>
      </w:r>
      <w:r>
        <w:rPr>
          <w:rFonts w:hint="eastAsia" w:ascii="Times New Roman" w:hAnsi="Times New Roman" w:eastAsia="宋体" w:cs="Times New Roman"/>
          <w:color w:val="auto"/>
        </w:rPr>
        <w:t>7</w:t>
      </w:r>
      <w:r>
        <w:rPr>
          <w:rFonts w:ascii="Times New Roman" w:hAnsi="Times New Roman" w:eastAsia="宋体" w:cs="Times New Roman"/>
          <w:color w:val="auto"/>
        </w:rPr>
        <w:t>:00。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61119BC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77E72E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B9D259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3060064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w:t>
      </w:r>
      <w:r>
        <w:rPr>
          <w:rFonts w:hint="eastAsia" w:ascii="Times New Roman" w:hAnsi="Times New Roman" w:eastAsia="宋体" w:cs="Times New Roman"/>
          <w:color w:val="auto"/>
        </w:rPr>
        <w:t>张艳</w:t>
      </w:r>
      <w:r>
        <w:rPr>
          <w:rFonts w:ascii="Times New Roman" w:hAnsi="Times New Roman" w:eastAsia="宋体" w:cs="Times New Roman"/>
          <w:color w:val="auto"/>
        </w:rPr>
        <w:t>、李楠、杨光</w:t>
      </w:r>
    </w:p>
    <w:p w14:paraId="6E4F5F1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4197757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2DCD91D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5B9BDB5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1B4449A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25E4643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8176</w:t>
      </w:r>
    </w:p>
    <w:p w14:paraId="294AD45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515076E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02B7C1F0">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599D738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286CF82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1637FAE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0281894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6F44C78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CE8046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31B2F55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328A098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614265E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223263A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07D4652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463E78F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448607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3C1CF5B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5D0E10F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D2913B4">
        <w:trPr>
          <w:trHeight w:val="440" w:hRule="atLeast"/>
          <w:tblHeader/>
          <w:jc w:val="center"/>
        </w:trPr>
        <w:tc>
          <w:tcPr>
            <w:tcW w:w="3656" w:type="dxa"/>
            <w:vAlign w:val="center"/>
          </w:tcPr>
          <w:p w14:paraId="3B2766C5">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5CFD545E">
            <w:pPr>
              <w:tabs>
                <w:tab w:val="left" w:pos="750"/>
                <w:tab w:val="left" w:pos="840"/>
              </w:tabs>
              <w:adjustRightInd w:val="0"/>
              <w:snapToGrid w:val="0"/>
              <w:jc w:val="center"/>
              <w:rPr>
                <w:sz w:val="24"/>
              </w:rPr>
            </w:pPr>
            <w:r>
              <w:rPr>
                <w:sz w:val="24"/>
              </w:rPr>
              <w:t>费率</w:t>
            </w:r>
          </w:p>
        </w:tc>
      </w:tr>
      <w:tr w14:paraId="1B1C436D">
        <w:trPr>
          <w:trHeight w:val="440" w:hRule="atLeast"/>
          <w:jc w:val="center"/>
        </w:trPr>
        <w:tc>
          <w:tcPr>
            <w:tcW w:w="3656" w:type="dxa"/>
            <w:vAlign w:val="center"/>
          </w:tcPr>
          <w:p w14:paraId="14EFAF55">
            <w:pPr>
              <w:tabs>
                <w:tab w:val="left" w:pos="750"/>
                <w:tab w:val="left" w:pos="840"/>
              </w:tabs>
              <w:adjustRightInd w:val="0"/>
              <w:snapToGrid w:val="0"/>
              <w:jc w:val="center"/>
              <w:rPr>
                <w:sz w:val="24"/>
              </w:rPr>
            </w:pPr>
            <w:r>
              <w:rPr>
                <w:sz w:val="24"/>
              </w:rPr>
              <w:t>100以下</w:t>
            </w:r>
          </w:p>
        </w:tc>
        <w:tc>
          <w:tcPr>
            <w:tcW w:w="3657" w:type="dxa"/>
            <w:vAlign w:val="center"/>
          </w:tcPr>
          <w:p w14:paraId="2A341923">
            <w:pPr>
              <w:tabs>
                <w:tab w:val="left" w:pos="750"/>
                <w:tab w:val="left" w:pos="840"/>
              </w:tabs>
              <w:adjustRightInd w:val="0"/>
              <w:snapToGrid w:val="0"/>
              <w:jc w:val="center"/>
              <w:rPr>
                <w:sz w:val="24"/>
              </w:rPr>
            </w:pPr>
            <w:r>
              <w:rPr>
                <w:sz w:val="24"/>
              </w:rPr>
              <w:t>1%</w:t>
            </w:r>
          </w:p>
        </w:tc>
      </w:tr>
      <w:tr w14:paraId="50E2F196">
        <w:trPr>
          <w:trHeight w:val="440" w:hRule="atLeast"/>
          <w:jc w:val="center"/>
        </w:trPr>
        <w:tc>
          <w:tcPr>
            <w:tcW w:w="3656" w:type="dxa"/>
            <w:vAlign w:val="center"/>
          </w:tcPr>
          <w:p w14:paraId="303ED2EA">
            <w:pPr>
              <w:tabs>
                <w:tab w:val="left" w:pos="750"/>
                <w:tab w:val="left" w:pos="840"/>
              </w:tabs>
              <w:adjustRightInd w:val="0"/>
              <w:snapToGrid w:val="0"/>
              <w:jc w:val="center"/>
              <w:rPr>
                <w:sz w:val="24"/>
              </w:rPr>
            </w:pPr>
            <w:r>
              <w:rPr>
                <w:sz w:val="24"/>
              </w:rPr>
              <w:t>100-500</w:t>
            </w:r>
          </w:p>
        </w:tc>
        <w:tc>
          <w:tcPr>
            <w:tcW w:w="3657" w:type="dxa"/>
            <w:vAlign w:val="center"/>
          </w:tcPr>
          <w:p w14:paraId="7F21426A">
            <w:pPr>
              <w:tabs>
                <w:tab w:val="left" w:pos="750"/>
                <w:tab w:val="left" w:pos="840"/>
              </w:tabs>
              <w:adjustRightInd w:val="0"/>
              <w:snapToGrid w:val="0"/>
              <w:jc w:val="center"/>
              <w:rPr>
                <w:sz w:val="24"/>
              </w:rPr>
            </w:pPr>
            <w:r>
              <w:rPr>
                <w:rFonts w:hint="eastAsia"/>
                <w:sz w:val="24"/>
              </w:rPr>
              <w:t>0.8</w:t>
            </w:r>
            <w:r>
              <w:rPr>
                <w:sz w:val="24"/>
              </w:rPr>
              <w:t>%</w:t>
            </w:r>
          </w:p>
        </w:tc>
      </w:tr>
      <w:tr w14:paraId="2D085ECA">
        <w:trPr>
          <w:trHeight w:val="440" w:hRule="atLeast"/>
          <w:jc w:val="center"/>
        </w:trPr>
        <w:tc>
          <w:tcPr>
            <w:tcW w:w="3656" w:type="dxa"/>
            <w:vAlign w:val="center"/>
          </w:tcPr>
          <w:p w14:paraId="190A3A68">
            <w:pPr>
              <w:tabs>
                <w:tab w:val="left" w:pos="750"/>
                <w:tab w:val="left" w:pos="840"/>
              </w:tabs>
              <w:adjustRightInd w:val="0"/>
              <w:snapToGrid w:val="0"/>
              <w:jc w:val="center"/>
              <w:rPr>
                <w:sz w:val="24"/>
              </w:rPr>
            </w:pPr>
            <w:r>
              <w:rPr>
                <w:sz w:val="24"/>
              </w:rPr>
              <w:t>500-1000</w:t>
            </w:r>
          </w:p>
        </w:tc>
        <w:tc>
          <w:tcPr>
            <w:tcW w:w="3657" w:type="dxa"/>
            <w:vAlign w:val="center"/>
          </w:tcPr>
          <w:p w14:paraId="0A478971">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0309C08B">
        <w:trPr>
          <w:trHeight w:val="440" w:hRule="atLeast"/>
          <w:jc w:val="center"/>
        </w:trPr>
        <w:tc>
          <w:tcPr>
            <w:tcW w:w="3656" w:type="dxa"/>
            <w:vAlign w:val="center"/>
          </w:tcPr>
          <w:p w14:paraId="612E743A">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9905E31">
            <w:pPr>
              <w:tabs>
                <w:tab w:val="left" w:pos="750"/>
                <w:tab w:val="left" w:pos="840"/>
              </w:tabs>
              <w:adjustRightInd w:val="0"/>
              <w:snapToGrid w:val="0"/>
              <w:jc w:val="center"/>
              <w:rPr>
                <w:sz w:val="24"/>
              </w:rPr>
            </w:pPr>
            <w:r>
              <w:rPr>
                <w:rFonts w:hint="eastAsia"/>
                <w:sz w:val="24"/>
              </w:rPr>
              <w:t>0.25%</w:t>
            </w:r>
          </w:p>
        </w:tc>
      </w:tr>
      <w:tr w14:paraId="780EB8D9">
        <w:trPr>
          <w:trHeight w:val="440" w:hRule="atLeast"/>
          <w:jc w:val="center"/>
        </w:trPr>
        <w:tc>
          <w:tcPr>
            <w:tcW w:w="3656" w:type="dxa"/>
            <w:vAlign w:val="center"/>
          </w:tcPr>
          <w:p w14:paraId="4C7A4988">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5C08BC84">
            <w:pPr>
              <w:tabs>
                <w:tab w:val="left" w:pos="750"/>
                <w:tab w:val="left" w:pos="840"/>
              </w:tabs>
              <w:adjustRightInd w:val="0"/>
              <w:snapToGrid w:val="0"/>
              <w:jc w:val="center"/>
              <w:rPr>
                <w:sz w:val="24"/>
              </w:rPr>
            </w:pPr>
            <w:r>
              <w:rPr>
                <w:rFonts w:hint="eastAsia"/>
                <w:sz w:val="24"/>
              </w:rPr>
              <w:t>0.1%</w:t>
            </w:r>
          </w:p>
        </w:tc>
      </w:tr>
      <w:tr w14:paraId="1F665960">
        <w:trPr>
          <w:trHeight w:val="440" w:hRule="atLeast"/>
          <w:jc w:val="center"/>
        </w:trPr>
        <w:tc>
          <w:tcPr>
            <w:tcW w:w="3656" w:type="dxa"/>
            <w:vAlign w:val="center"/>
          </w:tcPr>
          <w:p w14:paraId="5F80EDA9">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DCDD5F3">
            <w:pPr>
              <w:tabs>
                <w:tab w:val="left" w:pos="750"/>
                <w:tab w:val="left" w:pos="840"/>
              </w:tabs>
              <w:adjustRightInd w:val="0"/>
              <w:snapToGrid w:val="0"/>
              <w:jc w:val="center"/>
              <w:rPr>
                <w:sz w:val="24"/>
              </w:rPr>
            </w:pPr>
            <w:r>
              <w:rPr>
                <w:rFonts w:hint="eastAsia"/>
                <w:sz w:val="24"/>
              </w:rPr>
              <w:t>0.05%</w:t>
            </w:r>
          </w:p>
        </w:tc>
      </w:tr>
    </w:tbl>
    <w:p w14:paraId="140DE47E">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3373A1D4">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66A03F4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3575331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7B90CC50">
      <w:pPr>
        <w:pStyle w:val="30"/>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4DD668F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DD716D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53B5D0E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026F1A9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45D5D76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1F7894E7">
      <w:pPr>
        <w:pStyle w:val="30"/>
        <w:spacing w:line="360" w:lineRule="auto"/>
        <w:ind w:firstLine="448" w:firstLineChars="200"/>
        <w:rPr>
          <w:rFonts w:ascii="Times New Roman" w:hAnsi="Times New Roman" w:eastAsia="宋体" w:cs="Times New Roman"/>
          <w:color w:val="auto"/>
        </w:rPr>
      </w:pPr>
    </w:p>
    <w:p w14:paraId="46C7F518">
      <w:pPr>
        <w:pStyle w:val="30"/>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p>
    <w:p w14:paraId="5BCD50E4">
      <w:pPr>
        <w:pStyle w:val="30"/>
        <w:spacing w:line="360" w:lineRule="auto"/>
        <w:jc w:val="right"/>
        <w:rPr>
          <w:rFonts w:ascii="Times New Roman" w:hAnsi="Times New Roman" w:eastAsia="宋体" w:cs="Times New Roman"/>
          <w:color w:val="auto"/>
        </w:rPr>
      </w:pPr>
    </w:p>
    <w:p w14:paraId="61935F44">
      <w:pPr>
        <w:pStyle w:val="30"/>
        <w:spacing w:line="360" w:lineRule="auto"/>
        <w:jc w:val="right"/>
        <w:rPr>
          <w:rFonts w:ascii="Times New Roman" w:hAnsi="Times New Roman" w:eastAsia="宋体" w:cs="Times New Roman"/>
          <w:color w:val="auto"/>
        </w:rPr>
      </w:pPr>
    </w:p>
    <w:p w14:paraId="0CB7B7B6">
      <w:pPr>
        <w:pStyle w:val="30"/>
        <w:spacing w:line="360" w:lineRule="auto"/>
        <w:jc w:val="right"/>
        <w:rPr>
          <w:rFonts w:ascii="Times New Roman" w:hAnsi="Times New Roman" w:eastAsia="宋体" w:cs="Times New Roman"/>
          <w:color w:val="auto"/>
        </w:rPr>
      </w:pPr>
    </w:p>
    <w:p w14:paraId="3EEC8ECF">
      <w:pPr>
        <w:pStyle w:val="30"/>
        <w:spacing w:line="360" w:lineRule="auto"/>
        <w:jc w:val="right"/>
        <w:rPr>
          <w:rFonts w:ascii="Times New Roman" w:hAnsi="Times New Roman" w:eastAsia="宋体" w:cs="Times New Roman"/>
          <w:color w:val="auto"/>
        </w:rPr>
      </w:pPr>
    </w:p>
    <w:p w14:paraId="1A04682C">
      <w:pPr>
        <w:pStyle w:val="30"/>
        <w:spacing w:line="360" w:lineRule="auto"/>
        <w:jc w:val="right"/>
        <w:rPr>
          <w:rFonts w:ascii="Times New Roman" w:hAnsi="Times New Roman" w:eastAsia="宋体" w:cs="Times New Roman"/>
          <w:color w:val="auto"/>
        </w:rPr>
      </w:pPr>
    </w:p>
    <w:p w14:paraId="13175044">
      <w:pPr>
        <w:pStyle w:val="30"/>
        <w:spacing w:line="360" w:lineRule="auto"/>
        <w:jc w:val="right"/>
        <w:rPr>
          <w:rFonts w:ascii="Times New Roman" w:hAnsi="Times New Roman" w:eastAsia="宋体" w:cs="Times New Roman"/>
          <w:color w:val="auto"/>
        </w:rPr>
      </w:pPr>
    </w:p>
    <w:p w14:paraId="1737DDDF">
      <w:pPr>
        <w:pStyle w:val="30"/>
        <w:spacing w:line="360" w:lineRule="auto"/>
        <w:jc w:val="right"/>
        <w:rPr>
          <w:rFonts w:ascii="Times New Roman" w:hAnsi="Times New Roman" w:eastAsia="宋体" w:cs="Times New Roman"/>
          <w:color w:val="auto"/>
        </w:rPr>
      </w:pPr>
    </w:p>
    <w:p w14:paraId="567EAB18">
      <w:pPr>
        <w:pStyle w:val="30"/>
        <w:spacing w:line="360" w:lineRule="auto"/>
        <w:jc w:val="right"/>
        <w:rPr>
          <w:rFonts w:ascii="Times New Roman" w:hAnsi="Times New Roman" w:eastAsia="宋体" w:cs="Times New Roman"/>
          <w:color w:val="auto"/>
        </w:rPr>
      </w:pPr>
    </w:p>
    <w:p w14:paraId="6C346A6C">
      <w:pPr>
        <w:pStyle w:val="30"/>
        <w:spacing w:line="360" w:lineRule="auto"/>
        <w:jc w:val="right"/>
        <w:rPr>
          <w:rFonts w:ascii="Times New Roman" w:hAnsi="Times New Roman" w:eastAsia="宋体" w:cs="Times New Roman"/>
          <w:color w:val="auto"/>
        </w:rPr>
      </w:pPr>
    </w:p>
    <w:p w14:paraId="19A441CB">
      <w:pPr>
        <w:pStyle w:val="30"/>
        <w:spacing w:line="360" w:lineRule="auto"/>
        <w:jc w:val="right"/>
        <w:rPr>
          <w:rFonts w:ascii="Times New Roman" w:hAnsi="Times New Roman" w:eastAsia="宋体" w:cs="Times New Roman"/>
          <w:color w:val="auto"/>
        </w:rPr>
      </w:pPr>
    </w:p>
    <w:p w14:paraId="56D80EC7">
      <w:pPr>
        <w:pStyle w:val="30"/>
        <w:spacing w:line="360" w:lineRule="auto"/>
        <w:jc w:val="right"/>
        <w:rPr>
          <w:rFonts w:ascii="Times New Roman" w:hAnsi="Times New Roman" w:eastAsia="宋体" w:cs="Times New Roman"/>
          <w:color w:val="auto"/>
        </w:rPr>
      </w:pPr>
    </w:p>
    <w:p w14:paraId="7BA3A68A">
      <w:pPr>
        <w:pStyle w:val="30"/>
        <w:spacing w:line="360" w:lineRule="auto"/>
        <w:jc w:val="right"/>
        <w:rPr>
          <w:rFonts w:ascii="Times New Roman" w:hAnsi="Times New Roman" w:eastAsia="宋体" w:cs="Times New Roman"/>
          <w:color w:val="auto"/>
        </w:rPr>
      </w:pPr>
    </w:p>
    <w:p w14:paraId="4D7488DA">
      <w:pPr>
        <w:pStyle w:val="30"/>
        <w:spacing w:line="360" w:lineRule="auto"/>
        <w:jc w:val="right"/>
        <w:rPr>
          <w:rFonts w:ascii="Times New Roman" w:hAnsi="Times New Roman" w:eastAsia="宋体" w:cs="Times New Roman"/>
          <w:color w:val="auto"/>
        </w:rPr>
      </w:pPr>
    </w:p>
    <w:p w14:paraId="332EBEF2">
      <w:pPr>
        <w:pStyle w:val="30"/>
        <w:spacing w:line="360" w:lineRule="auto"/>
        <w:jc w:val="right"/>
        <w:rPr>
          <w:rFonts w:ascii="Times New Roman" w:hAnsi="Times New Roman" w:eastAsia="宋体" w:cs="Times New Roman"/>
          <w:color w:val="auto"/>
        </w:rPr>
      </w:pPr>
    </w:p>
    <w:p w14:paraId="3513585E">
      <w:pPr>
        <w:pStyle w:val="30"/>
        <w:spacing w:line="360" w:lineRule="auto"/>
        <w:jc w:val="right"/>
        <w:rPr>
          <w:rFonts w:ascii="Times New Roman" w:hAnsi="Times New Roman" w:eastAsia="宋体" w:cs="Times New Roman"/>
          <w:color w:val="auto"/>
        </w:rPr>
      </w:pPr>
    </w:p>
    <w:p w14:paraId="14BA8687">
      <w:pPr>
        <w:pStyle w:val="30"/>
        <w:spacing w:line="360" w:lineRule="auto"/>
        <w:jc w:val="right"/>
        <w:rPr>
          <w:rFonts w:ascii="Times New Roman" w:hAnsi="Times New Roman" w:eastAsia="宋体" w:cs="Times New Roman"/>
          <w:color w:val="auto"/>
        </w:rPr>
      </w:pPr>
    </w:p>
    <w:p w14:paraId="6C9A7E59">
      <w:pPr>
        <w:pStyle w:val="30"/>
        <w:spacing w:line="360" w:lineRule="auto"/>
        <w:jc w:val="right"/>
        <w:rPr>
          <w:rFonts w:ascii="Times New Roman" w:hAnsi="Times New Roman" w:eastAsia="宋体" w:cs="Times New Roman"/>
          <w:color w:val="auto"/>
        </w:rPr>
      </w:pPr>
    </w:p>
    <w:p w14:paraId="579B502D">
      <w:pPr>
        <w:pStyle w:val="30"/>
        <w:spacing w:line="360" w:lineRule="auto"/>
        <w:jc w:val="right"/>
        <w:rPr>
          <w:rFonts w:ascii="Times New Roman" w:hAnsi="Times New Roman" w:eastAsia="宋体" w:cs="Times New Roman"/>
          <w:color w:val="auto"/>
        </w:rPr>
      </w:pPr>
    </w:p>
    <w:p w14:paraId="6AFE3E80">
      <w:pPr>
        <w:pStyle w:val="30"/>
        <w:spacing w:line="360" w:lineRule="auto"/>
        <w:jc w:val="right"/>
        <w:rPr>
          <w:rFonts w:ascii="Times New Roman" w:hAnsi="Times New Roman" w:eastAsia="宋体" w:cs="Times New Roman"/>
          <w:color w:val="auto"/>
        </w:rPr>
      </w:pPr>
    </w:p>
    <w:p w14:paraId="0B36543E">
      <w:pPr>
        <w:pStyle w:val="30"/>
        <w:spacing w:line="360" w:lineRule="auto"/>
        <w:jc w:val="right"/>
        <w:rPr>
          <w:rFonts w:ascii="Times New Roman" w:hAnsi="Times New Roman" w:eastAsia="宋体" w:cs="Times New Roman"/>
          <w:color w:val="auto"/>
        </w:rPr>
      </w:pPr>
    </w:p>
    <w:p w14:paraId="50A92949">
      <w:pPr>
        <w:pStyle w:val="30"/>
        <w:spacing w:line="360" w:lineRule="auto"/>
        <w:jc w:val="right"/>
        <w:rPr>
          <w:rFonts w:ascii="Times New Roman" w:hAnsi="Times New Roman" w:eastAsia="宋体" w:cs="Times New Roman"/>
          <w:color w:val="auto"/>
        </w:rPr>
      </w:pPr>
    </w:p>
    <w:p w14:paraId="2B16966B">
      <w:pPr>
        <w:pStyle w:val="30"/>
        <w:spacing w:line="360" w:lineRule="auto"/>
        <w:jc w:val="right"/>
        <w:rPr>
          <w:rFonts w:ascii="Times New Roman" w:hAnsi="Times New Roman" w:eastAsia="宋体" w:cs="Times New Roman"/>
          <w:color w:val="auto"/>
        </w:rPr>
      </w:pPr>
    </w:p>
    <w:p w14:paraId="7D0AD85A">
      <w:pPr>
        <w:pStyle w:val="30"/>
        <w:spacing w:line="360" w:lineRule="auto"/>
        <w:jc w:val="right"/>
        <w:rPr>
          <w:rFonts w:ascii="Times New Roman" w:hAnsi="Times New Roman" w:eastAsia="宋体" w:cs="Times New Roman"/>
          <w:color w:val="auto"/>
        </w:rPr>
      </w:pPr>
    </w:p>
    <w:p w14:paraId="22D0D80F">
      <w:pPr>
        <w:pStyle w:val="30"/>
        <w:spacing w:line="360" w:lineRule="auto"/>
        <w:jc w:val="right"/>
        <w:rPr>
          <w:rFonts w:ascii="Times New Roman" w:hAnsi="Times New Roman" w:eastAsia="宋体" w:cs="Times New Roman"/>
          <w:color w:val="auto"/>
        </w:rPr>
      </w:pPr>
    </w:p>
    <w:p w14:paraId="12FAEB05">
      <w:pPr>
        <w:pStyle w:val="30"/>
        <w:spacing w:line="360" w:lineRule="auto"/>
        <w:jc w:val="right"/>
        <w:rPr>
          <w:rFonts w:ascii="Times New Roman" w:hAnsi="Times New Roman" w:eastAsia="宋体" w:cs="Times New Roman"/>
          <w:color w:val="auto"/>
        </w:rPr>
      </w:pPr>
    </w:p>
    <w:p w14:paraId="3F0B0A1C">
      <w:pPr>
        <w:pStyle w:val="30"/>
        <w:spacing w:line="360" w:lineRule="auto"/>
        <w:jc w:val="right"/>
        <w:rPr>
          <w:rFonts w:ascii="Times New Roman" w:hAnsi="Times New Roman" w:eastAsia="宋体" w:cs="Times New Roman"/>
          <w:color w:val="auto"/>
        </w:rPr>
      </w:pPr>
    </w:p>
    <w:p w14:paraId="710D031F">
      <w:pPr>
        <w:pStyle w:val="30"/>
        <w:spacing w:line="360" w:lineRule="auto"/>
        <w:jc w:val="right"/>
        <w:rPr>
          <w:rFonts w:ascii="Times New Roman" w:hAnsi="Times New Roman" w:eastAsia="宋体" w:cs="Times New Roman"/>
          <w:color w:val="auto"/>
        </w:rPr>
      </w:pPr>
    </w:p>
    <w:p w14:paraId="21B99320">
      <w:pPr>
        <w:spacing w:line="360" w:lineRule="auto"/>
        <w:jc w:val="center"/>
        <w:rPr>
          <w:rFonts w:asciiTheme="minorEastAsia" w:hAnsiTheme="minorEastAsia" w:eastAsiaTheme="minorEastAsia"/>
          <w:b/>
          <w:bCs/>
          <w:kern w:val="0"/>
          <w:sz w:val="24"/>
          <w:szCs w:val="24"/>
        </w:rPr>
      </w:pPr>
      <w:r>
        <w:rPr>
          <w:rFonts w:asciiTheme="minorEastAsia" w:hAnsiTheme="minorEastAsia" w:eastAsiaTheme="minorEastAsia"/>
          <w:b/>
          <w:bCs/>
          <w:kern w:val="0"/>
          <w:sz w:val="24"/>
          <w:szCs w:val="24"/>
        </w:rPr>
        <w:t>“政采贷”业务提示函</w:t>
      </w:r>
    </w:p>
    <w:p w14:paraId="13BC8984">
      <w:pPr>
        <w:spacing w:line="360" w:lineRule="auto"/>
        <w:jc w:val="center"/>
        <w:rPr>
          <w:rFonts w:eastAsia="方正小标宋简体"/>
          <w:bCs/>
          <w:kern w:val="0"/>
          <w:sz w:val="24"/>
          <w:szCs w:val="24"/>
        </w:rPr>
      </w:pPr>
    </w:p>
    <w:p w14:paraId="1CF1FF6F">
      <w:pPr>
        <w:spacing w:line="360" w:lineRule="auto"/>
        <w:ind w:firstLine="448" w:firstLineChars="200"/>
        <w:rPr>
          <w:bCs/>
          <w:kern w:val="0"/>
          <w:sz w:val="24"/>
          <w:szCs w:val="24"/>
        </w:rPr>
      </w:pPr>
      <w:r>
        <w:rPr>
          <w:bCs/>
          <w:kern w:val="0"/>
          <w:sz w:val="24"/>
          <w:szCs w:val="24"/>
        </w:rPr>
        <w:t>【政策简介】“政采贷”业务，即政府采购合同融资，具有流程简便、放款迅速、免实物质押、贷款利率低等特点。政府采购中标（成交）供应商如有融资需求，可以凭借包括中标（成交）通知书和政府采购合同等在内的相关材料向各商业银行申请融资，</w:t>
      </w:r>
      <w:r>
        <w:rPr>
          <w:sz w:val="24"/>
          <w:szCs w:val="24"/>
        </w:rPr>
        <w:t>并享受商业银行优惠利率以及人民银行支小再贷款政策等。</w:t>
      </w:r>
    </w:p>
    <w:p w14:paraId="101FA63B">
      <w:pPr>
        <w:spacing w:line="360" w:lineRule="auto"/>
        <w:ind w:firstLine="448" w:firstLineChars="200"/>
        <w:rPr>
          <w:sz w:val="24"/>
          <w:szCs w:val="24"/>
        </w:rPr>
      </w:pPr>
      <w:r>
        <w:rPr>
          <w:bCs/>
          <w:kern w:val="0"/>
          <w:sz w:val="24"/>
          <w:szCs w:val="24"/>
        </w:rPr>
        <w:t>【贷款途径】截</w:t>
      </w:r>
      <w:r>
        <w:rPr>
          <w:rFonts w:hint="eastAsia"/>
          <w:bCs/>
          <w:kern w:val="0"/>
          <w:sz w:val="24"/>
          <w:szCs w:val="24"/>
          <w:lang w:val="en-US" w:eastAsia="zh-CN"/>
        </w:rPr>
        <w:t>至</w:t>
      </w:r>
      <w:r>
        <w:rPr>
          <w:bCs/>
          <w:kern w:val="0"/>
          <w:sz w:val="24"/>
          <w:szCs w:val="24"/>
        </w:rPr>
        <w:t>目前，我市已有农业银行、光大银行、渤海银行、中信银行、浦发银行等18家商业银行相继推出了“政采贷”产品，并在天津市政府采购网“政采贷”产品介绍专栏（http://ccgp-tianjin.gov.cn/zcd/zcdList.jsp）公开了产品详情、产品特色、服务电话等信息，后续如有其它银行推出此类产品，“政采贷”产品介绍专栏也将及时更新。政府采购中标（成交）供应商如有融资需求，可以自行对比或咨询，并可以通过天津市政府采购网中公示的“中征应收账款融资服务平台”链接或中征平台官方网址（https://www.crcrfsp.com/index.do）向银行提交融资申请。</w:t>
      </w:r>
    </w:p>
    <w:p w14:paraId="33A8F9D3">
      <w:pPr>
        <w:spacing w:line="360" w:lineRule="auto"/>
        <w:ind w:firstLine="448" w:firstLineChars="200"/>
        <w:rPr>
          <w:sz w:val="24"/>
          <w:szCs w:val="24"/>
        </w:rPr>
      </w:pPr>
      <w:r>
        <w:rPr>
          <w:bCs/>
          <w:kern w:val="0"/>
          <w:sz w:val="24"/>
          <w:szCs w:val="24"/>
        </w:rPr>
        <w:t>【</w:t>
      </w:r>
      <w:r>
        <w:rPr>
          <w:sz w:val="24"/>
          <w:szCs w:val="24"/>
        </w:rPr>
        <w:t>特别提示</w:t>
      </w:r>
      <w:r>
        <w:rPr>
          <w:bCs/>
          <w:kern w:val="0"/>
          <w:sz w:val="24"/>
          <w:szCs w:val="24"/>
        </w:rPr>
        <w:t>】“政采贷”业务坚持“政府引导、市场运作、企业自愿、风险自担”的原则，</w:t>
      </w:r>
      <w:r>
        <w:rPr>
          <w:sz w:val="24"/>
          <w:szCs w:val="24"/>
        </w:rPr>
        <w:t>供应商自愿申请“政采贷”业务并自由选择商业银行，任何单位和个人不得干预或限制。</w:t>
      </w:r>
    </w:p>
    <w:p w14:paraId="3EDF0E7F">
      <w:pPr>
        <w:spacing w:line="360" w:lineRule="auto"/>
        <w:jc w:val="center"/>
        <w:rPr>
          <w:rFonts w:eastAsia="方正小标宋简体"/>
          <w:spacing w:val="-10"/>
          <w:sz w:val="24"/>
          <w:szCs w:val="24"/>
        </w:rPr>
      </w:pPr>
    </w:p>
    <w:p w14:paraId="0A103E49">
      <w:pPr>
        <w:spacing w:line="360" w:lineRule="auto"/>
        <w:jc w:val="center"/>
        <w:rPr>
          <w:rFonts w:eastAsia="方正小标宋简体"/>
          <w:spacing w:val="-10"/>
          <w:sz w:val="24"/>
          <w:szCs w:val="24"/>
        </w:rPr>
      </w:pPr>
    </w:p>
    <w:p w14:paraId="02CE3E5A">
      <w:pPr>
        <w:widowControl/>
        <w:jc w:val="left"/>
        <w:rPr>
          <w:rFonts w:asciiTheme="minorEastAsia" w:hAnsiTheme="minorEastAsia" w:eastAsiaTheme="minorEastAsia"/>
          <w:b/>
          <w:bCs/>
          <w:kern w:val="0"/>
          <w:sz w:val="24"/>
          <w:szCs w:val="24"/>
        </w:rPr>
      </w:pPr>
      <w:r>
        <w:rPr>
          <w:rFonts w:asciiTheme="minorEastAsia" w:hAnsiTheme="minorEastAsia" w:eastAsiaTheme="minorEastAsia"/>
          <w:b/>
          <w:bCs/>
          <w:kern w:val="0"/>
          <w:sz w:val="24"/>
          <w:szCs w:val="24"/>
        </w:rPr>
        <w:br w:type="page"/>
      </w:r>
    </w:p>
    <w:p w14:paraId="4FBE9D72">
      <w:pPr>
        <w:spacing w:line="360" w:lineRule="auto"/>
        <w:jc w:val="center"/>
        <w:rPr>
          <w:rFonts w:asciiTheme="minorEastAsia" w:hAnsiTheme="minorEastAsia" w:eastAsiaTheme="minorEastAsia"/>
          <w:b/>
          <w:bCs/>
          <w:kern w:val="0"/>
          <w:sz w:val="24"/>
          <w:szCs w:val="24"/>
        </w:rPr>
      </w:pPr>
      <w:r>
        <w:rPr>
          <w:rFonts w:asciiTheme="minorEastAsia" w:hAnsiTheme="minorEastAsia" w:eastAsiaTheme="minorEastAsia"/>
          <w:b/>
          <w:bCs/>
          <w:kern w:val="0"/>
          <w:sz w:val="24"/>
          <w:szCs w:val="24"/>
        </w:rPr>
        <w:t>政府采购支持中小企业政策提示函</w:t>
      </w:r>
    </w:p>
    <w:p w14:paraId="0C17685D">
      <w:pPr>
        <w:spacing w:line="360" w:lineRule="exact"/>
        <w:ind w:firstLine="448" w:firstLineChars="200"/>
        <w:rPr>
          <w:rFonts w:eastAsiaTheme="minorEastAsia"/>
          <w:sz w:val="24"/>
          <w:szCs w:val="24"/>
        </w:rPr>
      </w:pPr>
      <w:r>
        <w:rPr>
          <w:rFonts w:hint="eastAsia" w:eastAsiaTheme="minorEastAsia"/>
          <w:sz w:val="24"/>
          <w:szCs w:val="24"/>
        </w:rPr>
        <w:t>【政策概述】促进中小企业发展是政府采购法定的政策功能。在政府采购活动中，应当通过</w:t>
      </w:r>
      <w:r>
        <w:rPr>
          <w:rFonts w:hint="eastAsia" w:eastAsiaTheme="minorEastAsia"/>
          <w:snapToGrid w:val="0"/>
          <w:sz w:val="24"/>
          <w:szCs w:val="24"/>
        </w:rPr>
        <w:t>加强采购需求管理，落实预留采购份额、价格评审优惠、优先采购等措施，提高中小企业在政府采购中的份额，支持中小企业发展。</w:t>
      </w:r>
    </w:p>
    <w:p w14:paraId="7FC1F076">
      <w:pPr>
        <w:spacing w:line="360" w:lineRule="exact"/>
        <w:ind w:firstLine="448" w:firstLineChars="200"/>
        <w:rPr>
          <w:rFonts w:eastAsiaTheme="minorEastAsia"/>
          <w:sz w:val="24"/>
          <w:szCs w:val="24"/>
        </w:rPr>
      </w:pPr>
      <w:r>
        <w:rPr>
          <w:rFonts w:hint="eastAsia" w:eastAsiaTheme="minorEastAsia"/>
          <w:sz w:val="24"/>
          <w:szCs w:val="24"/>
        </w:rPr>
        <w:t>【支持对象】以下对象可享受支持政策：</w:t>
      </w:r>
      <w:r>
        <w:rPr>
          <w:rFonts w:eastAsiaTheme="minorEastAsia"/>
          <w:sz w:val="24"/>
          <w:szCs w:val="24"/>
        </w:rPr>
        <w:t>1.</w:t>
      </w:r>
      <w:r>
        <w:rPr>
          <w:rFonts w:hint="eastAsia" w:eastAsiaTheme="minorEastAsia"/>
          <w:sz w:val="24"/>
          <w:szCs w:val="24"/>
        </w:rPr>
        <w:t>在境内依法设立，依据国务院批准的中小企业划分标准确定的</w:t>
      </w:r>
      <w:r>
        <w:rPr>
          <w:rFonts w:hint="eastAsia" w:eastAsiaTheme="minorEastAsia"/>
          <w:b/>
          <w:sz w:val="24"/>
          <w:szCs w:val="24"/>
        </w:rPr>
        <w:t>中型企业、小型企业和微型企业</w:t>
      </w:r>
      <w:r>
        <w:rPr>
          <w:rFonts w:hint="eastAsia" w:eastAsiaTheme="minorEastAsia"/>
          <w:sz w:val="24"/>
          <w:szCs w:val="24"/>
        </w:rPr>
        <w:t>，但与大企业的负责人为同一人，或者与大企业存在直接控股、管理关系的除外；</w:t>
      </w:r>
      <w:r>
        <w:rPr>
          <w:rFonts w:eastAsiaTheme="minorEastAsia"/>
          <w:sz w:val="24"/>
          <w:szCs w:val="24"/>
        </w:rPr>
        <w:t>2.</w:t>
      </w:r>
      <w:r>
        <w:rPr>
          <w:rFonts w:hint="eastAsia" w:eastAsiaTheme="minorEastAsia"/>
          <w:sz w:val="24"/>
          <w:szCs w:val="24"/>
        </w:rPr>
        <w:t>符合中小企业划分标准的</w:t>
      </w:r>
      <w:r>
        <w:rPr>
          <w:rFonts w:hint="eastAsia" w:eastAsiaTheme="minorEastAsia"/>
          <w:b/>
          <w:sz w:val="24"/>
          <w:szCs w:val="24"/>
        </w:rPr>
        <w:t>个体工商户</w:t>
      </w:r>
      <w:r>
        <w:rPr>
          <w:rFonts w:hint="eastAsia" w:eastAsiaTheme="minorEastAsia"/>
          <w:sz w:val="24"/>
          <w:szCs w:val="24"/>
        </w:rPr>
        <w:t>。</w:t>
      </w:r>
    </w:p>
    <w:p w14:paraId="6A57D3F8">
      <w:pPr>
        <w:spacing w:line="360" w:lineRule="exact"/>
        <w:ind w:firstLine="448" w:firstLineChars="200"/>
        <w:rPr>
          <w:rFonts w:eastAsiaTheme="minorEastAsia"/>
          <w:snapToGrid w:val="0"/>
          <w:sz w:val="24"/>
          <w:szCs w:val="24"/>
        </w:rPr>
      </w:pPr>
      <w:r>
        <w:rPr>
          <w:rFonts w:hint="eastAsia" w:eastAsiaTheme="minorEastAsia"/>
          <w:snapToGrid w:val="0"/>
          <w:sz w:val="24"/>
          <w:szCs w:val="24"/>
        </w:rPr>
        <w:t>【支持情形】在政府采购活动中，供应商提供的货物、工程或者服务符合下列情形的，享受支持政策：</w:t>
      </w:r>
    </w:p>
    <w:p w14:paraId="501A057D">
      <w:pPr>
        <w:spacing w:line="360" w:lineRule="exact"/>
        <w:ind w:firstLine="448" w:firstLineChars="200"/>
        <w:rPr>
          <w:rFonts w:eastAsiaTheme="minorEastAsia"/>
          <w:snapToGrid w:val="0"/>
          <w:sz w:val="24"/>
          <w:szCs w:val="24"/>
        </w:rPr>
      </w:pPr>
      <w:r>
        <w:rPr>
          <w:rFonts w:hint="eastAsia" w:eastAsiaTheme="minorEastAsia"/>
          <w:snapToGrid w:val="0"/>
          <w:sz w:val="24"/>
          <w:szCs w:val="24"/>
        </w:rPr>
        <w:t>（一）在货物采购项目中，货物由中小企业制造，即货物由</w:t>
      </w:r>
      <w:r>
        <w:rPr>
          <w:rFonts w:hint="eastAsia" w:eastAsiaTheme="minorEastAsia"/>
          <w:b/>
          <w:snapToGrid w:val="0"/>
          <w:sz w:val="24"/>
          <w:szCs w:val="24"/>
        </w:rPr>
        <w:t>中小企业生产且使用该中小企业商号或者注册商标</w:t>
      </w:r>
      <w:r>
        <w:rPr>
          <w:rFonts w:hint="eastAsia" w:eastAsiaTheme="minorEastAsia"/>
          <w:snapToGrid w:val="0"/>
          <w:sz w:val="24"/>
          <w:szCs w:val="24"/>
        </w:rPr>
        <w:t>；</w:t>
      </w:r>
    </w:p>
    <w:p w14:paraId="738CC425">
      <w:pPr>
        <w:spacing w:line="360" w:lineRule="exact"/>
        <w:ind w:firstLine="448" w:firstLineChars="200"/>
        <w:rPr>
          <w:rFonts w:eastAsiaTheme="minorEastAsia"/>
          <w:snapToGrid w:val="0"/>
          <w:sz w:val="24"/>
          <w:szCs w:val="24"/>
        </w:rPr>
      </w:pPr>
      <w:r>
        <w:rPr>
          <w:rFonts w:hint="eastAsia" w:eastAsiaTheme="minorEastAsia"/>
          <w:snapToGrid w:val="0"/>
          <w:sz w:val="24"/>
          <w:szCs w:val="24"/>
        </w:rPr>
        <w:t>（二）在工程采购项目中，工程由中小企业承建，即工程施工单位为中小企业；</w:t>
      </w:r>
    </w:p>
    <w:p w14:paraId="7D2CAB53">
      <w:pPr>
        <w:spacing w:line="360" w:lineRule="exact"/>
        <w:ind w:firstLine="448" w:firstLineChars="200"/>
        <w:rPr>
          <w:rFonts w:eastAsiaTheme="minorEastAsia"/>
          <w:snapToGrid w:val="0"/>
          <w:sz w:val="24"/>
          <w:szCs w:val="24"/>
        </w:rPr>
      </w:pPr>
      <w:r>
        <w:rPr>
          <w:rFonts w:hint="eastAsia" w:eastAsiaTheme="minorEastAsia"/>
          <w:snapToGrid w:val="0"/>
          <w:sz w:val="24"/>
          <w:szCs w:val="24"/>
        </w:rPr>
        <w:t>（三）在服务采购项目中，服务由中小企业承接，即提供服务的人员为中小企业依照《中华人民共和国劳动合同法》</w:t>
      </w:r>
      <w:r>
        <w:rPr>
          <w:rFonts w:hint="eastAsia" w:eastAsiaTheme="minorEastAsia"/>
          <w:b/>
          <w:snapToGrid w:val="0"/>
          <w:sz w:val="24"/>
          <w:szCs w:val="24"/>
        </w:rPr>
        <w:t>订立劳动合同</w:t>
      </w:r>
      <w:r>
        <w:rPr>
          <w:rFonts w:hint="eastAsia" w:eastAsiaTheme="minorEastAsia"/>
          <w:snapToGrid w:val="0"/>
          <w:sz w:val="24"/>
          <w:szCs w:val="24"/>
        </w:rPr>
        <w:t>的从业人员。</w:t>
      </w:r>
    </w:p>
    <w:p w14:paraId="2DC414B6">
      <w:pPr>
        <w:spacing w:line="360" w:lineRule="exact"/>
        <w:ind w:firstLine="448" w:firstLineChars="200"/>
        <w:rPr>
          <w:rFonts w:eastAsiaTheme="minorEastAsia"/>
          <w:sz w:val="24"/>
          <w:szCs w:val="24"/>
        </w:rPr>
      </w:pPr>
      <w:r>
        <w:rPr>
          <w:rFonts w:hint="eastAsia" w:eastAsiaTheme="minorEastAsia"/>
          <w:snapToGrid w:val="0"/>
          <w:sz w:val="24"/>
          <w:szCs w:val="24"/>
        </w:rPr>
        <w:t>以联合体形式参加政府采购活动，联合体各方</w:t>
      </w:r>
      <w:r>
        <w:rPr>
          <w:rFonts w:hint="eastAsia" w:eastAsiaTheme="minorEastAsia"/>
          <w:b/>
          <w:snapToGrid w:val="0"/>
          <w:sz w:val="24"/>
          <w:szCs w:val="24"/>
        </w:rPr>
        <w:t>均为</w:t>
      </w:r>
      <w:r>
        <w:rPr>
          <w:rFonts w:hint="eastAsia" w:eastAsiaTheme="minorEastAsia"/>
          <w:snapToGrid w:val="0"/>
          <w:sz w:val="24"/>
          <w:szCs w:val="24"/>
        </w:rPr>
        <w:t>中小企业的，联合体视同中小企业。其中，联合体各方</w:t>
      </w:r>
      <w:r>
        <w:rPr>
          <w:rFonts w:hint="eastAsia" w:eastAsiaTheme="minorEastAsia"/>
          <w:b/>
          <w:snapToGrid w:val="0"/>
          <w:sz w:val="24"/>
          <w:szCs w:val="24"/>
        </w:rPr>
        <w:t>均为</w:t>
      </w:r>
      <w:r>
        <w:rPr>
          <w:rFonts w:hint="eastAsia" w:eastAsiaTheme="minorEastAsia"/>
          <w:snapToGrid w:val="0"/>
          <w:sz w:val="24"/>
          <w:szCs w:val="24"/>
        </w:rPr>
        <w:t>小微企业的，联合体视同小微企业。</w:t>
      </w:r>
    </w:p>
    <w:p w14:paraId="7BC2E4C4">
      <w:pPr>
        <w:spacing w:line="360" w:lineRule="exact"/>
        <w:ind w:firstLine="448" w:firstLineChars="200"/>
        <w:rPr>
          <w:rFonts w:eastAsiaTheme="minorEastAsia"/>
          <w:color w:val="000000"/>
          <w:sz w:val="24"/>
          <w:szCs w:val="24"/>
        </w:rPr>
      </w:pPr>
      <w:r>
        <w:rPr>
          <w:rFonts w:hint="eastAsia" w:eastAsiaTheme="minorEastAsia"/>
          <w:color w:val="000000"/>
          <w:sz w:val="24"/>
          <w:szCs w:val="24"/>
        </w:rPr>
        <w:t>【注意事项】</w:t>
      </w:r>
    </w:p>
    <w:p w14:paraId="070A72DA">
      <w:pPr>
        <w:spacing w:line="360" w:lineRule="exact"/>
        <w:ind w:firstLine="448" w:firstLineChars="200"/>
        <w:rPr>
          <w:rFonts w:eastAsiaTheme="minorEastAsia"/>
          <w:color w:val="000000"/>
          <w:sz w:val="24"/>
          <w:szCs w:val="24"/>
        </w:rPr>
      </w:pPr>
      <w:r>
        <w:rPr>
          <w:rFonts w:eastAsiaTheme="minorEastAsia"/>
          <w:color w:val="000000"/>
          <w:sz w:val="24"/>
          <w:szCs w:val="24"/>
        </w:rPr>
        <w:t>1.</w:t>
      </w:r>
      <w:r>
        <w:rPr>
          <w:rFonts w:hint="eastAsia" w:eastAsiaTheme="minorEastAsia"/>
          <w:color w:val="000000"/>
          <w:sz w:val="24"/>
          <w:szCs w:val="24"/>
        </w:rPr>
        <w:t>中小企业参加政府采购活动，应当出具规定的《中小企业声明函》，否则不得享受相关中小企业扶持政策。任何单位和个人不得要求供应商提供《中小企业声明函》之外的中小企业身份证明文件。</w:t>
      </w:r>
    </w:p>
    <w:p w14:paraId="4B2C3CBA">
      <w:pPr>
        <w:spacing w:line="360" w:lineRule="exact"/>
        <w:ind w:firstLine="448" w:firstLineChars="200"/>
        <w:rPr>
          <w:rFonts w:eastAsiaTheme="minorEastAsia"/>
          <w:color w:val="000000"/>
          <w:sz w:val="24"/>
          <w:szCs w:val="24"/>
        </w:rPr>
      </w:pPr>
      <w:r>
        <w:rPr>
          <w:rFonts w:eastAsiaTheme="minorEastAsia"/>
          <w:color w:val="000000"/>
          <w:sz w:val="24"/>
          <w:szCs w:val="24"/>
        </w:rPr>
        <w:t>2.</w:t>
      </w:r>
      <w:r>
        <w:rPr>
          <w:rFonts w:hint="eastAsia" w:eastAsiaTheme="minorEastAsia"/>
          <w:color w:val="000000"/>
          <w:sz w:val="24"/>
          <w:szCs w:val="24"/>
        </w:rPr>
        <w:t>中小企业应当对声明函的内容的真实性负责。声明内容如有不实，则构成提供虚假材料谋取中标、成交的情形，需承担相应的法律责任。</w:t>
      </w:r>
    </w:p>
    <w:p w14:paraId="4F0D235C">
      <w:pPr>
        <w:spacing w:line="360" w:lineRule="exact"/>
        <w:ind w:firstLine="448" w:firstLineChars="200"/>
        <w:rPr>
          <w:rFonts w:eastAsiaTheme="minorEastAsia"/>
          <w:color w:val="000000"/>
          <w:sz w:val="24"/>
          <w:szCs w:val="24"/>
        </w:rPr>
      </w:pPr>
      <w:r>
        <w:rPr>
          <w:rFonts w:eastAsiaTheme="minorEastAsia"/>
          <w:color w:val="000000"/>
          <w:sz w:val="24"/>
          <w:szCs w:val="24"/>
        </w:rPr>
        <w:t>3.</w:t>
      </w:r>
      <w:r>
        <w:rPr>
          <w:rFonts w:hint="eastAsia" w:eastAsiaTheme="minorEastAsia"/>
          <w:color w:val="000000"/>
          <w:sz w:val="24"/>
          <w:szCs w:val="24"/>
        </w:rPr>
        <w:t>政府采购项目的采购意向、采购公告和招标文件（谈判文件、磋商文件等）中，应当明确本项目执行支持中小企业的具体措施，如预留份额、评审优惠（应当明确具体优惠比例）或者优先采购等。</w:t>
      </w:r>
    </w:p>
    <w:p w14:paraId="543A0BA9">
      <w:pPr>
        <w:spacing w:line="360" w:lineRule="exact"/>
        <w:ind w:firstLine="448" w:firstLineChars="200"/>
        <w:rPr>
          <w:rFonts w:eastAsiaTheme="minorEastAsia"/>
          <w:color w:val="000000"/>
          <w:sz w:val="24"/>
          <w:szCs w:val="24"/>
        </w:rPr>
      </w:pPr>
      <w:r>
        <w:rPr>
          <w:rFonts w:hint="eastAsia" w:eastAsiaTheme="minorEastAsia"/>
          <w:color w:val="000000"/>
          <w:sz w:val="24"/>
          <w:szCs w:val="24"/>
        </w:rPr>
        <w:t>【政策目录】</w:t>
      </w:r>
    </w:p>
    <w:p w14:paraId="3CEE2CFC">
      <w:pPr>
        <w:spacing w:line="360" w:lineRule="exact"/>
        <w:ind w:firstLine="448" w:firstLineChars="200"/>
        <w:rPr>
          <w:rFonts w:eastAsiaTheme="minorEastAsia"/>
          <w:color w:val="000000"/>
          <w:sz w:val="24"/>
          <w:szCs w:val="24"/>
        </w:rPr>
      </w:pPr>
      <w:r>
        <w:rPr>
          <w:rFonts w:eastAsiaTheme="minorEastAsia"/>
          <w:color w:val="000000"/>
          <w:sz w:val="24"/>
          <w:szCs w:val="24"/>
        </w:rPr>
        <w:t>1.</w:t>
      </w:r>
      <w:r>
        <w:rPr>
          <w:rFonts w:hint="eastAsia" w:eastAsiaTheme="minorEastAsia"/>
          <w:color w:val="000000"/>
          <w:sz w:val="24"/>
          <w:szCs w:val="24"/>
        </w:rPr>
        <w:t>《中华人民共和国政府采购法》第九条</w:t>
      </w:r>
    </w:p>
    <w:p w14:paraId="2541D39A">
      <w:pPr>
        <w:spacing w:line="360" w:lineRule="exact"/>
        <w:ind w:firstLine="448" w:firstLineChars="200"/>
        <w:rPr>
          <w:rFonts w:eastAsiaTheme="minorEastAsia"/>
          <w:color w:val="000000"/>
          <w:sz w:val="24"/>
          <w:szCs w:val="24"/>
        </w:rPr>
      </w:pPr>
      <w:r>
        <w:rPr>
          <w:rFonts w:eastAsiaTheme="minorEastAsia"/>
          <w:color w:val="000000"/>
          <w:sz w:val="24"/>
          <w:szCs w:val="24"/>
        </w:rPr>
        <w:t>2.</w:t>
      </w:r>
      <w:r>
        <w:rPr>
          <w:rFonts w:hint="eastAsia" w:eastAsiaTheme="minorEastAsia"/>
          <w:color w:val="000000"/>
          <w:sz w:val="24"/>
          <w:szCs w:val="24"/>
        </w:rPr>
        <w:t>《中华人民共和国政府采购法实施条例》第六条</w:t>
      </w:r>
    </w:p>
    <w:p w14:paraId="2563CC7B">
      <w:pPr>
        <w:spacing w:line="360" w:lineRule="exact"/>
        <w:ind w:firstLine="448" w:firstLineChars="200"/>
        <w:rPr>
          <w:rFonts w:eastAsiaTheme="minorEastAsia"/>
          <w:color w:val="000000"/>
          <w:sz w:val="24"/>
          <w:szCs w:val="24"/>
        </w:rPr>
      </w:pPr>
      <w:r>
        <w:rPr>
          <w:rFonts w:eastAsiaTheme="minorEastAsia"/>
          <w:color w:val="000000"/>
          <w:sz w:val="24"/>
          <w:szCs w:val="24"/>
        </w:rPr>
        <w:t>3.</w:t>
      </w:r>
      <w:r>
        <w:rPr>
          <w:rFonts w:eastAsiaTheme="minorEastAsia"/>
          <w:sz w:val="24"/>
          <w:szCs w:val="24"/>
        </w:rPr>
        <w:t xml:space="preserve"> </w:t>
      </w:r>
      <w:r>
        <w:rPr>
          <w:rFonts w:hint="eastAsia" w:eastAsiaTheme="minorEastAsia"/>
          <w:color w:val="000000"/>
          <w:sz w:val="24"/>
          <w:szCs w:val="24"/>
        </w:rPr>
        <w:t>财政部</w:t>
      </w:r>
      <w:r>
        <w:rPr>
          <w:rFonts w:eastAsiaTheme="minorEastAsia"/>
          <w:color w:val="000000"/>
          <w:sz w:val="24"/>
          <w:szCs w:val="24"/>
        </w:rPr>
        <w:t xml:space="preserve"> </w:t>
      </w:r>
      <w:r>
        <w:rPr>
          <w:rFonts w:hint="eastAsia" w:eastAsiaTheme="minorEastAsia"/>
          <w:color w:val="000000"/>
          <w:sz w:val="24"/>
          <w:szCs w:val="24"/>
        </w:rPr>
        <w:t>工业和信息化部关于印发《政府采购促进中小企业发展管理办法》的通知（财库〔</w:t>
      </w:r>
      <w:r>
        <w:rPr>
          <w:rFonts w:eastAsiaTheme="minorEastAsia"/>
          <w:color w:val="000000"/>
          <w:sz w:val="24"/>
          <w:szCs w:val="24"/>
        </w:rPr>
        <w:t>2020</w:t>
      </w:r>
      <w:r>
        <w:rPr>
          <w:rFonts w:hint="eastAsia" w:eastAsiaTheme="minorEastAsia"/>
          <w:color w:val="000000"/>
          <w:sz w:val="24"/>
          <w:szCs w:val="24"/>
        </w:rPr>
        <w:t>〕</w:t>
      </w:r>
      <w:r>
        <w:rPr>
          <w:rFonts w:eastAsiaTheme="minorEastAsia"/>
          <w:color w:val="000000"/>
          <w:sz w:val="24"/>
          <w:szCs w:val="24"/>
        </w:rPr>
        <w:t>46</w:t>
      </w:r>
      <w:r>
        <w:rPr>
          <w:rFonts w:hint="eastAsia" w:eastAsiaTheme="minorEastAsia"/>
          <w:color w:val="000000"/>
          <w:sz w:val="24"/>
          <w:szCs w:val="24"/>
        </w:rPr>
        <w:t>号）</w:t>
      </w:r>
    </w:p>
    <w:p w14:paraId="1FB9ED88">
      <w:pPr>
        <w:spacing w:line="360" w:lineRule="exact"/>
        <w:ind w:firstLine="448" w:firstLineChars="200"/>
        <w:rPr>
          <w:rFonts w:eastAsiaTheme="minorEastAsia"/>
          <w:color w:val="000000"/>
          <w:sz w:val="24"/>
          <w:szCs w:val="24"/>
        </w:rPr>
      </w:pPr>
      <w:r>
        <w:rPr>
          <w:rFonts w:eastAsiaTheme="minorEastAsia"/>
          <w:color w:val="000000"/>
          <w:sz w:val="24"/>
          <w:szCs w:val="24"/>
        </w:rPr>
        <w:t>4.</w:t>
      </w:r>
      <w:r>
        <w:rPr>
          <w:rFonts w:eastAsiaTheme="minorEastAsia"/>
          <w:sz w:val="24"/>
          <w:szCs w:val="24"/>
        </w:rPr>
        <w:t xml:space="preserve"> </w:t>
      </w:r>
      <w:r>
        <w:rPr>
          <w:rFonts w:hint="eastAsia" w:eastAsiaTheme="minorEastAsia"/>
          <w:color w:val="000000"/>
          <w:sz w:val="24"/>
          <w:szCs w:val="24"/>
        </w:rPr>
        <w:t>财政部关于进一步加大政府采购支持中小企业力度的通知（财库〔</w:t>
      </w:r>
      <w:r>
        <w:rPr>
          <w:rFonts w:eastAsiaTheme="minorEastAsia"/>
          <w:color w:val="000000"/>
          <w:sz w:val="24"/>
          <w:szCs w:val="24"/>
        </w:rPr>
        <w:t>2022</w:t>
      </w:r>
      <w:r>
        <w:rPr>
          <w:rFonts w:hint="eastAsia" w:eastAsiaTheme="minorEastAsia"/>
          <w:color w:val="000000"/>
          <w:sz w:val="24"/>
          <w:szCs w:val="24"/>
        </w:rPr>
        <w:t>〕</w:t>
      </w:r>
      <w:r>
        <w:rPr>
          <w:rFonts w:eastAsiaTheme="minorEastAsia"/>
          <w:color w:val="000000"/>
          <w:sz w:val="24"/>
          <w:szCs w:val="24"/>
        </w:rPr>
        <w:t>19</w:t>
      </w:r>
      <w:r>
        <w:rPr>
          <w:rFonts w:hint="eastAsia" w:eastAsiaTheme="minorEastAsia"/>
          <w:color w:val="000000"/>
          <w:sz w:val="24"/>
          <w:szCs w:val="24"/>
        </w:rPr>
        <w:t>号）</w:t>
      </w:r>
    </w:p>
    <w:p w14:paraId="1CCCEDE3">
      <w:pPr>
        <w:spacing w:line="360" w:lineRule="exact"/>
        <w:ind w:firstLine="448" w:firstLineChars="200"/>
        <w:rPr>
          <w:rFonts w:eastAsiaTheme="minorEastAsia"/>
          <w:color w:val="000000"/>
          <w:sz w:val="24"/>
          <w:szCs w:val="24"/>
        </w:rPr>
      </w:pPr>
      <w:r>
        <w:rPr>
          <w:rFonts w:eastAsiaTheme="minorEastAsia"/>
          <w:color w:val="000000"/>
          <w:sz w:val="24"/>
          <w:szCs w:val="24"/>
        </w:rPr>
        <w:t>5.</w:t>
      </w:r>
      <w:r>
        <w:rPr>
          <w:rFonts w:hint="eastAsia" w:eastAsiaTheme="minorEastAsia"/>
          <w:color w:val="000000"/>
          <w:sz w:val="24"/>
          <w:szCs w:val="24"/>
        </w:rPr>
        <w:t>天津市财政局</w:t>
      </w:r>
      <w:r>
        <w:rPr>
          <w:rFonts w:eastAsiaTheme="minorEastAsia"/>
          <w:color w:val="000000"/>
          <w:sz w:val="24"/>
          <w:szCs w:val="24"/>
        </w:rPr>
        <w:t xml:space="preserve"> </w:t>
      </w:r>
      <w:r>
        <w:rPr>
          <w:rFonts w:hint="eastAsia" w:eastAsiaTheme="minorEastAsia"/>
          <w:color w:val="000000"/>
          <w:sz w:val="24"/>
          <w:szCs w:val="24"/>
        </w:rPr>
        <w:t>天津市工业和信息化局关于贯彻落实《政府采购促进中小企业发展管理办法》的通知（津财采〔</w:t>
      </w:r>
      <w:r>
        <w:rPr>
          <w:rFonts w:eastAsiaTheme="minorEastAsia"/>
          <w:color w:val="000000"/>
          <w:sz w:val="24"/>
          <w:szCs w:val="24"/>
        </w:rPr>
        <w:t>2021</w:t>
      </w:r>
      <w:r>
        <w:rPr>
          <w:rFonts w:hint="eastAsia" w:eastAsiaTheme="minorEastAsia"/>
          <w:color w:val="000000"/>
          <w:sz w:val="24"/>
          <w:szCs w:val="24"/>
        </w:rPr>
        <w:t>〕</w:t>
      </w:r>
      <w:r>
        <w:rPr>
          <w:rFonts w:eastAsiaTheme="minorEastAsia"/>
          <w:color w:val="000000"/>
          <w:sz w:val="24"/>
          <w:szCs w:val="24"/>
        </w:rPr>
        <w:t>12</w:t>
      </w:r>
      <w:r>
        <w:rPr>
          <w:rFonts w:hint="eastAsia" w:eastAsiaTheme="minorEastAsia"/>
          <w:color w:val="000000"/>
          <w:sz w:val="24"/>
          <w:szCs w:val="24"/>
        </w:rPr>
        <w:t>号）</w:t>
      </w:r>
    </w:p>
    <w:p w14:paraId="3E19114F">
      <w:pPr>
        <w:spacing w:line="360" w:lineRule="exact"/>
        <w:ind w:firstLine="448" w:firstLineChars="200"/>
        <w:rPr>
          <w:rFonts w:eastAsiaTheme="minorEastAsia"/>
          <w:sz w:val="24"/>
        </w:rPr>
      </w:pPr>
      <w:r>
        <w:rPr>
          <w:rFonts w:eastAsiaTheme="minorEastAsia"/>
          <w:sz w:val="24"/>
        </w:rPr>
        <w:t>6.</w:t>
      </w:r>
      <w:r>
        <w:rPr>
          <w:rFonts w:hint="eastAsia" w:eastAsiaTheme="minorEastAsia"/>
          <w:sz w:val="24"/>
        </w:rPr>
        <w:t>市财政局</w:t>
      </w:r>
      <w:r>
        <w:rPr>
          <w:rFonts w:eastAsiaTheme="minorEastAsia"/>
          <w:sz w:val="24"/>
        </w:rPr>
        <w:t xml:space="preserve"> </w:t>
      </w:r>
      <w:r>
        <w:rPr>
          <w:rFonts w:hint="eastAsia" w:eastAsiaTheme="minorEastAsia"/>
          <w:sz w:val="24"/>
        </w:rPr>
        <w:t>市发展改革委</w:t>
      </w:r>
      <w:r>
        <w:rPr>
          <w:rFonts w:eastAsiaTheme="minorEastAsia"/>
          <w:sz w:val="24"/>
        </w:rPr>
        <w:t xml:space="preserve"> </w:t>
      </w:r>
      <w:r>
        <w:rPr>
          <w:rFonts w:hint="eastAsia" w:eastAsiaTheme="minorEastAsia"/>
          <w:sz w:val="24"/>
        </w:rPr>
        <w:t>市住房城乡建设委</w:t>
      </w:r>
      <w:r>
        <w:rPr>
          <w:rFonts w:eastAsiaTheme="minorEastAsia"/>
          <w:sz w:val="24"/>
        </w:rPr>
        <w:t xml:space="preserve"> </w:t>
      </w:r>
      <w:r>
        <w:rPr>
          <w:rFonts w:hint="eastAsia" w:eastAsiaTheme="minorEastAsia"/>
          <w:sz w:val="24"/>
        </w:rPr>
        <w:t>市交通运输委</w:t>
      </w:r>
      <w:r>
        <w:rPr>
          <w:rFonts w:eastAsiaTheme="minorEastAsia"/>
          <w:sz w:val="24"/>
        </w:rPr>
        <w:t xml:space="preserve"> </w:t>
      </w:r>
      <w:r>
        <w:rPr>
          <w:rFonts w:hint="eastAsia" w:eastAsiaTheme="minorEastAsia"/>
          <w:sz w:val="24"/>
        </w:rPr>
        <w:t>市水务局</w:t>
      </w:r>
      <w:r>
        <w:rPr>
          <w:rFonts w:eastAsiaTheme="minorEastAsia"/>
          <w:sz w:val="24"/>
        </w:rPr>
        <w:t xml:space="preserve"> </w:t>
      </w:r>
      <w:r>
        <w:rPr>
          <w:rFonts w:hint="eastAsia" w:eastAsiaTheme="minorEastAsia"/>
          <w:sz w:val="24"/>
        </w:rPr>
        <w:t>市政务服务办关于进一步贯彻落实政府采购支持中小企业政策的通知（津财采〔</w:t>
      </w:r>
      <w:r>
        <w:rPr>
          <w:rFonts w:eastAsiaTheme="minorEastAsia"/>
          <w:sz w:val="24"/>
        </w:rPr>
        <w:t>2022</w:t>
      </w:r>
      <w:r>
        <w:rPr>
          <w:rFonts w:hint="eastAsia" w:eastAsiaTheme="minorEastAsia"/>
          <w:sz w:val="24"/>
        </w:rPr>
        <w:t>〕</w:t>
      </w:r>
      <w:r>
        <w:rPr>
          <w:rFonts w:eastAsiaTheme="minorEastAsia"/>
          <w:sz w:val="24"/>
        </w:rPr>
        <w:t>11</w:t>
      </w:r>
      <w:r>
        <w:rPr>
          <w:rFonts w:hint="eastAsia" w:eastAsiaTheme="minorEastAsia"/>
          <w:sz w:val="24"/>
        </w:rPr>
        <w:t>号）</w:t>
      </w:r>
    </w:p>
    <w:p w14:paraId="41C48E89">
      <w:pPr>
        <w:spacing w:line="360" w:lineRule="exact"/>
        <w:ind w:firstLine="448" w:firstLineChars="200"/>
        <w:rPr>
          <w:rFonts w:eastAsiaTheme="minorEastAsia"/>
          <w:sz w:val="24"/>
        </w:rPr>
      </w:pPr>
    </w:p>
    <w:p w14:paraId="78396E27">
      <w:pPr>
        <w:adjustRightInd w:val="0"/>
        <w:snapToGrid w:val="0"/>
        <w:spacing w:line="400" w:lineRule="exact"/>
        <w:jc w:val="center"/>
        <w:rPr>
          <w:b/>
          <w:sz w:val="24"/>
          <w:szCs w:val="24"/>
        </w:rPr>
      </w:pPr>
      <w:r>
        <w:rPr>
          <w:b/>
          <w:sz w:val="24"/>
          <w:szCs w:val="24"/>
        </w:rPr>
        <w:t>诚信参与政府采购活动提示函</w:t>
      </w:r>
    </w:p>
    <w:p w14:paraId="2D5A3F1D">
      <w:pPr>
        <w:pStyle w:val="20"/>
        <w:shd w:val="clear" w:color="auto" w:fill="FFFFFF"/>
        <w:adjustRightInd w:val="0"/>
        <w:snapToGrid w:val="0"/>
        <w:spacing w:before="0" w:beforeAutospacing="0" w:after="0" w:afterAutospacing="0" w:line="360" w:lineRule="exact"/>
        <w:ind w:firstLine="645"/>
        <w:jc w:val="both"/>
        <w:rPr>
          <w:rFonts w:ascii="Times New Roman" w:hAnsi="Times New Roman" w:cs="Times New Roman" w:eastAsiaTheme="minorEastAsia"/>
        </w:rPr>
      </w:pPr>
    </w:p>
    <w:p w14:paraId="3902B76A">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近年来，我市财政部门查处的政府采购供应商违法行为中，提供虚假材料谋取中标、成交的占95%以上，严重扰乱了政府采购市场秩序，损害了政府采购营商环境。</w:t>
      </w:r>
    </w:p>
    <w:p w14:paraId="7BD501B2">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诚实信用是市场经济的基本要求，也是政府采购法确立的基本原则之一，政府采购供应商等当事人均应严格遵循。供应商对其投标文件的真实性、合法性负有审慎的审查义务，对提交的全部材料（包括本单位制作形成的材料、第三方单位提供的材料、员工个人提供的材料等）的真实性负责，并承担相应法律责任。被查实存在提供虚假材料谋取中标、成交的，将被依法予以行政处罚，并将在信用中国、中国政府采购网、天津市政府采购网等网站公示其失信记录，实施联合惩戒。</w:t>
      </w:r>
    </w:p>
    <w:p w14:paraId="074BE49D">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经梳理，供应商提供的虚假材料主要涉及业绩合同、发票、认证证书、特种作业操作证、社保缴费证明、学历学位证书、建造师执业资格证书、健康证等。供应商在编制投标文件时，可通过国家税务总局全国增值税发票查验平台、国家认证认可监督管理委员会网站、应急管理部特种作业操作证及安全生产知识和管理能力考核合格信息查询平台、中国建造师网、学信网</w:t>
      </w:r>
      <w:r>
        <w:rPr>
          <w:rStyle w:val="25"/>
          <w:rFonts w:eastAsiaTheme="minorEastAsia"/>
        </w:rPr>
        <w:t>等</w:t>
      </w:r>
      <w:r>
        <w:rPr>
          <w:rFonts w:ascii="Times New Roman" w:hAnsi="Times New Roman" w:cs="Times New Roman" w:eastAsiaTheme="minorEastAsia"/>
        </w:rPr>
        <w:t>官方查询渠道对投标文件中相关材料的真实性予以审查，对无法确认真实性的材料，不要作为投标、响应材料提交。</w:t>
      </w:r>
    </w:p>
    <w:p w14:paraId="3D9D0C89">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一旦被查实存在提供虚假材料的，供应商的以下陈述申辩意见一般不予采信：</w:t>
      </w:r>
    </w:p>
    <w:p w14:paraId="32218C36">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1.虚假材料为员工个人或第三方单位提供，供应商并不知情；</w:t>
      </w:r>
    </w:p>
    <w:p w14:paraId="64EC8046">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2.虚假材料并非评审因素或属于多提供，而并不影响评审结果；</w:t>
      </w:r>
    </w:p>
    <w:p w14:paraId="074C3E0F">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3.供应商并未中标，没有产生危害后果；</w:t>
      </w:r>
    </w:p>
    <w:p w14:paraId="72E85D9C">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4.工作人员疏忽大意，错放相关材料；</w:t>
      </w:r>
    </w:p>
    <w:p w14:paraId="6F7554A4">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5.已查验材料原件或通过非官方渠道扫码、在线查询等，尽到了审查义务。</w:t>
      </w:r>
    </w:p>
    <w:p w14:paraId="38EFEA01">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 </w:t>
      </w:r>
      <w:r>
        <w:rPr>
          <w:rStyle w:val="25"/>
          <w:rFonts w:eastAsiaTheme="minorEastAsia"/>
        </w:rPr>
        <w:t>法律责任：</w:t>
      </w:r>
      <w:r>
        <w:rPr>
          <w:rFonts w:ascii="Times New Roman" w:hAnsi="Times New Roman" w:cs="Times New Roman" w:eastAsiaTheme="minorEastAsia"/>
        </w:rPr>
        <w:t>《中华人民共和国政府采购法》第七十七条第一款</w:t>
      </w:r>
    </w:p>
    <w:p w14:paraId="280F542E">
      <w:pPr>
        <w:pStyle w:val="30"/>
        <w:spacing w:line="360" w:lineRule="auto"/>
        <w:rPr>
          <w:color w:val="auto"/>
        </w:rPr>
      </w:pPr>
      <w:r>
        <w:rPr>
          <w:rFonts w:ascii="Times New Roman" w:hAnsi="Times New Roman" w:cs="Times New Roman" w:eastAsiaTheme="minorEastAsia"/>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w:t>
      </w:r>
      <w:r>
        <w:rPr>
          <w:color w:val="auto"/>
        </w:rPr>
        <w:br w:type="page"/>
      </w:r>
    </w:p>
    <w:p w14:paraId="0FEC0318">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41443CA5">
      <w:pPr>
        <w:tabs>
          <w:tab w:val="left" w:pos="210"/>
        </w:tabs>
        <w:autoSpaceDE w:val="0"/>
        <w:autoSpaceDN w:val="0"/>
        <w:spacing w:line="360" w:lineRule="auto"/>
        <w:ind w:firstLine="448" w:firstLineChars="200"/>
        <w:outlineLvl w:val="0"/>
        <w:rPr>
          <w:sz w:val="24"/>
          <w:szCs w:val="24"/>
        </w:rPr>
      </w:pPr>
      <w:r>
        <w:rPr>
          <w:sz w:val="24"/>
          <w:szCs w:val="24"/>
        </w:rPr>
        <w:t>一、商务要求</w:t>
      </w:r>
    </w:p>
    <w:p w14:paraId="6B189B66">
      <w:pPr>
        <w:tabs>
          <w:tab w:val="left" w:pos="210"/>
        </w:tabs>
        <w:autoSpaceDE w:val="0"/>
        <w:autoSpaceDN w:val="0"/>
        <w:spacing w:line="360" w:lineRule="auto"/>
        <w:ind w:firstLine="448" w:firstLineChars="200"/>
        <w:outlineLvl w:val="0"/>
        <w:rPr>
          <w:sz w:val="24"/>
          <w:szCs w:val="24"/>
        </w:rPr>
      </w:pPr>
      <w:r>
        <w:rPr>
          <w:sz w:val="24"/>
          <w:szCs w:val="24"/>
        </w:rPr>
        <w:t>（一）报价要求</w:t>
      </w:r>
    </w:p>
    <w:p w14:paraId="198E9A74">
      <w:pPr>
        <w:autoSpaceDE w:val="0"/>
        <w:autoSpaceDN w:val="0"/>
        <w:spacing w:line="360" w:lineRule="auto"/>
        <w:ind w:firstLine="448" w:firstLineChars="200"/>
        <w:rPr>
          <w:sz w:val="24"/>
        </w:rPr>
      </w:pPr>
      <w:r>
        <w:rPr>
          <w:sz w:val="24"/>
        </w:rPr>
        <w:t>1. 投标报价以人民币填列。</w:t>
      </w:r>
    </w:p>
    <w:p w14:paraId="68408C5E">
      <w:pPr>
        <w:autoSpaceDE w:val="0"/>
        <w:autoSpaceDN w:val="0"/>
        <w:spacing w:line="360" w:lineRule="auto"/>
        <w:ind w:firstLine="448" w:firstLineChars="200"/>
        <w:rPr>
          <w:sz w:val="24"/>
        </w:rPr>
      </w:pPr>
      <w:r>
        <w:rPr>
          <w:sz w:val="24"/>
        </w:rPr>
        <w:t>2. 投标人的报价应包括：人员费用、服务费用、利润税金等为完成招标文件规定的一切工作所需的全部费用。投标人所报价格应为最终优惠价格。</w:t>
      </w:r>
    </w:p>
    <w:p w14:paraId="0BBBD15C">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1A3248EF">
      <w:pPr>
        <w:autoSpaceDE w:val="0"/>
        <w:autoSpaceDN w:val="0"/>
        <w:spacing w:line="360" w:lineRule="auto"/>
        <w:ind w:firstLine="448" w:firstLineChars="200"/>
        <w:rPr>
          <w:sz w:val="24"/>
        </w:rPr>
      </w:pPr>
      <w:r>
        <w:rPr>
          <w:sz w:val="24"/>
        </w:rPr>
        <w:t>（</w:t>
      </w:r>
      <w:r>
        <w:rPr>
          <w:rFonts w:hint="eastAsia"/>
          <w:sz w:val="24"/>
        </w:rPr>
        <w:t>二</w:t>
      </w:r>
      <w:r>
        <w:rPr>
          <w:sz w:val="24"/>
        </w:rPr>
        <w:t>）时间、地点要求</w:t>
      </w:r>
    </w:p>
    <w:p w14:paraId="46CF3CAF">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合同规定的服务起始之日起6个月的服务期</w:t>
      </w:r>
      <w:r>
        <w:rPr>
          <w:sz w:val="24"/>
        </w:rPr>
        <w:t>（特殊情况以合同为准）。</w:t>
      </w:r>
    </w:p>
    <w:p w14:paraId="4D1319B6">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14:paraId="7C0C77B2">
      <w:pPr>
        <w:autoSpaceDE w:val="0"/>
        <w:autoSpaceDN w:val="0"/>
        <w:spacing w:line="360" w:lineRule="auto"/>
        <w:ind w:firstLine="448" w:firstLineChars="200"/>
        <w:rPr>
          <w:sz w:val="24"/>
        </w:rPr>
      </w:pPr>
      <w:r>
        <w:rPr>
          <w:sz w:val="24"/>
        </w:rPr>
        <w:t>（</w:t>
      </w:r>
      <w:r>
        <w:rPr>
          <w:rFonts w:hint="eastAsia"/>
          <w:sz w:val="24"/>
        </w:rPr>
        <w:t>三</w:t>
      </w:r>
      <w:r>
        <w:rPr>
          <w:sz w:val="24"/>
        </w:rPr>
        <w:t>）付款方式</w:t>
      </w:r>
    </w:p>
    <w:p w14:paraId="2F173A2F">
      <w:pPr>
        <w:autoSpaceDE w:val="0"/>
        <w:autoSpaceDN w:val="0"/>
        <w:spacing w:line="360" w:lineRule="auto"/>
        <w:ind w:firstLine="448" w:firstLineChars="200"/>
        <w:rPr>
          <w:sz w:val="24"/>
        </w:rPr>
      </w:pPr>
      <w:r>
        <w:rPr>
          <w:rFonts w:hint="eastAsia"/>
          <w:sz w:val="24"/>
        </w:rPr>
        <w:t>合同签订之日起15个工作日内支付合同总额的30%，服务期过半阶段性验收合格之日起15个工作日内支付合同总额的40%，服务期结束终验合格后15个工作日内支付合同总额的30%</w:t>
      </w:r>
      <w:r>
        <w:rPr>
          <w:sz w:val="24"/>
        </w:rPr>
        <w:t>（特殊情况以合同为准）。</w:t>
      </w:r>
    </w:p>
    <w:p w14:paraId="61B4C563">
      <w:pPr>
        <w:autoSpaceDE w:val="0"/>
        <w:autoSpaceDN w:val="0"/>
        <w:spacing w:line="360" w:lineRule="auto"/>
        <w:ind w:firstLine="448" w:firstLineChars="200"/>
        <w:rPr>
          <w:sz w:val="24"/>
        </w:rPr>
      </w:pPr>
      <w:r>
        <w:rPr>
          <w:sz w:val="24"/>
        </w:rPr>
        <w:t>（</w:t>
      </w:r>
      <w:r>
        <w:rPr>
          <w:rFonts w:hint="eastAsia"/>
          <w:sz w:val="24"/>
        </w:rPr>
        <w:t>四</w:t>
      </w:r>
      <w:r>
        <w:rPr>
          <w:sz w:val="24"/>
        </w:rPr>
        <w:t>）投标保证金和履约保证金</w:t>
      </w:r>
    </w:p>
    <w:p w14:paraId="516FE1C0">
      <w:pPr>
        <w:autoSpaceDE w:val="0"/>
        <w:autoSpaceDN w:val="0"/>
        <w:spacing w:line="360" w:lineRule="auto"/>
        <w:ind w:firstLine="448" w:firstLineChars="200"/>
        <w:rPr>
          <w:sz w:val="24"/>
        </w:rPr>
      </w:pPr>
      <w:r>
        <w:rPr>
          <w:sz w:val="24"/>
        </w:rPr>
        <w:t>本项目不收取投标保证金和履约保证金。</w:t>
      </w:r>
    </w:p>
    <w:p w14:paraId="542FF275">
      <w:pPr>
        <w:autoSpaceDE w:val="0"/>
        <w:autoSpaceDN w:val="0"/>
        <w:spacing w:line="360" w:lineRule="auto"/>
        <w:ind w:firstLine="448" w:firstLineChars="200"/>
        <w:rPr>
          <w:sz w:val="24"/>
        </w:rPr>
      </w:pPr>
      <w:r>
        <w:rPr>
          <w:rFonts w:hint="eastAsia"/>
          <w:sz w:val="24"/>
        </w:rPr>
        <w:t>（五）验收方法及标准</w:t>
      </w:r>
    </w:p>
    <w:p w14:paraId="037B0871">
      <w:pPr>
        <w:autoSpaceDE w:val="0"/>
        <w:autoSpaceDN w:val="0"/>
        <w:spacing w:line="360" w:lineRule="auto"/>
        <w:ind w:firstLine="448" w:firstLineChars="200"/>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80339B8">
      <w:pPr>
        <w:autoSpaceDE w:val="0"/>
        <w:autoSpaceDN w:val="0"/>
        <w:spacing w:line="360" w:lineRule="auto"/>
        <w:ind w:firstLine="448" w:firstLineChars="200"/>
        <w:rPr>
          <w:bCs/>
          <w:sz w:val="24"/>
        </w:rPr>
      </w:pPr>
      <w:r>
        <w:rPr>
          <w:sz w:val="24"/>
        </w:rPr>
        <w:t>二</w:t>
      </w:r>
      <w:r>
        <w:rPr>
          <w:bCs/>
          <w:sz w:val="24"/>
        </w:rPr>
        <w:t>、技术要求</w:t>
      </w:r>
    </w:p>
    <w:p w14:paraId="0700D8E2">
      <w:pPr>
        <w:autoSpaceDE w:val="0"/>
        <w:autoSpaceDN w:val="0"/>
        <w:spacing w:line="360" w:lineRule="auto"/>
        <w:ind w:firstLine="448" w:firstLineChars="200"/>
        <w:rPr>
          <w:sz w:val="24"/>
        </w:rPr>
      </w:pPr>
      <w:r>
        <w:rPr>
          <w:rFonts w:hint="eastAsia"/>
          <w:kern w:val="0"/>
          <w:sz w:val="24"/>
          <w:szCs w:val="24"/>
        </w:rPr>
        <w:t>★</w:t>
      </w:r>
      <w:r>
        <w:rPr>
          <w:sz w:val="24"/>
        </w:rPr>
        <w:t>（一）投标人须承诺所提供的服务、人员及设备符合相关国家强制性规定。</w:t>
      </w:r>
      <w:r>
        <w:rPr>
          <w:rFonts w:hint="eastAsia"/>
          <w:sz w:val="24"/>
        </w:rPr>
        <w:t>相关服务需在采购人指定环境下进行。</w:t>
      </w:r>
    </w:p>
    <w:p w14:paraId="7D1BF9EC">
      <w:pPr>
        <w:autoSpaceDE w:val="0"/>
        <w:autoSpaceDN w:val="0"/>
        <w:spacing w:line="360" w:lineRule="auto"/>
        <w:ind w:firstLine="448" w:firstLineChars="200"/>
        <w:rPr>
          <w:sz w:val="24"/>
        </w:rPr>
      </w:pPr>
      <w:r>
        <w:rPr>
          <w:sz w:val="24"/>
        </w:rPr>
        <w:t>（</w:t>
      </w:r>
      <w:r>
        <w:rPr>
          <w:rFonts w:hint="eastAsia"/>
          <w:sz w:val="24"/>
        </w:rPr>
        <w:t>二</w:t>
      </w:r>
      <w:r>
        <w:rPr>
          <w:sz w:val="24"/>
        </w:rPr>
        <w:t>）具体需求详见本部分项目需求书。</w:t>
      </w:r>
    </w:p>
    <w:p w14:paraId="37BDD321">
      <w:pPr>
        <w:spacing w:line="360" w:lineRule="auto"/>
        <w:ind w:firstLine="448" w:firstLineChars="200"/>
        <w:outlineLvl w:val="0"/>
        <w:rPr>
          <w:sz w:val="24"/>
        </w:rPr>
      </w:pPr>
      <w:r>
        <w:rPr>
          <w:sz w:val="24"/>
        </w:rPr>
        <w:t>三、评分因素及评标标准</w:t>
      </w:r>
    </w:p>
    <w:p w14:paraId="1E810267">
      <w:pPr>
        <w:spacing w:line="360" w:lineRule="auto"/>
        <w:ind w:firstLine="448" w:firstLineChars="200"/>
        <w:outlineLvl w:val="0"/>
        <w:rPr>
          <w:sz w:val="24"/>
        </w:rPr>
      </w:pPr>
      <w:r>
        <w:rPr>
          <w:rFonts w:hint="eastAsia"/>
          <w:sz w:val="24"/>
        </w:rPr>
        <w:t>如若为联合体投标，联合体中任意一方满足要求，即可得分。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14:paraId="15B805C0">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14:paraId="25A62A55">
            <w:pPr>
              <w:widowControl/>
              <w:adjustRightInd w:val="0"/>
              <w:snapToGrid w:val="0"/>
              <w:jc w:val="center"/>
              <w:rPr>
                <w:kern w:val="0"/>
                <w:sz w:val="24"/>
                <w:szCs w:val="24"/>
              </w:rPr>
            </w:pPr>
            <w:r>
              <w:rPr>
                <w:kern w:val="0"/>
                <w:sz w:val="24"/>
                <w:szCs w:val="24"/>
              </w:rPr>
              <w:t>第一部分 价格（10分）</w:t>
            </w:r>
          </w:p>
        </w:tc>
        <w:tc>
          <w:tcPr>
            <w:tcW w:w="1143" w:type="dxa"/>
            <w:tcBorders>
              <w:top w:val="single" w:color="auto" w:sz="4" w:space="0"/>
              <w:left w:val="single" w:color="auto" w:sz="4" w:space="0"/>
              <w:bottom w:val="single" w:color="auto" w:sz="4" w:space="0"/>
              <w:right w:val="single" w:color="auto" w:sz="4" w:space="0"/>
            </w:tcBorders>
            <w:vAlign w:val="center"/>
          </w:tcPr>
          <w:p w14:paraId="19D6707D">
            <w:pPr>
              <w:widowControl/>
              <w:adjustRightInd w:val="0"/>
              <w:snapToGrid w:val="0"/>
              <w:jc w:val="center"/>
              <w:rPr>
                <w:kern w:val="0"/>
                <w:sz w:val="24"/>
                <w:szCs w:val="24"/>
              </w:rPr>
            </w:pPr>
            <w:r>
              <w:rPr>
                <w:kern w:val="0"/>
                <w:sz w:val="24"/>
                <w:szCs w:val="24"/>
              </w:rPr>
              <w:t>分值</w:t>
            </w:r>
          </w:p>
        </w:tc>
      </w:tr>
      <w:tr w14:paraId="0FE973F9">
        <w:trPr>
          <w:trHeight w:val="27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CE67A48">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2877D927">
            <w:pPr>
              <w:widowControl/>
              <w:adjustRightInd w:val="0"/>
              <w:snapToGrid w:val="0"/>
              <w:jc w:val="center"/>
              <w:rPr>
                <w:kern w:val="0"/>
                <w:sz w:val="24"/>
                <w:szCs w:val="24"/>
              </w:rPr>
            </w:pPr>
            <w:r>
              <w:rPr>
                <w:kern w:val="0"/>
                <w:sz w:val="24"/>
                <w:szCs w:val="24"/>
              </w:rPr>
              <w:t>价格</w:t>
            </w:r>
          </w:p>
        </w:tc>
        <w:tc>
          <w:tcPr>
            <w:tcW w:w="7288" w:type="dxa"/>
            <w:tcBorders>
              <w:top w:val="single" w:color="auto" w:sz="4" w:space="0"/>
              <w:left w:val="single" w:color="auto" w:sz="4" w:space="0"/>
              <w:bottom w:val="single" w:color="auto" w:sz="4" w:space="0"/>
              <w:right w:val="single" w:color="auto" w:sz="4" w:space="0"/>
            </w:tcBorders>
            <w:vAlign w:val="center"/>
          </w:tcPr>
          <w:p w14:paraId="02A2F8A7">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4E3C626A">
            <w:pPr>
              <w:widowControl/>
              <w:adjustRightInd w:val="0"/>
              <w:snapToGrid w:val="0"/>
              <w:rPr>
                <w:kern w:val="0"/>
                <w:sz w:val="24"/>
                <w:szCs w:val="24"/>
              </w:rPr>
            </w:pPr>
            <w:r>
              <w:rPr>
                <w:kern w:val="0"/>
                <w:sz w:val="24"/>
                <w:szCs w:val="24"/>
              </w:rPr>
              <w:t>（2）投标报价得分=（评标基准价/投标报价）×10</w:t>
            </w:r>
          </w:p>
          <w:p w14:paraId="776A6C2C">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14:paraId="4604645F">
            <w:pPr>
              <w:widowControl/>
              <w:adjustRightInd w:val="0"/>
              <w:snapToGrid w:val="0"/>
              <w:jc w:val="center"/>
              <w:rPr>
                <w:kern w:val="0"/>
                <w:sz w:val="24"/>
                <w:szCs w:val="24"/>
              </w:rPr>
            </w:pPr>
            <w:r>
              <w:rPr>
                <w:kern w:val="0"/>
                <w:sz w:val="24"/>
                <w:szCs w:val="24"/>
              </w:rPr>
              <w:t>10</w:t>
            </w:r>
          </w:p>
        </w:tc>
      </w:tr>
      <w:tr w14:paraId="53C8EAC8">
        <w:trPr>
          <w:trHeight w:val="15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18226A88">
            <w:pPr>
              <w:widowControl/>
              <w:adjustRightInd w:val="0"/>
              <w:snapToGrid w:val="0"/>
              <w:jc w:val="center"/>
              <w:rPr>
                <w:kern w:val="0"/>
                <w:sz w:val="24"/>
                <w:szCs w:val="24"/>
              </w:rPr>
            </w:pPr>
            <w:r>
              <w:rPr>
                <w:kern w:val="0"/>
                <w:sz w:val="24"/>
                <w:szCs w:val="24"/>
              </w:rPr>
              <w:t>第二部分 客观分（</w:t>
            </w:r>
            <w:r>
              <w:rPr>
                <w:rFonts w:hint="eastAsia"/>
                <w:kern w:val="0"/>
                <w:sz w:val="24"/>
                <w:szCs w:val="24"/>
              </w:rPr>
              <w:t>2</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75984413">
            <w:pPr>
              <w:widowControl/>
              <w:adjustRightInd w:val="0"/>
              <w:snapToGrid w:val="0"/>
              <w:jc w:val="center"/>
              <w:rPr>
                <w:kern w:val="0"/>
                <w:sz w:val="24"/>
                <w:szCs w:val="24"/>
              </w:rPr>
            </w:pPr>
            <w:r>
              <w:rPr>
                <w:kern w:val="0"/>
                <w:sz w:val="24"/>
                <w:szCs w:val="24"/>
              </w:rPr>
              <w:t>分值</w:t>
            </w:r>
          </w:p>
        </w:tc>
      </w:tr>
      <w:tr w14:paraId="15280FDE">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4DE8826">
            <w:pPr>
              <w:widowControl/>
              <w:adjustRightInd w:val="0"/>
              <w:snapToGrid w:val="0"/>
              <w:jc w:val="center"/>
              <w:rPr>
                <w:kern w:val="0"/>
                <w:sz w:val="24"/>
                <w:szCs w:val="24"/>
              </w:rPr>
            </w:pPr>
            <w:r>
              <w:rPr>
                <w:rFonts w:hint="eastAsia"/>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467E501F">
            <w:pPr>
              <w:widowControl/>
              <w:adjustRightInd w:val="0"/>
              <w:snapToGrid w:val="0"/>
              <w:jc w:val="center"/>
              <w:rPr>
                <w:sz w:val="24"/>
              </w:rPr>
            </w:pPr>
            <w:r>
              <w:rPr>
                <w:sz w:val="24"/>
              </w:rPr>
              <w:t>投标人业绩评价</w:t>
            </w:r>
          </w:p>
        </w:tc>
        <w:tc>
          <w:tcPr>
            <w:tcW w:w="7288" w:type="dxa"/>
            <w:tcBorders>
              <w:top w:val="single" w:color="auto" w:sz="4" w:space="0"/>
              <w:left w:val="single" w:color="auto" w:sz="4" w:space="0"/>
              <w:bottom w:val="single" w:color="auto" w:sz="4" w:space="0"/>
              <w:right w:val="single" w:color="auto" w:sz="4" w:space="0"/>
            </w:tcBorders>
            <w:vAlign w:val="center"/>
          </w:tcPr>
          <w:p w14:paraId="00D868D4">
            <w:pPr>
              <w:widowControl/>
              <w:adjustRightInd w:val="0"/>
              <w:snapToGrid w:val="0"/>
              <w:rPr>
                <w:kern w:val="0"/>
                <w:sz w:val="24"/>
                <w:szCs w:val="21"/>
              </w:rPr>
            </w:pPr>
            <w:r>
              <w:rPr>
                <w:kern w:val="0"/>
                <w:sz w:val="24"/>
                <w:szCs w:val="21"/>
              </w:rPr>
              <w:t>完全按照以下要求提供投标人曾实施</w:t>
            </w:r>
            <w:r>
              <w:rPr>
                <w:rFonts w:hint="eastAsia"/>
                <w:kern w:val="0"/>
                <w:sz w:val="24"/>
                <w:szCs w:val="21"/>
              </w:rPr>
              <w:t>的</w:t>
            </w:r>
            <w:r>
              <w:rPr>
                <w:kern w:val="0"/>
                <w:sz w:val="24"/>
                <w:szCs w:val="21"/>
              </w:rPr>
              <w:t>软件运行维护服务业绩，提供的证明材料均不得遮挡涂黑，否则不予认定加分。</w:t>
            </w:r>
          </w:p>
          <w:p w14:paraId="224FCC05">
            <w:pPr>
              <w:widowControl/>
              <w:adjustRightInd w:val="0"/>
              <w:snapToGrid w:val="0"/>
              <w:rPr>
                <w:kern w:val="0"/>
                <w:sz w:val="24"/>
                <w:szCs w:val="21"/>
              </w:rPr>
            </w:pPr>
            <w:r>
              <w:rPr>
                <w:kern w:val="0"/>
                <w:sz w:val="24"/>
                <w:szCs w:val="21"/>
              </w:rPr>
              <w:t>A. 合同原件扫描件。包括合同金额、买卖双方名称及盖章、服务内容、合同签订日期（应为2022年1月1日或以后）。</w:t>
            </w:r>
          </w:p>
          <w:p w14:paraId="5857EB20">
            <w:pPr>
              <w:widowControl/>
              <w:adjustRightInd w:val="0"/>
              <w:snapToGrid w:val="0"/>
              <w:rPr>
                <w:kern w:val="0"/>
                <w:sz w:val="24"/>
                <w:szCs w:val="21"/>
              </w:rPr>
            </w:pPr>
            <w:r>
              <w:rPr>
                <w:kern w:val="0"/>
                <w:sz w:val="24"/>
                <w:szCs w:val="21"/>
              </w:rPr>
              <w:t>B. 上述合同履行良好的相关证明材料原件扫描件（加盖上述合同甲方单位公章或上述合同中所盖的甲方印章）。</w:t>
            </w:r>
          </w:p>
          <w:p w14:paraId="185C1919">
            <w:pPr>
              <w:widowControl/>
              <w:adjustRightInd w:val="0"/>
              <w:snapToGrid w:val="0"/>
              <w:rPr>
                <w:kern w:val="0"/>
                <w:sz w:val="24"/>
                <w:szCs w:val="24"/>
              </w:rPr>
            </w:pPr>
            <w:r>
              <w:rPr>
                <w:kern w:val="0"/>
                <w:sz w:val="24"/>
                <w:szCs w:val="21"/>
              </w:rPr>
              <w:t>每个业绩</w:t>
            </w:r>
            <w:r>
              <w:rPr>
                <w:rFonts w:hint="eastAsia"/>
                <w:kern w:val="0"/>
                <w:sz w:val="24"/>
                <w:szCs w:val="21"/>
              </w:rPr>
              <w:t>1</w:t>
            </w:r>
            <w:r>
              <w:rPr>
                <w:kern w:val="0"/>
                <w:sz w:val="24"/>
                <w:szCs w:val="21"/>
              </w:rPr>
              <w:t>分，最多</w:t>
            </w:r>
            <w:r>
              <w:rPr>
                <w:rFonts w:hint="eastAsia"/>
                <w:kern w:val="0"/>
                <w:sz w:val="24"/>
                <w:szCs w:val="21"/>
              </w:rPr>
              <w:t>5</w:t>
            </w:r>
            <w:r>
              <w:rPr>
                <w:kern w:val="0"/>
                <w:sz w:val="24"/>
                <w:szCs w:val="21"/>
              </w:rPr>
              <w:t>分。</w:t>
            </w:r>
          </w:p>
        </w:tc>
        <w:tc>
          <w:tcPr>
            <w:tcW w:w="1143" w:type="dxa"/>
            <w:tcBorders>
              <w:top w:val="single" w:color="auto" w:sz="4" w:space="0"/>
              <w:left w:val="single" w:color="auto" w:sz="4" w:space="0"/>
              <w:bottom w:val="single" w:color="auto" w:sz="4" w:space="0"/>
              <w:right w:val="single" w:color="auto" w:sz="4" w:space="0"/>
            </w:tcBorders>
            <w:vAlign w:val="center"/>
          </w:tcPr>
          <w:p w14:paraId="1B109F33">
            <w:pPr>
              <w:widowControl/>
              <w:adjustRightInd w:val="0"/>
              <w:snapToGrid w:val="0"/>
              <w:jc w:val="center"/>
              <w:rPr>
                <w:kern w:val="0"/>
                <w:sz w:val="24"/>
                <w:szCs w:val="24"/>
              </w:rPr>
            </w:pPr>
            <w:r>
              <w:rPr>
                <w:rFonts w:hint="eastAsia"/>
                <w:kern w:val="0"/>
                <w:sz w:val="24"/>
                <w:szCs w:val="24"/>
              </w:rPr>
              <w:t>5</w:t>
            </w:r>
          </w:p>
        </w:tc>
      </w:tr>
      <w:tr w14:paraId="3BC3EC51">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0F508FC3">
            <w:pPr>
              <w:widowControl/>
              <w:adjustRightInd w:val="0"/>
              <w:snapToGrid w:val="0"/>
              <w:jc w:val="center"/>
              <w:rPr>
                <w:kern w:val="0"/>
                <w:sz w:val="24"/>
                <w:szCs w:val="24"/>
              </w:rPr>
            </w:pPr>
            <w:r>
              <w:rPr>
                <w:rFonts w:hint="eastAsia"/>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45363B2D">
            <w:pPr>
              <w:widowControl/>
              <w:adjustRightInd w:val="0"/>
              <w:snapToGrid w:val="0"/>
              <w:jc w:val="center"/>
              <w:rPr>
                <w:sz w:val="24"/>
              </w:rPr>
            </w:pPr>
            <w:r>
              <w:rPr>
                <w:sz w:val="24"/>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14:paraId="46F59596">
            <w:pPr>
              <w:widowControl/>
              <w:adjustRightInd w:val="0"/>
              <w:snapToGrid w:val="0"/>
              <w:rPr>
                <w:kern w:val="0"/>
                <w:sz w:val="24"/>
                <w:szCs w:val="24"/>
              </w:rPr>
            </w:pPr>
            <w:r>
              <w:rPr>
                <w:kern w:val="0"/>
                <w:sz w:val="24"/>
                <w:szCs w:val="24"/>
              </w:rPr>
              <w:t>承诺完全满足招标文件“报价要求”、“时间地点要求”、“付款方式要求”和技术要求中非“</w:t>
            </w:r>
            <w:r>
              <w:rPr>
                <w:rFonts w:hint="eastAsia" w:ascii="宋体" w:hAnsi="宋体" w:cs="宋体"/>
                <w:kern w:val="0"/>
                <w:sz w:val="24"/>
                <w:szCs w:val="24"/>
              </w:rPr>
              <w:t>★</w:t>
            </w:r>
            <w:r>
              <w:rPr>
                <w:kern w:val="0"/>
                <w:sz w:val="24"/>
                <w:szCs w:val="24"/>
              </w:rPr>
              <w:t>”号要求的：</w:t>
            </w:r>
            <w:r>
              <w:rPr>
                <w:rFonts w:hint="eastAsia"/>
                <w:kern w:val="0"/>
                <w:sz w:val="24"/>
                <w:szCs w:val="24"/>
              </w:rPr>
              <w:t>15</w:t>
            </w:r>
            <w:r>
              <w:rPr>
                <w:kern w:val="0"/>
                <w:sz w:val="24"/>
                <w:szCs w:val="24"/>
              </w:rPr>
              <w:t>分，其他0分。</w:t>
            </w:r>
          </w:p>
        </w:tc>
        <w:tc>
          <w:tcPr>
            <w:tcW w:w="1143" w:type="dxa"/>
            <w:tcBorders>
              <w:top w:val="single" w:color="auto" w:sz="4" w:space="0"/>
              <w:left w:val="single" w:color="auto" w:sz="4" w:space="0"/>
              <w:bottom w:val="single" w:color="auto" w:sz="4" w:space="0"/>
              <w:right w:val="single" w:color="auto" w:sz="4" w:space="0"/>
            </w:tcBorders>
            <w:vAlign w:val="center"/>
          </w:tcPr>
          <w:p w14:paraId="19F05537">
            <w:pPr>
              <w:widowControl/>
              <w:adjustRightInd w:val="0"/>
              <w:snapToGrid w:val="0"/>
              <w:jc w:val="center"/>
              <w:rPr>
                <w:kern w:val="0"/>
                <w:sz w:val="24"/>
                <w:szCs w:val="24"/>
              </w:rPr>
            </w:pPr>
            <w:r>
              <w:rPr>
                <w:rFonts w:hint="eastAsia"/>
                <w:kern w:val="0"/>
                <w:sz w:val="24"/>
                <w:szCs w:val="24"/>
              </w:rPr>
              <w:t>15</w:t>
            </w:r>
          </w:p>
        </w:tc>
      </w:tr>
      <w:tr w14:paraId="16577A4B">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4B868078">
            <w:pPr>
              <w:widowControl/>
              <w:adjustRightInd w:val="0"/>
              <w:snapToGrid w:val="0"/>
              <w:jc w:val="center"/>
              <w:rPr>
                <w:kern w:val="0"/>
                <w:sz w:val="24"/>
                <w:szCs w:val="24"/>
              </w:rPr>
            </w:pPr>
            <w:r>
              <w:rPr>
                <w:kern w:val="0"/>
                <w:sz w:val="24"/>
                <w:szCs w:val="24"/>
              </w:rPr>
              <w:t>第三部分 主观分（</w:t>
            </w:r>
            <w:r>
              <w:rPr>
                <w:rFonts w:hint="eastAsia"/>
                <w:kern w:val="0"/>
                <w:sz w:val="24"/>
                <w:szCs w:val="24"/>
              </w:rPr>
              <w:t>7</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7ABD0738">
            <w:pPr>
              <w:widowControl/>
              <w:adjustRightInd w:val="0"/>
              <w:snapToGrid w:val="0"/>
              <w:jc w:val="center"/>
              <w:rPr>
                <w:kern w:val="0"/>
                <w:sz w:val="24"/>
                <w:szCs w:val="24"/>
              </w:rPr>
            </w:pPr>
            <w:r>
              <w:rPr>
                <w:kern w:val="0"/>
                <w:sz w:val="24"/>
                <w:szCs w:val="24"/>
              </w:rPr>
              <w:t>分值</w:t>
            </w:r>
          </w:p>
        </w:tc>
      </w:tr>
      <w:tr w14:paraId="762A67D4">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74094A5">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134A6B94">
            <w:pPr>
              <w:widowControl/>
              <w:adjustRightInd w:val="0"/>
              <w:snapToGrid w:val="0"/>
              <w:jc w:val="center"/>
              <w:rPr>
                <w:kern w:val="0"/>
                <w:sz w:val="24"/>
                <w:szCs w:val="24"/>
              </w:rPr>
            </w:pPr>
            <w:r>
              <w:rPr>
                <w:kern w:val="0"/>
                <w:sz w:val="24"/>
                <w:szCs w:val="24"/>
              </w:rPr>
              <w:t>项目需求理解方案评价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71E7FAB1">
            <w:pPr>
              <w:widowControl/>
              <w:adjustRightInd w:val="0"/>
              <w:snapToGrid w:val="0"/>
              <w:rPr>
                <w:kern w:val="0"/>
                <w:sz w:val="24"/>
                <w:szCs w:val="24"/>
              </w:rPr>
            </w:pPr>
            <w:r>
              <w:rPr>
                <w:rFonts w:hint="eastAsia"/>
                <w:kern w:val="0"/>
                <w:sz w:val="24"/>
                <w:szCs w:val="24"/>
              </w:rPr>
              <w:t>至少包含项目建设背景、目标需求（包括数据需求、功能需求、业务需求、对接需求）和现状情况（包括机构情况、角色情况、业务管理情况、现有系统情况等）的理解和分析</w:t>
            </w:r>
          </w:p>
          <w:p w14:paraId="133B7B16">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6B141B21">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3DA5E2B9">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35D60D42">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0BC0F540">
            <w:pPr>
              <w:widowControl/>
              <w:adjustRightInd w:val="0"/>
              <w:snapToGrid w:val="0"/>
              <w:rPr>
                <w:kern w:val="0"/>
                <w:sz w:val="24"/>
                <w:szCs w:val="24"/>
              </w:rPr>
            </w:pPr>
            <w:r>
              <w:rPr>
                <w:kern w:val="0"/>
                <w:sz w:val="24"/>
                <w:szCs w:val="24"/>
              </w:rPr>
              <w:t>未提供方案或不满足招标文件要求或内容存在4处及以上瑕疵：0分；</w:t>
            </w:r>
          </w:p>
          <w:p w14:paraId="178313E4">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B2AA928">
            <w:pPr>
              <w:widowControl/>
              <w:adjustRightInd w:val="0"/>
              <w:snapToGrid w:val="0"/>
              <w:jc w:val="center"/>
              <w:rPr>
                <w:kern w:val="0"/>
                <w:sz w:val="24"/>
                <w:szCs w:val="24"/>
              </w:rPr>
            </w:pPr>
            <w:r>
              <w:rPr>
                <w:rFonts w:hint="eastAsia"/>
                <w:kern w:val="0"/>
                <w:sz w:val="24"/>
                <w:szCs w:val="24"/>
              </w:rPr>
              <w:t>10</w:t>
            </w:r>
          </w:p>
        </w:tc>
      </w:tr>
      <w:tr w14:paraId="2CE42516">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4ED5CA13">
            <w:pPr>
              <w:widowControl/>
              <w:jc w:val="center"/>
              <w:rPr>
                <w:kern w:val="0"/>
                <w:sz w:val="24"/>
                <w:szCs w:val="24"/>
              </w:rPr>
            </w:pPr>
            <w:r>
              <w:rPr>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5D4134D4">
            <w:pPr>
              <w:widowControl/>
              <w:adjustRightInd w:val="0"/>
              <w:snapToGrid w:val="0"/>
              <w:jc w:val="center"/>
              <w:rPr>
                <w:kern w:val="0"/>
                <w:sz w:val="24"/>
                <w:szCs w:val="24"/>
              </w:rPr>
            </w:pPr>
            <w:r>
              <w:rPr>
                <w:rFonts w:hint="eastAsia"/>
                <w:kern w:val="0"/>
                <w:sz w:val="24"/>
                <w:szCs w:val="24"/>
              </w:rPr>
              <w:t>运行维护方案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106A783E">
            <w:pPr>
              <w:widowControl/>
              <w:adjustRightInd w:val="0"/>
              <w:snapToGrid w:val="0"/>
              <w:rPr>
                <w:kern w:val="0"/>
                <w:sz w:val="24"/>
                <w:szCs w:val="24"/>
              </w:rPr>
            </w:pPr>
            <w:r>
              <w:rPr>
                <w:kern w:val="0"/>
                <w:sz w:val="24"/>
                <w:szCs w:val="24"/>
              </w:rPr>
              <w:t>至少包括</w:t>
            </w:r>
            <w:r>
              <w:rPr>
                <w:rFonts w:hint="eastAsia"/>
                <w:kern w:val="0"/>
                <w:sz w:val="24"/>
                <w:szCs w:val="24"/>
              </w:rPr>
              <w:t>运维计划，确保本系统稳定运行并满足业务和技术需求；运维管理办法，确保运维流程的统一性和规范性；基础运维制度，为日常运维工作提供明确的指导和规范；问题的快速响应和处理机制，确保在关键时期能够迅速解决问题；详细的应急预案，以应对可能出现的各种紧急情况，保障系统的连续性和业务的不中断等方面内容。</w:t>
            </w:r>
          </w:p>
          <w:p w14:paraId="25E9ACF0">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4C9448B7">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23024C20">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319496BA">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5E083351">
            <w:pPr>
              <w:widowControl/>
              <w:adjustRightInd w:val="0"/>
              <w:snapToGrid w:val="0"/>
              <w:rPr>
                <w:kern w:val="0"/>
                <w:sz w:val="24"/>
                <w:szCs w:val="24"/>
              </w:rPr>
            </w:pPr>
            <w:r>
              <w:rPr>
                <w:kern w:val="0"/>
                <w:sz w:val="24"/>
                <w:szCs w:val="24"/>
              </w:rPr>
              <w:t>未提供方案或不满足招标文件要求或内容存在4处及以上瑕疵：0分；</w:t>
            </w:r>
          </w:p>
          <w:p w14:paraId="4C371AD6">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230D9F2E">
            <w:pPr>
              <w:widowControl/>
              <w:adjustRightInd w:val="0"/>
              <w:snapToGrid w:val="0"/>
              <w:jc w:val="center"/>
              <w:rPr>
                <w:kern w:val="0"/>
                <w:sz w:val="24"/>
                <w:szCs w:val="24"/>
              </w:rPr>
            </w:pPr>
            <w:r>
              <w:rPr>
                <w:rFonts w:hint="eastAsia"/>
                <w:kern w:val="0"/>
                <w:sz w:val="24"/>
                <w:szCs w:val="24"/>
              </w:rPr>
              <w:t>10</w:t>
            </w:r>
          </w:p>
        </w:tc>
      </w:tr>
      <w:tr w14:paraId="01A05BB5">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65F0E402">
            <w:pPr>
              <w:widowControl/>
              <w:adjustRightInd w:val="0"/>
              <w:snapToGrid w:val="0"/>
              <w:jc w:val="center"/>
              <w:rPr>
                <w:kern w:val="0"/>
                <w:sz w:val="24"/>
                <w:szCs w:val="24"/>
              </w:rPr>
            </w:pPr>
            <w:r>
              <w:rPr>
                <w:kern w:val="0"/>
                <w:sz w:val="24"/>
                <w:szCs w:val="24"/>
              </w:rPr>
              <w:t>3</w:t>
            </w:r>
          </w:p>
        </w:tc>
        <w:tc>
          <w:tcPr>
            <w:tcW w:w="1442" w:type="dxa"/>
            <w:tcBorders>
              <w:top w:val="single" w:color="auto" w:sz="4" w:space="0"/>
              <w:left w:val="single" w:color="auto" w:sz="4" w:space="0"/>
              <w:bottom w:val="single" w:color="auto" w:sz="4" w:space="0"/>
              <w:right w:val="single" w:color="auto" w:sz="4" w:space="0"/>
            </w:tcBorders>
            <w:vAlign w:val="center"/>
          </w:tcPr>
          <w:p w14:paraId="731A8F21">
            <w:pPr>
              <w:widowControl/>
              <w:adjustRightInd w:val="0"/>
              <w:snapToGrid w:val="0"/>
              <w:jc w:val="center"/>
              <w:rPr>
                <w:kern w:val="0"/>
                <w:sz w:val="24"/>
                <w:szCs w:val="24"/>
              </w:rPr>
            </w:pPr>
            <w:r>
              <w:rPr>
                <w:rFonts w:hint="eastAsia"/>
                <w:kern w:val="0"/>
                <w:sz w:val="24"/>
                <w:szCs w:val="24"/>
              </w:rPr>
              <w:t>管理实施方案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764D8FC6">
            <w:pPr>
              <w:widowControl/>
              <w:adjustRightInd w:val="0"/>
              <w:snapToGrid w:val="0"/>
              <w:rPr>
                <w:kern w:val="0"/>
                <w:sz w:val="24"/>
                <w:szCs w:val="24"/>
              </w:rPr>
            </w:pPr>
            <w:r>
              <w:rPr>
                <w:kern w:val="0"/>
                <w:sz w:val="24"/>
                <w:szCs w:val="24"/>
              </w:rPr>
              <w:t>至少包含</w:t>
            </w:r>
            <w:r>
              <w:rPr>
                <w:rFonts w:hint="eastAsia"/>
                <w:kern w:val="0"/>
                <w:sz w:val="24"/>
                <w:szCs w:val="24"/>
              </w:rPr>
              <w:t>组织管理、进度管理、范围管理以及项目实施过程中的实施管理、质量管理、资源管理、日常运行管理等内容。</w:t>
            </w:r>
          </w:p>
          <w:p w14:paraId="4642D400">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29D8846C">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1F98AA2D">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759B2744">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6D1B284C">
            <w:pPr>
              <w:widowControl/>
              <w:adjustRightInd w:val="0"/>
              <w:snapToGrid w:val="0"/>
              <w:rPr>
                <w:kern w:val="0"/>
                <w:sz w:val="24"/>
                <w:szCs w:val="24"/>
              </w:rPr>
            </w:pPr>
            <w:r>
              <w:rPr>
                <w:kern w:val="0"/>
                <w:sz w:val="24"/>
                <w:szCs w:val="24"/>
              </w:rPr>
              <w:t>未提供方案或不满足招标文件要求或内容存在4处及以上瑕疵：0分；</w:t>
            </w:r>
          </w:p>
          <w:p w14:paraId="388BC336">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37B823F1">
            <w:pPr>
              <w:widowControl/>
              <w:adjustRightInd w:val="0"/>
              <w:snapToGrid w:val="0"/>
              <w:jc w:val="center"/>
              <w:rPr>
                <w:kern w:val="0"/>
                <w:sz w:val="24"/>
                <w:szCs w:val="24"/>
              </w:rPr>
            </w:pPr>
            <w:r>
              <w:rPr>
                <w:rFonts w:hint="eastAsia"/>
                <w:kern w:val="0"/>
                <w:sz w:val="24"/>
                <w:szCs w:val="24"/>
              </w:rPr>
              <w:t>10</w:t>
            </w:r>
          </w:p>
        </w:tc>
      </w:tr>
      <w:tr w14:paraId="2F520EA6">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D7C7A8B">
            <w:pPr>
              <w:widowControl/>
              <w:adjustRightInd w:val="0"/>
              <w:snapToGrid w:val="0"/>
              <w:jc w:val="center"/>
              <w:rPr>
                <w:kern w:val="0"/>
                <w:sz w:val="24"/>
                <w:szCs w:val="24"/>
              </w:rPr>
            </w:pPr>
            <w:r>
              <w:rPr>
                <w:kern w:val="0"/>
                <w:sz w:val="24"/>
                <w:szCs w:val="24"/>
              </w:rPr>
              <w:t>4</w:t>
            </w:r>
          </w:p>
        </w:tc>
        <w:tc>
          <w:tcPr>
            <w:tcW w:w="1442" w:type="dxa"/>
            <w:tcBorders>
              <w:top w:val="single" w:color="auto" w:sz="4" w:space="0"/>
              <w:left w:val="single" w:color="auto" w:sz="4" w:space="0"/>
              <w:bottom w:val="single" w:color="auto" w:sz="4" w:space="0"/>
              <w:right w:val="single" w:color="auto" w:sz="4" w:space="0"/>
            </w:tcBorders>
            <w:vAlign w:val="center"/>
          </w:tcPr>
          <w:p w14:paraId="25EEC0A2">
            <w:pPr>
              <w:widowControl/>
              <w:adjustRightInd w:val="0"/>
              <w:snapToGrid w:val="0"/>
              <w:jc w:val="center"/>
              <w:rPr>
                <w:kern w:val="0"/>
                <w:sz w:val="24"/>
                <w:szCs w:val="24"/>
              </w:rPr>
            </w:pPr>
            <w:r>
              <w:rPr>
                <w:rFonts w:hint="eastAsia"/>
                <w:kern w:val="0"/>
                <w:sz w:val="24"/>
                <w:szCs w:val="24"/>
              </w:rPr>
              <w:t>保密</w:t>
            </w:r>
            <w:r>
              <w:rPr>
                <w:kern w:val="0"/>
                <w:sz w:val="24"/>
                <w:szCs w:val="24"/>
              </w:rPr>
              <w:t>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4AC2D612">
            <w:pPr>
              <w:widowControl/>
              <w:adjustRightInd w:val="0"/>
              <w:snapToGrid w:val="0"/>
              <w:rPr>
                <w:kern w:val="0"/>
                <w:sz w:val="24"/>
                <w:szCs w:val="24"/>
              </w:rPr>
            </w:pPr>
            <w:r>
              <w:rPr>
                <w:rFonts w:hint="eastAsia"/>
                <w:kern w:val="0"/>
                <w:sz w:val="24"/>
                <w:szCs w:val="24"/>
              </w:rPr>
              <w:t>至少包含落实保密要求的措施、方法、制度、惩罚措施等内容。。</w:t>
            </w:r>
          </w:p>
          <w:p w14:paraId="4F9DBBCF">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4A2F43D2">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29DDFC43">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53CE8CCD">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2C72F216">
            <w:pPr>
              <w:widowControl/>
              <w:adjustRightInd w:val="0"/>
              <w:snapToGrid w:val="0"/>
              <w:rPr>
                <w:kern w:val="0"/>
                <w:sz w:val="24"/>
                <w:szCs w:val="24"/>
              </w:rPr>
            </w:pPr>
            <w:r>
              <w:rPr>
                <w:kern w:val="0"/>
                <w:sz w:val="24"/>
                <w:szCs w:val="24"/>
              </w:rPr>
              <w:t>未提供方案或不满足招标文件要求或内容存在4处及以上瑕疵：0分；</w:t>
            </w:r>
          </w:p>
          <w:p w14:paraId="7CFD607E">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59C39B77">
            <w:pPr>
              <w:widowControl/>
              <w:adjustRightInd w:val="0"/>
              <w:snapToGrid w:val="0"/>
              <w:jc w:val="center"/>
              <w:rPr>
                <w:kern w:val="0"/>
                <w:sz w:val="24"/>
                <w:szCs w:val="24"/>
              </w:rPr>
            </w:pPr>
            <w:r>
              <w:rPr>
                <w:rFonts w:hint="eastAsia"/>
                <w:kern w:val="0"/>
                <w:sz w:val="24"/>
                <w:szCs w:val="24"/>
              </w:rPr>
              <w:t>10</w:t>
            </w:r>
          </w:p>
        </w:tc>
      </w:tr>
      <w:tr w14:paraId="12F5495A">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2E0D1551">
            <w:pPr>
              <w:widowControl/>
              <w:adjustRightInd w:val="0"/>
              <w:snapToGrid w:val="0"/>
              <w:jc w:val="center"/>
              <w:rPr>
                <w:kern w:val="0"/>
                <w:sz w:val="24"/>
                <w:szCs w:val="24"/>
              </w:rPr>
            </w:pPr>
            <w:r>
              <w:rPr>
                <w:kern w:val="0"/>
                <w:sz w:val="24"/>
                <w:szCs w:val="24"/>
              </w:rPr>
              <w:t>5</w:t>
            </w:r>
          </w:p>
        </w:tc>
        <w:tc>
          <w:tcPr>
            <w:tcW w:w="1442" w:type="dxa"/>
            <w:tcBorders>
              <w:top w:val="single" w:color="auto" w:sz="4" w:space="0"/>
              <w:left w:val="single" w:color="auto" w:sz="4" w:space="0"/>
              <w:bottom w:val="single" w:color="auto" w:sz="4" w:space="0"/>
              <w:right w:val="single" w:color="auto" w:sz="4" w:space="0"/>
            </w:tcBorders>
            <w:vAlign w:val="center"/>
          </w:tcPr>
          <w:p w14:paraId="5B5286D7">
            <w:pPr>
              <w:widowControl/>
              <w:adjustRightInd w:val="0"/>
              <w:snapToGrid w:val="0"/>
              <w:jc w:val="center"/>
              <w:rPr>
                <w:kern w:val="0"/>
                <w:sz w:val="24"/>
                <w:szCs w:val="24"/>
              </w:rPr>
            </w:pPr>
            <w:r>
              <w:rPr>
                <w:rFonts w:hint="eastAsia"/>
                <w:kern w:val="0"/>
                <w:sz w:val="24"/>
                <w:szCs w:val="24"/>
              </w:rPr>
              <w:t>知识转移方案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29038AA6">
            <w:pPr>
              <w:widowControl/>
              <w:adjustRightInd w:val="0"/>
              <w:snapToGrid w:val="0"/>
              <w:rPr>
                <w:kern w:val="0"/>
                <w:sz w:val="24"/>
                <w:szCs w:val="24"/>
              </w:rPr>
            </w:pPr>
            <w:r>
              <w:rPr>
                <w:kern w:val="0"/>
                <w:sz w:val="24"/>
                <w:szCs w:val="24"/>
              </w:rPr>
              <w:t>至少包含</w:t>
            </w:r>
            <w:r>
              <w:rPr>
                <w:rFonts w:hint="eastAsia"/>
                <w:kern w:val="0"/>
                <w:sz w:val="24"/>
                <w:szCs w:val="24"/>
              </w:rPr>
              <w:t>转移内容、转移形式、转移要求等方面内容。</w:t>
            </w:r>
          </w:p>
          <w:p w14:paraId="25C07648">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785A1DBE">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24EFE34F">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14E87591">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444CB97C">
            <w:pPr>
              <w:widowControl/>
              <w:adjustRightInd w:val="0"/>
              <w:snapToGrid w:val="0"/>
              <w:rPr>
                <w:kern w:val="0"/>
                <w:sz w:val="24"/>
                <w:szCs w:val="24"/>
              </w:rPr>
            </w:pPr>
            <w:r>
              <w:rPr>
                <w:kern w:val="0"/>
                <w:sz w:val="24"/>
                <w:szCs w:val="24"/>
              </w:rPr>
              <w:t>未提供方案或不满足招标文件要求或内容存在4处及以上瑕疵：0分；</w:t>
            </w:r>
          </w:p>
          <w:p w14:paraId="038A19D7">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4C5DA595">
            <w:pPr>
              <w:widowControl/>
              <w:adjustRightInd w:val="0"/>
              <w:snapToGrid w:val="0"/>
              <w:jc w:val="center"/>
              <w:rPr>
                <w:kern w:val="0"/>
                <w:sz w:val="24"/>
                <w:szCs w:val="24"/>
              </w:rPr>
            </w:pPr>
            <w:r>
              <w:rPr>
                <w:rFonts w:hint="eastAsia"/>
                <w:kern w:val="0"/>
                <w:sz w:val="24"/>
                <w:szCs w:val="24"/>
              </w:rPr>
              <w:t>10</w:t>
            </w:r>
          </w:p>
        </w:tc>
      </w:tr>
      <w:tr w14:paraId="30E91336">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910E4C5">
            <w:pPr>
              <w:widowControl/>
              <w:adjustRightInd w:val="0"/>
              <w:snapToGrid w:val="0"/>
              <w:jc w:val="center"/>
              <w:rPr>
                <w:kern w:val="0"/>
                <w:sz w:val="24"/>
                <w:szCs w:val="24"/>
              </w:rPr>
            </w:pPr>
            <w:r>
              <w:rPr>
                <w:kern w:val="0"/>
                <w:sz w:val="24"/>
                <w:szCs w:val="24"/>
              </w:rPr>
              <w:t>6</w:t>
            </w:r>
          </w:p>
        </w:tc>
        <w:tc>
          <w:tcPr>
            <w:tcW w:w="1442" w:type="dxa"/>
            <w:tcBorders>
              <w:top w:val="single" w:color="auto" w:sz="4" w:space="0"/>
              <w:left w:val="single" w:color="auto" w:sz="4" w:space="0"/>
              <w:bottom w:val="single" w:color="auto" w:sz="4" w:space="0"/>
              <w:right w:val="single" w:color="auto" w:sz="4" w:space="0"/>
            </w:tcBorders>
            <w:vAlign w:val="center"/>
          </w:tcPr>
          <w:p w14:paraId="1B597056">
            <w:pPr>
              <w:widowControl/>
              <w:adjustRightInd w:val="0"/>
              <w:snapToGrid w:val="0"/>
              <w:jc w:val="center"/>
              <w:rPr>
                <w:kern w:val="0"/>
                <w:sz w:val="24"/>
                <w:szCs w:val="24"/>
              </w:rPr>
            </w:pPr>
            <w:r>
              <w:rPr>
                <w:rFonts w:hint="eastAsia"/>
                <w:kern w:val="0"/>
                <w:sz w:val="24"/>
                <w:szCs w:val="24"/>
              </w:rPr>
              <w:t>风险管控方案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00653818">
            <w:pPr>
              <w:widowControl/>
              <w:adjustRightInd w:val="0"/>
              <w:snapToGrid w:val="0"/>
              <w:rPr>
                <w:kern w:val="0"/>
                <w:sz w:val="24"/>
                <w:szCs w:val="24"/>
              </w:rPr>
            </w:pPr>
            <w:r>
              <w:rPr>
                <w:rFonts w:hint="eastAsia"/>
                <w:kern w:val="0"/>
                <w:sz w:val="24"/>
                <w:szCs w:val="24"/>
              </w:rPr>
              <w:t>对项目实施全过程中可能出现的风险进行全面识别与评估，至少包含业务风险、人员风险、进度风险等。基于风险评估结果，制定针对性的风险应对策略，持续监控风险状况，并根据实际情况及时完善风险应对策略，确保项目目标顺利实现</w:t>
            </w:r>
          </w:p>
          <w:p w14:paraId="04D7A863">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0FB88D3A">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1C8DFDFE">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203B4551">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1EEB2137">
            <w:pPr>
              <w:widowControl/>
              <w:adjustRightInd w:val="0"/>
              <w:snapToGrid w:val="0"/>
              <w:rPr>
                <w:kern w:val="0"/>
                <w:sz w:val="24"/>
                <w:szCs w:val="24"/>
              </w:rPr>
            </w:pPr>
            <w:r>
              <w:rPr>
                <w:kern w:val="0"/>
                <w:sz w:val="24"/>
                <w:szCs w:val="24"/>
              </w:rPr>
              <w:t>未提供方案或不满足招标文件要求或内容存在4处及以上瑕疵：0分；</w:t>
            </w:r>
          </w:p>
          <w:p w14:paraId="60CAA497">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163D629">
            <w:pPr>
              <w:widowControl/>
              <w:adjustRightInd w:val="0"/>
              <w:snapToGrid w:val="0"/>
              <w:jc w:val="center"/>
              <w:rPr>
                <w:kern w:val="0"/>
                <w:sz w:val="24"/>
                <w:szCs w:val="24"/>
              </w:rPr>
            </w:pPr>
            <w:r>
              <w:rPr>
                <w:rFonts w:hint="eastAsia"/>
                <w:kern w:val="0"/>
                <w:sz w:val="24"/>
                <w:szCs w:val="24"/>
              </w:rPr>
              <w:t>10</w:t>
            </w:r>
          </w:p>
        </w:tc>
      </w:tr>
      <w:tr w14:paraId="68E19395">
        <w:trPr>
          <w:trHeight w:val="699"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3327FADF">
            <w:pPr>
              <w:widowControl/>
              <w:adjustRightInd w:val="0"/>
              <w:snapToGrid w:val="0"/>
              <w:jc w:val="center"/>
              <w:rPr>
                <w:kern w:val="0"/>
                <w:sz w:val="24"/>
                <w:szCs w:val="24"/>
              </w:rPr>
            </w:pPr>
            <w:r>
              <w:rPr>
                <w:rFonts w:hint="eastAsia"/>
                <w:kern w:val="0"/>
                <w:sz w:val="24"/>
                <w:szCs w:val="24"/>
              </w:rPr>
              <w:t>7</w:t>
            </w:r>
          </w:p>
        </w:tc>
        <w:tc>
          <w:tcPr>
            <w:tcW w:w="1442" w:type="dxa"/>
            <w:tcBorders>
              <w:top w:val="single" w:color="auto" w:sz="4" w:space="0"/>
              <w:left w:val="single" w:color="auto" w:sz="4" w:space="0"/>
              <w:bottom w:val="single" w:color="auto" w:sz="4" w:space="0"/>
              <w:right w:val="single" w:color="auto" w:sz="4" w:space="0"/>
            </w:tcBorders>
            <w:vAlign w:val="center"/>
          </w:tcPr>
          <w:p w14:paraId="7CD66100">
            <w:pPr>
              <w:widowControl/>
              <w:adjustRightInd w:val="0"/>
              <w:snapToGrid w:val="0"/>
              <w:jc w:val="center"/>
              <w:rPr>
                <w:kern w:val="0"/>
                <w:sz w:val="24"/>
                <w:szCs w:val="24"/>
              </w:rPr>
            </w:pPr>
            <w:r>
              <w:rPr>
                <w:sz w:val="24"/>
              </w:rPr>
              <w:t>配合验收方案评价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74F5DDDE">
            <w:pPr>
              <w:widowControl/>
              <w:adjustRightInd w:val="0"/>
              <w:snapToGrid w:val="0"/>
              <w:rPr>
                <w:kern w:val="0"/>
                <w:sz w:val="24"/>
                <w:szCs w:val="24"/>
              </w:rPr>
            </w:pPr>
            <w:r>
              <w:rPr>
                <w:rFonts w:hint="eastAsia"/>
                <w:kern w:val="0"/>
                <w:sz w:val="24"/>
                <w:szCs w:val="24"/>
              </w:rPr>
              <w:t>根据需要验收的内容，提出切实可行的验收流程。对合同规定的各项验收指标，提出明确的验收前提条件和验收依据及标准，列明需要移交和交付的各类文档及产出物。对验收中可能发现的问题，供应商应提出有效解决办法和补救措施等内容。</w:t>
            </w:r>
          </w:p>
          <w:p w14:paraId="1874C082">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2FC659C4">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6401EF6E">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34A3F0E9">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3131BB41">
            <w:pPr>
              <w:widowControl/>
              <w:adjustRightInd w:val="0"/>
              <w:snapToGrid w:val="0"/>
              <w:rPr>
                <w:kern w:val="0"/>
                <w:sz w:val="24"/>
                <w:szCs w:val="24"/>
              </w:rPr>
            </w:pPr>
            <w:r>
              <w:rPr>
                <w:kern w:val="0"/>
                <w:sz w:val="24"/>
                <w:szCs w:val="24"/>
              </w:rPr>
              <w:t>未提供方案或不满足招标文件要求或内容存在4处及以上瑕疵：0分；</w:t>
            </w:r>
          </w:p>
          <w:p w14:paraId="2CF0C65A">
            <w:pPr>
              <w:widowControl/>
              <w:adjustRightInd w:val="0"/>
              <w:snapToGrid w:val="0"/>
              <w:rPr>
                <w:sz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45705892">
            <w:pPr>
              <w:widowControl/>
              <w:adjustRightInd w:val="0"/>
              <w:snapToGrid w:val="0"/>
              <w:jc w:val="center"/>
              <w:rPr>
                <w:kern w:val="0"/>
                <w:sz w:val="24"/>
                <w:szCs w:val="24"/>
              </w:rPr>
            </w:pPr>
            <w:r>
              <w:rPr>
                <w:rFonts w:hint="eastAsia"/>
                <w:kern w:val="0"/>
                <w:sz w:val="24"/>
                <w:szCs w:val="24"/>
              </w:rPr>
              <w:t>10</w:t>
            </w:r>
          </w:p>
        </w:tc>
      </w:tr>
      <w:tr w14:paraId="157A9B2B">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002B5594">
            <w:pPr>
              <w:widowControl/>
              <w:adjustRightInd w:val="0"/>
              <w:snapToGrid w:val="0"/>
              <w:jc w:val="center"/>
              <w:rPr>
                <w:sz w:val="24"/>
              </w:rPr>
            </w:pPr>
            <w:r>
              <w:rPr>
                <w:sz w:val="24"/>
              </w:rPr>
              <w:t>合计</w:t>
            </w:r>
          </w:p>
        </w:tc>
        <w:tc>
          <w:tcPr>
            <w:tcW w:w="1143" w:type="dxa"/>
            <w:tcBorders>
              <w:top w:val="single" w:color="auto" w:sz="4" w:space="0"/>
              <w:left w:val="single" w:color="auto" w:sz="4" w:space="0"/>
              <w:bottom w:val="single" w:color="auto" w:sz="4" w:space="0"/>
              <w:right w:val="single" w:color="auto" w:sz="4" w:space="0"/>
            </w:tcBorders>
            <w:vAlign w:val="center"/>
          </w:tcPr>
          <w:p w14:paraId="5A5EC9D0">
            <w:pPr>
              <w:widowControl/>
              <w:adjustRightInd w:val="0"/>
              <w:snapToGrid w:val="0"/>
              <w:jc w:val="center"/>
              <w:rPr>
                <w:kern w:val="0"/>
                <w:sz w:val="24"/>
                <w:szCs w:val="24"/>
              </w:rPr>
            </w:pPr>
            <w:r>
              <w:rPr>
                <w:kern w:val="0"/>
                <w:sz w:val="24"/>
                <w:szCs w:val="24"/>
              </w:rPr>
              <w:t>100</w:t>
            </w:r>
          </w:p>
        </w:tc>
      </w:tr>
    </w:tbl>
    <w:p w14:paraId="66D7804D">
      <w:pPr>
        <w:spacing w:line="360" w:lineRule="auto"/>
        <w:ind w:firstLine="448" w:firstLineChars="200"/>
        <w:outlineLvl w:val="0"/>
        <w:rPr>
          <w:sz w:val="24"/>
        </w:rPr>
      </w:pPr>
      <w:r>
        <w:rPr>
          <w:sz w:val="24"/>
        </w:rPr>
        <w:t>四、投标文件内容要求</w:t>
      </w:r>
    </w:p>
    <w:p w14:paraId="2E0CE272">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10E39B92">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44BABC22">
      <w:pPr>
        <w:widowControl/>
        <w:jc w:val="left"/>
        <w:rPr>
          <w:b/>
          <w:sz w:val="24"/>
        </w:rPr>
      </w:pPr>
      <w:r>
        <w:rPr>
          <w:b/>
          <w:sz w:val="24"/>
        </w:rPr>
        <w:br w:type="page"/>
      </w:r>
    </w:p>
    <w:p w14:paraId="34ECA4A2">
      <w:pPr>
        <w:spacing w:line="360" w:lineRule="auto"/>
        <w:ind w:firstLine="448" w:firstLineChars="200"/>
        <w:jc w:val="center"/>
        <w:outlineLvl w:val="0"/>
        <w:rPr>
          <w:b/>
          <w:sz w:val="24"/>
        </w:rPr>
      </w:pPr>
      <w:r>
        <w:rPr>
          <w:b/>
          <w:sz w:val="24"/>
        </w:rPr>
        <w:t>项目需求书</w:t>
      </w:r>
    </w:p>
    <w:p w14:paraId="242AE3C0">
      <w:pPr>
        <w:spacing w:line="360" w:lineRule="auto"/>
        <w:ind w:firstLine="448" w:firstLineChars="200"/>
        <w:outlineLvl w:val="0"/>
        <w:rPr>
          <w:sz w:val="24"/>
        </w:rPr>
      </w:pPr>
      <w:r>
        <w:rPr>
          <w:rFonts w:hint="eastAsia"/>
          <w:sz w:val="24"/>
        </w:rPr>
        <w:t>本项目属于软件和信息技术服务业</w:t>
      </w:r>
    </w:p>
    <w:p w14:paraId="036B9C63">
      <w:pPr>
        <w:spacing w:line="360" w:lineRule="auto"/>
        <w:ind w:firstLine="448" w:firstLineChars="200"/>
        <w:outlineLvl w:val="0"/>
        <w:rPr>
          <w:sz w:val="24"/>
        </w:rPr>
      </w:pPr>
      <w:r>
        <w:rPr>
          <w:sz w:val="24"/>
        </w:rPr>
        <w:t>一、项目背景</w:t>
      </w:r>
    </w:p>
    <w:p w14:paraId="7158377B">
      <w:pPr>
        <w:spacing w:line="360" w:lineRule="auto"/>
        <w:ind w:firstLine="448" w:firstLineChars="200"/>
        <w:outlineLvl w:val="0"/>
        <w:rPr>
          <w:sz w:val="24"/>
        </w:rPr>
      </w:pPr>
      <w:r>
        <w:rPr>
          <w:rFonts w:hint="eastAsia"/>
          <w:sz w:val="24"/>
        </w:rPr>
        <w:t>1.应用支撑平台是采购人税收业务类核心系统之一，该系统以薄应用、厚中台为总体架构思路，以应用低代码为目标来体现“薄”，以组件化的微服务、模型、规则、数据、接口下沉到中台为手段来体现“厚”，应用支撑平台主要分为三大部分，分别为规则引擎和资料文书中心、标签引擎和工作流工具、数据汇聚和数据治理等，功能主要分为“水上”应用以及“水下”支撑，承担了金税四期整体数据支撑业务，还包括对电子发票服务平台、全国统一规范电子税务局、税务人端慧办平台、核心征管系统、征纳互动服务等外部系统的支撑服务。</w:t>
      </w:r>
    </w:p>
    <w:p w14:paraId="28CA6A27">
      <w:pPr>
        <w:spacing w:line="360" w:lineRule="auto"/>
        <w:ind w:firstLine="448" w:firstLineChars="200"/>
        <w:outlineLvl w:val="0"/>
        <w:rPr>
          <w:sz w:val="24"/>
        </w:rPr>
      </w:pPr>
      <w:r>
        <w:rPr>
          <w:rFonts w:hint="eastAsia"/>
          <w:sz w:val="24"/>
        </w:rPr>
        <w:t>2.多云运维管理平台是采购人税收行政类核心系统之一，承担了采购人金税三期、金税四期运维一体化业务。多云运维管理平台采用总省两级部署，省局多云运维管理平台包括1个门户、7个中心（分别为运维门户、监控中心、告警中心、流程中心、配置中心、作业中心、日志中心、知识中心），包括运维服务流程、综合监控和统一运维门户等功能，实现运维要素（制度、人员、工具）的统一管理和运维信息（人员、监控、工单、配置、版本、补丁、知识）的集中管理，实现运维工作开展统一入口、运维问题处理统一流程、多云异构资源统一管理、系统运行情况统一监控的运维一体化管理，支撑省局规范、有序、高效开展各金四系统运维工作，并与税务总局实时交互监控信息。</w:t>
      </w:r>
    </w:p>
    <w:p w14:paraId="7E9260AF">
      <w:pPr>
        <w:spacing w:line="360" w:lineRule="auto"/>
        <w:ind w:firstLine="448" w:firstLineChars="200"/>
        <w:outlineLvl w:val="0"/>
        <w:rPr>
          <w:sz w:val="24"/>
        </w:rPr>
      </w:pPr>
      <w:r>
        <w:rPr>
          <w:rFonts w:hint="eastAsia"/>
          <w:sz w:val="24"/>
        </w:rPr>
        <w:t>3.税务区块链基础平台是采购人税收业务类核心系统之一，是推动税费业务与区块链技术的融合创新应用，可持续巩固税务区块链应用试点工作成果，构建自主可控、创新发展的税务区块链应用生态。</w:t>
      </w:r>
    </w:p>
    <w:p w14:paraId="3DB307F7">
      <w:pPr>
        <w:spacing w:line="360" w:lineRule="auto"/>
        <w:ind w:firstLine="448" w:firstLineChars="200"/>
        <w:outlineLvl w:val="0"/>
        <w:rPr>
          <w:sz w:val="24"/>
        </w:rPr>
      </w:pPr>
      <w:r>
        <w:rPr>
          <w:rFonts w:hint="eastAsia"/>
          <w:sz w:val="24"/>
        </w:rPr>
        <w:t>为保障上述系统安全平稳运行，提高运维技术水平，更好地为纳税人和税务人提供服务，确保各类运维问题及时响应和有效解决，须开展该系统运行维护项目采购。                          二、项目建设思路</w:t>
      </w:r>
    </w:p>
    <w:p w14:paraId="2292C302">
      <w:pPr>
        <w:spacing w:line="360" w:lineRule="auto"/>
        <w:ind w:firstLine="448" w:firstLineChars="200"/>
        <w:outlineLvl w:val="0"/>
        <w:rPr>
          <w:sz w:val="24"/>
        </w:rPr>
      </w:pPr>
      <w:r>
        <w:rPr>
          <w:rFonts w:hint="eastAsia"/>
          <w:sz w:val="24"/>
        </w:rPr>
        <w:t>确保金税四期应用支撑平台、多云运维管理平台、税务区块链基础平台等系统得到及时、高效、全方位的售后服务与技术支持，组建本系统业务和技术支持团队，为采购人提供优质的本地化运维服务，服从采购人的统一调度与管理，确保本系统7×24小时稳定高效运行。</w:t>
      </w:r>
    </w:p>
    <w:p w14:paraId="537171CA">
      <w:pPr>
        <w:spacing w:line="360" w:lineRule="auto"/>
        <w:ind w:firstLine="448" w:firstLineChars="200"/>
        <w:outlineLvl w:val="0"/>
        <w:rPr>
          <w:sz w:val="24"/>
        </w:rPr>
      </w:pPr>
      <w:r>
        <w:rPr>
          <w:rFonts w:hint="eastAsia"/>
          <w:sz w:val="24"/>
        </w:rPr>
        <w:t>三、采购内容</w:t>
      </w:r>
    </w:p>
    <w:p w14:paraId="44643264">
      <w:pPr>
        <w:spacing w:line="360" w:lineRule="auto"/>
        <w:ind w:firstLine="448" w:firstLineChars="200"/>
        <w:outlineLvl w:val="0"/>
        <w:rPr>
          <w:sz w:val="24"/>
        </w:rPr>
      </w:pPr>
      <w:r>
        <w:rPr>
          <w:rFonts w:hint="eastAsia"/>
          <w:sz w:val="24"/>
        </w:rPr>
        <w:t>本项目涉及采购金税四期应用支撑平台、多云运维管理平台、税务区块链基础平台等系统运行维护服务。合计购买不少于26000工时的运维服务，其中高级岗位不少于7000工时，中级岗位不少于7000工时，初级岗位不少于6000工时，其他岗位不少于6000工时，服务期限为合同规定的服务起始之日起6个月的服务期。</w:t>
      </w:r>
    </w:p>
    <w:p w14:paraId="0A180099">
      <w:pPr>
        <w:spacing w:line="360" w:lineRule="auto"/>
        <w:ind w:firstLine="448" w:firstLineChars="200"/>
        <w:outlineLvl w:val="0"/>
        <w:rPr>
          <w:sz w:val="24"/>
        </w:rPr>
      </w:pPr>
      <w:r>
        <w:rPr>
          <w:rFonts w:hint="eastAsia"/>
          <w:sz w:val="24"/>
        </w:rPr>
        <w:t>其中应用支撑平台（数字账户、规则引擎和资料文书中心等）部分占比14.5%，应用支撑平台（一体式风险、标签引擎和工作流工具等）部分占比25.4%，应用支撑平台（数据汇聚、数据治理和收入规划核算等）部分占比45.2%，多云运维管理平台部分占比10.3%，税务区块链基础平台部分占比4.6%。</w:t>
      </w:r>
    </w:p>
    <w:p w14:paraId="666C6DBD">
      <w:pPr>
        <w:spacing w:line="360" w:lineRule="auto"/>
        <w:ind w:firstLine="448" w:firstLineChars="200"/>
        <w:outlineLvl w:val="0"/>
        <w:rPr>
          <w:sz w:val="24"/>
        </w:rPr>
      </w:pPr>
      <w:r>
        <w:rPr>
          <w:rFonts w:hint="eastAsia"/>
          <w:sz w:val="24"/>
        </w:rPr>
        <w:t>按照总局和市局的要求，对本项目涉及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3E01FE7B">
      <w:pPr>
        <w:spacing w:line="360" w:lineRule="auto"/>
        <w:ind w:firstLine="448" w:firstLineChars="200"/>
        <w:outlineLvl w:val="0"/>
        <w:rPr>
          <w:sz w:val="24"/>
        </w:rPr>
      </w:pPr>
      <w:r>
        <w:rPr>
          <w:rFonts w:hint="eastAsia"/>
          <w:sz w:val="24"/>
        </w:rPr>
        <w:t>四、实施范围要求</w:t>
      </w:r>
    </w:p>
    <w:p w14:paraId="061338B9">
      <w:pPr>
        <w:spacing w:line="360" w:lineRule="auto"/>
        <w:ind w:firstLine="448" w:firstLineChars="200"/>
        <w:outlineLvl w:val="0"/>
        <w:rPr>
          <w:sz w:val="24"/>
        </w:rPr>
      </w:pPr>
      <w:r>
        <w:rPr>
          <w:rFonts w:hint="eastAsia"/>
          <w:sz w:val="24"/>
        </w:rPr>
        <w:t>本项目涉及采购金税四期应用支撑平台、多云运维管理平台、税务区块链基础平台等系统运行维护服务。</w:t>
      </w:r>
    </w:p>
    <w:p w14:paraId="237D5745">
      <w:pPr>
        <w:spacing w:line="360" w:lineRule="auto"/>
        <w:ind w:firstLine="448" w:firstLineChars="200"/>
        <w:outlineLvl w:val="0"/>
        <w:rPr>
          <w:sz w:val="24"/>
        </w:rPr>
      </w:pPr>
      <w:r>
        <w:rPr>
          <w:rFonts w:hint="eastAsia"/>
          <w:sz w:val="24"/>
        </w:rPr>
        <w:t>1.应用支撑平台</w:t>
      </w:r>
    </w:p>
    <w:p w14:paraId="4415B628">
      <w:pPr>
        <w:spacing w:line="360" w:lineRule="auto"/>
        <w:ind w:firstLine="448" w:firstLineChars="200"/>
        <w:outlineLvl w:val="0"/>
        <w:rPr>
          <w:sz w:val="24"/>
        </w:rPr>
      </w:pPr>
      <w:r>
        <w:rPr>
          <w:rFonts w:hint="eastAsia"/>
          <w:sz w:val="24"/>
        </w:rPr>
        <w:t>应用支撑平台主要分为三大部分，分别为规则引擎和资料文书中心、标签引擎和工作流工具、数据汇聚和数据治理等，包括生产环境和预生产环境，共使用494台服务器，包括生产服务器402台、预生产服务器92台，含应用服务器313台、数据库服务器132台、其他软件服务器49台等。该系统主要功能包括运营治理、CSP增量文件维护、链路监控、业务对账、数据对账、结构对账、元数据采集、数据质量维护、数据资产维护、业务可视化监控、嵌入式数据自治、数字账户、规则引擎、资料文书中心、网格化引擎、一体式、助信码、税智法、智慧监督等功能。具体边界如下：</w:t>
      </w:r>
    </w:p>
    <w:p w14:paraId="70DAFF4F">
      <w:pPr>
        <w:spacing w:line="360" w:lineRule="auto"/>
        <w:ind w:firstLine="448" w:firstLineChars="200"/>
        <w:outlineLvl w:val="0"/>
        <w:rPr>
          <w:sz w:val="24"/>
        </w:rPr>
      </w:pPr>
      <w:r>
        <w:rPr>
          <w:rFonts w:hint="eastAsia"/>
          <w:sz w:val="24"/>
        </w:rPr>
        <w:t>①规则引擎和资料文书中心等部分</w:t>
      </w:r>
    </w:p>
    <w:p w14:paraId="2BBF6710">
      <w:pPr>
        <w:spacing w:line="360" w:lineRule="auto"/>
        <w:ind w:firstLine="448" w:firstLineChars="200"/>
        <w:outlineLvl w:val="0"/>
        <w:rPr>
          <w:sz w:val="24"/>
        </w:rPr>
      </w:pPr>
      <w:r>
        <w:rPr>
          <w:rFonts w:hint="eastAsia"/>
          <w:sz w:val="24"/>
        </w:rPr>
        <w:t>Ⅰ.平台自身服务：数字账户（包括分账户概览、账户查询、集团内控、日常理税、APP支撑等）、一体式应用（包括一户式查询分析、网格化服务管理、风险管理、内控督导、绩效考评、纪律监督等）、规则引擎、资料文书中心、网格化引擎维护等功能。</w:t>
      </w:r>
    </w:p>
    <w:p w14:paraId="4EFAB7A1">
      <w:pPr>
        <w:spacing w:line="360" w:lineRule="auto"/>
        <w:ind w:firstLine="448" w:firstLineChars="200"/>
        <w:outlineLvl w:val="0"/>
        <w:rPr>
          <w:sz w:val="24"/>
        </w:rPr>
      </w:pPr>
      <w:r>
        <w:rPr>
          <w:rFonts w:hint="eastAsia"/>
          <w:sz w:val="24"/>
        </w:rPr>
        <w:t>Ⅱ.支撑电子发票服务平台：应用接口不少于65个（包括发票赋额、蓝字发票开具等）、指标计算加工服务不少于62个（包括初始授信、动态授信等）、kafka实时标签加工不少于15个。</w:t>
      </w:r>
    </w:p>
    <w:p w14:paraId="27FA39A5">
      <w:pPr>
        <w:spacing w:line="360" w:lineRule="auto"/>
        <w:ind w:firstLine="448" w:firstLineChars="200"/>
        <w:outlineLvl w:val="0"/>
        <w:rPr>
          <w:sz w:val="24"/>
        </w:rPr>
      </w:pPr>
      <w:r>
        <w:rPr>
          <w:rFonts w:hint="eastAsia"/>
          <w:sz w:val="24"/>
        </w:rPr>
        <w:t>Ⅲ.支撑新电子税务局：应用接口不少于422个（包括新办纳税人智能开业、应申报待办等）、数据加工任务不少于1493个（包括申报数据预填、相关风险监控指标等）、标签加工任务不少于156个、公共主题层数据加工任务不少于427个、专题模型层数据加工任务不少于223个（涉及税务注销、清税申报、土地增值税项目信息报告、一般纳税人增值税及附加税费申报、增值税留抵抵欠、土地转让申报、房土税源明细等业务事项）。</w:t>
      </w:r>
    </w:p>
    <w:p w14:paraId="776E6926">
      <w:pPr>
        <w:spacing w:line="360" w:lineRule="auto"/>
        <w:ind w:firstLine="448" w:firstLineChars="200"/>
        <w:outlineLvl w:val="0"/>
        <w:rPr>
          <w:sz w:val="24"/>
        </w:rPr>
      </w:pPr>
      <w:r>
        <w:rPr>
          <w:rFonts w:hint="eastAsia"/>
          <w:sz w:val="24"/>
        </w:rPr>
        <w:t>Ⅳ.支撑核心征管：应用接口不少于14个（包括发票领用、票种核定、最高开票限额、发票验交旧、注销税务登记、跨省迁移等）；</w:t>
      </w:r>
    </w:p>
    <w:p w14:paraId="2F607484">
      <w:pPr>
        <w:spacing w:line="360" w:lineRule="auto"/>
        <w:ind w:firstLine="448" w:firstLineChars="200"/>
        <w:outlineLvl w:val="0"/>
        <w:rPr>
          <w:sz w:val="24"/>
        </w:rPr>
      </w:pPr>
      <w:r>
        <w:rPr>
          <w:rFonts w:hint="eastAsia"/>
          <w:sz w:val="24"/>
        </w:rPr>
        <w:t>Ⅴ.支撑征纳互动：应用接口（包括赋额变化提醒、发票超额提醒等）、消息推送。</w:t>
      </w:r>
    </w:p>
    <w:p w14:paraId="6636EF8D">
      <w:pPr>
        <w:spacing w:line="360" w:lineRule="auto"/>
        <w:ind w:firstLine="448" w:firstLineChars="200"/>
        <w:outlineLvl w:val="0"/>
        <w:rPr>
          <w:sz w:val="24"/>
        </w:rPr>
      </w:pPr>
      <w:r>
        <w:rPr>
          <w:rFonts w:hint="eastAsia"/>
          <w:sz w:val="24"/>
        </w:rPr>
        <w:t>②标签引擎和工作流工具等部分</w:t>
      </w:r>
    </w:p>
    <w:p w14:paraId="455D730F">
      <w:pPr>
        <w:spacing w:line="360" w:lineRule="auto"/>
        <w:ind w:firstLine="448" w:firstLineChars="200"/>
        <w:outlineLvl w:val="0"/>
        <w:rPr>
          <w:sz w:val="24"/>
        </w:rPr>
      </w:pPr>
      <w:r>
        <w:rPr>
          <w:rFonts w:hint="eastAsia"/>
          <w:sz w:val="24"/>
        </w:rPr>
        <w:t>Ⅰ.平台自身服务：数字账户（涉及账户查询和日常理税两大业务，包括纳税信用、财务报表、企业所得税申报查询等高频业务），为“开票数据统计及发票领用查询”等功能提供数据支撑。</w:t>
      </w:r>
    </w:p>
    <w:p w14:paraId="03B019A7">
      <w:pPr>
        <w:spacing w:line="360" w:lineRule="auto"/>
        <w:ind w:firstLine="448" w:firstLineChars="200"/>
        <w:outlineLvl w:val="0"/>
        <w:rPr>
          <w:sz w:val="24"/>
        </w:rPr>
      </w:pPr>
      <w:r>
        <w:rPr>
          <w:rFonts w:hint="eastAsia"/>
          <w:sz w:val="24"/>
        </w:rPr>
        <w:t>Ⅱ.一体式风险管理：包含常规风评及TBDS环境下指标模型加载推送、一体式风险的应对环节、动态信用等级、信用白名单、赋额及开票风险等级、发票赋额、开票预警，税企智功能（包括阅帐工具、大企业风险应对等），对外接口服务9个、风险指标模型92个。</w:t>
      </w:r>
    </w:p>
    <w:p w14:paraId="2CDD66FF">
      <w:pPr>
        <w:spacing w:line="360" w:lineRule="auto"/>
        <w:ind w:firstLine="448" w:firstLineChars="200"/>
        <w:outlineLvl w:val="0"/>
        <w:rPr>
          <w:sz w:val="24"/>
        </w:rPr>
      </w:pPr>
      <w:r>
        <w:rPr>
          <w:rFonts w:hint="eastAsia"/>
          <w:sz w:val="24"/>
        </w:rPr>
        <w:t>Ⅲ.支撑电子发票服务平台：支撑数电票动态信用、预警级别及赋额类别等业务的指标加工、负面清单管理、发票赋额业务对账平台、建模工具、工作流ETL数据加工等，对外接口服务不少于28个（包括纳税人授信类别查询接口等），风险指标模型不少于102个，数据加工作业流不少于11个。</w:t>
      </w:r>
    </w:p>
    <w:p w14:paraId="7449992B">
      <w:pPr>
        <w:spacing w:line="360" w:lineRule="auto"/>
        <w:ind w:firstLine="448" w:firstLineChars="200"/>
        <w:outlineLvl w:val="0"/>
        <w:rPr>
          <w:sz w:val="24"/>
        </w:rPr>
      </w:pPr>
      <w:r>
        <w:rPr>
          <w:rFonts w:hint="eastAsia"/>
          <w:sz w:val="24"/>
        </w:rPr>
        <w:t>Ⅳ.支撑新电子税务局：包含征管风险计算、标签引擎、工作流等应用、申报预填接口服务、日常数据加工和指标计算服务，对外接口服务不少于109个（包括查询纳税人动态信用等级、查询标签分类与标签属性、查询工作流任务、查询征期日历、小规模纳税人增值税申报预填等），TDMQ消息推送不少于115个（包括财务会计制度及核算软件提醒、汇总纳税报告办理提醒、税收优惠资格逾期提醒等），风险指标模型不少于1198个（包括主题层和基础层不少于465项加工任务，专题层不少于185项加工任务），关联关系不少于244项（包括接口类不少于105项、消息类不少于139项等）</w:t>
      </w:r>
    </w:p>
    <w:p w14:paraId="4116529B">
      <w:pPr>
        <w:spacing w:line="360" w:lineRule="auto"/>
        <w:ind w:firstLine="448" w:firstLineChars="200"/>
        <w:outlineLvl w:val="0"/>
        <w:rPr>
          <w:sz w:val="24"/>
        </w:rPr>
      </w:pPr>
      <w:r>
        <w:rPr>
          <w:rFonts w:hint="eastAsia"/>
          <w:sz w:val="24"/>
        </w:rPr>
        <w:t>Ⅴ.支撑核心征管：接口服务不少于14个（包括发票领用代开扫描结果、发票风险评定等级、工商简易注销、动态信用等级信息、动态风险信息、重点税源监控企业等）</w:t>
      </w:r>
    </w:p>
    <w:p w14:paraId="705E56C4">
      <w:pPr>
        <w:spacing w:line="360" w:lineRule="auto"/>
        <w:ind w:firstLine="448" w:firstLineChars="200"/>
        <w:outlineLvl w:val="0"/>
        <w:rPr>
          <w:sz w:val="24"/>
        </w:rPr>
      </w:pPr>
      <w:r>
        <w:rPr>
          <w:rFonts w:hint="eastAsia"/>
          <w:sz w:val="24"/>
        </w:rPr>
        <w:t>③数据汇聚和数据治理等部分</w:t>
      </w:r>
    </w:p>
    <w:p w14:paraId="4CC79099">
      <w:pPr>
        <w:spacing w:line="360" w:lineRule="auto"/>
        <w:ind w:firstLine="448" w:firstLineChars="200"/>
        <w:outlineLvl w:val="0"/>
        <w:rPr>
          <w:sz w:val="24"/>
        </w:rPr>
      </w:pPr>
      <w:r>
        <w:rPr>
          <w:rFonts w:hint="eastAsia"/>
          <w:sz w:val="24"/>
        </w:rPr>
        <w:t>Ⅰ.数据汇聚：省局汇聚区作为采购人金税四期唯一的数据汇聚地，汇聚了15个业务及分析系统共不少于10000+张表，包括核心征管、外部交换、社保费、督察内审等金三统推系统，以及数电发票、可信身份、新电子税务局、税务人端、征纳互动等金四新建系统。为中间层、模型层数据加工提供基础数据，为下游系统提供不同方式的数据支撑。汇聚区省局端共建设数据汇聚和数据供应链路不少于60+条。</w:t>
      </w:r>
    </w:p>
    <w:p w14:paraId="697631DF">
      <w:pPr>
        <w:spacing w:line="360" w:lineRule="auto"/>
        <w:ind w:firstLine="448" w:firstLineChars="200"/>
        <w:outlineLvl w:val="0"/>
        <w:rPr>
          <w:sz w:val="24"/>
        </w:rPr>
      </w:pPr>
      <w:r>
        <w:rPr>
          <w:rFonts w:hint="eastAsia"/>
          <w:sz w:val="24"/>
        </w:rPr>
        <w:t>Ⅱ.数据治理：包括数据资产管理、元数据管理、数据模型管理等模块。</w:t>
      </w:r>
    </w:p>
    <w:p w14:paraId="6766DF55">
      <w:pPr>
        <w:spacing w:line="360" w:lineRule="auto"/>
        <w:ind w:firstLine="448" w:firstLineChars="200"/>
        <w:outlineLvl w:val="0"/>
        <w:rPr>
          <w:sz w:val="24"/>
        </w:rPr>
      </w:pPr>
      <w:r>
        <w:rPr>
          <w:rFonts w:hint="eastAsia"/>
          <w:sz w:val="24"/>
        </w:rPr>
        <w:t>A.元数据管理</w:t>
      </w:r>
    </w:p>
    <w:p w14:paraId="24B0D788">
      <w:pPr>
        <w:spacing w:line="360" w:lineRule="auto"/>
        <w:ind w:firstLine="448" w:firstLineChars="200"/>
        <w:outlineLvl w:val="0"/>
        <w:rPr>
          <w:sz w:val="24"/>
        </w:rPr>
      </w:pPr>
      <w:r>
        <w:rPr>
          <w:rFonts w:hint="eastAsia"/>
          <w:sz w:val="24"/>
        </w:rPr>
        <w:t>对接金税四期各系统，完成各类数据资产元数据信息的收集、存储和维护，为数据资产提供基础数据（包括数据元标准、数据模型、数据质量规则、服务接口、服务规则、服务指标、消息待办、业务需求、关联关系等）。元数据采集主要包括税智撑、新电子税务局、电票平台、税务人端等系统不少于80余个数据库。</w:t>
      </w:r>
    </w:p>
    <w:p w14:paraId="29EE23C1">
      <w:pPr>
        <w:spacing w:line="360" w:lineRule="auto"/>
        <w:ind w:firstLine="448" w:firstLineChars="200"/>
        <w:outlineLvl w:val="0"/>
        <w:rPr>
          <w:sz w:val="24"/>
        </w:rPr>
      </w:pPr>
      <w:r>
        <w:rPr>
          <w:rFonts w:hint="eastAsia"/>
          <w:sz w:val="24"/>
        </w:rPr>
        <w:t>B.数据模型管理</w:t>
      </w:r>
    </w:p>
    <w:p w14:paraId="612DF86F">
      <w:pPr>
        <w:spacing w:line="360" w:lineRule="auto"/>
        <w:ind w:firstLine="448" w:firstLineChars="200"/>
        <w:outlineLvl w:val="0"/>
        <w:rPr>
          <w:sz w:val="24"/>
        </w:rPr>
      </w:pPr>
      <w:r>
        <w:rPr>
          <w:rFonts w:hint="eastAsia"/>
          <w:sz w:val="24"/>
        </w:rPr>
        <w:t>对新增和存量数据模型标准检查，产出模型质量规范性检查报告、跟踪模型整改情况、为数据模型管理决策提供数据支持。</w:t>
      </w:r>
    </w:p>
    <w:p w14:paraId="5DCFBCA7">
      <w:pPr>
        <w:spacing w:line="360" w:lineRule="auto"/>
        <w:ind w:firstLine="448" w:firstLineChars="200"/>
        <w:outlineLvl w:val="0"/>
        <w:rPr>
          <w:sz w:val="24"/>
        </w:rPr>
      </w:pPr>
      <w:r>
        <w:rPr>
          <w:rFonts w:hint="eastAsia"/>
          <w:sz w:val="24"/>
        </w:rPr>
        <w:t>C.数据资产</w:t>
      </w:r>
    </w:p>
    <w:p w14:paraId="284CDA0E">
      <w:pPr>
        <w:spacing w:line="360" w:lineRule="auto"/>
        <w:ind w:firstLine="448" w:firstLineChars="200"/>
        <w:outlineLvl w:val="0"/>
        <w:rPr>
          <w:sz w:val="24"/>
        </w:rPr>
      </w:pPr>
      <w:r>
        <w:rPr>
          <w:rFonts w:hint="eastAsia"/>
          <w:sz w:val="24"/>
        </w:rPr>
        <w:t>对各系统、各类型数据资产进行资产收集（包括资产盘点、资产分类、资产目录、资产检索、资产导出等），目前数据资产包括数据库表（省局端不少于30297张）、数据元标准（不少于6280个）、数据质量规则（不少于50个）、数据链路（不少于183条）、关联关系（不少于17个）、服务接口（不少于2759个）、服务指标（不少于3708个）、服务标签（不少于308个）、消息待办(省局端不少于5392个），服务规则（不少于44个）。</w:t>
      </w:r>
    </w:p>
    <w:p w14:paraId="2155C7A2">
      <w:pPr>
        <w:spacing w:line="360" w:lineRule="auto"/>
        <w:ind w:firstLine="448" w:firstLineChars="200"/>
        <w:outlineLvl w:val="0"/>
        <w:rPr>
          <w:sz w:val="24"/>
        </w:rPr>
      </w:pPr>
      <w:r>
        <w:rPr>
          <w:rFonts w:hint="eastAsia"/>
          <w:sz w:val="24"/>
        </w:rPr>
        <w:t>Ⅲ.支撑其他系统，包括数电票、新电子税务局等其他业务系统数据和接口服务。</w:t>
      </w:r>
    </w:p>
    <w:p w14:paraId="6329B614">
      <w:pPr>
        <w:spacing w:line="360" w:lineRule="auto"/>
        <w:ind w:firstLine="448" w:firstLineChars="200"/>
        <w:outlineLvl w:val="0"/>
        <w:rPr>
          <w:sz w:val="24"/>
        </w:rPr>
      </w:pPr>
      <w:r>
        <w:rPr>
          <w:rFonts w:hint="eastAsia"/>
          <w:sz w:val="24"/>
        </w:rPr>
        <w:t>Ⅳ.收入规划核算：包括收入预测、税收月快报、会统核算、会计监督、综合报表系统等功能。</w:t>
      </w:r>
    </w:p>
    <w:p w14:paraId="423B28ED">
      <w:pPr>
        <w:spacing w:line="360" w:lineRule="auto"/>
        <w:ind w:firstLine="448" w:firstLineChars="200"/>
        <w:outlineLvl w:val="0"/>
        <w:rPr>
          <w:sz w:val="24"/>
        </w:rPr>
      </w:pPr>
      <w:r>
        <w:rPr>
          <w:rFonts w:hint="eastAsia"/>
          <w:sz w:val="24"/>
        </w:rPr>
        <w:t>④对接系统</w:t>
      </w:r>
    </w:p>
    <w:p w14:paraId="695438A5">
      <w:pPr>
        <w:spacing w:line="360" w:lineRule="auto"/>
        <w:ind w:firstLine="448" w:firstLineChars="200"/>
        <w:outlineLvl w:val="0"/>
        <w:rPr>
          <w:sz w:val="24"/>
        </w:rPr>
      </w:pPr>
      <w:r>
        <w:rPr>
          <w:rFonts w:hint="eastAsia"/>
          <w:sz w:val="24"/>
        </w:rPr>
        <w:t>应用支撑平台周边对接系统主要包括电子发票服务平台、税务人端慧办平台、全国统一规范电子税务局、统一身份管理平台、征纳互动服务、多云运维管理平台、核心征管系统、管理决策支持核算与分析系统、管理决策支持风险与信用系统、税务系统内部控制监督平台、税库银税收收入电子缴库横向联网系统、外部信息交换系统、社保费征管信息系统管理子系统、社保费征管信息系统征收子系统、增值税发票税控系统、增值税发票电子底账系统、实名办税监控系统等。</w:t>
      </w:r>
    </w:p>
    <w:p w14:paraId="7C1BE37C">
      <w:pPr>
        <w:spacing w:line="360" w:lineRule="auto"/>
        <w:ind w:firstLine="448" w:firstLineChars="200"/>
        <w:outlineLvl w:val="0"/>
        <w:rPr>
          <w:sz w:val="24"/>
        </w:rPr>
      </w:pPr>
      <w:r>
        <w:rPr>
          <w:rFonts w:hint="eastAsia"/>
          <w:sz w:val="24"/>
        </w:rPr>
        <w:t>2.</w:t>
      </w:r>
      <w:r>
        <w:rPr>
          <w:rFonts w:hint="eastAsia"/>
        </w:rPr>
        <w:t xml:space="preserve"> </w:t>
      </w:r>
      <w:r>
        <w:rPr>
          <w:rFonts w:hint="eastAsia"/>
          <w:sz w:val="24"/>
        </w:rPr>
        <w:t>多云运维管理平台</w:t>
      </w:r>
    </w:p>
    <w:p w14:paraId="5FB384FB">
      <w:pPr>
        <w:spacing w:line="360" w:lineRule="auto"/>
        <w:ind w:firstLine="448" w:firstLineChars="200"/>
        <w:outlineLvl w:val="0"/>
        <w:rPr>
          <w:sz w:val="24"/>
        </w:rPr>
      </w:pPr>
      <w:r>
        <w:rPr>
          <w:rFonts w:hint="eastAsia"/>
          <w:sz w:val="24"/>
        </w:rPr>
        <w:t>多云运维管理平台包括生产环境服务器22台，含数据库服务器5台、其他软件服务器17台等。该系统包含103个功能模块，主要为服务流程工单功能、综合监控功能、知识库功能、补丁下载功能、监控大屏功能、故障案例功能、统计分析功能、工单统计功能等。</w:t>
      </w:r>
    </w:p>
    <w:p w14:paraId="719664CA">
      <w:pPr>
        <w:spacing w:line="360" w:lineRule="auto"/>
        <w:ind w:firstLine="448" w:firstLineChars="200"/>
        <w:outlineLvl w:val="0"/>
        <w:rPr>
          <w:sz w:val="24"/>
        </w:rPr>
      </w:pPr>
      <w:r>
        <w:rPr>
          <w:rFonts w:hint="eastAsia"/>
          <w:sz w:val="24"/>
        </w:rPr>
        <w:t>多云运维管理平台周边对接系统主要包括数据（公共）支撑服务平台、电子发票服务平台、全国统一规范电子税务局、统一身份管理平台、征纳互动服务、税务区块链基础平台、金税四期税务人端平台、DSG数据同步平台、公共产品系统、腾讯蓝鲸等。</w:t>
      </w:r>
    </w:p>
    <w:p w14:paraId="70D0CA19">
      <w:pPr>
        <w:spacing w:line="360" w:lineRule="auto"/>
        <w:ind w:firstLine="448" w:firstLineChars="200"/>
        <w:outlineLvl w:val="0"/>
        <w:rPr>
          <w:sz w:val="24"/>
        </w:rPr>
      </w:pPr>
      <w:r>
        <w:rPr>
          <w:rFonts w:hint="eastAsia"/>
          <w:sz w:val="24"/>
        </w:rPr>
        <w:t>3.税务区块链基础平台</w:t>
      </w:r>
    </w:p>
    <w:p w14:paraId="7A16A1F9">
      <w:pPr>
        <w:spacing w:line="360" w:lineRule="auto"/>
        <w:ind w:firstLine="448" w:firstLineChars="200"/>
        <w:outlineLvl w:val="0"/>
        <w:rPr>
          <w:sz w:val="24"/>
        </w:rPr>
      </w:pPr>
      <w:r>
        <w:rPr>
          <w:rFonts w:hint="eastAsia"/>
          <w:sz w:val="24"/>
        </w:rPr>
        <w:t>税务区块链基础平台包括生产环境和预生产环境，共使用29台服务器，包括生产服务器19台、预生产服务器9台，含应用服务器15台、数据库服务器6台、其他软件服务器8台等。该系统主要包含71个功能模块，主要包括运行监控功能、运行管理功能、平台管理功能等。</w:t>
      </w:r>
    </w:p>
    <w:p w14:paraId="3F44B8AB">
      <w:pPr>
        <w:spacing w:line="360" w:lineRule="auto"/>
        <w:ind w:firstLine="448" w:firstLineChars="200"/>
        <w:outlineLvl w:val="0"/>
        <w:rPr>
          <w:sz w:val="24"/>
        </w:rPr>
      </w:pPr>
      <w:r>
        <w:rPr>
          <w:rFonts w:hint="eastAsia"/>
          <w:sz w:val="24"/>
        </w:rPr>
        <w:t>税务区块链基础平台周边对接系统主要包括外部信息交换系统等。</w:t>
      </w:r>
    </w:p>
    <w:p w14:paraId="3F2FCBDC">
      <w:pPr>
        <w:spacing w:line="360" w:lineRule="auto"/>
        <w:ind w:firstLine="448" w:firstLineChars="200"/>
        <w:outlineLvl w:val="0"/>
        <w:rPr>
          <w:sz w:val="24"/>
        </w:rPr>
      </w:pPr>
      <w:r>
        <w:rPr>
          <w:rFonts w:hint="eastAsia"/>
          <w:sz w:val="24"/>
        </w:rPr>
        <w:t>五、系统情况</w:t>
      </w:r>
    </w:p>
    <w:p w14:paraId="64F3922C">
      <w:pPr>
        <w:spacing w:line="360" w:lineRule="auto"/>
        <w:ind w:firstLine="448" w:firstLineChars="200"/>
        <w:outlineLvl w:val="0"/>
        <w:rPr>
          <w:sz w:val="24"/>
        </w:rPr>
      </w:pPr>
      <w:r>
        <w:rPr>
          <w:rFonts w:hint="eastAsia"/>
          <w:sz w:val="24"/>
        </w:rPr>
        <w:t>（一）现有软件系统的主要功能</w:t>
      </w:r>
    </w:p>
    <w:p w14:paraId="662CD774">
      <w:pPr>
        <w:spacing w:line="360" w:lineRule="auto"/>
        <w:ind w:firstLine="448" w:firstLineChars="200"/>
        <w:outlineLvl w:val="0"/>
        <w:rPr>
          <w:sz w:val="24"/>
        </w:rPr>
      </w:pPr>
      <w:r>
        <w:rPr>
          <w:rFonts w:hint="eastAsia"/>
          <w:sz w:val="24"/>
        </w:rPr>
        <w:t>本项目涉及采购金税四期应用支撑平台、多云运维管理平台、税务区块链基础平台等系统运行维护服务。</w:t>
      </w:r>
    </w:p>
    <w:p w14:paraId="3D089146">
      <w:pPr>
        <w:spacing w:line="360" w:lineRule="auto"/>
        <w:ind w:firstLine="448" w:firstLineChars="200"/>
        <w:outlineLvl w:val="0"/>
        <w:rPr>
          <w:sz w:val="24"/>
        </w:rPr>
      </w:pPr>
      <w:r>
        <w:rPr>
          <w:rFonts w:hint="eastAsia"/>
          <w:sz w:val="24"/>
        </w:rPr>
        <w:t>1.应用支撑平台是采购人税收业务类核心系统之一，该系统以薄应用、厚中台为总体架构思路，以应用低代码为目标来体现“薄”，以组件化的微服务、模型、规则、数据、接口下沉到中台为手段来体现“厚”，应用支撑平台主要分为三大部分，分别为规则引擎和资料文书中心、标签引擎和工作流工具、数据汇聚和数据治理等，功能主要分为“水上”应用以及“水下”支撑，承担了金税四期整体数据支撑业务，还包括对电子发票服务平台、全国统一规范电子税务局、税务人端慧办平台、核心征管系统、征纳互动服务等外部系统的支撑服务。</w:t>
      </w:r>
    </w:p>
    <w:p w14:paraId="7A3C2586">
      <w:pPr>
        <w:spacing w:line="360" w:lineRule="auto"/>
        <w:ind w:firstLine="448" w:firstLineChars="200"/>
        <w:outlineLvl w:val="0"/>
        <w:rPr>
          <w:sz w:val="24"/>
        </w:rPr>
      </w:pPr>
      <w:r>
        <w:rPr>
          <w:rFonts w:hint="eastAsia"/>
          <w:sz w:val="24"/>
        </w:rPr>
        <w:t>2.多云运维管理平台是采购人税收行政类核心系统之一，承担了采购人金税三期、金税四期运维一体化业务。多云运维管理平台采用总省两级部署，省局多云运维管理平台包括1个门户、7个中心（分别为运维门户、监控中心、告警中心、流程中心、配置中心、作业中心、日志中心、知识中心），包括运维服务流程、综合监控和统一运维门户等功能，实现运维要素（制度、人员、工具）的统一管理和运维信息（人员、监控、工单、配置、版本、补丁、知识）的集中管理，实现运维工作开展统一入口、运维问题处理统一流程、多云异构资源统一管理、系统运行情况统一监控的运维一体化管理，支撑省局规范、有序、高效开展各金四系统运维工作，并与税务总局实时交互监控信息。</w:t>
      </w:r>
    </w:p>
    <w:p w14:paraId="474F7938">
      <w:pPr>
        <w:spacing w:line="360" w:lineRule="auto"/>
        <w:ind w:firstLine="448" w:firstLineChars="200"/>
        <w:outlineLvl w:val="0"/>
        <w:rPr>
          <w:sz w:val="24"/>
        </w:rPr>
      </w:pPr>
      <w:r>
        <w:rPr>
          <w:rFonts w:hint="eastAsia"/>
          <w:sz w:val="24"/>
        </w:rPr>
        <w:t>3.税务区块链基础平台是采购人税收业务类核心系统之一，是推动税费业务与区块链技术的融合创新应用，可持续巩固税务区块链应用试点工作成果，构建自主可控、创新发展的税务区块链应用生态。</w:t>
      </w:r>
    </w:p>
    <w:p w14:paraId="22C8A643">
      <w:pPr>
        <w:spacing w:line="360" w:lineRule="auto"/>
        <w:ind w:firstLine="448" w:firstLineChars="200"/>
        <w:outlineLvl w:val="0"/>
        <w:rPr>
          <w:sz w:val="24"/>
        </w:rPr>
      </w:pPr>
      <w:r>
        <w:rPr>
          <w:rFonts w:hint="eastAsia"/>
          <w:sz w:val="24"/>
        </w:rPr>
        <w:t>（二）业务和技术体系架构及部署</w:t>
      </w:r>
    </w:p>
    <w:p w14:paraId="0E20BFF2">
      <w:pPr>
        <w:spacing w:line="360" w:lineRule="auto"/>
        <w:ind w:firstLine="448" w:firstLineChars="200"/>
        <w:outlineLvl w:val="0"/>
        <w:rPr>
          <w:sz w:val="24"/>
        </w:rPr>
      </w:pPr>
      <w:r>
        <w:rPr>
          <w:rFonts w:hint="eastAsia"/>
          <w:sz w:val="24"/>
        </w:rPr>
        <w:t>本项目涉及采购金税四期应用支撑平台、多云运维管理平台、税务区块链基础平台等系统运行维护服务。</w:t>
      </w:r>
    </w:p>
    <w:p w14:paraId="4C73D526">
      <w:pPr>
        <w:spacing w:line="360" w:lineRule="auto"/>
        <w:ind w:firstLine="448" w:firstLineChars="200"/>
        <w:outlineLvl w:val="0"/>
        <w:rPr>
          <w:sz w:val="24"/>
        </w:rPr>
      </w:pPr>
      <w:r>
        <w:rPr>
          <w:rFonts w:hint="eastAsia"/>
          <w:sz w:val="24"/>
        </w:rPr>
        <w:t>1.应用支撑平台是采购人税收业务类核心系统之一，该系统以薄应用、厚中台为总体架构思路，以应用低代码为目标来体现“薄”，以组件化的微服务、模型、规则、数据、接口下沉到中台为手段来体现“厚”，应用支撑平台主要分为三大部分，分别为规则引擎和资料文书中心、标签引擎和工作流工具、数据汇聚和数据治理等，功能主要分为“水上”应用以及“水下”支撑，承担了金税四期整体数据支撑业务，还包括对电子发票服务平台、全国统一规范电子税务局、税务人端慧办平台、核心征管系统、征纳互动服务等外部系统的支撑服务。</w:t>
      </w:r>
    </w:p>
    <w:p w14:paraId="107BFD16">
      <w:pPr>
        <w:spacing w:line="360" w:lineRule="auto"/>
        <w:ind w:firstLine="448" w:firstLineChars="200"/>
        <w:outlineLvl w:val="0"/>
        <w:rPr>
          <w:sz w:val="24"/>
        </w:rPr>
      </w:pPr>
      <w:r>
        <w:rPr>
          <w:rFonts w:hint="eastAsia"/>
          <w:sz w:val="24"/>
        </w:rPr>
        <w:t>2.多云运维管理平台是采购人税收行政类核心系统之一，承担了采购人金税三期、金税四期运维一体化业务。多云运维管理平台采用总省两级部署，省局多云运维管理平台包括1个门户、7个中心（分别为运维门户、监控中心、告警中心、流程中心、配置中心、作业中心、日志中心、知识中心），包括运维服务流程、综合监控和统一运维门户等功能，实现运维要素（制度、人员、工具）的统一管理和运维信息（人员、监控、工单、配置、版本、补丁、知识）的集中管理，实现运维工作开展统一入口、运维问题处理统一流程、多云异构资源统一管理、系统运行情况统一监控的运维一体化管理，支撑省局规范、有序、高效开展各金四系统运维工作，并与税务总局实时交互监控信息。</w:t>
      </w:r>
    </w:p>
    <w:p w14:paraId="5CEF0CFC">
      <w:pPr>
        <w:spacing w:line="360" w:lineRule="auto"/>
        <w:ind w:firstLine="448" w:firstLineChars="200"/>
        <w:outlineLvl w:val="0"/>
        <w:rPr>
          <w:sz w:val="24"/>
        </w:rPr>
      </w:pPr>
      <w:r>
        <w:rPr>
          <w:rFonts w:hint="eastAsia"/>
          <w:sz w:val="24"/>
        </w:rPr>
        <w:t>3.税务区块链基础平台是采购人税收业务类核心系统之一，是推动税费业务与区块链技术的融合创新应用，可持续巩固税务区块链应用试点工作成果，构建自主可控、创新发展的税务区块链应用生态。</w:t>
      </w:r>
    </w:p>
    <w:p w14:paraId="626C7C60">
      <w:pPr>
        <w:spacing w:line="360" w:lineRule="auto"/>
        <w:ind w:firstLine="448" w:firstLineChars="200"/>
        <w:outlineLvl w:val="0"/>
        <w:rPr>
          <w:sz w:val="24"/>
        </w:rPr>
      </w:pPr>
      <w:r>
        <w:rPr>
          <w:rFonts w:hint="eastAsia"/>
          <w:sz w:val="24"/>
        </w:rPr>
        <w:t>六、总体要求</w:t>
      </w:r>
    </w:p>
    <w:p w14:paraId="6B006049">
      <w:pPr>
        <w:spacing w:line="360" w:lineRule="auto"/>
        <w:ind w:firstLine="448" w:firstLineChars="200"/>
        <w:outlineLvl w:val="0"/>
        <w:rPr>
          <w:sz w:val="24"/>
        </w:rPr>
      </w:pPr>
      <w:r>
        <w:rPr>
          <w:rFonts w:hint="eastAsia"/>
          <w:sz w:val="24"/>
        </w:rPr>
        <w:t>供应商按采购人需求组建本项目涉及系统运维团队提供运维支持服务，在采购人运维统筹机制下开展工作，提供与支持服务人员配套的内部支持体系，以确保现场支持工作有效进行，保证服务质量。运维人员依托运维平台、热线电话等渠道，及时解决纳税人和税务人员在操作本系统中遇到的各种操作类、数据类问题，为协调解决各种政策调整和业务流程之间的矛盾提供支持，全面保障本系统内部各项事务性工作的高效稳定运行。</w:t>
      </w:r>
    </w:p>
    <w:p w14:paraId="32349C3A">
      <w:pPr>
        <w:spacing w:line="360" w:lineRule="auto"/>
        <w:ind w:firstLine="448" w:firstLineChars="200"/>
        <w:outlineLvl w:val="0"/>
        <w:rPr>
          <w:sz w:val="24"/>
        </w:rPr>
      </w:pPr>
      <w:r>
        <w:rPr>
          <w:rFonts w:hint="eastAsia"/>
          <w:sz w:val="24"/>
        </w:rPr>
        <w:t>按照总局和市局的要求，供应商对本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1E97DA55">
      <w:pPr>
        <w:spacing w:line="360" w:lineRule="auto"/>
        <w:ind w:firstLine="448" w:firstLineChars="200"/>
        <w:outlineLvl w:val="0"/>
        <w:rPr>
          <w:sz w:val="24"/>
        </w:rPr>
      </w:pPr>
      <w:r>
        <w:rPr>
          <w:rFonts w:hint="eastAsia"/>
          <w:sz w:val="24"/>
        </w:rPr>
        <w:t>七、具体要求</w:t>
      </w:r>
    </w:p>
    <w:p w14:paraId="583F17BD">
      <w:pPr>
        <w:spacing w:line="360" w:lineRule="auto"/>
        <w:ind w:firstLine="448" w:firstLineChars="200"/>
        <w:outlineLvl w:val="0"/>
        <w:rPr>
          <w:sz w:val="24"/>
        </w:rPr>
      </w:pPr>
      <w:r>
        <w:rPr>
          <w:rFonts w:hint="eastAsia"/>
          <w:sz w:val="24"/>
        </w:rPr>
        <w:t>（一）业务运维部分</w:t>
      </w:r>
    </w:p>
    <w:p w14:paraId="52254076">
      <w:pPr>
        <w:spacing w:line="360" w:lineRule="auto"/>
        <w:ind w:firstLine="448" w:firstLineChars="200"/>
        <w:outlineLvl w:val="0"/>
        <w:rPr>
          <w:sz w:val="24"/>
        </w:rPr>
      </w:pPr>
      <w:r>
        <w:rPr>
          <w:rFonts w:hint="eastAsia"/>
          <w:sz w:val="24"/>
        </w:rPr>
        <w:t>1. 日常运维</w:t>
      </w:r>
    </w:p>
    <w:p w14:paraId="37B69EA3">
      <w:pPr>
        <w:spacing w:line="360" w:lineRule="auto"/>
        <w:ind w:firstLine="448" w:firstLineChars="200"/>
        <w:outlineLvl w:val="0"/>
        <w:rPr>
          <w:sz w:val="24"/>
        </w:rPr>
      </w:pPr>
      <w:r>
        <w:rPr>
          <w:rFonts w:hint="eastAsia"/>
          <w:sz w:val="24"/>
        </w:rPr>
        <w:t>⑴运维方式</w:t>
      </w:r>
    </w:p>
    <w:p w14:paraId="6FE0487E">
      <w:pPr>
        <w:spacing w:line="360" w:lineRule="auto"/>
        <w:ind w:firstLine="448" w:firstLineChars="200"/>
        <w:outlineLvl w:val="0"/>
        <w:rPr>
          <w:sz w:val="24"/>
        </w:rPr>
      </w:pPr>
      <w:r>
        <w:rPr>
          <w:rFonts w:hint="eastAsia"/>
          <w:sz w:val="24"/>
        </w:rPr>
        <w:t>对本项目系统提供日常运维服务，日常运维的服务方式，包括但不限于热线电话、即时通讯软件、运维平台、线上线下会议等。</w:t>
      </w:r>
    </w:p>
    <w:p w14:paraId="2174D331">
      <w:pPr>
        <w:spacing w:line="360" w:lineRule="auto"/>
        <w:ind w:firstLine="448" w:firstLineChars="200"/>
        <w:outlineLvl w:val="0"/>
        <w:rPr>
          <w:sz w:val="24"/>
        </w:rPr>
      </w:pPr>
      <w:r>
        <w:rPr>
          <w:rFonts w:hint="eastAsia"/>
          <w:sz w:val="24"/>
        </w:rPr>
        <w:t>①在线支持：主要通过电话、即时通讯软件对采购人各部门用户提报的服务请求进行快速响应和答复。</w:t>
      </w:r>
    </w:p>
    <w:p w14:paraId="072795B2">
      <w:pPr>
        <w:spacing w:line="360" w:lineRule="auto"/>
        <w:ind w:firstLine="448" w:firstLineChars="200"/>
        <w:outlineLvl w:val="0"/>
        <w:rPr>
          <w:sz w:val="24"/>
        </w:rPr>
      </w:pPr>
      <w:r>
        <w:rPr>
          <w:rFonts w:hint="eastAsia"/>
          <w:sz w:val="24"/>
        </w:rPr>
        <w:t>②运维平台：通过采购人指定的运维管理平台回答和处理本项目系统相关问题，或通过税务系统内部网络，远程监控、诊断和解决用户提出的问题和故障。</w:t>
      </w:r>
    </w:p>
    <w:p w14:paraId="64170BD4">
      <w:pPr>
        <w:spacing w:line="360" w:lineRule="auto"/>
        <w:ind w:firstLine="448" w:firstLineChars="200"/>
        <w:outlineLvl w:val="0"/>
        <w:rPr>
          <w:sz w:val="24"/>
        </w:rPr>
      </w:pPr>
      <w:r>
        <w:rPr>
          <w:rFonts w:hint="eastAsia"/>
          <w:sz w:val="24"/>
        </w:rPr>
        <w:t>③其他日常运维：根据采购人要求或供应商申请，并经采购人审核同意的其他服务方式。</w:t>
      </w:r>
    </w:p>
    <w:p w14:paraId="2F9392C5">
      <w:pPr>
        <w:spacing w:line="360" w:lineRule="auto"/>
        <w:ind w:firstLine="448" w:firstLineChars="200"/>
        <w:outlineLvl w:val="0"/>
        <w:rPr>
          <w:sz w:val="24"/>
        </w:rPr>
      </w:pPr>
      <w:r>
        <w:rPr>
          <w:rFonts w:hint="eastAsia"/>
          <w:sz w:val="24"/>
        </w:rPr>
        <w:t>⑵工作内容</w:t>
      </w:r>
    </w:p>
    <w:p w14:paraId="505EDD44">
      <w:pPr>
        <w:spacing w:line="360" w:lineRule="auto"/>
        <w:ind w:firstLine="448" w:firstLineChars="200"/>
        <w:outlineLvl w:val="0"/>
        <w:rPr>
          <w:sz w:val="24"/>
        </w:rPr>
      </w:pPr>
      <w:r>
        <w:rPr>
          <w:rFonts w:hint="eastAsia"/>
          <w:sz w:val="24"/>
        </w:rPr>
        <w:t>运维人员根据各渠道接收的本项目系统用户问题，开展及时有效处理，负责全程跟踪问题的处理过程以确保在最短的时间内找到问题的解决方案。针对应用系统的配置参数维护、业务处理方法、业务处理原理、业务处理流程等在软件功能上反映的问题，提供及时全面的解答。辅助相关业务人员完成系统的运行操作。</w:t>
      </w:r>
    </w:p>
    <w:p w14:paraId="635952BA">
      <w:pPr>
        <w:spacing w:line="360" w:lineRule="auto"/>
        <w:ind w:firstLine="448" w:firstLineChars="200"/>
        <w:outlineLvl w:val="0"/>
        <w:rPr>
          <w:sz w:val="24"/>
        </w:rPr>
      </w:pPr>
      <w:r>
        <w:rPr>
          <w:rFonts w:hint="eastAsia"/>
          <w:sz w:val="24"/>
        </w:rPr>
        <w:t>安排专人每天跟踪各业务域问题的处理情况，对于操作类和数据类问题原则上要求当天处理解决。对于没有当天解决的问题，了解具体原因和情况，及时协调二线获取支持，必要时安排运维人员加班处理，使问题能够得到及时处理，避免问题的积压堆积。</w:t>
      </w:r>
    </w:p>
    <w:p w14:paraId="768937E1">
      <w:pPr>
        <w:spacing w:line="360" w:lineRule="auto"/>
        <w:ind w:firstLine="448" w:firstLineChars="200"/>
        <w:outlineLvl w:val="0"/>
        <w:rPr>
          <w:sz w:val="24"/>
        </w:rPr>
      </w:pPr>
      <w:r>
        <w:rPr>
          <w:rFonts w:hint="eastAsia"/>
          <w:sz w:val="24"/>
        </w:rPr>
        <w:t>⑶知识库管理</w:t>
      </w:r>
    </w:p>
    <w:p w14:paraId="1744C612">
      <w:pPr>
        <w:spacing w:line="360" w:lineRule="auto"/>
        <w:ind w:firstLine="448" w:firstLineChars="200"/>
        <w:outlineLvl w:val="0"/>
        <w:rPr>
          <w:sz w:val="24"/>
        </w:rPr>
      </w:pPr>
      <w:r>
        <w:rPr>
          <w:rFonts w:hint="eastAsia"/>
          <w:sz w:val="24"/>
        </w:rPr>
        <w:t>对于采购人反馈本项目系统问题，属于操作中出现的常见问题，统一由运维人员收集汇总，整理后形成常见问题解决手册。每周对问题情况进行统计，由项目经理向采购人反馈问题处理情况，提出改进方案。</w:t>
      </w:r>
    </w:p>
    <w:p w14:paraId="0CD84DE1">
      <w:pPr>
        <w:spacing w:line="360" w:lineRule="auto"/>
        <w:ind w:firstLine="448" w:firstLineChars="200"/>
        <w:outlineLvl w:val="0"/>
        <w:rPr>
          <w:sz w:val="24"/>
        </w:rPr>
      </w:pPr>
      <w:r>
        <w:rPr>
          <w:rFonts w:hint="eastAsia"/>
          <w:sz w:val="24"/>
        </w:rPr>
        <w:t>根据本项目系统问题处理层级建立运维知识库，将业务知识、操作知识、常见问题、重大紧急事件、故障解决方案等工作资料进行整理、归纳，形成相关知识存入运行维护知识库，制作文字文档和音视频教程和培训资料，以供采购人各层级人员使用。将采购人知识库文档按需提交总局，接收总局下发知识库文档并组织采购人各层级人员学习。</w:t>
      </w:r>
    </w:p>
    <w:p w14:paraId="2135FE5C">
      <w:pPr>
        <w:spacing w:line="360" w:lineRule="auto"/>
        <w:ind w:firstLine="448" w:firstLineChars="200"/>
        <w:outlineLvl w:val="0"/>
        <w:rPr>
          <w:sz w:val="24"/>
        </w:rPr>
      </w:pPr>
      <w:r>
        <w:rPr>
          <w:rFonts w:hint="eastAsia"/>
          <w:sz w:val="24"/>
        </w:rPr>
        <w:t>⑷质量监督</w:t>
      </w:r>
    </w:p>
    <w:p w14:paraId="28BC1564">
      <w:pPr>
        <w:spacing w:line="360" w:lineRule="auto"/>
        <w:ind w:firstLine="448" w:firstLineChars="200"/>
        <w:outlineLvl w:val="0"/>
        <w:rPr>
          <w:sz w:val="24"/>
        </w:rPr>
      </w:pPr>
      <w:r>
        <w:rPr>
          <w:rFonts w:hint="eastAsia"/>
          <w:sz w:val="24"/>
        </w:rPr>
        <w:t>安排专人检查本项目系统各业务域问题的处理质量，接收采购人反馈的问题处理质量情况。对处理质量较差的问题进行分析，找出根本原因，提出解决办法。如果是运维人员的原因造成问题处理不完善，运维项目经理应对运维人员进行指导或轮岗，逐步提升问题处理质量。</w:t>
      </w:r>
    </w:p>
    <w:p w14:paraId="169B111E">
      <w:pPr>
        <w:spacing w:line="360" w:lineRule="auto"/>
        <w:ind w:firstLine="448" w:firstLineChars="200"/>
        <w:outlineLvl w:val="0"/>
        <w:rPr>
          <w:sz w:val="24"/>
        </w:rPr>
      </w:pPr>
      <w:r>
        <w:rPr>
          <w:rFonts w:hint="eastAsia"/>
          <w:sz w:val="24"/>
        </w:rPr>
        <w:t>2.派出运维</w:t>
      </w:r>
    </w:p>
    <w:p w14:paraId="1BAE0321">
      <w:pPr>
        <w:spacing w:line="360" w:lineRule="auto"/>
        <w:ind w:firstLine="448" w:firstLineChars="200"/>
        <w:outlineLvl w:val="0"/>
        <w:rPr>
          <w:sz w:val="24"/>
        </w:rPr>
      </w:pPr>
      <w:r>
        <w:rPr>
          <w:rFonts w:hint="eastAsia"/>
          <w:sz w:val="24"/>
        </w:rPr>
        <w:t>对本项目系统提供派出运维服务，派出运维的服务方式，包括但不限于紧急现场支持、定期巡回运维等。</w:t>
      </w:r>
    </w:p>
    <w:p w14:paraId="39F1437A">
      <w:pPr>
        <w:spacing w:line="360" w:lineRule="auto"/>
        <w:ind w:firstLine="448" w:firstLineChars="200"/>
        <w:outlineLvl w:val="0"/>
        <w:rPr>
          <w:sz w:val="24"/>
        </w:rPr>
      </w:pPr>
      <w:r>
        <w:rPr>
          <w:rFonts w:hint="eastAsia"/>
          <w:sz w:val="24"/>
        </w:rPr>
        <w:t>①紧急现场支持：根据采购人的要求到达基层用户现场，解决事出紧急或无法通过常规方法（在线支持和运维平台）解决的服务请求。</w:t>
      </w:r>
    </w:p>
    <w:p w14:paraId="5466F436">
      <w:pPr>
        <w:spacing w:line="360" w:lineRule="auto"/>
        <w:ind w:firstLine="448" w:firstLineChars="200"/>
        <w:outlineLvl w:val="0"/>
        <w:rPr>
          <w:sz w:val="24"/>
        </w:rPr>
      </w:pPr>
      <w:r>
        <w:rPr>
          <w:rFonts w:hint="eastAsia"/>
          <w:sz w:val="24"/>
        </w:rPr>
        <w:t>②定期巡回运维：深入基层了解系统实际运转情况，倾听基层心声，从实际工作出友，收集系统优化建议。整理优化建议，向二线开发部门反馈，共同对系统进行完善，不断提升系统管理、业务逻辑的严谨性，使系统操作更为人性化。</w:t>
      </w:r>
    </w:p>
    <w:p w14:paraId="3B6E1B7C">
      <w:pPr>
        <w:spacing w:line="360" w:lineRule="auto"/>
        <w:ind w:firstLine="448" w:firstLineChars="200"/>
        <w:outlineLvl w:val="0"/>
        <w:rPr>
          <w:sz w:val="24"/>
        </w:rPr>
      </w:pPr>
      <w:r>
        <w:rPr>
          <w:rFonts w:hint="eastAsia"/>
          <w:sz w:val="24"/>
        </w:rPr>
        <w:t>③其他派出运维：根据采购人要求或供应商申请，并经采购人审核同意的其他服务方式。</w:t>
      </w:r>
    </w:p>
    <w:p w14:paraId="2A1D264C">
      <w:pPr>
        <w:spacing w:line="360" w:lineRule="auto"/>
        <w:ind w:firstLine="448" w:firstLineChars="200"/>
        <w:outlineLvl w:val="0"/>
        <w:rPr>
          <w:sz w:val="24"/>
        </w:rPr>
      </w:pPr>
      <w:r>
        <w:rPr>
          <w:rFonts w:hint="eastAsia"/>
          <w:sz w:val="24"/>
        </w:rPr>
        <w:t>3.数据运维</w:t>
      </w:r>
    </w:p>
    <w:p w14:paraId="56FECB3F">
      <w:pPr>
        <w:spacing w:line="360" w:lineRule="auto"/>
        <w:ind w:firstLine="448" w:firstLineChars="200"/>
        <w:outlineLvl w:val="0"/>
        <w:rPr>
          <w:sz w:val="24"/>
        </w:rPr>
      </w:pPr>
      <w:r>
        <w:rPr>
          <w:rFonts w:hint="eastAsia"/>
          <w:sz w:val="24"/>
        </w:rPr>
        <w:t>在采购人的授权下，运维人员按照运维管理规范进行本项目系统数据运维。</w:t>
      </w:r>
    </w:p>
    <w:p w14:paraId="62D63AD9">
      <w:pPr>
        <w:spacing w:line="360" w:lineRule="auto"/>
        <w:ind w:firstLine="448" w:firstLineChars="200"/>
        <w:outlineLvl w:val="0"/>
        <w:rPr>
          <w:sz w:val="24"/>
        </w:rPr>
      </w:pPr>
      <w:r>
        <w:rPr>
          <w:rFonts w:hint="eastAsia"/>
          <w:sz w:val="24"/>
        </w:rPr>
        <w:t>⑴工作范围</w:t>
      </w:r>
    </w:p>
    <w:p w14:paraId="4B0156DD">
      <w:pPr>
        <w:spacing w:line="360" w:lineRule="auto"/>
        <w:ind w:firstLine="448" w:firstLineChars="200"/>
        <w:outlineLvl w:val="0"/>
        <w:rPr>
          <w:sz w:val="24"/>
        </w:rPr>
      </w:pPr>
      <w:r>
        <w:rPr>
          <w:rFonts w:hint="eastAsia"/>
          <w:sz w:val="24"/>
        </w:rPr>
        <w:t>①数据修改，包括数据迁移引起的错误数据修复。应用系统错误引起的数据修复。缺少补偿业务，无法采用应用系统处理的操作错误数据修复。其他系统操作引起的错误数据修改。</w:t>
      </w:r>
    </w:p>
    <w:p w14:paraId="24E86EB2">
      <w:pPr>
        <w:spacing w:line="360" w:lineRule="auto"/>
        <w:ind w:firstLine="448" w:firstLineChars="200"/>
        <w:outlineLvl w:val="0"/>
        <w:rPr>
          <w:sz w:val="24"/>
        </w:rPr>
      </w:pPr>
      <w:r>
        <w:rPr>
          <w:rFonts w:hint="eastAsia"/>
          <w:sz w:val="24"/>
        </w:rPr>
        <w:t>②开展日常数据集成加工任务的监控、跟踪，每天产出数据集成日报。数据集成加工问题的分析、处理。对系统应用或用户反映出的数据问题进行分析、定位，驱动数据问题解决，保障数据质量及应用数据准确。</w:t>
      </w:r>
    </w:p>
    <w:p w14:paraId="2D733745">
      <w:pPr>
        <w:spacing w:line="360" w:lineRule="auto"/>
        <w:ind w:firstLine="448" w:firstLineChars="200"/>
        <w:outlineLvl w:val="0"/>
        <w:rPr>
          <w:sz w:val="24"/>
        </w:rPr>
      </w:pPr>
      <w:r>
        <w:rPr>
          <w:rFonts w:hint="eastAsia"/>
          <w:sz w:val="24"/>
        </w:rPr>
        <w:t>③供应商和运维人员应通过后台脚本及辅助工具进行数据质量监控，从被动到主动发现数据问题，并对问题数据分析及处理。</w:t>
      </w:r>
    </w:p>
    <w:p w14:paraId="5710FD81">
      <w:pPr>
        <w:spacing w:line="360" w:lineRule="auto"/>
        <w:ind w:firstLine="448" w:firstLineChars="200"/>
        <w:outlineLvl w:val="0"/>
        <w:rPr>
          <w:sz w:val="24"/>
        </w:rPr>
      </w:pPr>
      <w:r>
        <w:rPr>
          <w:rFonts w:hint="eastAsia"/>
          <w:sz w:val="24"/>
        </w:rPr>
        <w:t>⑵数据分类</w:t>
      </w:r>
    </w:p>
    <w:p w14:paraId="249CB207">
      <w:pPr>
        <w:spacing w:line="360" w:lineRule="auto"/>
        <w:ind w:firstLine="448" w:firstLineChars="200"/>
        <w:outlineLvl w:val="0"/>
        <w:rPr>
          <w:sz w:val="24"/>
        </w:rPr>
      </w:pPr>
      <w:r>
        <w:rPr>
          <w:rFonts w:hint="eastAsia"/>
          <w:sz w:val="24"/>
        </w:rPr>
        <w:t>本项目系统已经正式投入使用，正常情况下，数据均应该通过前台系统操作写入，但是以下数据只能通过编写脚本，在后台数据库修改数据：</w:t>
      </w:r>
    </w:p>
    <w:p w14:paraId="28D6072C">
      <w:pPr>
        <w:spacing w:line="360" w:lineRule="auto"/>
        <w:ind w:firstLine="448" w:firstLineChars="200"/>
        <w:outlineLvl w:val="0"/>
        <w:rPr>
          <w:sz w:val="24"/>
        </w:rPr>
      </w:pPr>
      <w:r>
        <w:rPr>
          <w:rFonts w:hint="eastAsia"/>
          <w:sz w:val="24"/>
        </w:rPr>
        <w:t>①数据迁移的错误数据：该类数据属于数据迁移遗留问题，系统前台不支持该类数据的修改，只能通过后台修改数据。采购人对该类数据负责，数据来源、数据产生原因、数据如何修改解释权均在采购人。</w:t>
      </w:r>
    </w:p>
    <w:p w14:paraId="4D8B424F">
      <w:pPr>
        <w:spacing w:line="360" w:lineRule="auto"/>
        <w:ind w:firstLine="448" w:firstLineChars="200"/>
        <w:outlineLvl w:val="0"/>
        <w:rPr>
          <w:sz w:val="24"/>
        </w:rPr>
      </w:pPr>
      <w:r>
        <w:rPr>
          <w:rFonts w:hint="eastAsia"/>
          <w:sz w:val="24"/>
        </w:rPr>
        <w:t>②系统BUG产生的错误数据。该类是由于系统BUG产生的，正常的补偿业务无法对该类数据进行修正，只能通过后台修改数据。供应商对该类数据负责，除需编写脚本修正数据外，还需要分析错误数据产生原因，若需要可上报总局问题管控部门或本项目系统开发部门，通过升级补丁解决系统BUG。</w:t>
      </w:r>
    </w:p>
    <w:p w14:paraId="5F0D920A">
      <w:pPr>
        <w:spacing w:line="360" w:lineRule="auto"/>
        <w:ind w:firstLine="448" w:firstLineChars="200"/>
        <w:outlineLvl w:val="0"/>
        <w:rPr>
          <w:sz w:val="24"/>
        </w:rPr>
      </w:pPr>
      <w:r>
        <w:rPr>
          <w:rFonts w:hint="eastAsia"/>
          <w:sz w:val="24"/>
        </w:rPr>
        <w:t>③异常操作或系统前台无补偿功能的异常数据。由于纳税人和税务人员误操作、异常操作引起的错误数据，系统前台无补偿功能无法对数据进行修改操作，只能通过后台编写脚本修改数据。采购人对该类数据负责，供应商按照采购人要求编写脚本修正数据。</w:t>
      </w:r>
    </w:p>
    <w:p w14:paraId="128C85D0">
      <w:pPr>
        <w:spacing w:line="360" w:lineRule="auto"/>
        <w:ind w:firstLine="448" w:firstLineChars="200"/>
        <w:outlineLvl w:val="0"/>
        <w:rPr>
          <w:sz w:val="24"/>
        </w:rPr>
      </w:pPr>
      <w:r>
        <w:rPr>
          <w:rFonts w:hint="eastAsia"/>
          <w:sz w:val="24"/>
        </w:rPr>
        <w:t>⑶运维流程</w:t>
      </w:r>
    </w:p>
    <w:p w14:paraId="7B828AED">
      <w:pPr>
        <w:spacing w:line="360" w:lineRule="auto"/>
        <w:ind w:firstLine="448" w:firstLineChars="200"/>
        <w:outlineLvl w:val="0"/>
        <w:rPr>
          <w:sz w:val="24"/>
        </w:rPr>
      </w:pPr>
      <w:r>
        <w:rPr>
          <w:rFonts w:hint="eastAsia"/>
          <w:sz w:val="24"/>
        </w:rPr>
        <w:t>①运维人员根据问题分析定位制定数据运维方案、数据运维脚本并提交采购人审核。</w:t>
      </w:r>
    </w:p>
    <w:p w14:paraId="02306DC2">
      <w:pPr>
        <w:spacing w:line="360" w:lineRule="auto"/>
        <w:ind w:firstLine="448" w:firstLineChars="200"/>
        <w:outlineLvl w:val="0"/>
        <w:rPr>
          <w:sz w:val="24"/>
        </w:rPr>
      </w:pPr>
      <w:r>
        <w:rPr>
          <w:rFonts w:hint="eastAsia"/>
          <w:sz w:val="24"/>
        </w:rPr>
        <w:t>②采购人对数据运维方案进行评估，对数据运维脚本进行审核，数据运维脚本执行授权。</w:t>
      </w:r>
    </w:p>
    <w:p w14:paraId="6D70BA83">
      <w:pPr>
        <w:spacing w:line="360" w:lineRule="auto"/>
        <w:ind w:firstLine="448" w:firstLineChars="200"/>
        <w:outlineLvl w:val="0"/>
        <w:rPr>
          <w:sz w:val="24"/>
        </w:rPr>
      </w:pPr>
      <w:r>
        <w:rPr>
          <w:rFonts w:hint="eastAsia"/>
          <w:sz w:val="24"/>
        </w:rPr>
        <w:t>③运维人员对原始数据进行备份，执行数据运维脚本，对运维后的数据进行验证，对运维脚本和相关资料进行归档。</w:t>
      </w:r>
    </w:p>
    <w:p w14:paraId="48D702EE">
      <w:pPr>
        <w:spacing w:line="360" w:lineRule="auto"/>
        <w:ind w:firstLine="448" w:firstLineChars="200"/>
        <w:outlineLvl w:val="0"/>
        <w:rPr>
          <w:sz w:val="24"/>
        </w:rPr>
      </w:pPr>
      <w:r>
        <w:rPr>
          <w:rFonts w:hint="eastAsia"/>
          <w:sz w:val="24"/>
        </w:rPr>
        <w:t>4.数据查询</w:t>
      </w:r>
    </w:p>
    <w:p w14:paraId="3A43255E">
      <w:pPr>
        <w:spacing w:line="360" w:lineRule="auto"/>
        <w:ind w:firstLine="448" w:firstLineChars="200"/>
        <w:outlineLvl w:val="0"/>
        <w:rPr>
          <w:sz w:val="24"/>
        </w:rPr>
      </w:pPr>
      <w:r>
        <w:rPr>
          <w:rFonts w:hint="eastAsia"/>
          <w:sz w:val="24"/>
        </w:rPr>
        <w:t>本项目系统现有功能无法完全满足的数据查询需求，需要运维人员通过编写数据库脚本，协助实施数据查询，以及后期数据的其他分析应用工作，以满足各单位各部门对本项目系统数据分析的需要。</w:t>
      </w:r>
    </w:p>
    <w:p w14:paraId="235AB0E3">
      <w:pPr>
        <w:spacing w:line="360" w:lineRule="auto"/>
        <w:ind w:firstLine="448" w:firstLineChars="200"/>
        <w:outlineLvl w:val="0"/>
        <w:rPr>
          <w:sz w:val="24"/>
        </w:rPr>
      </w:pPr>
      <w:r>
        <w:rPr>
          <w:rFonts w:hint="eastAsia"/>
          <w:sz w:val="24"/>
        </w:rPr>
        <w:t>数据查询统计的需求主要来源于以下几个方面：</w:t>
      </w:r>
    </w:p>
    <w:p w14:paraId="5F34F905">
      <w:pPr>
        <w:spacing w:line="360" w:lineRule="auto"/>
        <w:ind w:firstLine="448" w:firstLineChars="200"/>
        <w:outlineLvl w:val="0"/>
        <w:rPr>
          <w:sz w:val="24"/>
        </w:rPr>
      </w:pPr>
      <w:r>
        <w:rPr>
          <w:rFonts w:hint="eastAsia"/>
          <w:sz w:val="24"/>
        </w:rPr>
        <w:t>⑴国家税务总局要求各省上报相关数据。</w:t>
      </w:r>
    </w:p>
    <w:p w14:paraId="337190BE">
      <w:pPr>
        <w:spacing w:line="360" w:lineRule="auto"/>
        <w:ind w:firstLine="448" w:firstLineChars="200"/>
        <w:outlineLvl w:val="0"/>
        <w:rPr>
          <w:sz w:val="24"/>
        </w:rPr>
      </w:pPr>
      <w:r>
        <w:rPr>
          <w:rFonts w:hint="eastAsia"/>
          <w:sz w:val="24"/>
        </w:rPr>
        <w:t>⑵采购人各部门提出的数据查询统计要求。</w:t>
      </w:r>
    </w:p>
    <w:p w14:paraId="41E8C86D">
      <w:pPr>
        <w:spacing w:line="360" w:lineRule="auto"/>
        <w:ind w:firstLine="448" w:firstLineChars="200"/>
        <w:outlineLvl w:val="0"/>
        <w:rPr>
          <w:sz w:val="24"/>
        </w:rPr>
      </w:pPr>
      <w:r>
        <w:rPr>
          <w:rFonts w:hint="eastAsia"/>
          <w:sz w:val="24"/>
        </w:rPr>
        <w:t>⑶各级部门领导需要临时掌握了解的税收数据。</w:t>
      </w:r>
    </w:p>
    <w:p w14:paraId="6D5ABEDD">
      <w:pPr>
        <w:spacing w:line="360" w:lineRule="auto"/>
        <w:ind w:firstLine="448" w:firstLineChars="200"/>
        <w:outlineLvl w:val="0"/>
        <w:rPr>
          <w:sz w:val="24"/>
        </w:rPr>
      </w:pPr>
      <w:r>
        <w:rPr>
          <w:rFonts w:hint="eastAsia"/>
          <w:sz w:val="24"/>
        </w:rPr>
        <w:t>⑷各级基层单位各部门提出的数据查询统计要求。</w:t>
      </w:r>
    </w:p>
    <w:p w14:paraId="76CE03DC">
      <w:pPr>
        <w:spacing w:line="360" w:lineRule="auto"/>
        <w:ind w:firstLine="448" w:firstLineChars="200"/>
        <w:outlineLvl w:val="0"/>
        <w:rPr>
          <w:sz w:val="24"/>
        </w:rPr>
      </w:pPr>
      <w:r>
        <w:rPr>
          <w:rFonts w:hint="eastAsia"/>
          <w:sz w:val="24"/>
        </w:rPr>
        <w:t>为确保各级部门能够及时准确的获取相关数据，供应商需要提供本项目系统最新数据字典，与采购人共同对查询口径进行分析，确保运维人员与需求人员对口径理解一致。查询前，运维人员应提供查询脚本，经采购人有关人员审核后再开展实际查询。若查询对系统压力较大，应在非工作时间和非系统运行高峰期开展查询和导出操作。查询完毕后，运维人员应导出数据结果，经采购人有关人员审核后，再按要求以邮件、运维平台或其它方式提交查询需求部门。</w:t>
      </w:r>
    </w:p>
    <w:p w14:paraId="2BEB364D">
      <w:pPr>
        <w:spacing w:line="360" w:lineRule="auto"/>
        <w:ind w:firstLine="448" w:firstLineChars="200"/>
        <w:outlineLvl w:val="0"/>
        <w:rPr>
          <w:sz w:val="24"/>
        </w:rPr>
      </w:pPr>
      <w:r>
        <w:rPr>
          <w:rFonts w:hint="eastAsia"/>
          <w:sz w:val="24"/>
        </w:rPr>
        <w:t>5.需求调研</w:t>
      </w:r>
    </w:p>
    <w:p w14:paraId="1ACA9CA0">
      <w:pPr>
        <w:spacing w:line="360" w:lineRule="auto"/>
        <w:ind w:firstLine="448" w:firstLineChars="200"/>
        <w:outlineLvl w:val="0"/>
        <w:rPr>
          <w:sz w:val="24"/>
        </w:rPr>
      </w:pPr>
      <w:r>
        <w:rPr>
          <w:rFonts w:hint="eastAsia"/>
          <w:sz w:val="24"/>
        </w:rPr>
        <w:t>根据采购人工作安排，配合进行本项目系统相关需求调研，参加采购人组织的应用系统方面会议或集中工作等。根据具体的地方需求结合本项目系统业务需求进行分析，出具可行的实现方案，同时辅助完成调研报告等工作。</w:t>
      </w:r>
    </w:p>
    <w:p w14:paraId="56140623">
      <w:pPr>
        <w:spacing w:line="360" w:lineRule="auto"/>
        <w:ind w:firstLine="448" w:firstLineChars="200"/>
        <w:outlineLvl w:val="0"/>
        <w:rPr>
          <w:sz w:val="24"/>
        </w:rPr>
      </w:pPr>
      <w:r>
        <w:rPr>
          <w:rFonts w:hint="eastAsia"/>
          <w:sz w:val="24"/>
        </w:rPr>
        <w:t>涉及本项目系统调整的业务需求变化主要包括两个方面：因国家税务总局税收政策变化、流程调整的需求变更。因地方性政策调整、管理流程调整的需求变更。</w:t>
      </w:r>
    </w:p>
    <w:p w14:paraId="01472D6F">
      <w:pPr>
        <w:spacing w:line="360" w:lineRule="auto"/>
        <w:ind w:firstLine="448" w:firstLineChars="200"/>
        <w:outlineLvl w:val="0"/>
        <w:rPr>
          <w:sz w:val="24"/>
        </w:rPr>
      </w:pPr>
      <w:r>
        <w:rPr>
          <w:rFonts w:hint="eastAsia"/>
          <w:sz w:val="24"/>
        </w:rPr>
        <w:t>⑴因总局税收政策变化、流程调整的需求变更</w:t>
      </w:r>
    </w:p>
    <w:p w14:paraId="6C7771D2">
      <w:pPr>
        <w:spacing w:line="360" w:lineRule="auto"/>
        <w:ind w:firstLine="448" w:firstLineChars="200"/>
        <w:outlineLvl w:val="0"/>
        <w:rPr>
          <w:sz w:val="24"/>
        </w:rPr>
      </w:pPr>
      <w:r>
        <w:rPr>
          <w:rFonts w:hint="eastAsia"/>
          <w:sz w:val="24"/>
        </w:rPr>
        <w:t>运维人员应第一时间了解需求，并与本项目系统设计开发团队沟通实现方案。充分考虑各应用系统间的影响、升级带来的系统逻辑调整、历史数据的衔接。针对各种情况给出说明及解决方案。发起专题会议，与其他相关厂商及采购人进行沟通，对方案进行完善，与本项目系统设计开发团队沟通开发计划及升级时间，并将注意事项、解决方案提交给采购人。</w:t>
      </w:r>
    </w:p>
    <w:p w14:paraId="74D56489">
      <w:pPr>
        <w:spacing w:line="360" w:lineRule="auto"/>
        <w:ind w:firstLine="448" w:firstLineChars="200"/>
        <w:outlineLvl w:val="0"/>
        <w:rPr>
          <w:sz w:val="24"/>
        </w:rPr>
      </w:pPr>
      <w:r>
        <w:rPr>
          <w:rFonts w:hint="eastAsia"/>
          <w:sz w:val="24"/>
        </w:rPr>
        <w:t>⑵因地方性政策调整，管理流程调整的需求变更</w:t>
      </w:r>
    </w:p>
    <w:p w14:paraId="2193F704">
      <w:pPr>
        <w:spacing w:line="360" w:lineRule="auto"/>
        <w:ind w:firstLine="448" w:firstLineChars="200"/>
        <w:outlineLvl w:val="0"/>
        <w:rPr>
          <w:sz w:val="24"/>
        </w:rPr>
      </w:pPr>
      <w:r>
        <w:rPr>
          <w:rFonts w:hint="eastAsia"/>
          <w:sz w:val="24"/>
        </w:rPr>
        <w:t>运维人员接收需求后，对需求进行补充和完善，进行初步需求分析。将需求进行分类、评估需求影响。</w:t>
      </w:r>
    </w:p>
    <w:p w14:paraId="26148CD3">
      <w:pPr>
        <w:spacing w:line="360" w:lineRule="auto"/>
        <w:ind w:firstLine="448" w:firstLineChars="200"/>
        <w:outlineLvl w:val="0"/>
        <w:rPr>
          <w:sz w:val="24"/>
        </w:rPr>
      </w:pPr>
      <w:r>
        <w:rPr>
          <w:rFonts w:hint="eastAsia"/>
          <w:sz w:val="24"/>
        </w:rPr>
        <w:t>如果属于统发系统范围内的需求，与相关系统供应商一起评估是否向总局提交需求变更申请，协助采购人业务管理部门完成需求提报。如无需向总局提交需求变更申请，需联合相关系统供应商制定实施计划，共同完善系统，落实地方性政策调整变更需求。</w:t>
      </w:r>
    </w:p>
    <w:p w14:paraId="06320FA7">
      <w:pPr>
        <w:spacing w:line="360" w:lineRule="auto"/>
        <w:ind w:firstLine="448" w:firstLineChars="200"/>
        <w:outlineLvl w:val="0"/>
        <w:rPr>
          <w:sz w:val="24"/>
        </w:rPr>
      </w:pPr>
      <w:r>
        <w:rPr>
          <w:rFonts w:hint="eastAsia"/>
          <w:sz w:val="24"/>
        </w:rPr>
        <w:t>如果属于地方特色软件或外部门系统范围内的需求，与相关系统建设厂商一起做好关联分析、开发计划、联调计划、测试计划、升级计划，与该系统承建商共同完成可行性方案，提交采购人进行审核。</w:t>
      </w:r>
    </w:p>
    <w:p w14:paraId="286E83A3">
      <w:pPr>
        <w:spacing w:line="360" w:lineRule="auto"/>
        <w:ind w:firstLine="448" w:firstLineChars="200"/>
        <w:outlineLvl w:val="0"/>
        <w:rPr>
          <w:sz w:val="24"/>
        </w:rPr>
      </w:pPr>
      <w:r>
        <w:rPr>
          <w:rFonts w:hint="eastAsia"/>
          <w:sz w:val="24"/>
        </w:rPr>
        <w:t>6.集成服务</w:t>
      </w:r>
    </w:p>
    <w:p w14:paraId="502682EA">
      <w:pPr>
        <w:spacing w:line="360" w:lineRule="auto"/>
        <w:ind w:firstLine="448" w:firstLineChars="200"/>
        <w:outlineLvl w:val="0"/>
        <w:rPr>
          <w:sz w:val="24"/>
        </w:rPr>
      </w:pPr>
      <w:r>
        <w:rPr>
          <w:rFonts w:hint="eastAsia"/>
          <w:sz w:val="24"/>
        </w:rPr>
        <w:t>在金税三期、金税四期总体框架之下，结合采购人现状，提供本项目系统相关集成服务。在面向多应用系统协调工作时，协助采购人协调各供应商之间的运维工作，开展问题协同分析、系统联调测试以及版本同步升级等工作。</w:t>
      </w:r>
    </w:p>
    <w:p w14:paraId="6C1D9A4F">
      <w:pPr>
        <w:spacing w:line="360" w:lineRule="auto"/>
        <w:ind w:firstLine="448" w:firstLineChars="200"/>
        <w:outlineLvl w:val="0"/>
        <w:rPr>
          <w:sz w:val="24"/>
        </w:rPr>
      </w:pPr>
      <w:r>
        <w:rPr>
          <w:rFonts w:hint="eastAsia"/>
          <w:sz w:val="24"/>
        </w:rPr>
        <w:t>深刻理解把握采购人业务、应用、数据、流程、界面集成关系和关键任务，通过制定和严格执行集成技术、实施、管理等各项方案，通过组织协调保障采购人应用系统协调、一致建设，形成一体化的采购人应用系统。</w:t>
      </w:r>
    </w:p>
    <w:p w14:paraId="27BA9740">
      <w:pPr>
        <w:spacing w:line="360" w:lineRule="auto"/>
        <w:ind w:firstLine="448" w:firstLineChars="200"/>
        <w:outlineLvl w:val="0"/>
        <w:rPr>
          <w:sz w:val="24"/>
        </w:rPr>
      </w:pPr>
      <w:r>
        <w:rPr>
          <w:rFonts w:hint="eastAsia"/>
          <w:sz w:val="24"/>
        </w:rPr>
        <w:t>为了保证采购人税收管理信息系统在全国税收行业处于领先地位，供应商应凭借自己在计算机技术方面的优势，在采购人提出具体需求后，邀请信息化技术、税务行业的专家学者，为采购人税收管理信息系统提供咨询服务。</w:t>
      </w:r>
    </w:p>
    <w:p w14:paraId="03DDD191">
      <w:pPr>
        <w:spacing w:line="360" w:lineRule="auto"/>
        <w:ind w:firstLine="448" w:firstLineChars="200"/>
        <w:outlineLvl w:val="0"/>
        <w:rPr>
          <w:sz w:val="24"/>
        </w:rPr>
      </w:pPr>
      <w:r>
        <w:rPr>
          <w:rFonts w:hint="eastAsia"/>
          <w:sz w:val="24"/>
        </w:rPr>
        <w:t>7.特有业务运维服务</w:t>
      </w:r>
    </w:p>
    <w:p w14:paraId="538A6522">
      <w:pPr>
        <w:spacing w:line="360" w:lineRule="auto"/>
        <w:ind w:firstLine="448" w:firstLineChars="200"/>
        <w:outlineLvl w:val="0"/>
        <w:rPr>
          <w:sz w:val="24"/>
        </w:rPr>
      </w:pPr>
      <w:r>
        <w:rPr>
          <w:rFonts w:hint="eastAsia"/>
          <w:sz w:val="24"/>
        </w:rPr>
        <w:t>7.1.应用支撑平台</w:t>
      </w:r>
    </w:p>
    <w:p w14:paraId="1B1D4AAE">
      <w:pPr>
        <w:spacing w:line="360" w:lineRule="auto"/>
        <w:ind w:firstLine="448" w:firstLineChars="200"/>
        <w:outlineLvl w:val="0"/>
        <w:rPr>
          <w:sz w:val="24"/>
        </w:rPr>
      </w:pPr>
      <w:r>
        <w:rPr>
          <w:rFonts w:hint="eastAsia"/>
          <w:sz w:val="24"/>
        </w:rPr>
        <w:t>⑴运营治理维护管理</w:t>
      </w:r>
    </w:p>
    <w:p w14:paraId="10D2A380">
      <w:pPr>
        <w:spacing w:line="360" w:lineRule="auto"/>
        <w:ind w:firstLine="448" w:firstLineChars="200"/>
        <w:outlineLvl w:val="0"/>
        <w:rPr>
          <w:sz w:val="24"/>
        </w:rPr>
      </w:pPr>
      <w:r>
        <w:rPr>
          <w:rFonts w:hint="eastAsia"/>
          <w:sz w:val="24"/>
        </w:rPr>
        <w:t>协助采购人开展运营治理，采用“可视化业务监控+嵌入式数据治理”的模式实现业务自治，保障数据驱动业务的稳定和高质量运行。根据可视化监控工具日常运行情况，开展问题分析和跟踪处理，优化完善工具配置、数据准确性和及时性，确保监控工具的稳定高效运行。对监控对象进行分析，及时拓展监控范围，完善监控信息，提高监控内容的完整性。</w:t>
      </w:r>
    </w:p>
    <w:p w14:paraId="7C193CC6">
      <w:pPr>
        <w:spacing w:line="360" w:lineRule="auto"/>
        <w:ind w:firstLine="448" w:firstLineChars="200"/>
        <w:outlineLvl w:val="0"/>
        <w:rPr>
          <w:sz w:val="24"/>
        </w:rPr>
      </w:pPr>
      <w:r>
        <w:rPr>
          <w:rFonts w:hint="eastAsia"/>
          <w:sz w:val="24"/>
        </w:rPr>
        <w:t>⑵智能知识库维护管理</w:t>
      </w:r>
    </w:p>
    <w:p w14:paraId="00437628">
      <w:pPr>
        <w:spacing w:line="360" w:lineRule="auto"/>
        <w:ind w:firstLine="448" w:firstLineChars="200"/>
        <w:outlineLvl w:val="0"/>
        <w:rPr>
          <w:sz w:val="24"/>
        </w:rPr>
      </w:pPr>
      <w:r>
        <w:rPr>
          <w:rFonts w:hint="eastAsia"/>
          <w:sz w:val="24"/>
        </w:rPr>
        <w:t>协助采购人，开展智能知识库维护管理工作，包括每日对系统进行巡检，检查链路和ES服务，确保数据正常同步。</w:t>
      </w:r>
    </w:p>
    <w:p w14:paraId="254091D8">
      <w:pPr>
        <w:spacing w:line="360" w:lineRule="auto"/>
        <w:ind w:firstLine="448" w:firstLineChars="200"/>
        <w:outlineLvl w:val="0"/>
        <w:rPr>
          <w:sz w:val="24"/>
        </w:rPr>
      </w:pPr>
      <w:r>
        <w:rPr>
          <w:rFonts w:hint="eastAsia"/>
          <w:sz w:val="24"/>
        </w:rPr>
        <w:t>⑶知识图谱维护管理</w:t>
      </w:r>
    </w:p>
    <w:p w14:paraId="41C6C741">
      <w:pPr>
        <w:spacing w:line="360" w:lineRule="auto"/>
        <w:ind w:firstLine="448" w:firstLineChars="200"/>
        <w:outlineLvl w:val="0"/>
        <w:rPr>
          <w:sz w:val="24"/>
        </w:rPr>
      </w:pPr>
      <w:r>
        <w:rPr>
          <w:rFonts w:hint="eastAsia"/>
          <w:sz w:val="24"/>
        </w:rPr>
        <w:t>协助采购人，开展知识图谱维护管理工作包括对总局下发的增量数据、ES监控状态、知识图谱微服务进行日常巡检，并每月完成总省知识内容的核对。做好知识图谱的常态化更新工作，确保知识数据可用性和知识标签体系，对知识同步程序进行例行检查，协助解决知识数据问题。</w:t>
      </w:r>
    </w:p>
    <w:p w14:paraId="15A0FBA0">
      <w:pPr>
        <w:spacing w:line="360" w:lineRule="auto"/>
        <w:ind w:firstLine="448" w:firstLineChars="200"/>
        <w:outlineLvl w:val="0"/>
        <w:rPr>
          <w:sz w:val="24"/>
        </w:rPr>
      </w:pPr>
      <w:r>
        <w:rPr>
          <w:rFonts w:hint="eastAsia"/>
          <w:sz w:val="24"/>
        </w:rPr>
        <w:t>⑷助信码维护管理</w:t>
      </w:r>
    </w:p>
    <w:p w14:paraId="7169E1D1">
      <w:pPr>
        <w:spacing w:line="360" w:lineRule="auto"/>
        <w:ind w:firstLine="448" w:firstLineChars="200"/>
        <w:outlineLvl w:val="0"/>
        <w:rPr>
          <w:sz w:val="24"/>
        </w:rPr>
      </w:pPr>
      <w:r>
        <w:rPr>
          <w:rFonts w:hint="eastAsia"/>
          <w:sz w:val="24"/>
        </w:rPr>
        <w:t>协助采购人运维在助信码展示、查看赋码规则、查看历史赋码信息、相关方助信码管理、助信码分析、扫描助信码、内部权限管理、助信码设置、助信码移动展示等功能中遇到的问题，保障纳税人正常使用助信码。</w:t>
      </w:r>
    </w:p>
    <w:p w14:paraId="1D04FD3B">
      <w:pPr>
        <w:spacing w:line="360" w:lineRule="auto"/>
        <w:ind w:firstLine="448" w:firstLineChars="200"/>
        <w:outlineLvl w:val="0"/>
        <w:rPr>
          <w:sz w:val="24"/>
        </w:rPr>
      </w:pPr>
      <w:r>
        <w:rPr>
          <w:rFonts w:hint="eastAsia"/>
          <w:sz w:val="24"/>
        </w:rPr>
        <w:t>⑸一体式维护管理</w:t>
      </w:r>
    </w:p>
    <w:p w14:paraId="009DAD11">
      <w:pPr>
        <w:spacing w:line="360" w:lineRule="auto"/>
        <w:ind w:firstLine="448" w:firstLineChars="200"/>
        <w:outlineLvl w:val="0"/>
        <w:rPr>
          <w:sz w:val="24"/>
        </w:rPr>
      </w:pPr>
      <w:r>
        <w:rPr>
          <w:rFonts w:hint="eastAsia"/>
          <w:sz w:val="24"/>
        </w:rPr>
        <w:t>协助采购人完成在岗位功能对照、风险疑点管理、线索上报、外部风险维护、任务管理、风险应对、风险应对成效跟踪统计、常规风评及TBDS指标模型加载推送、发票赋额类别业务管控、负面清单管理、风险防控体系、支撑数电票等功能模块中遇到的问题，保障税务人员正常使用相关功能。</w:t>
      </w:r>
    </w:p>
    <w:p w14:paraId="05E3EB27">
      <w:pPr>
        <w:spacing w:line="360" w:lineRule="auto"/>
        <w:ind w:firstLine="448" w:firstLineChars="200"/>
        <w:outlineLvl w:val="0"/>
        <w:rPr>
          <w:sz w:val="24"/>
        </w:rPr>
      </w:pPr>
      <w:r>
        <w:rPr>
          <w:rFonts w:hint="eastAsia"/>
          <w:sz w:val="24"/>
        </w:rPr>
        <w:t>⑹税智法维护管理</w:t>
      </w:r>
    </w:p>
    <w:p w14:paraId="74DBEE04">
      <w:pPr>
        <w:spacing w:line="360" w:lineRule="auto"/>
        <w:ind w:firstLine="448" w:firstLineChars="200"/>
        <w:outlineLvl w:val="0"/>
        <w:rPr>
          <w:sz w:val="24"/>
        </w:rPr>
      </w:pPr>
      <w:r>
        <w:rPr>
          <w:rFonts w:hint="eastAsia"/>
          <w:sz w:val="24"/>
        </w:rPr>
        <w:t>协助采购人运维在资源支持库查询、执法案例库管理、执法资格库管理、政策法规库管理、税智法智能控制等功能模块中遇到的问题，保障税务人员正常使用相关功能。</w:t>
      </w:r>
    </w:p>
    <w:p w14:paraId="048C03FF">
      <w:pPr>
        <w:spacing w:line="360" w:lineRule="auto"/>
        <w:ind w:firstLine="448" w:firstLineChars="200"/>
        <w:outlineLvl w:val="0"/>
        <w:rPr>
          <w:sz w:val="24"/>
        </w:rPr>
      </w:pPr>
      <w:r>
        <w:rPr>
          <w:rFonts w:hint="eastAsia"/>
          <w:sz w:val="24"/>
        </w:rPr>
        <w:t>⑺智慧监督维护管理</w:t>
      </w:r>
    </w:p>
    <w:p w14:paraId="40FC9508">
      <w:pPr>
        <w:spacing w:line="360" w:lineRule="auto"/>
        <w:ind w:firstLine="448" w:firstLineChars="200"/>
        <w:outlineLvl w:val="0"/>
        <w:rPr>
          <w:sz w:val="24"/>
        </w:rPr>
      </w:pPr>
      <w:r>
        <w:rPr>
          <w:rFonts w:hint="eastAsia"/>
          <w:sz w:val="24"/>
        </w:rPr>
        <w:t>协助采购人完成在监督态势感知、监督任务管理、精准监督、预警信息处置、一案双查管理、专题会商、两权监督、监督责任履行管理等功能模块中遇到的问题，保障税务人员正常使用相关功能。</w:t>
      </w:r>
    </w:p>
    <w:p w14:paraId="5E70A1AC">
      <w:pPr>
        <w:spacing w:line="360" w:lineRule="auto"/>
        <w:ind w:firstLine="448" w:firstLineChars="200"/>
        <w:outlineLvl w:val="0"/>
        <w:rPr>
          <w:sz w:val="24"/>
        </w:rPr>
      </w:pPr>
      <w:r>
        <w:rPr>
          <w:rFonts w:hint="eastAsia"/>
          <w:sz w:val="24"/>
        </w:rPr>
        <w:t>⑻发票赋额业务对账平台维护管理</w:t>
      </w:r>
    </w:p>
    <w:p w14:paraId="4435CEBA">
      <w:pPr>
        <w:spacing w:line="360" w:lineRule="auto"/>
        <w:ind w:firstLine="448" w:firstLineChars="200"/>
        <w:outlineLvl w:val="0"/>
        <w:rPr>
          <w:sz w:val="24"/>
        </w:rPr>
      </w:pPr>
      <w:r>
        <w:rPr>
          <w:rFonts w:hint="eastAsia"/>
          <w:sz w:val="24"/>
        </w:rPr>
        <w:t>协助采购人完成在发票赋额标签信息查询、发票赋额标签异常数据分布情况、发票赋额标签异常数据清册查询、发票赋额标签对账补偿、发票赋额同步、待人工核实标签情况、发票赋额业务对账平台大屏等功能模块中遇到的问题，保障税务人员正常使用相关功能。</w:t>
      </w:r>
    </w:p>
    <w:p w14:paraId="045CD4F8">
      <w:pPr>
        <w:spacing w:line="360" w:lineRule="auto"/>
        <w:ind w:firstLine="448" w:firstLineChars="200"/>
        <w:outlineLvl w:val="0"/>
        <w:rPr>
          <w:sz w:val="24"/>
        </w:rPr>
      </w:pPr>
      <w:r>
        <w:rPr>
          <w:rFonts w:hint="eastAsia"/>
          <w:sz w:val="24"/>
        </w:rPr>
        <w:t>⑼收入规划核算业务功能维护管理</w:t>
      </w:r>
    </w:p>
    <w:p w14:paraId="4C1CE3A6">
      <w:pPr>
        <w:spacing w:line="360" w:lineRule="auto"/>
        <w:ind w:firstLine="448" w:firstLineChars="200"/>
        <w:outlineLvl w:val="0"/>
        <w:rPr>
          <w:sz w:val="24"/>
        </w:rPr>
      </w:pPr>
      <w:r>
        <w:rPr>
          <w:rFonts w:hint="eastAsia"/>
          <w:sz w:val="24"/>
        </w:rPr>
        <w:t>针对收入规划核算业务功能提供及时全面的支持，协助采购人排查处理收入预测、税收月快报、会统核算、会计监督、综合报表系统等收入规划核算业务功能模块使用中遇到的问题，保障税务人员正常使用相关功能，协助分析核算口径与数据差异问题，确保相关业务核算数据及时、规范、准确产出，协助开展岗责和权限设置，保障税务人员正常使用相关功能。考虑到核算业务的特殊性和专业性，具体包括：</w:t>
      </w:r>
    </w:p>
    <w:p w14:paraId="406CB9AF">
      <w:pPr>
        <w:spacing w:line="360" w:lineRule="auto"/>
        <w:ind w:firstLine="448" w:firstLineChars="200"/>
        <w:outlineLvl w:val="0"/>
        <w:rPr>
          <w:sz w:val="24"/>
        </w:rPr>
      </w:pPr>
      <w:r>
        <w:rPr>
          <w:rFonts w:hint="eastAsia"/>
          <w:sz w:val="24"/>
        </w:rPr>
        <w:t>①保障收入规划核算业务功能应用的正常运行，以及与关联系统（自然人电子税务局、可信身份管理平台、新电局、税智撑（数据治理、规则引擎））的业务衔接，对业务人员从功能的操作性、数据的准确性以及应用的整体稳定性进行全方位的辅导与保障。协助进行机构、人员、岗位、权限的精准调整，确保权限设置合理，符合管理需求。</w:t>
      </w:r>
    </w:p>
    <w:p w14:paraId="0911F58C">
      <w:pPr>
        <w:spacing w:line="360" w:lineRule="auto"/>
        <w:ind w:firstLine="448" w:firstLineChars="200"/>
        <w:outlineLvl w:val="0"/>
        <w:rPr>
          <w:sz w:val="24"/>
        </w:rPr>
      </w:pPr>
      <w:r>
        <w:rPr>
          <w:rFonts w:hint="eastAsia"/>
          <w:sz w:val="24"/>
        </w:rPr>
        <w:t>②保障核算类业务功能正常运行，对核算单位、核算日期、规划区域等设置信息进行维护，协助开展期初结转或年终结转，并核实结转数据的准确性，协助分析问题数据的产生原因与提供相应的解决方案。支持各级核算记账、产表、上报等功能，针对各级单位发现的疑点数据，分析定位产生的原因及具体明细信息，协助税务人员及其他关联系统对数据按照业务规范进行相应的更正处理，并重新核算、记账、产表及其对数据的再次校验确认。</w:t>
      </w:r>
    </w:p>
    <w:p w14:paraId="186B7365">
      <w:pPr>
        <w:spacing w:line="360" w:lineRule="auto"/>
        <w:ind w:firstLine="448" w:firstLineChars="200"/>
        <w:outlineLvl w:val="0"/>
        <w:rPr>
          <w:sz w:val="24"/>
        </w:rPr>
      </w:pPr>
      <w:r>
        <w:rPr>
          <w:rFonts w:hint="eastAsia"/>
          <w:sz w:val="24"/>
        </w:rPr>
        <w:t>③保障综合报表业务正常运行。在总局下发的各类报表任务(会统核算、月快报、重点税源、税收调查、小微企业)的基础上按照本地化要求新增计算公式、审核公式，设计报表任务并发布、下载，支持对报表数据的下载、计算、审核、汇总、舍位平衡等业务流程的正常使用。支持在综合报表设计系统中按照业务部门的要求对于不同的报表任务新增设计固定分析表、浮动分析表、多维分析表、清单列表等分析报表，形成本省的报表分析任务，完成任务发布、下载和数据刷新。</w:t>
      </w:r>
    </w:p>
    <w:p w14:paraId="3DEB1B26">
      <w:pPr>
        <w:spacing w:line="360" w:lineRule="auto"/>
        <w:ind w:firstLine="448" w:firstLineChars="200"/>
        <w:outlineLvl w:val="0"/>
        <w:rPr>
          <w:sz w:val="24"/>
        </w:rPr>
      </w:pPr>
      <w:r>
        <w:rPr>
          <w:rFonts w:hint="eastAsia"/>
          <w:sz w:val="24"/>
        </w:rPr>
        <w:t>④保障会计监督业务正常运行。协助维护设置监督规则、和监督任务的分发规则，支持对收规以及其他业务条线的岗责配置、按照纳税人名单或其他方式的人工任务录入，对总局监督任务以及本省自定义的监督任务的疑点扫描，对系统监督任务开展日常监控，确保任务的正常流转。对于未修复正确的数据进行数据分析支持以及提供相应的解决方案，协助税务人员对疑点数据的更正处理或反馈说明。</w:t>
      </w:r>
    </w:p>
    <w:p w14:paraId="197FFF22">
      <w:pPr>
        <w:spacing w:line="360" w:lineRule="auto"/>
        <w:ind w:firstLine="448" w:firstLineChars="200"/>
        <w:outlineLvl w:val="0"/>
        <w:rPr>
          <w:sz w:val="24"/>
        </w:rPr>
      </w:pPr>
      <w:r>
        <w:rPr>
          <w:rFonts w:hint="eastAsia"/>
          <w:sz w:val="24"/>
        </w:rPr>
        <w:t>⑤保障税收预测业务正常运行。监控支撑新电局纳税人端数据采集的微服务，确保纳税人功能的数据预填、数据确认、数据保存、数据退回等功能。对认定企业的业务情况进行数据加工统计，保障税务人对认定企业的调整与纳税人端获取预填数据的准确性。监控采集数据实时同步至会统核算系统，支持税务人员对数据进行审核确认，对审核结果实时同步至新电局纳税人端，确保两端的数据一致性与实时性。支持各级单位对税收预测数据的审核、固定分析表、统计分析表的数据加工产出，确保填报、审核、上报、分析等业务流程的正常运行。</w:t>
      </w:r>
    </w:p>
    <w:p w14:paraId="104A2A29">
      <w:pPr>
        <w:spacing w:line="360" w:lineRule="auto"/>
        <w:ind w:firstLine="448" w:firstLineChars="200"/>
        <w:outlineLvl w:val="0"/>
        <w:rPr>
          <w:sz w:val="24"/>
        </w:rPr>
      </w:pPr>
      <w:r>
        <w:rPr>
          <w:rFonts w:hint="eastAsia"/>
          <w:sz w:val="24"/>
        </w:rPr>
        <w:t>⑥保障报表采集工作正常运行。协助跟踪解决重点税源、税收调查、预测模块诸如申报模式更新（如报表预填项默认隐藏行次等）、采集模板的实时变更调整、填报过程勾稽关联报错等各种技术问题。针对用户填报疑点、操作失误、自身系统原因造成的错误数据，及时进行数据运维，确保数据采集的时效性、准确性。考虑纳税人端需求的特殊性及敏感性，需要保障纳税人在操作环节针对技术问题的解答、辅导、培训进行有效支撑，在系统存在更新时及时配合处室进行深度业务测试，及时整理形成相关操作指引材料等各种服务。</w:t>
      </w:r>
    </w:p>
    <w:p w14:paraId="08B90B24">
      <w:pPr>
        <w:spacing w:line="360" w:lineRule="auto"/>
        <w:ind w:firstLine="448" w:firstLineChars="200"/>
        <w:outlineLvl w:val="0"/>
        <w:rPr>
          <w:sz w:val="24"/>
        </w:rPr>
      </w:pPr>
      <w:r>
        <w:rPr>
          <w:rFonts w:hint="eastAsia"/>
          <w:sz w:val="24"/>
        </w:rPr>
        <w:t>⑽企业所得税计税凭证信息管理</w:t>
      </w:r>
    </w:p>
    <w:p w14:paraId="313B7C7A">
      <w:pPr>
        <w:spacing w:line="360" w:lineRule="auto"/>
        <w:ind w:firstLine="448" w:firstLineChars="200"/>
        <w:outlineLvl w:val="0"/>
        <w:rPr>
          <w:sz w:val="24"/>
        </w:rPr>
      </w:pPr>
      <w:r>
        <w:rPr>
          <w:rFonts w:hint="eastAsia"/>
          <w:sz w:val="24"/>
        </w:rPr>
        <w:t>协助采购人完成企业所得税计税凭证信息事中管理，加强税前扣除凭证的全过程、痕迹化管控，通过企业所得税申报事中监控功能、重点领域高风险纳税人“信用+风险”管理、以及纳税人自主申请等方式，完成企业所得税计税凭证信息采集和管理，将税前扣除凭证的事后管理提前至事中，降低纳税人的税前扣除风险。</w:t>
      </w:r>
    </w:p>
    <w:p w14:paraId="2939762C">
      <w:pPr>
        <w:spacing w:line="360" w:lineRule="auto"/>
        <w:ind w:firstLine="448" w:firstLineChars="200"/>
        <w:outlineLvl w:val="0"/>
        <w:rPr>
          <w:sz w:val="24"/>
        </w:rPr>
      </w:pPr>
      <w:r>
        <w:rPr>
          <w:rFonts w:hint="eastAsia"/>
          <w:sz w:val="24"/>
        </w:rPr>
        <w:t>7.2.多云运维管理平台</w:t>
      </w:r>
    </w:p>
    <w:p w14:paraId="2D73F13C">
      <w:pPr>
        <w:spacing w:line="360" w:lineRule="auto"/>
        <w:ind w:firstLine="448" w:firstLineChars="200"/>
        <w:outlineLvl w:val="0"/>
        <w:rPr>
          <w:sz w:val="24"/>
        </w:rPr>
      </w:pPr>
      <w:r>
        <w:rPr>
          <w:rFonts w:hint="eastAsia"/>
          <w:sz w:val="24"/>
        </w:rPr>
        <w:t>⑴协助采购人对日常维护中业务问题提供及时全面的解答与处理。</w:t>
      </w:r>
    </w:p>
    <w:p w14:paraId="0A0B005C">
      <w:pPr>
        <w:spacing w:line="360" w:lineRule="auto"/>
        <w:ind w:firstLine="448" w:firstLineChars="200"/>
        <w:outlineLvl w:val="0"/>
        <w:rPr>
          <w:sz w:val="24"/>
        </w:rPr>
      </w:pPr>
      <w:r>
        <w:rPr>
          <w:rFonts w:hint="eastAsia"/>
          <w:sz w:val="24"/>
        </w:rPr>
        <w:t>⑵对多云运维管理平台-移动端提供日常维护，进行业务及技术问题提供及时全面的解答与处理，辅助进行故障诊断及故障处理解决。</w:t>
      </w:r>
    </w:p>
    <w:p w14:paraId="7BA0DD4F">
      <w:pPr>
        <w:spacing w:line="360" w:lineRule="auto"/>
        <w:ind w:firstLine="448" w:firstLineChars="200"/>
        <w:outlineLvl w:val="0"/>
        <w:rPr>
          <w:sz w:val="24"/>
        </w:rPr>
      </w:pPr>
      <w:r>
        <w:rPr>
          <w:rFonts w:hint="eastAsia"/>
          <w:sz w:val="24"/>
        </w:rPr>
        <w:t>⑶对多云运维管理平台-蓝鲸ITSM、CMDB、告警中心、监控中心等产品提供日常维护，进行业务及技术问题提供及时全面的解答与处理，辅助进行故障诊断及故障处理解决。</w:t>
      </w:r>
    </w:p>
    <w:p w14:paraId="2759B5DD">
      <w:pPr>
        <w:spacing w:line="360" w:lineRule="auto"/>
        <w:ind w:firstLine="448" w:firstLineChars="200"/>
        <w:outlineLvl w:val="0"/>
        <w:rPr>
          <w:sz w:val="24"/>
        </w:rPr>
      </w:pPr>
      <w:r>
        <w:rPr>
          <w:rFonts w:hint="eastAsia"/>
          <w:sz w:val="24"/>
        </w:rPr>
        <w:t>⑷对多云运维管理平台-运维知识库、智能问答、桌面端等产品提供日常维护，进行业务及技术问题提供及时全面的解答与处理，辅助进行故障诊断及故障处理解决，维护知识库内容。</w:t>
      </w:r>
    </w:p>
    <w:p w14:paraId="3FDABF6F">
      <w:pPr>
        <w:spacing w:line="360" w:lineRule="auto"/>
        <w:ind w:firstLine="448" w:firstLineChars="200"/>
        <w:outlineLvl w:val="0"/>
        <w:rPr>
          <w:sz w:val="24"/>
        </w:rPr>
      </w:pPr>
      <w:r>
        <w:rPr>
          <w:rFonts w:hint="eastAsia"/>
          <w:sz w:val="24"/>
        </w:rPr>
        <w:t>⑸新监控工具的实施调优、监控内容接入实施、告警源及告警渠道接入实施工作。</w:t>
      </w:r>
    </w:p>
    <w:p w14:paraId="3E9189C4">
      <w:pPr>
        <w:spacing w:line="360" w:lineRule="auto"/>
        <w:ind w:firstLine="448" w:firstLineChars="200"/>
        <w:outlineLvl w:val="0"/>
        <w:rPr>
          <w:sz w:val="24"/>
        </w:rPr>
      </w:pPr>
      <w:r>
        <w:rPr>
          <w:rFonts w:hint="eastAsia"/>
          <w:sz w:val="24"/>
        </w:rPr>
        <w:t>⑹针对多云运维管理平台纳管的基础资源环境（云资源、基础资源）开展日常监控、发布监控事件。</w:t>
      </w:r>
    </w:p>
    <w:p w14:paraId="6CCAF2EC">
      <w:pPr>
        <w:spacing w:line="360" w:lineRule="auto"/>
        <w:ind w:firstLine="448" w:firstLineChars="200"/>
        <w:outlineLvl w:val="0"/>
        <w:rPr>
          <w:sz w:val="24"/>
        </w:rPr>
      </w:pPr>
      <w:r>
        <w:rPr>
          <w:rFonts w:hint="eastAsia"/>
          <w:sz w:val="24"/>
        </w:rPr>
        <w:t>⑺针对多云运维管理平台纳管的系统（全电发票、统一身份平台、数据支撑平台等）开展日常监控、发布监控事件。</w:t>
      </w:r>
    </w:p>
    <w:p w14:paraId="6B265665">
      <w:pPr>
        <w:spacing w:line="360" w:lineRule="auto"/>
        <w:ind w:firstLine="448" w:firstLineChars="200"/>
        <w:outlineLvl w:val="0"/>
        <w:rPr>
          <w:sz w:val="24"/>
        </w:rPr>
      </w:pPr>
      <w:r>
        <w:rPr>
          <w:rFonts w:hint="eastAsia"/>
          <w:sz w:val="24"/>
        </w:rPr>
        <w:t>⑻针对多云运维管理平台纳管的系统的配置维护，扩展配置维护新增纳管的系统，开展监控。</w:t>
      </w:r>
    </w:p>
    <w:p w14:paraId="5E9033AD">
      <w:pPr>
        <w:spacing w:line="360" w:lineRule="auto"/>
        <w:ind w:firstLine="448" w:firstLineChars="200"/>
        <w:outlineLvl w:val="0"/>
        <w:rPr>
          <w:sz w:val="24"/>
        </w:rPr>
      </w:pPr>
      <w:r>
        <w:rPr>
          <w:rFonts w:hint="eastAsia"/>
          <w:sz w:val="24"/>
        </w:rPr>
        <w:t>⑼针对多云运维管理平台纳管的基础资源的配置维护，扩展配置维护新增纳管的基础资源，开展监控。</w:t>
      </w:r>
    </w:p>
    <w:p w14:paraId="75C0304B">
      <w:pPr>
        <w:spacing w:line="360" w:lineRule="auto"/>
        <w:ind w:firstLine="448" w:firstLineChars="200"/>
        <w:outlineLvl w:val="0"/>
        <w:rPr>
          <w:sz w:val="24"/>
        </w:rPr>
      </w:pPr>
      <w:r>
        <w:rPr>
          <w:rFonts w:hint="eastAsia"/>
          <w:sz w:val="24"/>
        </w:rPr>
        <w:t>⑽针对多云运维管理平台纳管的基础资源监控链路的日常保障，对监控数据采集、监控数据汇集、监控数据加工、监控数据展示各个环节进行日常监控及保障。</w:t>
      </w:r>
    </w:p>
    <w:p w14:paraId="3702F95E">
      <w:pPr>
        <w:spacing w:line="360" w:lineRule="auto"/>
        <w:ind w:firstLine="448" w:firstLineChars="200"/>
        <w:outlineLvl w:val="0"/>
        <w:rPr>
          <w:sz w:val="24"/>
        </w:rPr>
      </w:pPr>
      <w:r>
        <w:rPr>
          <w:rFonts w:hint="eastAsia"/>
          <w:sz w:val="24"/>
        </w:rPr>
        <w:t>⑾针对多云运维管理平台纳管的系统的监控链路的日常保障，对监控数据采集、监控数据汇集、监控数据加工、监控数据展示各个环节进行日常监控及保障。</w:t>
      </w:r>
    </w:p>
    <w:p w14:paraId="1DA15D44">
      <w:pPr>
        <w:spacing w:line="360" w:lineRule="auto"/>
        <w:ind w:firstLine="448" w:firstLineChars="200"/>
        <w:outlineLvl w:val="0"/>
        <w:rPr>
          <w:sz w:val="24"/>
        </w:rPr>
      </w:pPr>
      <w:r>
        <w:rPr>
          <w:rFonts w:hint="eastAsia"/>
          <w:sz w:val="24"/>
        </w:rPr>
        <w:t>⑿为应用系统提供数据处理、数据应用等数据处理各环节的技术支持服务，包括问题处理、问题咨询、口径解释、数据查询、技术支持、应用支持等。平台运维保障，主要包括日常使用问题解答、监控数据校准、告警中心各类策略调整优化、异常流程及错误数据处理、知识库知识整理以及平台在日常使用过程中产生的问题处置等。为了达到更好的监控效果和覆盖范围，多云运维平台根据需要进行各类监控实施任务。监控实施保障，主要包括新监控工具实施、监控纳管系统扩围等监控实施工作。</w:t>
      </w:r>
    </w:p>
    <w:p w14:paraId="05D3288A">
      <w:pPr>
        <w:spacing w:line="360" w:lineRule="auto"/>
        <w:ind w:firstLine="448" w:firstLineChars="200"/>
        <w:outlineLvl w:val="0"/>
        <w:rPr>
          <w:sz w:val="24"/>
        </w:rPr>
      </w:pPr>
      <w:r>
        <w:rPr>
          <w:rFonts w:hint="eastAsia"/>
          <w:sz w:val="24"/>
        </w:rPr>
        <w:t>⒀配置维护保障，主要包括配置库数据检查及维护、模型更新、配置采集实施、配置数据统计分析。目前多云运维平台配置库采集来源包括金税云平台（覆盖电票、可信、新电局、税智撑、税务人端等应用系统租户的各类云资源信息）、云集平台（关联关系）。</w:t>
      </w:r>
    </w:p>
    <w:p w14:paraId="3E79276C">
      <w:pPr>
        <w:spacing w:line="360" w:lineRule="auto"/>
        <w:ind w:firstLine="448" w:firstLineChars="200"/>
        <w:outlineLvl w:val="0"/>
        <w:rPr>
          <w:sz w:val="24"/>
        </w:rPr>
      </w:pPr>
      <w:r>
        <w:rPr>
          <w:rFonts w:hint="eastAsia"/>
          <w:sz w:val="24"/>
        </w:rPr>
        <w:t>7.3.税务区块链基础平台</w:t>
      </w:r>
    </w:p>
    <w:p w14:paraId="683B66DE">
      <w:pPr>
        <w:spacing w:line="360" w:lineRule="auto"/>
        <w:ind w:firstLine="448" w:firstLineChars="200"/>
        <w:outlineLvl w:val="0"/>
        <w:rPr>
          <w:sz w:val="24"/>
        </w:rPr>
      </w:pPr>
      <w:r>
        <w:rPr>
          <w:rFonts w:hint="eastAsia"/>
          <w:sz w:val="24"/>
        </w:rPr>
        <w:t>协助采购人，开展省级税务区块链基础平台不动产链、社保费链、新场景链的应用管理、业务衔接、数据分析、业务监控等工作。</w:t>
      </w:r>
    </w:p>
    <w:p w14:paraId="685B6923">
      <w:pPr>
        <w:spacing w:line="360" w:lineRule="auto"/>
        <w:ind w:firstLine="448" w:firstLineChars="200"/>
        <w:outlineLvl w:val="0"/>
        <w:rPr>
          <w:sz w:val="24"/>
        </w:rPr>
      </w:pPr>
      <w:r>
        <w:rPr>
          <w:rFonts w:hint="eastAsia"/>
          <w:sz w:val="24"/>
        </w:rPr>
        <w:t>8、高峰运维</w:t>
      </w:r>
    </w:p>
    <w:p w14:paraId="7D796ABE">
      <w:pPr>
        <w:spacing w:line="360" w:lineRule="auto"/>
        <w:ind w:firstLine="448" w:firstLineChars="200"/>
        <w:outlineLvl w:val="0"/>
        <w:rPr>
          <w:sz w:val="24"/>
        </w:rPr>
      </w:pPr>
      <w:r>
        <w:rPr>
          <w:rFonts w:hint="eastAsia"/>
          <w:sz w:val="24"/>
        </w:rPr>
        <w:t>当系统处于业务繁忙高峰期，或国家税务总局、采购人有加班需求，如征期高峰（征期最后2天）、月末升级和月结初始化（每月最后2天）、重保值守和征期值班以外的非工作时间加班等，需根据采购人要求，额外动态增加人力资源，确保按时完成业务和技术运维需求。</w:t>
      </w:r>
    </w:p>
    <w:p w14:paraId="55842469">
      <w:pPr>
        <w:spacing w:line="360" w:lineRule="auto"/>
        <w:ind w:firstLine="448" w:firstLineChars="200"/>
        <w:outlineLvl w:val="0"/>
        <w:rPr>
          <w:sz w:val="24"/>
        </w:rPr>
      </w:pPr>
      <w:r>
        <w:rPr>
          <w:rFonts w:hint="eastAsia"/>
          <w:sz w:val="24"/>
        </w:rPr>
        <w:t>（二）技术运维部分</w:t>
      </w:r>
    </w:p>
    <w:p w14:paraId="4427029C">
      <w:pPr>
        <w:spacing w:line="360" w:lineRule="auto"/>
        <w:ind w:firstLine="448" w:firstLineChars="200"/>
        <w:outlineLvl w:val="0"/>
        <w:rPr>
          <w:sz w:val="24"/>
        </w:rPr>
      </w:pPr>
      <w:r>
        <w:rPr>
          <w:rFonts w:hint="eastAsia"/>
          <w:sz w:val="24"/>
        </w:rPr>
        <w:t>1.环境保障</w:t>
      </w:r>
    </w:p>
    <w:p w14:paraId="4265C9AF">
      <w:pPr>
        <w:spacing w:line="360" w:lineRule="auto"/>
        <w:ind w:firstLine="448" w:firstLineChars="200"/>
        <w:outlineLvl w:val="0"/>
        <w:rPr>
          <w:sz w:val="24"/>
        </w:rPr>
      </w:pPr>
      <w:r>
        <w:rPr>
          <w:rFonts w:hint="eastAsia"/>
          <w:sz w:val="24"/>
        </w:rPr>
        <w:t>环境保障要求运维人员对本项目系统运行环境和平台定期进行监控检查，做到风险预警、风险规避。运维人员通过检查本项目系统使用的中间件、数据库、存储、数据同步软件等软硬件环境，做到提早判别各种风险，对风险疑虑应及时进行处理。</w:t>
      </w:r>
    </w:p>
    <w:p w14:paraId="44E98E6D">
      <w:pPr>
        <w:pStyle w:val="58"/>
        <w:spacing w:line="360" w:lineRule="auto"/>
        <w:ind w:firstLine="560"/>
        <w:jc w:val="both"/>
        <w:rPr>
          <w:lang w:eastAsia="zh-CN"/>
        </w:rPr>
      </w:pPr>
      <w:r>
        <w:rPr>
          <w:rFonts w:ascii="仿宋_GB2312" w:hAnsi="仿宋_GB2312" w:eastAsia="仿宋_GB2312" w:cs="仿宋_GB2312"/>
          <w:sz w:val="28"/>
          <w:szCs w:val="28"/>
          <w:lang w:eastAsia="zh-CN"/>
        </w:rPr>
        <w:t>⑴日常检查</w:t>
      </w:r>
    </w:p>
    <w:p w14:paraId="74B8C30D">
      <w:pPr>
        <w:spacing w:line="360" w:lineRule="auto"/>
        <w:outlineLvl w:val="0"/>
        <w:rPr>
          <w:sz w:val="24"/>
        </w:rPr>
      </w:pPr>
      <w:r>
        <w:rPr>
          <w:rFonts w:hint="eastAsia"/>
          <w:sz w:val="24"/>
        </w:rPr>
        <w:t xml:space="preserve">    运维人员每个工作日早晨和下午上班前30分钟对整个应用系统生产环境的运行情况进行检查，如果出现异常应及时通知采购人管理人员，并组织异常处理和系统恢复。若本项目系统属于总局重点拨测监控系统，则按照约定时间加大巡检频次。监控检查包括：应用系统和数据库的运行情况。</w:t>
      </w:r>
    </w:p>
    <w:p w14:paraId="7490CCD3">
      <w:pPr>
        <w:spacing w:line="360" w:lineRule="auto"/>
        <w:ind w:firstLine="448" w:firstLineChars="200"/>
        <w:outlineLvl w:val="0"/>
        <w:rPr>
          <w:sz w:val="24"/>
        </w:rPr>
      </w:pPr>
      <w:r>
        <w:rPr>
          <w:rFonts w:hint="eastAsia"/>
          <w:sz w:val="24"/>
        </w:rPr>
        <w:t>①应用系统：检查本项目系统应用集群各节点状态，如出现问题及时分析定位问题，第一时间处理问题。定时检查应用系统日志、清理冗余日志，并对异常日志进行分析查找问题根源，找出解决方案。</w:t>
      </w:r>
    </w:p>
    <w:p w14:paraId="00123ED9">
      <w:pPr>
        <w:spacing w:line="360" w:lineRule="auto"/>
        <w:ind w:firstLine="448" w:firstLineChars="200"/>
        <w:outlineLvl w:val="0"/>
        <w:rPr>
          <w:sz w:val="24"/>
        </w:rPr>
      </w:pPr>
      <w:r>
        <w:rPr>
          <w:rFonts w:hint="eastAsia"/>
          <w:sz w:val="24"/>
        </w:rPr>
        <w:t>②数据库：检查本项目系统数据库是否运行正常，数据是否完整，读写速率是否正常，是否存在异常锁等情况。检查表空间、归档日志、索引和分区等配置空间是否足够支撑应用系统，是否存在慢SQL或异常占用语句。如出现问题，应及时与采购人进行沟通解决。</w:t>
      </w:r>
    </w:p>
    <w:p w14:paraId="1AD9C412">
      <w:pPr>
        <w:spacing w:line="360" w:lineRule="auto"/>
        <w:ind w:firstLine="448" w:firstLineChars="200"/>
        <w:outlineLvl w:val="0"/>
        <w:rPr>
          <w:sz w:val="24"/>
        </w:rPr>
      </w:pPr>
      <w:r>
        <w:rPr>
          <w:rFonts w:hint="eastAsia"/>
          <w:sz w:val="24"/>
        </w:rPr>
        <w:t>⑵专项检查</w:t>
      </w:r>
    </w:p>
    <w:p w14:paraId="4E5818CD">
      <w:pPr>
        <w:spacing w:line="360" w:lineRule="auto"/>
        <w:ind w:firstLine="448" w:firstLineChars="200"/>
        <w:outlineLvl w:val="0"/>
        <w:rPr>
          <w:sz w:val="24"/>
        </w:rPr>
      </w:pPr>
      <w:r>
        <w:rPr>
          <w:rFonts w:hint="eastAsia"/>
          <w:sz w:val="24"/>
        </w:rPr>
        <w:t>根据采购人要求对特定事项（如安全评测、安全检查等）进行专项检查前，或者在采购人认为可能对其业务运营产生重大影响的时刻来临之前（如大征期、重要时间节点等），提供重要事项深度巡检服务，提供专项检查报告，协助采购人提前发现问题，并提出避免风险发生所需采取的措施。</w:t>
      </w:r>
    </w:p>
    <w:p w14:paraId="6B43FAD5">
      <w:pPr>
        <w:spacing w:line="360" w:lineRule="auto"/>
        <w:ind w:firstLine="448" w:firstLineChars="200"/>
        <w:outlineLvl w:val="0"/>
        <w:rPr>
          <w:sz w:val="24"/>
        </w:rPr>
      </w:pPr>
      <w:r>
        <w:rPr>
          <w:rFonts w:hint="eastAsia"/>
          <w:sz w:val="24"/>
        </w:rPr>
        <w:t>⑶故障处理</w:t>
      </w:r>
    </w:p>
    <w:p w14:paraId="638B1E5B">
      <w:pPr>
        <w:spacing w:line="360" w:lineRule="auto"/>
        <w:ind w:firstLine="448" w:firstLineChars="200"/>
        <w:outlineLvl w:val="0"/>
        <w:rPr>
          <w:sz w:val="24"/>
        </w:rPr>
      </w:pPr>
      <w:r>
        <w:rPr>
          <w:rFonts w:hint="eastAsia"/>
          <w:sz w:val="24"/>
        </w:rPr>
        <w:t>①运维人员应及时处理本项目系统故障，或配合周边系统排查本项目系统接口故障问题。对于出现的系统故障，应在半小时内作出实质性反应，及时上报采购人系统负责人，组织运维人员定位和解决故障问题。如现场运维人员无法解决，应及时联系供应商二线工程师远程或到达故障现场进行处理解决。</w:t>
      </w:r>
    </w:p>
    <w:p w14:paraId="48C9148F">
      <w:pPr>
        <w:spacing w:line="360" w:lineRule="auto"/>
        <w:ind w:firstLine="448" w:firstLineChars="200"/>
        <w:outlineLvl w:val="0"/>
        <w:rPr>
          <w:sz w:val="24"/>
        </w:rPr>
      </w:pPr>
      <w:r>
        <w:rPr>
          <w:rFonts w:hint="eastAsia"/>
          <w:sz w:val="24"/>
        </w:rPr>
        <w:t>②若由于不可抗力造成本项目系统出现严重故障，引起全市范围内业务系统中断，供应商应配合采购人召集资深专家和技术人员进行会诊，根据预先制定应急措施开展有效处理，力求将事件引发的损失减少到最小。</w:t>
      </w:r>
    </w:p>
    <w:p w14:paraId="353FDC91">
      <w:pPr>
        <w:spacing w:line="360" w:lineRule="auto"/>
        <w:ind w:firstLine="448" w:firstLineChars="200"/>
        <w:outlineLvl w:val="0"/>
        <w:rPr>
          <w:sz w:val="24"/>
        </w:rPr>
      </w:pPr>
      <w:r>
        <w:rPr>
          <w:rFonts w:hint="eastAsia"/>
          <w:sz w:val="24"/>
        </w:rPr>
        <w:t>③供应商应在重大问题解决后24小时内，提交问题处理报告，说明问题种类、问题原因、问题解决中使用的方法及造成的损失等情况。</w:t>
      </w:r>
    </w:p>
    <w:p w14:paraId="441C4715">
      <w:pPr>
        <w:spacing w:line="360" w:lineRule="auto"/>
        <w:ind w:firstLine="448" w:firstLineChars="200"/>
        <w:outlineLvl w:val="0"/>
        <w:rPr>
          <w:sz w:val="24"/>
        </w:rPr>
      </w:pPr>
      <w:r>
        <w:rPr>
          <w:rFonts w:hint="eastAsia"/>
          <w:sz w:val="24"/>
        </w:rPr>
        <w:t>⑷数据备份</w:t>
      </w:r>
    </w:p>
    <w:p w14:paraId="132FFEF7">
      <w:pPr>
        <w:spacing w:line="360" w:lineRule="auto"/>
        <w:ind w:firstLine="448" w:firstLineChars="200"/>
        <w:outlineLvl w:val="0"/>
        <w:rPr>
          <w:sz w:val="24"/>
        </w:rPr>
      </w:pPr>
      <w:r>
        <w:rPr>
          <w:rFonts w:hint="eastAsia"/>
          <w:sz w:val="24"/>
        </w:rPr>
        <w:t>为保障数据安全，规避数据丢失风险，运维人员应配合采购人，按照系统备份统一规划，对本项目系统数据进行定期备份和恢复验证。税收业务类系统，应每天进行增量备份，每周进行全量备份，定期开展备份恢复演练。查询分析和行政办公类系统，应定期开展全量备份和备份恢复演练。</w:t>
      </w:r>
    </w:p>
    <w:p w14:paraId="6561CE02">
      <w:pPr>
        <w:spacing w:line="360" w:lineRule="auto"/>
        <w:ind w:firstLine="448" w:firstLineChars="200"/>
        <w:outlineLvl w:val="0"/>
        <w:rPr>
          <w:sz w:val="24"/>
        </w:rPr>
      </w:pPr>
      <w:r>
        <w:rPr>
          <w:rFonts w:hint="eastAsia"/>
          <w:sz w:val="24"/>
        </w:rPr>
        <w:t>⑸系统调优</w:t>
      </w:r>
    </w:p>
    <w:p w14:paraId="6CC6ED73">
      <w:pPr>
        <w:spacing w:line="360" w:lineRule="auto"/>
        <w:ind w:firstLine="448" w:firstLineChars="200"/>
        <w:outlineLvl w:val="0"/>
        <w:rPr>
          <w:sz w:val="24"/>
        </w:rPr>
      </w:pPr>
      <w:r>
        <w:rPr>
          <w:rFonts w:hint="eastAsia"/>
          <w:sz w:val="24"/>
        </w:rPr>
        <w:t>结合本项目系统运行要求，运维人员应对运行环境提出优化建议和应对方案。优化方案经采购人审核后，运维人员组织开展本项目系统优化，并指导相关系统厂商实施相应优化工作。包括：部署架构调优、中间件调优、存储调优、数据库调优、报表工具调优、备份系统调优等应用系统涉及的相关优化工作。</w:t>
      </w:r>
    </w:p>
    <w:p w14:paraId="7D1E9261">
      <w:pPr>
        <w:spacing w:line="360" w:lineRule="auto"/>
        <w:ind w:firstLine="448" w:firstLineChars="200"/>
        <w:outlineLvl w:val="0"/>
        <w:rPr>
          <w:sz w:val="24"/>
        </w:rPr>
      </w:pPr>
      <w:r>
        <w:rPr>
          <w:rFonts w:hint="eastAsia"/>
          <w:sz w:val="24"/>
        </w:rPr>
        <w:t>结合本项目系统运行要求，运维人员应对本项目系统相关数据库进行日常维护和优化调整，包括数据库系统级问题的分析解决，协助实施存储空间扩容，数据对象空间整理回收、执行计划优化、索引重构、分区调整、表数据分析等。</w:t>
      </w:r>
    </w:p>
    <w:p w14:paraId="1267AB6D">
      <w:pPr>
        <w:spacing w:line="360" w:lineRule="auto"/>
        <w:ind w:firstLine="448" w:firstLineChars="200"/>
        <w:outlineLvl w:val="0"/>
        <w:rPr>
          <w:sz w:val="24"/>
        </w:rPr>
      </w:pPr>
      <w:r>
        <w:rPr>
          <w:rFonts w:hint="eastAsia"/>
          <w:sz w:val="24"/>
        </w:rPr>
        <w:t>2.接口运维</w:t>
      </w:r>
    </w:p>
    <w:p w14:paraId="25D2C8C9">
      <w:pPr>
        <w:spacing w:line="360" w:lineRule="auto"/>
        <w:ind w:firstLine="448" w:firstLineChars="200"/>
        <w:outlineLvl w:val="0"/>
        <w:rPr>
          <w:sz w:val="24"/>
        </w:rPr>
      </w:pPr>
      <w:r>
        <w:rPr>
          <w:rFonts w:hint="eastAsia"/>
          <w:sz w:val="24"/>
        </w:rPr>
        <w:t>接口运维服务是指为通过集成平台接入本项目系统的第三方系统提供接口调试的运维服务，包括总局统发系统、本地特色软件系统、外部门外单位系统等。</w:t>
      </w:r>
    </w:p>
    <w:p w14:paraId="5F413A68">
      <w:pPr>
        <w:spacing w:line="360" w:lineRule="auto"/>
        <w:ind w:firstLine="448" w:firstLineChars="200"/>
        <w:outlineLvl w:val="0"/>
        <w:rPr>
          <w:sz w:val="24"/>
        </w:rPr>
      </w:pPr>
      <w:r>
        <w:rPr>
          <w:rFonts w:hint="eastAsia"/>
          <w:sz w:val="24"/>
        </w:rPr>
        <w:t>当第三方系统与本项目系统业务交互存在问题时，运维人员应配合第三方软件公司进行问题分析和定位，向第三方软件公司提供问题解决方案，并对属于本项目系统接口的问题完善程序。</w:t>
      </w:r>
    </w:p>
    <w:p w14:paraId="0CA45B28">
      <w:pPr>
        <w:spacing w:line="360" w:lineRule="auto"/>
        <w:ind w:firstLine="448" w:firstLineChars="200"/>
        <w:outlineLvl w:val="0"/>
        <w:rPr>
          <w:sz w:val="24"/>
        </w:rPr>
      </w:pPr>
      <w:r>
        <w:rPr>
          <w:rFonts w:hint="eastAsia"/>
          <w:sz w:val="24"/>
        </w:rPr>
        <w:t>接口运维主要包括以下两方面的测试内容</w:t>
      </w:r>
    </w:p>
    <w:p w14:paraId="32EC6D61">
      <w:pPr>
        <w:spacing w:line="360" w:lineRule="auto"/>
        <w:ind w:firstLine="448" w:firstLineChars="200"/>
        <w:outlineLvl w:val="0"/>
        <w:rPr>
          <w:sz w:val="24"/>
        </w:rPr>
      </w:pPr>
      <w:r>
        <w:rPr>
          <w:rFonts w:hint="eastAsia"/>
          <w:sz w:val="24"/>
        </w:rPr>
        <w:t>⑴业务流程测试：测试业务流程的连续性，确保两个系统的业务正常衔接，符合税收业务流程。对测试过程中遇到的各种问题进行分析，如果是第三方系统业务错误，提出修改方案供采购人和第三方软件公司参考修改。</w:t>
      </w:r>
    </w:p>
    <w:p w14:paraId="6038A447">
      <w:pPr>
        <w:spacing w:line="360" w:lineRule="auto"/>
        <w:ind w:firstLine="448" w:firstLineChars="200"/>
        <w:outlineLvl w:val="0"/>
        <w:rPr>
          <w:sz w:val="24"/>
        </w:rPr>
      </w:pPr>
      <w:r>
        <w:rPr>
          <w:rFonts w:hint="eastAsia"/>
          <w:sz w:val="24"/>
        </w:rPr>
        <w:t>⑵业务数据测试：通过两个系统前台业务功能模块的业务场景测试，检查两个系统数据库中的业务数据是否正确，检查第三方系统写入本项目系统的数据是否符合数据填写规则。如果发现存在写入数据错误，应指导采购人和第三方软件公司修改数据写入规则。</w:t>
      </w:r>
    </w:p>
    <w:p w14:paraId="74C430B3">
      <w:pPr>
        <w:spacing w:line="360" w:lineRule="auto"/>
        <w:ind w:firstLine="448" w:firstLineChars="200"/>
        <w:outlineLvl w:val="0"/>
        <w:rPr>
          <w:sz w:val="24"/>
        </w:rPr>
      </w:pPr>
      <w:r>
        <w:rPr>
          <w:rFonts w:hint="eastAsia"/>
          <w:sz w:val="24"/>
        </w:rPr>
        <w:t>3.告警处置</w:t>
      </w:r>
    </w:p>
    <w:p w14:paraId="05107859">
      <w:pPr>
        <w:spacing w:line="360" w:lineRule="auto"/>
        <w:ind w:firstLine="448" w:firstLineChars="200"/>
        <w:outlineLvl w:val="0"/>
        <w:rPr>
          <w:sz w:val="24"/>
        </w:rPr>
      </w:pPr>
      <w:r>
        <w:rPr>
          <w:rFonts w:hint="eastAsia"/>
          <w:sz w:val="24"/>
        </w:rPr>
        <w:t>运维人员需随时关注采购人运维监控系统推送的本项目系统告警信息，对告警信息进行核实，真实告警要及时处置系统故障，误报告警要调整监控指标或阈值，告警工单要详细录入告警分析结论和具体处置方法，当月产生的告警信息和告警工单要当月清零。根据总局和采购人要求，参与对重大告警问题的联合排查和处置，对于重大告警至少每20分钟通报一次处置进度。现场运维人员无法解决的告警和故障，需及时联系二线开发部门获取解决方案。</w:t>
      </w:r>
    </w:p>
    <w:p w14:paraId="39BB8A92">
      <w:pPr>
        <w:spacing w:line="360" w:lineRule="auto"/>
        <w:ind w:firstLine="448" w:firstLineChars="200"/>
        <w:outlineLvl w:val="0"/>
        <w:rPr>
          <w:sz w:val="24"/>
        </w:rPr>
      </w:pPr>
      <w:r>
        <w:rPr>
          <w:rFonts w:hint="eastAsia"/>
          <w:sz w:val="24"/>
        </w:rPr>
        <w:t>4.重保值守</w:t>
      </w:r>
    </w:p>
    <w:p w14:paraId="69939CAD">
      <w:pPr>
        <w:spacing w:line="360" w:lineRule="auto"/>
        <w:ind w:firstLine="448" w:firstLineChars="200"/>
        <w:outlineLvl w:val="0"/>
        <w:rPr>
          <w:sz w:val="24"/>
        </w:rPr>
      </w:pPr>
      <w:r>
        <w:rPr>
          <w:rFonts w:hint="eastAsia"/>
          <w:sz w:val="24"/>
        </w:rPr>
        <w:t>按照采购人实际需要，在每季度大征期、国家重要节日活动期间，在采购人统一指挥下开展7×24小时重保值守工作，开展本项目系统相关安全保障检查、安全保障监控和安全保障响应，及时开展系统问题处置和安全加固。供应商应在重要保障期间要同步做好供应链安全防护。</w:t>
      </w:r>
    </w:p>
    <w:p w14:paraId="0B79BEAA">
      <w:pPr>
        <w:spacing w:line="360" w:lineRule="auto"/>
        <w:ind w:firstLine="448" w:firstLineChars="200"/>
        <w:outlineLvl w:val="0"/>
        <w:rPr>
          <w:sz w:val="24"/>
        </w:rPr>
      </w:pPr>
      <w:r>
        <w:rPr>
          <w:rFonts w:hint="eastAsia"/>
          <w:sz w:val="24"/>
        </w:rPr>
        <w:t>重保值守期间，运维人员应重点对数据库、中间件、应用系统登录日志、错误日志、操作日志等进行审计分析，定期对数据库账号、操作系统账号、中间件账号、操作系统目录、应用程序目录、数据库结构进行完整性校验，发现问题及时上报。</w:t>
      </w:r>
    </w:p>
    <w:p w14:paraId="04027726">
      <w:pPr>
        <w:spacing w:line="360" w:lineRule="auto"/>
        <w:ind w:firstLine="448" w:firstLineChars="200"/>
        <w:outlineLvl w:val="0"/>
        <w:rPr>
          <w:sz w:val="24"/>
        </w:rPr>
      </w:pPr>
      <w:r>
        <w:rPr>
          <w:rFonts w:hint="eastAsia"/>
          <w:sz w:val="24"/>
        </w:rPr>
        <w:t>运维人员应根据采购人通报及时排查对本项目系统的可疑攻击，进行病毒或木马清理，如发生网络安全事件需充分保存日志记录，配合有关部门做好证据勘查，完整保留证据等工作，同时要举一反三，根据问题线索对相关应用系统进行全面排查和加固。</w:t>
      </w:r>
    </w:p>
    <w:p w14:paraId="4A996A20">
      <w:pPr>
        <w:spacing w:line="360" w:lineRule="auto"/>
        <w:ind w:firstLine="448" w:firstLineChars="200"/>
        <w:outlineLvl w:val="0"/>
        <w:rPr>
          <w:sz w:val="24"/>
        </w:rPr>
      </w:pPr>
      <w:r>
        <w:rPr>
          <w:rFonts w:hint="eastAsia"/>
          <w:sz w:val="24"/>
        </w:rPr>
        <w:t>5.系统升级</w:t>
      </w:r>
    </w:p>
    <w:p w14:paraId="378C84C5">
      <w:pPr>
        <w:spacing w:line="360" w:lineRule="auto"/>
        <w:ind w:firstLine="448" w:firstLineChars="200"/>
        <w:outlineLvl w:val="0"/>
        <w:rPr>
          <w:sz w:val="24"/>
        </w:rPr>
      </w:pPr>
      <w:r>
        <w:rPr>
          <w:rFonts w:hint="eastAsia"/>
          <w:sz w:val="24"/>
        </w:rPr>
        <w:t>⑴升级计划</w:t>
      </w:r>
    </w:p>
    <w:p w14:paraId="56D6CC35">
      <w:pPr>
        <w:spacing w:line="360" w:lineRule="auto"/>
        <w:ind w:firstLine="448" w:firstLineChars="200"/>
        <w:outlineLvl w:val="0"/>
        <w:rPr>
          <w:sz w:val="24"/>
        </w:rPr>
      </w:pPr>
      <w:r>
        <w:rPr>
          <w:rFonts w:hint="eastAsia"/>
          <w:sz w:val="24"/>
        </w:rPr>
        <w:t>运维人员应随时了解总局或二线开发部门发布的本项目系统最新版本情况，及时掌握需求变更或BUG修改产生的升级需求，与采购人系统负责人一起进行评估，分析升级方案，制定升级计划。</w:t>
      </w:r>
    </w:p>
    <w:p w14:paraId="5FC8BC2F">
      <w:pPr>
        <w:spacing w:line="360" w:lineRule="auto"/>
        <w:ind w:firstLine="448" w:firstLineChars="200"/>
        <w:outlineLvl w:val="0"/>
        <w:rPr>
          <w:sz w:val="24"/>
        </w:rPr>
      </w:pPr>
      <w:r>
        <w:rPr>
          <w:rFonts w:hint="eastAsia"/>
          <w:sz w:val="24"/>
        </w:rPr>
        <w:t>⑵升级测试</w:t>
      </w:r>
    </w:p>
    <w:p w14:paraId="0BF859B2">
      <w:pPr>
        <w:spacing w:line="360" w:lineRule="auto"/>
        <w:ind w:firstLine="448" w:firstLineChars="200"/>
        <w:outlineLvl w:val="0"/>
        <w:rPr>
          <w:sz w:val="24"/>
        </w:rPr>
      </w:pPr>
      <w:r>
        <w:rPr>
          <w:rFonts w:hint="eastAsia"/>
          <w:sz w:val="24"/>
        </w:rPr>
        <w:t>当总局或二线开发部门发布本项目系统新版本或紧急补丁时，运维人员需要先在预生产环境上进行升级验证，模拟实际业务场景操作测试。同时，运维人员需辅助采购人业务测试人员和相关系统厂商，完成预生产环境的验证测试和联调测试工作。对测试问题进行分析定位，如果确定是本项目系统程序BUG，运维人员应联系本项目系统开发部门进行修改，直到问题得到解决。</w:t>
      </w:r>
    </w:p>
    <w:p w14:paraId="636B5EA6">
      <w:pPr>
        <w:spacing w:line="360" w:lineRule="auto"/>
        <w:ind w:firstLine="448" w:firstLineChars="200"/>
        <w:outlineLvl w:val="0"/>
        <w:rPr>
          <w:sz w:val="24"/>
        </w:rPr>
      </w:pPr>
      <w:r>
        <w:rPr>
          <w:rFonts w:hint="eastAsia"/>
          <w:sz w:val="24"/>
        </w:rPr>
        <w:t>每次升级需根据升级清单将新增功能和修改问题逐一测试，并按照制定的冒烟测试流程进行冒烟测试。对于测试中出现的问题及时进行沟通和处理。测试通过后，才能在生产环境中升级发布。</w:t>
      </w:r>
    </w:p>
    <w:p w14:paraId="5BCCF8EB">
      <w:pPr>
        <w:spacing w:line="360" w:lineRule="auto"/>
        <w:ind w:firstLine="448" w:firstLineChars="200"/>
        <w:outlineLvl w:val="0"/>
        <w:rPr>
          <w:sz w:val="24"/>
        </w:rPr>
      </w:pPr>
      <w:r>
        <w:rPr>
          <w:rFonts w:hint="eastAsia"/>
          <w:sz w:val="24"/>
        </w:rPr>
        <w:t>⑶升级发布</w:t>
      </w:r>
    </w:p>
    <w:p w14:paraId="6D8E43EE">
      <w:pPr>
        <w:spacing w:line="360" w:lineRule="auto"/>
        <w:ind w:firstLine="448" w:firstLineChars="200"/>
        <w:outlineLvl w:val="0"/>
        <w:rPr>
          <w:sz w:val="24"/>
        </w:rPr>
      </w:pPr>
      <w:r>
        <w:rPr>
          <w:rFonts w:hint="eastAsia"/>
          <w:sz w:val="24"/>
        </w:rPr>
        <w:t>运维人员根据采购人确定的升级时间窗口，按期完成本项目系统生产环境升级部署和验证测试工作，升级前要做好停机备案和告警压制等准备工作。在升级过程中，严格依据软件开发控制流程进行规范化管理，以保证升级版本的质量。升级部署后，运维人员需再次核对程序版本，按照制定的冒烟测试流程进行冒烟测试，协调周边系统开展联调验证。</w:t>
      </w:r>
    </w:p>
    <w:p w14:paraId="4C24687E">
      <w:pPr>
        <w:spacing w:line="360" w:lineRule="auto"/>
        <w:ind w:firstLine="448" w:firstLineChars="200"/>
        <w:outlineLvl w:val="0"/>
        <w:rPr>
          <w:sz w:val="24"/>
        </w:rPr>
      </w:pPr>
      <w:r>
        <w:rPr>
          <w:rFonts w:hint="eastAsia"/>
          <w:sz w:val="24"/>
        </w:rPr>
        <w:t>6.安全加固</w:t>
      </w:r>
    </w:p>
    <w:p w14:paraId="012B6E26">
      <w:pPr>
        <w:spacing w:line="360" w:lineRule="auto"/>
        <w:ind w:firstLine="448" w:firstLineChars="200"/>
        <w:outlineLvl w:val="0"/>
        <w:rPr>
          <w:sz w:val="24"/>
        </w:rPr>
      </w:pPr>
      <w:r>
        <w:rPr>
          <w:rFonts w:hint="eastAsia"/>
          <w:sz w:val="24"/>
        </w:rPr>
        <w:t>配合采购人开展本项目系统安全加固，包括漏洞修复、基线安全配置、高危端口修改、弱口令清理等。配合采购人开展信息系统等级保护测评、密码安全性评估、渗透测试、数据安全风险评估、源代码审计等安全检查和安全审计工作，包括人员访谈，提供资产信息，根据报告进行问题整改和复测等。</w:t>
      </w:r>
    </w:p>
    <w:p w14:paraId="0A456D86">
      <w:pPr>
        <w:spacing w:line="360" w:lineRule="auto"/>
        <w:ind w:firstLine="448" w:firstLineChars="200"/>
        <w:outlineLvl w:val="0"/>
        <w:rPr>
          <w:sz w:val="24"/>
        </w:rPr>
      </w:pPr>
      <w:r>
        <w:rPr>
          <w:rFonts w:hint="eastAsia"/>
          <w:sz w:val="24"/>
        </w:rPr>
        <w:t>7.系统迁移</w:t>
      </w:r>
    </w:p>
    <w:p w14:paraId="0522369A">
      <w:pPr>
        <w:spacing w:line="360" w:lineRule="auto"/>
        <w:ind w:firstLine="448" w:firstLineChars="200"/>
        <w:outlineLvl w:val="0"/>
        <w:rPr>
          <w:sz w:val="24"/>
        </w:rPr>
      </w:pPr>
      <w:r>
        <w:rPr>
          <w:rFonts w:hint="eastAsia"/>
          <w:sz w:val="24"/>
        </w:rPr>
        <w:t>采购人进行硬件资源整合和规划过程中，将面临有效硬件资源的合理利用，从而避免资源浪费，这将涉及硬件服务器上的本项目系统相关应用迁移。</w:t>
      </w:r>
    </w:p>
    <w:p w14:paraId="0BD035E4">
      <w:pPr>
        <w:spacing w:line="360" w:lineRule="auto"/>
        <w:ind w:firstLine="448" w:firstLineChars="200"/>
        <w:outlineLvl w:val="0"/>
        <w:rPr>
          <w:sz w:val="24"/>
        </w:rPr>
      </w:pPr>
      <w:r>
        <w:rPr>
          <w:rFonts w:hint="eastAsia"/>
          <w:sz w:val="24"/>
        </w:rPr>
        <w:t>⑴供应商指派专业技术工程师，根据采购人提出的本项目系统重大配置变更申请（如应用系统网络、存储、主机、中间件、数据库、操作系统的重大配置调整）进行评估和方案制定，并综合判断重大配置变更执行的风险、回退方案、可行性、所需资源等。在不改变现有系统架构情况下，当主机系统、网络系统、存储系统、专用设备等发生迁移变更时，指派环境搭建部署人员密切配合硬件厂商等第三方公司做好本项目系统的迁移变更工作，以及对本项目系统环境的重新搭建部署工作。</w:t>
      </w:r>
    </w:p>
    <w:p w14:paraId="6D6BD421">
      <w:pPr>
        <w:spacing w:line="360" w:lineRule="auto"/>
        <w:ind w:firstLine="448" w:firstLineChars="200"/>
        <w:outlineLvl w:val="0"/>
        <w:rPr>
          <w:sz w:val="24"/>
        </w:rPr>
      </w:pPr>
      <w:r>
        <w:rPr>
          <w:rFonts w:hint="eastAsia"/>
          <w:sz w:val="24"/>
        </w:rPr>
        <w:t>⑵本项目系统相关应用、网络、存储、主机、中间件、数据库、操作系统等，由于第三方厂商并购或战略调整导致的产品停产或产品替代，尤其是服务器和数据库等重要环境，采购人面临迁移或升级的压力，供应商可凭借对异构平台的深入理解，配合采购人制定跨系统平台迁移方案，及时有效规避第三方产品的更迭风险。</w:t>
      </w:r>
    </w:p>
    <w:p w14:paraId="561BBAAC">
      <w:pPr>
        <w:spacing w:line="360" w:lineRule="auto"/>
        <w:ind w:firstLine="448" w:firstLineChars="200"/>
        <w:outlineLvl w:val="0"/>
        <w:rPr>
          <w:sz w:val="24"/>
        </w:rPr>
      </w:pPr>
      <w:r>
        <w:rPr>
          <w:rFonts w:hint="eastAsia"/>
          <w:sz w:val="24"/>
        </w:rPr>
        <w:t>8.运维报告</w:t>
      </w:r>
    </w:p>
    <w:p w14:paraId="5FCEA9D2">
      <w:pPr>
        <w:spacing w:line="360" w:lineRule="auto"/>
        <w:ind w:firstLine="448" w:firstLineChars="200"/>
        <w:outlineLvl w:val="0"/>
        <w:rPr>
          <w:sz w:val="24"/>
        </w:rPr>
      </w:pPr>
      <w:r>
        <w:rPr>
          <w:rFonts w:hint="eastAsia"/>
          <w:sz w:val="24"/>
        </w:rPr>
        <w:t>运维人员应在每个工作日例行巡检后，通过供应商即时通讯群、运维平台等途径，发布系统主要健康指标。定期运维沟通会上，由运维项目经理汇报本项目系统运行维护情况。次月征期之前，向采购人提交当月系统运行维护报告和征期前深度巡检报告，报告应包含本项目系统涉及的所有软硬件当月健康情况、当月主要运维问题、主要运行风险和解决建议、当月版本升级、紧急补丁和程序发布情况等内容。</w:t>
      </w:r>
    </w:p>
    <w:p w14:paraId="6CD641BE">
      <w:pPr>
        <w:spacing w:line="360" w:lineRule="auto"/>
        <w:ind w:firstLine="448" w:firstLineChars="200"/>
        <w:outlineLvl w:val="0"/>
        <w:rPr>
          <w:sz w:val="24"/>
        </w:rPr>
      </w:pPr>
      <w:r>
        <w:rPr>
          <w:rFonts w:hint="eastAsia"/>
          <w:sz w:val="24"/>
        </w:rPr>
        <w:t>9.培训服务</w:t>
      </w:r>
    </w:p>
    <w:p w14:paraId="3B761D36">
      <w:pPr>
        <w:spacing w:line="360" w:lineRule="auto"/>
        <w:ind w:firstLine="448" w:firstLineChars="200"/>
        <w:outlineLvl w:val="0"/>
        <w:rPr>
          <w:sz w:val="24"/>
        </w:rPr>
      </w:pPr>
      <w:r>
        <w:rPr>
          <w:rFonts w:hint="eastAsia"/>
          <w:sz w:val="24"/>
        </w:rPr>
        <w:t>向采购人人员培训本项目系统相关开发技术、开发框架、数据库结构以及日常维护知识。提供本项目系统培训、使用、开发、维护文档。每次系统升级更新后，应对采购人相关人员提供变更内容培训。如果是新业务功能升级，还需配套下发操作手册，或配合编写本地化操作手册。必要时按照采购人要求，在指定人员范围内开展培训工作。</w:t>
      </w:r>
    </w:p>
    <w:p w14:paraId="29B10413">
      <w:pPr>
        <w:spacing w:line="360" w:lineRule="auto"/>
        <w:ind w:firstLine="448" w:firstLineChars="200"/>
        <w:outlineLvl w:val="0"/>
        <w:rPr>
          <w:sz w:val="24"/>
        </w:rPr>
      </w:pPr>
      <w:r>
        <w:rPr>
          <w:rFonts w:hint="eastAsia"/>
          <w:sz w:val="24"/>
        </w:rPr>
        <w:t>10.应急响应及演练</w:t>
      </w:r>
    </w:p>
    <w:p w14:paraId="534CAEC6">
      <w:pPr>
        <w:spacing w:line="360" w:lineRule="auto"/>
        <w:ind w:firstLine="448" w:firstLineChars="200"/>
        <w:outlineLvl w:val="0"/>
        <w:rPr>
          <w:sz w:val="24"/>
        </w:rPr>
      </w:pPr>
      <w:r>
        <w:rPr>
          <w:rFonts w:hint="eastAsia"/>
          <w:sz w:val="24"/>
        </w:rPr>
        <w:t>供应商应制定适用于本项目系统，以及关联中间件、数据库等第三方软硬件产品的应急预案，其目的是在发生突发事件时，通过预先制定应急措施进行有效处理，快速恢复，力求将事件引发的损失减少到最小。</w:t>
      </w:r>
    </w:p>
    <w:p w14:paraId="440E4E7C">
      <w:pPr>
        <w:spacing w:line="360" w:lineRule="auto"/>
        <w:ind w:firstLine="448" w:firstLineChars="200"/>
        <w:outlineLvl w:val="0"/>
        <w:rPr>
          <w:sz w:val="24"/>
        </w:rPr>
      </w:pPr>
      <w:r>
        <w:rPr>
          <w:rFonts w:hint="eastAsia"/>
          <w:sz w:val="24"/>
        </w:rPr>
        <w:t>按采购人要求，供应商定期组织运维人员进行应急预案演练。通过演练，可以确保本项目系统的可用性和稳定性，保证业务的持续性，同时也提高运维人员的实施应急预案的能力。当本项目系统实际发生重大故障，或遭受重大网络攻击等安全事件时，按照应急响应预案，开展风险应对和系统恢复。</w:t>
      </w:r>
    </w:p>
    <w:p w14:paraId="370C76B4">
      <w:pPr>
        <w:spacing w:line="360" w:lineRule="auto"/>
        <w:ind w:firstLine="448" w:firstLineChars="200"/>
        <w:outlineLvl w:val="0"/>
        <w:rPr>
          <w:sz w:val="24"/>
        </w:rPr>
      </w:pPr>
      <w:r>
        <w:rPr>
          <w:rFonts w:hint="eastAsia"/>
          <w:sz w:val="24"/>
        </w:rPr>
        <w:t>11.高级技术支持</w:t>
      </w:r>
    </w:p>
    <w:p w14:paraId="43F67DAF">
      <w:pPr>
        <w:spacing w:line="360" w:lineRule="auto"/>
        <w:ind w:firstLine="448" w:firstLineChars="200"/>
        <w:outlineLvl w:val="0"/>
        <w:rPr>
          <w:sz w:val="24"/>
        </w:rPr>
      </w:pPr>
      <w:r>
        <w:rPr>
          <w:rFonts w:hint="eastAsia"/>
          <w:sz w:val="24"/>
        </w:rPr>
        <w:t>⑴对于现场运维人员不能解决的本项目系统疑难问题，由供应商二线专家服务团队提供解决办法，该专家服务团队应具备综合故障分析、系统优化、应急处置等专业能力。</w:t>
      </w:r>
    </w:p>
    <w:p w14:paraId="38A56B8F">
      <w:pPr>
        <w:spacing w:line="360" w:lineRule="auto"/>
        <w:ind w:firstLine="448" w:firstLineChars="200"/>
        <w:outlineLvl w:val="0"/>
        <w:rPr>
          <w:sz w:val="24"/>
        </w:rPr>
      </w:pPr>
      <w:r>
        <w:rPr>
          <w:rFonts w:hint="eastAsia"/>
          <w:sz w:val="24"/>
        </w:rPr>
        <w:t>⑵对于本项目系统遇到的重大事件和疑问，采购人将召集资深专家进行会诊。供应商应备有一支专业技术专家队伍，经过专家会诊，应能很快确定问题所在，找到相应的解决办法，并采取相应的措施，确保系统的及时恢复正常运行。</w:t>
      </w:r>
    </w:p>
    <w:p w14:paraId="14AB3FF4">
      <w:pPr>
        <w:spacing w:line="360" w:lineRule="auto"/>
        <w:ind w:firstLine="448" w:firstLineChars="200"/>
        <w:outlineLvl w:val="0"/>
        <w:rPr>
          <w:sz w:val="24"/>
        </w:rPr>
      </w:pPr>
      <w:r>
        <w:rPr>
          <w:rFonts w:hint="eastAsia"/>
          <w:sz w:val="24"/>
        </w:rPr>
        <w:t>⑶供应商的二线专家服务团队和专业技术专家团队，应定期为本项目系统现场运维人员组织技能培训，指导其部署及维护运维监控工具，针对本项目系统在采购人的运行环境提供高级巡检服务，并给出优化建议或咨询报告。</w:t>
      </w:r>
    </w:p>
    <w:p w14:paraId="48D3F88D">
      <w:pPr>
        <w:spacing w:line="360" w:lineRule="auto"/>
        <w:ind w:firstLine="448" w:firstLineChars="200"/>
        <w:outlineLvl w:val="0"/>
        <w:rPr>
          <w:sz w:val="24"/>
        </w:rPr>
      </w:pPr>
      <w:r>
        <w:rPr>
          <w:rFonts w:hint="eastAsia"/>
          <w:sz w:val="24"/>
        </w:rPr>
        <w:t>12.特有技术运维服务</w:t>
      </w:r>
    </w:p>
    <w:p w14:paraId="334EE79A">
      <w:pPr>
        <w:spacing w:line="360" w:lineRule="auto"/>
        <w:ind w:firstLine="448" w:firstLineChars="200"/>
        <w:outlineLvl w:val="0"/>
        <w:rPr>
          <w:sz w:val="24"/>
        </w:rPr>
      </w:pPr>
      <w:r>
        <w:rPr>
          <w:rFonts w:hint="eastAsia"/>
          <w:sz w:val="24"/>
        </w:rPr>
        <w:t>12.1.应用支撑平台、多云运维管理平台、税务区块链基础平台遵循“云化、服务化”总体思路，采用分层解耦设计，云化服务化架构，因此需针对本项目系统开展相关技术运维服务。</w:t>
      </w:r>
    </w:p>
    <w:p w14:paraId="56489DB1">
      <w:pPr>
        <w:spacing w:line="360" w:lineRule="auto"/>
        <w:ind w:firstLine="448" w:firstLineChars="200"/>
        <w:outlineLvl w:val="0"/>
        <w:rPr>
          <w:sz w:val="24"/>
        </w:rPr>
      </w:pPr>
      <w:r>
        <w:rPr>
          <w:rFonts w:hint="eastAsia"/>
          <w:sz w:val="24"/>
        </w:rPr>
        <w:t>⑴云服务集成平台</w:t>
      </w:r>
    </w:p>
    <w:p w14:paraId="240DD5BC">
      <w:pPr>
        <w:spacing w:line="360" w:lineRule="auto"/>
        <w:ind w:firstLine="448" w:firstLineChars="200"/>
        <w:outlineLvl w:val="0"/>
        <w:rPr>
          <w:sz w:val="24"/>
        </w:rPr>
      </w:pPr>
      <w:r>
        <w:rPr>
          <w:rFonts w:hint="eastAsia"/>
          <w:sz w:val="24"/>
        </w:rPr>
        <w:t>云服务集成平台依托里约网关，帮助打通、整合内外新旧业务系统，屏蔽异构系统的差异化，对应用系统提供统一的标准规范，实现应用系统之间的服务调用和管控。需协助采购人，开展本项目系统相关云服务集成平台的注册、部署、升级、管控等维护工作，开展相关功能或接口服务的冒烟验证和联调测试工作，接口请求数及调用成功率业务错误日志针对性处理。</w:t>
      </w:r>
    </w:p>
    <w:p w14:paraId="2840D565">
      <w:pPr>
        <w:spacing w:line="360" w:lineRule="auto"/>
        <w:ind w:firstLine="448" w:firstLineChars="200"/>
        <w:outlineLvl w:val="0"/>
        <w:rPr>
          <w:sz w:val="24"/>
        </w:rPr>
      </w:pPr>
      <w:r>
        <w:rPr>
          <w:rFonts w:hint="eastAsia"/>
          <w:sz w:val="24"/>
        </w:rPr>
        <w:t>⑵云应用和云数据库管理</w:t>
      </w:r>
    </w:p>
    <w:p w14:paraId="75443D2B">
      <w:pPr>
        <w:spacing w:line="360" w:lineRule="auto"/>
        <w:ind w:firstLine="448" w:firstLineChars="200"/>
        <w:outlineLvl w:val="0"/>
        <w:rPr>
          <w:sz w:val="24"/>
        </w:rPr>
      </w:pPr>
      <w:r>
        <w:rPr>
          <w:rFonts w:hint="eastAsia"/>
          <w:sz w:val="24"/>
        </w:rPr>
        <w:t>①云服务：根据统一的标准规范，负责部署在腾讯云上的本项目系统相关应用和数据库的维护，包括本项目系统相关云上基础环境和基础软件（含云套件、基础平台、数据库、中间件、数据同步工具、数据治理工具、数据安全工具、基础监控工具、业务监控工具）、公共组件、应用微服务（微服务及服务接口）等。例如负责云租户端容器集群(TKE)的master和node节点运行情况监控节点扩容，弹性伸缩监控、云服务器（CVM）cpu内存磁盘监控、负载均衡(CLB)的健康状态、云平台各私有网络(VPC)之间的连通性、日志服务(CLS)关键字监控、云数据库(TDSQL、Tbase、MariaDB等)客户端连接数磁盘使用率、消息中间件(CKafka)数据积压等云产品的日常运行监控等。</w:t>
      </w:r>
    </w:p>
    <w:p w14:paraId="39BFAF66">
      <w:pPr>
        <w:spacing w:line="360" w:lineRule="auto"/>
        <w:ind w:firstLine="448" w:firstLineChars="200"/>
        <w:outlineLvl w:val="0"/>
        <w:rPr>
          <w:sz w:val="24"/>
        </w:rPr>
      </w:pPr>
      <w:r>
        <w:rPr>
          <w:rFonts w:hint="eastAsia"/>
          <w:sz w:val="24"/>
        </w:rPr>
        <w:t>②云服务性能优化与调整：根据本项目系统业务需求和负载情况，针对不同的服务制定Kubernetes云容器，实现对Pod实例准确控制。利用腾讯云的性能监控工具，针对本项目系统实时分析性能瓶颈，并采取相应的优化措施。遇到本项目系统相关云上系统异常或故障时，迅速定位问题原因，并采取有效措施进行恢复。配合开展本项目系统相关云平台、云平台产品、里约网关、蓝鲸平台、云上安全产品、云上网络产品升级工作。</w:t>
      </w:r>
    </w:p>
    <w:p w14:paraId="3B68C4B0">
      <w:pPr>
        <w:spacing w:line="360" w:lineRule="auto"/>
        <w:ind w:firstLine="448" w:firstLineChars="200"/>
        <w:outlineLvl w:val="0"/>
        <w:rPr>
          <w:sz w:val="24"/>
        </w:rPr>
      </w:pPr>
      <w:r>
        <w:rPr>
          <w:rFonts w:hint="eastAsia"/>
          <w:sz w:val="24"/>
        </w:rPr>
        <w:t>③自动化运维实施：引入本项目系统相关自动化运维工具，如Ansible实现批量部署、配置更新和故障恢复。通过自动化脚本，减少人为操作失误，提高运维效率。</w:t>
      </w:r>
    </w:p>
    <w:p w14:paraId="170BDA4B">
      <w:pPr>
        <w:spacing w:line="360" w:lineRule="auto"/>
        <w:ind w:firstLine="448" w:firstLineChars="200"/>
        <w:outlineLvl w:val="0"/>
        <w:rPr>
          <w:sz w:val="24"/>
        </w:rPr>
      </w:pPr>
      <w:r>
        <w:rPr>
          <w:rFonts w:hint="eastAsia"/>
          <w:sz w:val="24"/>
        </w:rPr>
        <w:t>12.2.应用支撑平台特有技术运维服务</w:t>
      </w:r>
    </w:p>
    <w:p w14:paraId="6481707B">
      <w:pPr>
        <w:spacing w:line="360" w:lineRule="auto"/>
        <w:ind w:firstLine="448" w:firstLineChars="200"/>
        <w:outlineLvl w:val="0"/>
        <w:rPr>
          <w:sz w:val="24"/>
        </w:rPr>
      </w:pPr>
      <w:r>
        <w:rPr>
          <w:rFonts w:hint="eastAsia"/>
          <w:sz w:val="24"/>
        </w:rPr>
        <w:t>⑴数据汇聚区维护管理</w:t>
      </w:r>
    </w:p>
    <w:p w14:paraId="74B4F04A">
      <w:pPr>
        <w:spacing w:line="360" w:lineRule="auto"/>
        <w:ind w:firstLine="448" w:firstLineChars="200"/>
        <w:outlineLvl w:val="0"/>
        <w:rPr>
          <w:sz w:val="24"/>
        </w:rPr>
      </w:pPr>
      <w:r>
        <w:rPr>
          <w:rFonts w:hint="eastAsia"/>
          <w:sz w:val="24"/>
        </w:rPr>
        <w:t>协助采购人，重点保障省局汇聚区，按总局相关要求完成数据的汇聚范围拓展和新增等日常运维工作。做好支撑其他系统的数据服务维护管理工作，包括微服务定期监控及问题处理、数据加工任务定期监控及问题处理。开展电子发票服务平台、新电子税务局、应用支撑平台以及与其他系统间的数据运维、统筹数据治理和复杂问题解决。</w:t>
      </w:r>
    </w:p>
    <w:p w14:paraId="59416FF9">
      <w:pPr>
        <w:spacing w:line="360" w:lineRule="auto"/>
        <w:ind w:firstLine="448" w:firstLineChars="200"/>
        <w:outlineLvl w:val="0"/>
        <w:rPr>
          <w:sz w:val="24"/>
        </w:rPr>
      </w:pPr>
      <w:r>
        <w:rPr>
          <w:rFonts w:hint="eastAsia"/>
          <w:sz w:val="24"/>
        </w:rPr>
        <w:t>⑵基础治理维护管理</w:t>
      </w:r>
    </w:p>
    <w:p w14:paraId="5A65FD36">
      <w:pPr>
        <w:spacing w:line="360" w:lineRule="auto"/>
        <w:ind w:firstLine="448" w:firstLineChars="200"/>
        <w:outlineLvl w:val="0"/>
        <w:rPr>
          <w:sz w:val="24"/>
        </w:rPr>
      </w:pPr>
      <w:r>
        <w:rPr>
          <w:rFonts w:hint="eastAsia"/>
          <w:sz w:val="24"/>
        </w:rPr>
        <w:t>①元数据管理：协助采购人，对接省局各系统，完成日常各类数据资产元数据信息的收集、存储和维护，为数据资产提供基础数据。元数据采集主要包括金四多个系统80余个数据库。其他类型元数据采集包括数据元标准、数据模型、数据质量规则、服务接口、服务规则、服务指标、消息待办、业务需求、关联关系。</w:t>
      </w:r>
    </w:p>
    <w:p w14:paraId="6A54A4B7">
      <w:pPr>
        <w:spacing w:line="360" w:lineRule="auto"/>
        <w:ind w:firstLine="448" w:firstLineChars="200"/>
        <w:outlineLvl w:val="0"/>
        <w:rPr>
          <w:sz w:val="24"/>
        </w:rPr>
      </w:pPr>
      <w:r>
        <w:rPr>
          <w:rFonts w:hint="eastAsia"/>
          <w:sz w:val="24"/>
        </w:rPr>
        <w:t>②数据模型标准检查：协助采购人，开展日常新增模型标准检查，产出检查报告并给出整改建议、跟踪模型整改情况，确保上线模型的规范性。定期进行存量模型标准检查，对已上线模型质量规范性产出检查报告，为数据模型管理决策提供数据支持。</w:t>
      </w:r>
    </w:p>
    <w:p w14:paraId="656757BA">
      <w:pPr>
        <w:spacing w:line="360" w:lineRule="auto"/>
        <w:ind w:firstLine="448" w:firstLineChars="200"/>
        <w:outlineLvl w:val="0"/>
        <w:rPr>
          <w:sz w:val="24"/>
        </w:rPr>
      </w:pPr>
      <w:r>
        <w:rPr>
          <w:rFonts w:hint="eastAsia"/>
          <w:sz w:val="24"/>
        </w:rPr>
        <w:t>③数据资产管理：协助采购人，对各系统、各类型数据资产进行资产收集、资产盘点、资产分类、资产目录管理等工作，配合并保障数据资产检索、数据资产导出等工作。</w:t>
      </w:r>
    </w:p>
    <w:p w14:paraId="4FE77118">
      <w:pPr>
        <w:spacing w:line="360" w:lineRule="auto"/>
        <w:ind w:firstLine="448" w:firstLineChars="200"/>
        <w:outlineLvl w:val="0"/>
        <w:rPr>
          <w:sz w:val="24"/>
        </w:rPr>
      </w:pPr>
      <w:r>
        <w:rPr>
          <w:rFonts w:hint="eastAsia"/>
          <w:sz w:val="24"/>
        </w:rPr>
        <w:t>④数据质量管理：协助采购人，开展日常数据质量规则的维护、规则调度维护、数据质量稽核脚本维护、数据质量问题稽核、数据质量报告产出。配合业务部门查询、分析未纳入管理的涉及数据质量的问题数据特征及口径，查询并分析数据质量报告问题数据产生的原因、并跟踪问题数据解决情况。</w:t>
      </w:r>
    </w:p>
    <w:p w14:paraId="5007EE02">
      <w:pPr>
        <w:spacing w:line="360" w:lineRule="auto"/>
        <w:ind w:firstLine="448" w:firstLineChars="200"/>
        <w:outlineLvl w:val="0"/>
        <w:rPr>
          <w:sz w:val="24"/>
        </w:rPr>
      </w:pPr>
      <w:r>
        <w:rPr>
          <w:rFonts w:hint="eastAsia"/>
          <w:sz w:val="24"/>
        </w:rPr>
        <w:t>12.3.多云运维管理平台特有技术运维服务</w:t>
      </w:r>
    </w:p>
    <w:p w14:paraId="5BF4C905">
      <w:pPr>
        <w:spacing w:line="360" w:lineRule="auto"/>
        <w:ind w:firstLine="448" w:firstLineChars="200"/>
        <w:outlineLvl w:val="0"/>
        <w:rPr>
          <w:sz w:val="24"/>
        </w:rPr>
      </w:pPr>
      <w:r>
        <w:rPr>
          <w:rFonts w:hint="eastAsia"/>
          <w:sz w:val="24"/>
        </w:rPr>
        <w:t>(1)日常巡检和基础环境监控</w:t>
      </w:r>
    </w:p>
    <w:p w14:paraId="75521D09">
      <w:pPr>
        <w:spacing w:line="360" w:lineRule="auto"/>
        <w:ind w:firstLine="448" w:firstLineChars="200"/>
        <w:outlineLvl w:val="0"/>
        <w:rPr>
          <w:sz w:val="24"/>
        </w:rPr>
      </w:pPr>
      <w:r>
        <w:rPr>
          <w:rFonts w:hint="eastAsia"/>
          <w:sz w:val="24"/>
        </w:rPr>
        <w:t>每工作日对多云运维平台1门户7中心的云上、云下环境进行巡检监控并形成日常巡检报告，巡检对象包括主机、中间件、数据库，重点检查项目包括但不限于服务存活、磁盘可用空间、系统性能等指标。基础环境保障工作主要包括应用系统环境监控、系统优化、故障处理、发布部署等工作；运维基础环境范围具体包括应用系统的生产环境和预生产环境等。</w:t>
      </w:r>
    </w:p>
    <w:p w14:paraId="6323226A">
      <w:pPr>
        <w:spacing w:line="360" w:lineRule="auto"/>
        <w:ind w:firstLine="448" w:firstLineChars="200"/>
        <w:outlineLvl w:val="0"/>
        <w:rPr>
          <w:sz w:val="24"/>
        </w:rPr>
      </w:pPr>
      <w:r>
        <w:rPr>
          <w:rFonts w:hint="eastAsia"/>
          <w:sz w:val="24"/>
        </w:rPr>
        <w:t>(2)基础配置维护</w:t>
      </w:r>
    </w:p>
    <w:p w14:paraId="385BD3DB">
      <w:pPr>
        <w:spacing w:line="360" w:lineRule="auto"/>
        <w:ind w:firstLine="448" w:firstLineChars="200"/>
        <w:outlineLvl w:val="0"/>
        <w:rPr>
          <w:sz w:val="24"/>
        </w:rPr>
      </w:pPr>
      <w:r>
        <w:rPr>
          <w:rFonts w:hint="eastAsia"/>
          <w:sz w:val="24"/>
        </w:rPr>
        <w:t>①对多云运维平台配置库进行配置信息采集任务的脚本编辑、实施和测试等工作。对配置库中。对多云运维管理平台配置库已采集的云平台各类配置对象（CVM、TDsql、TBase、CKafka、CLB、CBS等）筛查配置信息，及时发现失效配置信息，并经省局确认后进行处置，进行模型维护及个性化建设，对第三方数据对接提供技术支持及实施，定期进行资产统计分析，形成资产报告。</w:t>
      </w:r>
    </w:p>
    <w:p w14:paraId="54DCD865">
      <w:pPr>
        <w:spacing w:line="360" w:lineRule="auto"/>
        <w:ind w:firstLine="448" w:firstLineChars="200"/>
        <w:outlineLvl w:val="0"/>
        <w:rPr>
          <w:sz w:val="24"/>
        </w:rPr>
      </w:pPr>
      <w:r>
        <w:rPr>
          <w:rFonts w:hint="eastAsia"/>
          <w:sz w:val="24"/>
        </w:rPr>
        <w:t>②对云上、云下基础环境日常巡检监控、基础环境健康检查。当云上、云下基础环境出现故障，开展故障排查、故障定位、故障处理解决。对数据库资源（Oracle、MongoDB、TDSQL、ElasticSearch、ClinkHouse、Prometheus、Redis、Flink、Kafaka）开展保障维护。</w:t>
      </w:r>
    </w:p>
    <w:p w14:paraId="3FFBC58B">
      <w:pPr>
        <w:spacing w:line="360" w:lineRule="auto"/>
        <w:ind w:firstLine="448" w:firstLineChars="200"/>
        <w:outlineLvl w:val="0"/>
        <w:rPr>
          <w:sz w:val="24"/>
        </w:rPr>
      </w:pPr>
      <w:r>
        <w:rPr>
          <w:rFonts w:hint="eastAsia"/>
          <w:sz w:val="24"/>
        </w:rPr>
        <w:t>③资源环境优化，根据应用系统运行情况，以及随着数据量的不断增加，定期对系统进行调优；负责对数据库资源类等系统软件的日常运维及应用相关调优。</w:t>
      </w:r>
    </w:p>
    <w:p w14:paraId="08BB9589">
      <w:pPr>
        <w:spacing w:line="360" w:lineRule="auto"/>
        <w:ind w:firstLine="448" w:firstLineChars="200"/>
        <w:outlineLvl w:val="0"/>
        <w:rPr>
          <w:sz w:val="24"/>
        </w:rPr>
      </w:pPr>
      <w:r>
        <w:rPr>
          <w:rFonts w:hint="eastAsia"/>
          <w:sz w:val="24"/>
        </w:rPr>
        <w:t>(3)系统运行保障及故障处理</w:t>
      </w:r>
    </w:p>
    <w:p w14:paraId="566F33BC">
      <w:pPr>
        <w:spacing w:line="360" w:lineRule="auto"/>
        <w:ind w:firstLine="448" w:firstLineChars="200"/>
        <w:outlineLvl w:val="0"/>
        <w:rPr>
          <w:sz w:val="24"/>
        </w:rPr>
      </w:pPr>
      <w:r>
        <w:rPr>
          <w:rFonts w:hint="eastAsia"/>
          <w:sz w:val="24"/>
        </w:rPr>
        <w:t>及时上报故障情况，快速解决应用系统运行过程出现的系统故障，保障业务办理的连续性。针对每次故障处理提交故障分析报告，总结整理故障案例库。</w:t>
      </w:r>
    </w:p>
    <w:p w14:paraId="4209C98B">
      <w:pPr>
        <w:spacing w:line="360" w:lineRule="auto"/>
        <w:ind w:firstLine="448" w:firstLineChars="200"/>
        <w:outlineLvl w:val="0"/>
        <w:rPr>
          <w:sz w:val="24"/>
        </w:rPr>
      </w:pPr>
      <w:r>
        <w:rPr>
          <w:rFonts w:hint="eastAsia"/>
          <w:sz w:val="24"/>
        </w:rPr>
        <w:t>12.4.税务区块链基础平台特有技术运维服务</w:t>
      </w:r>
    </w:p>
    <w:p w14:paraId="3E2A6222">
      <w:pPr>
        <w:spacing w:line="360" w:lineRule="auto"/>
        <w:ind w:firstLine="448" w:firstLineChars="200"/>
        <w:outlineLvl w:val="0"/>
        <w:rPr>
          <w:sz w:val="24"/>
        </w:rPr>
      </w:pPr>
      <w:r>
        <w:rPr>
          <w:rFonts w:hint="eastAsia"/>
          <w:sz w:val="24"/>
        </w:rPr>
        <w:t>协助采购人，开展省级税务区块链基础平台共识节点、业务节点、应用服务、运行监控系统的技术维护保障，以及省局子链和总局主链的北京、南海同步之间节点的维护保障。</w:t>
      </w:r>
    </w:p>
    <w:p w14:paraId="4E4F9CC7">
      <w:pPr>
        <w:spacing w:line="360" w:lineRule="auto"/>
        <w:ind w:firstLine="448" w:firstLineChars="200"/>
        <w:outlineLvl w:val="0"/>
        <w:rPr>
          <w:sz w:val="24"/>
        </w:rPr>
      </w:pPr>
      <w:r>
        <w:rPr>
          <w:rFonts w:hint="eastAsia"/>
          <w:sz w:val="24"/>
        </w:rPr>
        <w:t>⑴系统集成监控</w:t>
      </w:r>
    </w:p>
    <w:p w14:paraId="0F23F5D9">
      <w:pPr>
        <w:spacing w:line="360" w:lineRule="auto"/>
        <w:ind w:firstLine="448" w:firstLineChars="200"/>
        <w:outlineLvl w:val="0"/>
        <w:rPr>
          <w:sz w:val="24"/>
        </w:rPr>
      </w:pPr>
      <w:r>
        <w:rPr>
          <w:rFonts w:hint="eastAsia"/>
          <w:sz w:val="24"/>
        </w:rPr>
        <w:t>监控税务区块链基础平台和金税工程的云、安全、网络等应用系统，以及统一身份管理平台、多云运维平台、税务数字证书、密码服务组件应用系统的集成状态是否正常。若监控发现系统集成异常，积极协同相关厂商排查并解决问题。</w:t>
      </w:r>
    </w:p>
    <w:p w14:paraId="088EF807">
      <w:pPr>
        <w:spacing w:line="360" w:lineRule="auto"/>
        <w:ind w:firstLine="448" w:firstLineChars="200"/>
        <w:outlineLvl w:val="0"/>
        <w:rPr>
          <w:sz w:val="24"/>
        </w:rPr>
      </w:pPr>
      <w:r>
        <w:rPr>
          <w:rFonts w:hint="eastAsia"/>
          <w:sz w:val="24"/>
        </w:rPr>
        <w:t>⑵省局链平台监控</w:t>
      </w:r>
    </w:p>
    <w:p w14:paraId="57F9F7AC">
      <w:pPr>
        <w:spacing w:line="360" w:lineRule="auto"/>
        <w:ind w:firstLine="448" w:firstLineChars="200"/>
        <w:outlineLvl w:val="0"/>
        <w:rPr>
          <w:sz w:val="24"/>
        </w:rPr>
      </w:pPr>
      <w:r>
        <w:rPr>
          <w:rFonts w:hint="eastAsia"/>
          <w:sz w:val="24"/>
        </w:rPr>
        <w:t>监控保障税务区块链基础平台涉及的共识节点、税务内部业务节点、应用接入服务、代理转发服务、BaaS服务、运行监控服务、运行管理服务、跨链代理节点服务等应用服务。对于发现的异常问题按照流程进行上报。</w:t>
      </w:r>
    </w:p>
    <w:p w14:paraId="11B6DAA4">
      <w:pPr>
        <w:spacing w:line="360" w:lineRule="auto"/>
        <w:ind w:firstLine="448" w:firstLineChars="200"/>
        <w:outlineLvl w:val="0"/>
        <w:rPr>
          <w:sz w:val="24"/>
        </w:rPr>
      </w:pPr>
      <w:r>
        <w:rPr>
          <w:rFonts w:hint="eastAsia"/>
          <w:sz w:val="24"/>
        </w:rPr>
        <w:t>⑶总省链数据同步监控</w:t>
      </w:r>
    </w:p>
    <w:p w14:paraId="778C02CF">
      <w:pPr>
        <w:spacing w:line="360" w:lineRule="auto"/>
        <w:ind w:firstLine="448" w:firstLineChars="200"/>
        <w:outlineLvl w:val="0"/>
        <w:rPr>
          <w:sz w:val="24"/>
        </w:rPr>
      </w:pPr>
      <w:r>
        <w:rPr>
          <w:rFonts w:hint="eastAsia"/>
          <w:sz w:val="24"/>
        </w:rPr>
        <w:t>监控保障税务区块链基础平台省局链和总局链北京、南海同步之间节点数据同步情况。对于发现的问题配合总局二线运维开展问题排查分析。</w:t>
      </w:r>
    </w:p>
    <w:p w14:paraId="3816CDD8">
      <w:pPr>
        <w:spacing w:line="360" w:lineRule="auto"/>
        <w:ind w:firstLine="448" w:firstLineChars="200"/>
        <w:outlineLvl w:val="0"/>
        <w:rPr>
          <w:sz w:val="24"/>
        </w:rPr>
      </w:pPr>
      <w:r>
        <w:rPr>
          <w:rFonts w:hint="eastAsia"/>
          <w:sz w:val="24"/>
        </w:rPr>
        <w:t>13.征期值守</w:t>
      </w:r>
    </w:p>
    <w:p w14:paraId="59E192DA">
      <w:pPr>
        <w:spacing w:line="360" w:lineRule="auto"/>
        <w:ind w:firstLine="448" w:firstLineChars="200"/>
        <w:outlineLvl w:val="0"/>
        <w:rPr>
          <w:sz w:val="24"/>
        </w:rPr>
      </w:pPr>
      <w:r>
        <w:rPr>
          <w:rFonts w:hint="eastAsia"/>
          <w:sz w:val="24"/>
        </w:rPr>
        <w:t>按照采购人实际需要，在每季度大征期以外的普通征期内，在采购人统一指挥下开展7×8小时征期值守工作，开展本项目系统相关安全保障检查、安全保障监控和安全保障响应，及时开展系统问题处置和安全加固。</w:t>
      </w:r>
    </w:p>
    <w:p w14:paraId="47E70E2D">
      <w:pPr>
        <w:spacing w:line="360" w:lineRule="auto"/>
        <w:ind w:firstLine="448" w:firstLineChars="200"/>
        <w:outlineLvl w:val="0"/>
        <w:rPr>
          <w:sz w:val="24"/>
        </w:rPr>
      </w:pPr>
      <w:r>
        <w:rPr>
          <w:rFonts w:hint="eastAsia"/>
          <w:sz w:val="24"/>
        </w:rPr>
        <w:t>征期值守期间，运维人员应按时完成系统健康巡检，关注系统可用性监控和自动化拨测告警，发现问题及时上报，及时处置系统故障。在节假日等非工作时间根据采购人实际需要，对系统开展业务和技术支持。当系统在非工作时间突发紧急故障，能够开展有效处置，包括非不可抗力因素造成的故障（故障恢复时间＜30分钟），不可抗力因素造成的故障（响应时间≤30分钟，故障恢复时间＜4小时）。</w:t>
      </w:r>
    </w:p>
    <w:p w14:paraId="4B90C46D">
      <w:pPr>
        <w:spacing w:line="360" w:lineRule="auto"/>
        <w:ind w:firstLine="448" w:firstLineChars="200"/>
        <w:outlineLvl w:val="0"/>
        <w:rPr>
          <w:sz w:val="24"/>
        </w:rPr>
      </w:pPr>
      <w:r>
        <w:rPr>
          <w:rFonts w:hint="eastAsia"/>
          <w:sz w:val="24"/>
        </w:rPr>
        <w:t>（三）服务其他要求</w:t>
      </w:r>
    </w:p>
    <w:p w14:paraId="5EE34159">
      <w:pPr>
        <w:spacing w:line="360" w:lineRule="auto"/>
        <w:ind w:firstLine="448" w:firstLineChars="200"/>
        <w:outlineLvl w:val="0"/>
        <w:rPr>
          <w:sz w:val="24"/>
        </w:rPr>
      </w:pPr>
      <w:r>
        <w:rPr>
          <w:rFonts w:hint="eastAsia"/>
          <w:sz w:val="24"/>
        </w:rPr>
        <w:t>本项目需要通过建立基于工时的弹性运维体系，实现人员动态调配，保障高峰期服务质量，降低平峰期资源冗余成本，涵盖所有业务和技术运维工作。</w:t>
      </w:r>
    </w:p>
    <w:p w14:paraId="259F21F5">
      <w:pPr>
        <w:spacing w:line="360" w:lineRule="auto"/>
        <w:ind w:firstLine="448" w:firstLineChars="200"/>
        <w:outlineLvl w:val="0"/>
        <w:rPr>
          <w:sz w:val="24"/>
        </w:rPr>
      </w:pPr>
      <w:r>
        <w:rPr>
          <w:rFonts w:hint="eastAsia"/>
          <w:sz w:val="24"/>
        </w:rPr>
        <w:t>1.工时分类</w:t>
      </w:r>
    </w:p>
    <w:p w14:paraId="67050792">
      <w:pPr>
        <w:pStyle w:val="35"/>
        <w:numPr>
          <w:ilvl w:val="0"/>
          <w:numId w:val="2"/>
        </w:numPr>
        <w:spacing w:line="360" w:lineRule="auto"/>
        <w:ind w:left="0" w:firstLine="446"/>
        <w:rPr>
          <w:sz w:val="24"/>
        </w:rPr>
      </w:pPr>
      <w:r>
        <w:rPr>
          <w:rFonts w:hint="eastAsia"/>
          <w:sz w:val="24"/>
        </w:rPr>
        <w:t>平日工时：全年工作日约为248天，工作日白天正常工时为8小时。</w:t>
      </w:r>
    </w:p>
    <w:p w14:paraId="19486236">
      <w:pPr>
        <w:pStyle w:val="35"/>
        <w:numPr>
          <w:ilvl w:val="0"/>
          <w:numId w:val="2"/>
        </w:numPr>
        <w:spacing w:line="360" w:lineRule="auto"/>
        <w:ind w:left="0" w:firstLine="446"/>
        <w:rPr>
          <w:sz w:val="24"/>
        </w:rPr>
      </w:pPr>
      <w:r>
        <w:rPr>
          <w:rFonts w:hint="eastAsia"/>
          <w:sz w:val="24"/>
        </w:rPr>
        <w:t>值班工时：各月征期和重要时间节点，需根据采购人要求，安排人员提供白天7*8小时值班值守，除正常工作日外，也需要在公休日白天开展值班值守，全年征期和重要时间节点内公休日约70天，公休日白天值班值守工时可按实际工时2倍计算。</w:t>
      </w:r>
    </w:p>
    <w:p w14:paraId="0CAB93FC">
      <w:pPr>
        <w:pStyle w:val="35"/>
        <w:numPr>
          <w:ilvl w:val="0"/>
          <w:numId w:val="2"/>
        </w:numPr>
        <w:spacing w:line="360" w:lineRule="auto"/>
        <w:ind w:left="0" w:firstLine="446"/>
        <w:rPr>
          <w:sz w:val="24"/>
        </w:rPr>
      </w:pPr>
      <w:r>
        <w:rPr>
          <w:rFonts w:hint="eastAsia"/>
          <w:sz w:val="24"/>
        </w:rPr>
        <w:t>重保工时：每年4个月大征期（约75天）、两会期间（约8天）、重要安全演练期间（约30天）、国家和天津市重要活动期间（例如冬奥会、</w:t>
      </w:r>
      <w:r>
        <w:rPr>
          <w:rFonts w:hint="eastAsia"/>
          <w:sz w:val="24"/>
          <w:lang w:val="en-US" w:eastAsia="zh-CN"/>
        </w:rPr>
        <w:t>党的</w:t>
      </w:r>
      <w:bookmarkStart w:id="8" w:name="_GoBack"/>
      <w:bookmarkEnd w:id="8"/>
      <w:r>
        <w:rPr>
          <w:rFonts w:hint="eastAsia"/>
          <w:sz w:val="24"/>
        </w:rPr>
        <w:t>二十大、上合峰会）等重要时间节点，需根据采购人要求，安排人员在8小时以外的非工作时间开展夜班值守，全年值守夜班不少于113天，重保夜班值守工时可按实际工时1.5倍计算。</w:t>
      </w:r>
    </w:p>
    <w:p w14:paraId="43AD062D">
      <w:pPr>
        <w:pStyle w:val="35"/>
        <w:numPr>
          <w:ilvl w:val="0"/>
          <w:numId w:val="2"/>
        </w:numPr>
        <w:spacing w:line="360" w:lineRule="auto"/>
        <w:ind w:left="0" w:firstLine="446"/>
        <w:rPr>
          <w:sz w:val="24"/>
        </w:rPr>
      </w:pPr>
      <w:r>
        <w:rPr>
          <w:rFonts w:hint="eastAsia"/>
          <w:sz w:val="24"/>
        </w:rPr>
        <w:t>高峰工时：当系统处于业务繁忙高峰期，或国家税务总局、采购人有加班需求，如征期高峰（征期最后2天）、月末升级和月结初始化（每月最后2天）、重保值守和征期值班以外的非工作时间加班等，可额外动态增加人力资源，每日每人次最多增加不超过4小时高峰工时。高峰工时需提前报备弹性人力资源计划或非工作时间加班申请，其中工作时间内增加的高峰工时按实际工时计算，非工作时间内增加的高峰工时可按实际工时1.5倍计算，所有高峰工时需根据弹性计划或加班申请的实际执行情况核算工时，否则不予记录工时。</w:t>
      </w:r>
    </w:p>
    <w:p w14:paraId="17B2F350">
      <w:pPr>
        <w:pStyle w:val="35"/>
        <w:numPr>
          <w:ilvl w:val="0"/>
          <w:numId w:val="2"/>
        </w:numPr>
        <w:spacing w:line="360" w:lineRule="auto"/>
        <w:ind w:left="0" w:firstLine="446"/>
        <w:rPr>
          <w:sz w:val="24"/>
        </w:rPr>
      </w:pPr>
      <w:r>
        <w:rPr>
          <w:rFonts w:hint="eastAsia"/>
          <w:sz w:val="24"/>
        </w:rPr>
        <w:t>紧急工时：当系统在8小时以外非工作时间突发紧急故障，能够根据采购人要求，额外动态增加人力资源，开展有效处置。有效处置定义为非不可抗力因素造成的故障，故障恢复时间＜30分钟，不可抗力因素造成的故障，响应时间≤30分钟，故障恢复时间＜4小时。成功处置故障后可根据事后故障处置报告中人力投入情况，可按实际工时2倍计算紧急工时，否则不予记录工时。</w:t>
      </w:r>
    </w:p>
    <w:p w14:paraId="00B176C0">
      <w:pPr>
        <w:spacing w:line="360" w:lineRule="auto"/>
        <w:ind w:firstLine="448" w:firstLineChars="200"/>
        <w:outlineLvl w:val="0"/>
        <w:rPr>
          <w:sz w:val="24"/>
        </w:rPr>
      </w:pPr>
      <w:r>
        <w:rPr>
          <w:rFonts w:hint="eastAsia"/>
          <w:sz w:val="24"/>
        </w:rPr>
        <w:t>2.动态调配要求</w:t>
      </w:r>
    </w:p>
    <w:p w14:paraId="087F8D3B">
      <w:pPr>
        <w:pStyle w:val="35"/>
        <w:numPr>
          <w:ilvl w:val="1"/>
          <w:numId w:val="3"/>
        </w:numPr>
        <w:spacing w:line="360" w:lineRule="auto"/>
        <w:ind w:left="0" w:firstLine="446"/>
        <w:rPr>
          <w:sz w:val="24"/>
        </w:rPr>
      </w:pPr>
      <w:r>
        <w:rPr>
          <w:rFonts w:hint="eastAsia"/>
          <w:sz w:val="24"/>
        </w:rPr>
        <w:t>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14:paraId="02CB29E7">
      <w:pPr>
        <w:pStyle w:val="35"/>
        <w:numPr>
          <w:ilvl w:val="1"/>
          <w:numId w:val="3"/>
        </w:numPr>
        <w:spacing w:line="360" w:lineRule="auto"/>
        <w:ind w:left="0" w:firstLine="446"/>
        <w:rPr>
          <w:sz w:val="24"/>
        </w:rPr>
      </w:pPr>
      <w:r>
        <w:rPr>
          <w:rFonts w:hint="eastAsia"/>
          <w:sz w:val="24"/>
        </w:rPr>
        <w:t>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14:paraId="76EF7386">
      <w:pPr>
        <w:pStyle w:val="35"/>
        <w:numPr>
          <w:ilvl w:val="1"/>
          <w:numId w:val="3"/>
        </w:numPr>
        <w:spacing w:line="360" w:lineRule="auto"/>
        <w:ind w:left="0" w:firstLine="446"/>
        <w:rPr>
          <w:sz w:val="24"/>
        </w:rPr>
      </w:pPr>
      <w:r>
        <w:rPr>
          <w:rFonts w:hint="eastAsia"/>
          <w:sz w:val="24"/>
        </w:rPr>
        <w:t>供应商投入的同级别动态人力资源，包括常规工时与额外工时，分类小计应不少于项目采购内容所列各级别所需工时合计数，全部类别合计应不少于项目采购内容所列的需求工时数总量。</w:t>
      </w:r>
    </w:p>
    <w:p w14:paraId="3B423F34">
      <w:pPr>
        <w:pStyle w:val="35"/>
        <w:numPr>
          <w:ilvl w:val="1"/>
          <w:numId w:val="3"/>
        </w:numPr>
        <w:spacing w:line="360" w:lineRule="auto"/>
        <w:ind w:left="0" w:firstLine="446"/>
        <w:rPr>
          <w:sz w:val="24"/>
        </w:rPr>
      </w:pPr>
      <w:r>
        <w:rPr>
          <w:rFonts w:hint="eastAsia"/>
          <w:sz w:val="24"/>
        </w:rPr>
        <w:t>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w:t>
      </w:r>
    </w:p>
    <w:p w14:paraId="15EAE645">
      <w:pPr>
        <w:pStyle w:val="35"/>
        <w:numPr>
          <w:ilvl w:val="1"/>
          <w:numId w:val="3"/>
        </w:numPr>
        <w:spacing w:line="360" w:lineRule="auto"/>
        <w:ind w:left="0" w:firstLine="446"/>
        <w:rPr>
          <w:sz w:val="24"/>
        </w:rPr>
      </w:pPr>
      <w:r>
        <w:rPr>
          <w:rFonts w:hint="eastAsia"/>
          <w:sz w:val="24"/>
        </w:rPr>
        <w:t>供应商不得虚报工时，若采购人发现虚假工时记录，按虚报工时的3倍扣除工时数据。若供应商没有建立动态人力资源池，在高峰期或重保期未达承诺人力，并给采购人造成损失，按缺岗工时的2倍扣除工时数据。</w:t>
      </w:r>
    </w:p>
    <w:p w14:paraId="5FEDFCA2">
      <w:pPr>
        <w:spacing w:line="360" w:lineRule="auto"/>
        <w:ind w:firstLine="448" w:firstLineChars="200"/>
        <w:outlineLvl w:val="0"/>
        <w:rPr>
          <w:sz w:val="24"/>
        </w:rPr>
      </w:pPr>
      <w:r>
        <w:rPr>
          <w:rFonts w:hint="eastAsia"/>
          <w:sz w:val="24"/>
        </w:rPr>
        <w:t>八、人员要求</w:t>
      </w:r>
    </w:p>
    <w:p w14:paraId="71928C65">
      <w:pPr>
        <w:spacing w:line="360" w:lineRule="auto"/>
        <w:ind w:firstLine="448" w:firstLineChars="200"/>
        <w:outlineLvl w:val="0"/>
        <w:rPr>
          <w:sz w:val="24"/>
        </w:rPr>
      </w:pPr>
      <w:r>
        <w:rPr>
          <w:rFonts w:hint="eastAsia"/>
          <w:sz w:val="24"/>
        </w:rPr>
        <w:t>（一）总体要求</w:t>
      </w:r>
    </w:p>
    <w:p w14:paraId="00830552">
      <w:pPr>
        <w:spacing w:line="360" w:lineRule="auto"/>
        <w:ind w:firstLine="448" w:firstLineChars="200"/>
        <w:outlineLvl w:val="0"/>
        <w:rPr>
          <w:sz w:val="24"/>
        </w:rPr>
      </w:pPr>
      <w:r>
        <w:rPr>
          <w:rFonts w:hint="eastAsia"/>
          <w:sz w:val="24"/>
        </w:rPr>
        <w:t>本项目由采购人、供应商共同组成的项目管理机构，负责整个项目的实施工作。供应商投入的运维人员必须严格遵守国家的政策法规，执行项目管理机构的各项规章制度，服从管理和调度，认真履行工作职责，圆满完成工作任务。</w:t>
      </w:r>
    </w:p>
    <w:p w14:paraId="477371C9">
      <w:pPr>
        <w:spacing w:line="360" w:lineRule="auto"/>
        <w:ind w:firstLine="448" w:firstLineChars="200"/>
        <w:outlineLvl w:val="0"/>
        <w:rPr>
          <w:sz w:val="24"/>
        </w:rPr>
      </w:pPr>
      <w:r>
        <w:rPr>
          <w:rFonts w:hint="eastAsia"/>
          <w:sz w:val="24"/>
        </w:rPr>
        <w:t>（二）具体要求</w:t>
      </w:r>
    </w:p>
    <w:p w14:paraId="781FEC17">
      <w:pPr>
        <w:spacing w:line="360" w:lineRule="auto"/>
        <w:ind w:firstLine="448" w:firstLineChars="200"/>
        <w:outlineLvl w:val="0"/>
        <w:rPr>
          <w:sz w:val="24"/>
        </w:rPr>
      </w:pPr>
      <w:r>
        <w:rPr>
          <w:rFonts w:hint="eastAsia"/>
          <w:sz w:val="24"/>
        </w:rPr>
        <w:t>运维人员应当是与供应商签订1年以上劳动合同且合同处于有效期内，常驻运维人员应当为技术骨干，对于拟购买的运维服务人力资源具体要求如下：</w:t>
      </w:r>
    </w:p>
    <w:p w14:paraId="2601B947">
      <w:pPr>
        <w:spacing w:line="360" w:lineRule="auto"/>
        <w:ind w:firstLine="448" w:firstLineChars="200"/>
        <w:outlineLvl w:val="0"/>
        <w:rPr>
          <w:sz w:val="24"/>
        </w:rPr>
      </w:pPr>
      <w:r>
        <w:rPr>
          <w:rFonts w:hint="eastAsia"/>
          <w:sz w:val="24"/>
        </w:rPr>
        <w:t>一、岗位学历经验要求</w:t>
      </w:r>
    </w:p>
    <w:p w14:paraId="4B77C3E5">
      <w:pPr>
        <w:spacing w:line="360" w:lineRule="auto"/>
        <w:ind w:firstLine="448" w:firstLineChars="200"/>
        <w:outlineLvl w:val="0"/>
        <w:rPr>
          <w:sz w:val="24"/>
        </w:rPr>
      </w:pPr>
      <w:r>
        <w:rPr>
          <w:rFonts w:hint="eastAsia"/>
          <w:sz w:val="24"/>
        </w:rPr>
        <w:t>高级岗位人员需满足资质：本科以下学历工作5年及以上，或本科学历工作3年及以上，或硕士学历工作2年及以上，或博士学历工作1年及以上；且从事信息化行业3年及以上（博士学历可放宽到1年及以上，硕士学历可放宽到2年及以上）。</w:t>
      </w:r>
    </w:p>
    <w:p w14:paraId="03A8D41E">
      <w:pPr>
        <w:spacing w:line="360" w:lineRule="auto"/>
        <w:ind w:firstLine="448" w:firstLineChars="200"/>
        <w:outlineLvl w:val="0"/>
        <w:rPr>
          <w:sz w:val="24"/>
        </w:rPr>
      </w:pPr>
      <w:r>
        <w:rPr>
          <w:rFonts w:hint="eastAsia"/>
          <w:sz w:val="24"/>
        </w:rPr>
        <w:t>中级岗位人员需满足资质：本科以下学历工作3年及以上，或本科学历工作2年及以上，或硕士及以上学历工作1年及以上；且从事信息化行业2年及以上（硕士及以上学历可放宽到1年及以上）。</w:t>
      </w:r>
    </w:p>
    <w:p w14:paraId="7C2C5E61">
      <w:pPr>
        <w:spacing w:line="360" w:lineRule="auto"/>
        <w:ind w:firstLine="448" w:firstLineChars="200"/>
        <w:outlineLvl w:val="0"/>
        <w:rPr>
          <w:sz w:val="24"/>
        </w:rPr>
      </w:pPr>
      <w:r>
        <w:rPr>
          <w:rFonts w:hint="eastAsia"/>
          <w:sz w:val="24"/>
        </w:rPr>
        <w:t>初级岗位人员需满足资质：本科以下学历工作2年及以上，或本科及以上学历工作1年及以上；且从事信息化行业1年及以上。</w:t>
      </w:r>
    </w:p>
    <w:p w14:paraId="6FFA139A">
      <w:pPr>
        <w:spacing w:line="360" w:lineRule="auto"/>
        <w:ind w:firstLine="448" w:firstLineChars="200"/>
        <w:outlineLvl w:val="0"/>
        <w:rPr>
          <w:sz w:val="24"/>
        </w:rPr>
      </w:pPr>
      <w:r>
        <w:rPr>
          <w:rFonts w:hint="eastAsia"/>
          <w:sz w:val="24"/>
        </w:rPr>
        <w:t>其他岗位人员资质要求与高级岗位人员一致，需满足值班、重保、高峰、紧急等工作要求，供应商可从现有岗位人员中动态调配人力资源。</w:t>
      </w:r>
    </w:p>
    <w:p w14:paraId="45DF93D4">
      <w:pPr>
        <w:spacing w:line="360" w:lineRule="auto"/>
        <w:ind w:firstLine="448" w:firstLineChars="200"/>
        <w:outlineLvl w:val="0"/>
        <w:rPr>
          <w:sz w:val="24"/>
        </w:rPr>
      </w:pPr>
      <w:r>
        <w:rPr>
          <w:rFonts w:hint="eastAsia"/>
          <w:sz w:val="24"/>
        </w:rPr>
        <w:t>二、岗位分类需求明细</w:t>
      </w:r>
    </w:p>
    <w:p w14:paraId="463BDDEA">
      <w:pPr>
        <w:spacing w:line="360" w:lineRule="auto"/>
        <w:ind w:firstLine="448" w:firstLineChars="200"/>
        <w:outlineLvl w:val="0"/>
        <w:rPr>
          <w:sz w:val="24"/>
        </w:rPr>
      </w:pPr>
      <w:r>
        <w:rPr>
          <w:rFonts w:hint="eastAsia"/>
          <w:sz w:val="24"/>
        </w:rPr>
        <w:t>合计购买不少于26000工时的运维服务，服务期限为合同规定的服务起始之日起6个月的服务期。</w:t>
      </w:r>
    </w:p>
    <w:p w14:paraId="733D0C49">
      <w:pPr>
        <w:spacing w:line="360" w:lineRule="auto"/>
        <w:ind w:firstLine="448" w:firstLineChars="200"/>
        <w:outlineLvl w:val="0"/>
        <w:rPr>
          <w:sz w:val="24"/>
        </w:rPr>
      </w:pPr>
      <w:r>
        <w:rPr>
          <w:rFonts w:hint="eastAsia"/>
          <w:sz w:val="24"/>
        </w:rPr>
        <w:t>1.运维高级岗：投入工作量不少于7000工时，开展平日运维工作，需满足高级技术人员资质要求。</w:t>
      </w:r>
    </w:p>
    <w:p w14:paraId="688E16A3">
      <w:pPr>
        <w:spacing w:line="360" w:lineRule="auto"/>
        <w:ind w:firstLine="448" w:firstLineChars="200"/>
        <w:outlineLvl w:val="0"/>
        <w:rPr>
          <w:sz w:val="24"/>
        </w:rPr>
      </w:pPr>
      <w:r>
        <w:rPr>
          <w:rFonts w:hint="eastAsia"/>
          <w:sz w:val="24"/>
        </w:rPr>
        <w:t>2.运维中级岗：投入工作量不少于7000工时，开展平日运维工作，需满足中级技术人员资质要求。</w:t>
      </w:r>
    </w:p>
    <w:p w14:paraId="482640E8">
      <w:pPr>
        <w:spacing w:line="360" w:lineRule="auto"/>
        <w:ind w:firstLine="448" w:firstLineChars="200"/>
        <w:outlineLvl w:val="0"/>
        <w:rPr>
          <w:sz w:val="24"/>
        </w:rPr>
      </w:pPr>
      <w:r>
        <w:rPr>
          <w:rFonts w:hint="eastAsia"/>
          <w:sz w:val="24"/>
        </w:rPr>
        <w:t>3.运维初级岗：投入工作量不少于6000工时，开展平日运维工作，需满足初级技术人员资质要求。</w:t>
      </w:r>
    </w:p>
    <w:p w14:paraId="7A105EA0">
      <w:pPr>
        <w:spacing w:line="360" w:lineRule="auto"/>
        <w:ind w:firstLine="448" w:firstLineChars="200"/>
        <w:outlineLvl w:val="0"/>
        <w:rPr>
          <w:sz w:val="24"/>
        </w:rPr>
      </w:pPr>
      <w:r>
        <w:rPr>
          <w:rFonts w:hint="eastAsia"/>
          <w:sz w:val="24"/>
        </w:rPr>
        <w:t>4.运维其他岗：投入工作量不超过6000工时，开展值班、重保、高峰、紧急等运维工作，根据实际工作需要安排，据实结算，需满足高级技术人员资质要求。</w:t>
      </w:r>
    </w:p>
    <w:p w14:paraId="5FCC5660">
      <w:pPr>
        <w:spacing w:line="360" w:lineRule="auto"/>
        <w:ind w:firstLine="448" w:firstLineChars="200"/>
        <w:outlineLvl w:val="0"/>
        <w:rPr>
          <w:sz w:val="24"/>
        </w:rPr>
      </w:pPr>
      <w:r>
        <w:rPr>
          <w:rFonts w:hint="eastAsia"/>
          <w:sz w:val="24"/>
        </w:rPr>
        <w:t>三、岗位工作技能要求</w:t>
      </w:r>
    </w:p>
    <w:p w14:paraId="2AE38495">
      <w:pPr>
        <w:spacing w:line="360" w:lineRule="auto"/>
        <w:ind w:firstLine="448" w:firstLineChars="200"/>
        <w:outlineLvl w:val="0"/>
        <w:rPr>
          <w:sz w:val="24"/>
        </w:rPr>
      </w:pPr>
      <w:r>
        <w:rPr>
          <w:rFonts w:hint="eastAsia"/>
          <w:sz w:val="24"/>
        </w:rPr>
        <w:t>熟悉国产化、非国产化主流系统软件和应用软件，能够熟练掌握本项目系统架构、相关的使用操作流程、相关业务及常见问题的解决方法，独立接听、解答用户所提出的各种问题并进行相应的问题及回复记录。能够测试可复现的软件问题缺陷、填写转出服务请求单，开展日清册的检查，并根据质检结果进行个人分析改进等。能够承担税收知识库建设工作，将各软件使用中出现的各种问题提炼、加工、深化成为知识，不断完善培训资料，制作文字文档和音视频教程，供各级税务机关下载使用。能够针对系统使用情况进行满意度调查回访。</w:t>
      </w:r>
    </w:p>
    <w:p w14:paraId="1D8F8AD5">
      <w:pPr>
        <w:spacing w:line="360" w:lineRule="auto"/>
        <w:ind w:firstLine="448" w:firstLineChars="200"/>
        <w:outlineLvl w:val="0"/>
        <w:rPr>
          <w:sz w:val="24"/>
        </w:rPr>
      </w:pPr>
      <w:r>
        <w:rPr>
          <w:rFonts w:hint="eastAsia"/>
          <w:sz w:val="24"/>
        </w:rPr>
        <w:t>四、岗位管理保障要求</w:t>
      </w:r>
    </w:p>
    <w:p w14:paraId="5245DE55">
      <w:pPr>
        <w:spacing w:line="360" w:lineRule="auto"/>
        <w:ind w:firstLine="448" w:firstLineChars="200"/>
        <w:outlineLvl w:val="0"/>
        <w:rPr>
          <w:sz w:val="24"/>
        </w:rPr>
      </w:pPr>
      <w:r>
        <w:rPr>
          <w:rFonts w:hint="eastAsia"/>
          <w:sz w:val="24"/>
        </w:rPr>
        <w:t>1.运维人员受采购人和供应商双重管理，采购人的意见应作为运维人员业绩考核的重要依据。供应商应保证运维人员常驻采购人，并能完全胜任本项目所含各系统的运行维护工作。</w:t>
      </w:r>
    </w:p>
    <w:p w14:paraId="69E2ECEB">
      <w:pPr>
        <w:spacing w:line="360" w:lineRule="auto"/>
        <w:ind w:firstLine="448" w:firstLineChars="200"/>
        <w:outlineLvl w:val="0"/>
        <w:rPr>
          <w:sz w:val="24"/>
        </w:rPr>
      </w:pPr>
      <w:r>
        <w:rPr>
          <w:rFonts w:hint="eastAsia"/>
          <w:sz w:val="24"/>
        </w:rPr>
        <w:t>2.供应商须保证运维人员的稳定性和连续性，运维人员确定后，不得随意更换。供应商须提前做好人力储备,如运维人员合同到期或申请离职，供应商必须提前一个月通知采购人，并立即从技术支持单位后备人员库中经考核，选拔出合格运维人员进行工作熟悉和交接，确保正常工作不受影响。正式更换前，供应商需正式提交书面申请，报采购人负责人审批后方可调整，人员交接过程应符合采购人相关要求。如果因供应商无法保证人员的连续性所造成的全部损失由供应商承担，并从费用中扣除。</w:t>
      </w:r>
    </w:p>
    <w:p w14:paraId="540189B2">
      <w:pPr>
        <w:spacing w:line="360" w:lineRule="auto"/>
        <w:ind w:firstLine="448" w:firstLineChars="200"/>
        <w:outlineLvl w:val="0"/>
        <w:rPr>
          <w:sz w:val="24"/>
        </w:rPr>
      </w:pPr>
      <w:r>
        <w:rPr>
          <w:rFonts w:hint="eastAsia"/>
          <w:sz w:val="24"/>
        </w:rPr>
        <w:t>3.运维人员应具备良好的职业道德。较强的责任心。良好的沟通能力。熟悉本系统相关业务域。具有一定的问题分析能力，能够及时准确的定位问题。</w:t>
      </w:r>
    </w:p>
    <w:p w14:paraId="7920DB90">
      <w:pPr>
        <w:spacing w:line="360" w:lineRule="auto"/>
        <w:ind w:firstLine="448" w:firstLineChars="200"/>
        <w:outlineLvl w:val="0"/>
        <w:rPr>
          <w:sz w:val="24"/>
        </w:rPr>
      </w:pPr>
      <w:r>
        <w:rPr>
          <w:rFonts w:hint="eastAsia"/>
          <w:sz w:val="24"/>
        </w:rPr>
        <w:t>4.运维人员工作能力和工作态度达不到维护工作要求的，采购人有权要求更换，供应商应及时更换相关人员。</w:t>
      </w:r>
    </w:p>
    <w:p w14:paraId="7349A30A">
      <w:pPr>
        <w:spacing w:line="360" w:lineRule="auto"/>
        <w:ind w:firstLine="448" w:firstLineChars="200"/>
        <w:outlineLvl w:val="0"/>
        <w:rPr>
          <w:sz w:val="24"/>
        </w:rPr>
      </w:pPr>
      <w:r>
        <w:rPr>
          <w:rFonts w:hint="eastAsia"/>
          <w:sz w:val="24"/>
        </w:rPr>
        <w:t>5.供应商和运维人员应严格遵守采购人的出勤、着装、安全等管理规定。在派驻期间，遵守采购人的工作作息时间，同时应按照采购人的要求，在工作需要的时候进行加班。</w:t>
      </w:r>
    </w:p>
    <w:p w14:paraId="4091DDB3">
      <w:pPr>
        <w:spacing w:line="360" w:lineRule="auto"/>
        <w:ind w:firstLine="448" w:firstLineChars="200"/>
        <w:outlineLvl w:val="0"/>
        <w:rPr>
          <w:sz w:val="24"/>
        </w:rPr>
      </w:pPr>
      <w:r>
        <w:rPr>
          <w:rFonts w:hint="eastAsia"/>
          <w:sz w:val="24"/>
        </w:rPr>
        <w:t>6.遇有疑难问题时，供应商应及时协调提供二线技术支持。</w:t>
      </w:r>
    </w:p>
    <w:p w14:paraId="7B227CF3">
      <w:pPr>
        <w:spacing w:line="360" w:lineRule="auto"/>
        <w:ind w:firstLine="448" w:firstLineChars="200"/>
        <w:outlineLvl w:val="0"/>
        <w:rPr>
          <w:sz w:val="24"/>
        </w:rPr>
      </w:pPr>
      <w:r>
        <w:rPr>
          <w:rFonts w:hint="eastAsia"/>
          <w:sz w:val="24"/>
        </w:rPr>
        <w:t>7.供应商和运维人员应对采购人负责，按照授权进行工作，不得从事不在授权内的工作内容。因供应商派出的运维人员自身原因造成工作失误，给采购人造成损失的，供应商应承担赔偿责任</w:t>
      </w:r>
    </w:p>
    <w:p w14:paraId="264C151C">
      <w:pPr>
        <w:spacing w:line="360" w:lineRule="auto"/>
        <w:ind w:firstLine="448" w:firstLineChars="200"/>
        <w:outlineLvl w:val="0"/>
        <w:rPr>
          <w:sz w:val="24"/>
        </w:rPr>
      </w:pPr>
      <w:r>
        <w:rPr>
          <w:rFonts w:hint="eastAsia"/>
          <w:sz w:val="24"/>
        </w:rPr>
        <w:t>8.供应商和运维人员应按采购人要求协助开展其它工作。</w:t>
      </w:r>
    </w:p>
    <w:p w14:paraId="4697C802">
      <w:pPr>
        <w:spacing w:line="360" w:lineRule="auto"/>
        <w:ind w:firstLine="448" w:firstLineChars="200"/>
        <w:outlineLvl w:val="0"/>
        <w:rPr>
          <w:sz w:val="24"/>
        </w:rPr>
      </w:pPr>
      <w:r>
        <w:rPr>
          <w:rFonts w:hint="eastAsia"/>
          <w:sz w:val="24"/>
        </w:rPr>
        <w:t>九、管理实施要求</w:t>
      </w:r>
    </w:p>
    <w:p w14:paraId="44E73493">
      <w:pPr>
        <w:pStyle w:val="35"/>
        <w:numPr>
          <w:ilvl w:val="0"/>
          <w:numId w:val="4"/>
        </w:numPr>
        <w:spacing w:line="360" w:lineRule="auto"/>
        <w:ind w:left="0" w:firstLine="446"/>
        <w:rPr>
          <w:sz w:val="24"/>
        </w:rPr>
      </w:pPr>
      <w:r>
        <w:rPr>
          <w:rFonts w:hint="eastAsia"/>
          <w:sz w:val="24"/>
        </w:rPr>
        <w:t>供应商应成立项目管理组织，严格遵守本项目业务管控、架构管控、项目管控的要求。</w:t>
      </w:r>
    </w:p>
    <w:p w14:paraId="634E7F69">
      <w:pPr>
        <w:pStyle w:val="35"/>
        <w:numPr>
          <w:ilvl w:val="0"/>
          <w:numId w:val="4"/>
        </w:numPr>
        <w:spacing w:line="360" w:lineRule="auto"/>
        <w:ind w:left="0" w:firstLine="446"/>
        <w:rPr>
          <w:sz w:val="24"/>
        </w:rPr>
      </w:pPr>
      <w:r>
        <w:rPr>
          <w:rFonts w:hint="eastAsia"/>
          <w:sz w:val="24"/>
        </w:rPr>
        <w:t>供应商应基于成熟的项目管理方法论，制订完善的项目管理制度、流程，合理划分项目管理的阶段，借助工程管理工具，在项目实施过程中对项目进行规范化管理，确保项目实施进度和实施质量。</w:t>
      </w:r>
    </w:p>
    <w:p w14:paraId="5B8BE5C5">
      <w:pPr>
        <w:pStyle w:val="35"/>
        <w:numPr>
          <w:ilvl w:val="0"/>
          <w:numId w:val="4"/>
        </w:numPr>
        <w:spacing w:line="360" w:lineRule="auto"/>
        <w:ind w:left="0" w:firstLine="446"/>
        <w:rPr>
          <w:sz w:val="24"/>
        </w:rPr>
      </w:pPr>
      <w:r>
        <w:rPr>
          <w:rFonts w:hint="eastAsia"/>
          <w:sz w:val="24"/>
        </w:rPr>
        <w:t>供应商应根据项目管理的需要，提供和使用项目管理工具，当采购人要求时，必须使用采购人提供的项目管理工具。如约定由供应商提供项目管理工具时，供应商各阶段产出物采用特殊格式的，供应商需提供相应的打开、编译、运行、修改、打印等工具。供应商应合法取得相关工具的版权、知识产权或授权供采购人使用，相关费用不论供应商是否进行明细报价都视为已包含在投标总价中，采购人不对工具额外付费。若发生版权、知识产权或授权纠纷，后果由供应商承担。</w:t>
      </w:r>
    </w:p>
    <w:p w14:paraId="59DE2B01">
      <w:pPr>
        <w:pStyle w:val="35"/>
        <w:numPr>
          <w:ilvl w:val="0"/>
          <w:numId w:val="4"/>
        </w:numPr>
        <w:spacing w:line="360" w:lineRule="auto"/>
        <w:ind w:left="0" w:firstLine="446"/>
        <w:rPr>
          <w:sz w:val="24"/>
        </w:rPr>
      </w:pPr>
      <w:r>
        <w:rPr>
          <w:rFonts w:hint="eastAsia"/>
          <w:sz w:val="24"/>
        </w:rPr>
        <w:t>供应商应提供合理的技术、运维力量配置及工作量单价。</w:t>
      </w:r>
    </w:p>
    <w:p w14:paraId="5DFE8844">
      <w:pPr>
        <w:pStyle w:val="35"/>
        <w:numPr>
          <w:ilvl w:val="0"/>
          <w:numId w:val="4"/>
        </w:numPr>
        <w:spacing w:line="360" w:lineRule="auto"/>
        <w:ind w:left="0" w:firstLine="446"/>
        <w:rPr>
          <w:sz w:val="24"/>
        </w:rPr>
      </w:pPr>
      <w:r>
        <w:rPr>
          <w:rFonts w:hint="eastAsia"/>
          <w:sz w:val="24"/>
        </w:rPr>
        <w:t>在项目实施工程中，采购人可能根据实际情况，在不改变工作量的情况下调整项目运维要求，供应商应充分考虑、无条件满足采购人的要求，采购人对此不再额外付费。</w:t>
      </w:r>
    </w:p>
    <w:p w14:paraId="3E51C2C0">
      <w:pPr>
        <w:spacing w:line="360" w:lineRule="auto"/>
        <w:ind w:firstLine="448" w:firstLineChars="200"/>
        <w:outlineLvl w:val="0"/>
        <w:rPr>
          <w:sz w:val="24"/>
        </w:rPr>
      </w:pPr>
      <w:r>
        <w:rPr>
          <w:rFonts w:hint="eastAsia"/>
          <w:sz w:val="24"/>
        </w:rPr>
        <w:t>十、保密要求</w:t>
      </w:r>
    </w:p>
    <w:p w14:paraId="42654966">
      <w:pPr>
        <w:pStyle w:val="35"/>
        <w:numPr>
          <w:ilvl w:val="1"/>
          <w:numId w:val="5"/>
        </w:numPr>
        <w:spacing w:line="360" w:lineRule="auto"/>
        <w:ind w:left="0" w:firstLine="446"/>
        <w:rPr>
          <w:sz w:val="24"/>
        </w:rPr>
      </w:pPr>
      <w:r>
        <w:rPr>
          <w:rFonts w:hint="eastAsia"/>
          <w:sz w:val="24"/>
        </w:rPr>
        <w:t>供应商应严格落实国家税务总局采购人网络安全保密管理要求，承担技术支持人员的安全和保密管理责任。按采购人要求签订供应商保密协议书和技术支持人员保密承诺书。</w:t>
      </w:r>
    </w:p>
    <w:p w14:paraId="226A247E">
      <w:pPr>
        <w:pStyle w:val="35"/>
        <w:numPr>
          <w:ilvl w:val="1"/>
          <w:numId w:val="5"/>
        </w:numPr>
        <w:spacing w:line="360" w:lineRule="auto"/>
        <w:ind w:left="0" w:firstLine="446"/>
        <w:rPr>
          <w:sz w:val="24"/>
        </w:rPr>
      </w:pPr>
      <w:r>
        <w:rPr>
          <w:rFonts w:hint="eastAsia"/>
          <w:sz w:val="24"/>
        </w:rPr>
        <w:t>供应商负责派驻技术支持人员背景审查工作，提供其身份证明、履历、家庭成员及主要社会关系、无犯罪记录证明、学历证明（《教育部学历证书电子注册备案表》）、劳动合同、社保和个税缴纳凭证等材料，提交信息备案表。</w:t>
      </w:r>
    </w:p>
    <w:p w14:paraId="41293F81">
      <w:pPr>
        <w:pStyle w:val="35"/>
        <w:numPr>
          <w:ilvl w:val="1"/>
          <w:numId w:val="5"/>
        </w:numPr>
        <w:spacing w:line="360" w:lineRule="auto"/>
        <w:ind w:left="0" w:firstLine="446"/>
        <w:rPr>
          <w:sz w:val="24"/>
        </w:rPr>
      </w:pPr>
      <w:r>
        <w:rPr>
          <w:rFonts w:hint="eastAsia"/>
          <w:sz w:val="24"/>
        </w:rPr>
        <w:t>供应商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374E7ACF">
      <w:pPr>
        <w:pStyle w:val="35"/>
        <w:numPr>
          <w:ilvl w:val="1"/>
          <w:numId w:val="5"/>
        </w:numPr>
        <w:spacing w:line="360" w:lineRule="auto"/>
        <w:ind w:left="0" w:firstLine="446"/>
        <w:rPr>
          <w:sz w:val="24"/>
        </w:rPr>
      </w:pPr>
      <w:r>
        <w:rPr>
          <w:rFonts w:hint="eastAsia"/>
          <w:sz w:val="24"/>
        </w:rPr>
        <w:t>对“保密责任”落实不严格、不到位，造成重大安全事件或产生负面影响的，按照合同中“其他终止合同情况”条款执行，并依照相关法律等规定进行追责。</w:t>
      </w:r>
    </w:p>
    <w:p w14:paraId="2BA65A24">
      <w:pPr>
        <w:spacing w:line="360" w:lineRule="auto"/>
        <w:ind w:firstLine="448" w:firstLineChars="200"/>
        <w:outlineLvl w:val="0"/>
        <w:rPr>
          <w:sz w:val="24"/>
        </w:rPr>
      </w:pPr>
      <w:r>
        <w:rPr>
          <w:rFonts w:hint="eastAsia"/>
          <w:sz w:val="24"/>
        </w:rPr>
        <w:t>十一、知识转移要求</w:t>
      </w:r>
    </w:p>
    <w:p w14:paraId="41F30F30">
      <w:pPr>
        <w:spacing w:line="360" w:lineRule="auto"/>
        <w:ind w:firstLine="448" w:firstLineChars="200"/>
        <w:outlineLvl w:val="0"/>
        <w:rPr>
          <w:sz w:val="24"/>
        </w:rPr>
      </w:pPr>
      <w:r>
        <w:rPr>
          <w:rFonts w:hint="eastAsia"/>
          <w:sz w:val="24"/>
        </w:rPr>
        <w:t>（一）根据系统问题处理层级建立运维知识库，将业务知识、操作知识、常见问题、重大紧急事件、故障解决方案等工作资料进行整理、归纳，形成相关知识存入运行维护知识库，制作文字文档、音视频教程和培训资料，以供采购人使用。</w:t>
      </w:r>
    </w:p>
    <w:p w14:paraId="7B8BF88F">
      <w:pPr>
        <w:spacing w:line="360" w:lineRule="auto"/>
        <w:ind w:firstLine="448" w:firstLineChars="200"/>
        <w:outlineLvl w:val="0"/>
        <w:rPr>
          <w:sz w:val="24"/>
        </w:rPr>
      </w:pPr>
      <w:r>
        <w:rPr>
          <w:rFonts w:hint="eastAsia"/>
          <w:sz w:val="24"/>
        </w:rPr>
        <w:t>（二）根据本项目具体情况，满足采购人提出的其他知识转移要求。</w:t>
      </w:r>
    </w:p>
    <w:p w14:paraId="72D9974C">
      <w:pPr>
        <w:spacing w:line="360" w:lineRule="auto"/>
        <w:ind w:firstLine="448" w:firstLineChars="200"/>
        <w:outlineLvl w:val="0"/>
        <w:rPr>
          <w:sz w:val="24"/>
        </w:rPr>
      </w:pPr>
      <w:r>
        <w:rPr>
          <w:rFonts w:hint="eastAsia"/>
          <w:sz w:val="24"/>
        </w:rPr>
        <w:t>十二、风险管控要求</w:t>
      </w:r>
    </w:p>
    <w:p w14:paraId="5D2B5997">
      <w:pPr>
        <w:spacing w:line="360" w:lineRule="auto"/>
        <w:ind w:firstLine="448" w:firstLineChars="200"/>
        <w:outlineLvl w:val="0"/>
        <w:rPr>
          <w:sz w:val="24"/>
        </w:rPr>
      </w:pPr>
      <w:r>
        <w:rPr>
          <w:rFonts w:hint="eastAsia"/>
          <w:sz w:val="24"/>
        </w:rPr>
        <w:t>（一）风险管控总体要求</w:t>
      </w:r>
    </w:p>
    <w:p w14:paraId="30A3F7C2">
      <w:pPr>
        <w:spacing w:line="360" w:lineRule="auto"/>
        <w:ind w:firstLine="448" w:firstLineChars="200"/>
        <w:outlineLvl w:val="0"/>
        <w:rPr>
          <w:sz w:val="24"/>
        </w:rPr>
      </w:pPr>
      <w:r>
        <w:rPr>
          <w:rFonts w:hint="eastAsia"/>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12C4B12E">
      <w:pPr>
        <w:spacing w:line="360" w:lineRule="auto"/>
        <w:ind w:firstLine="448" w:firstLineChars="200"/>
        <w:outlineLvl w:val="0"/>
        <w:rPr>
          <w:sz w:val="24"/>
        </w:rPr>
      </w:pPr>
      <w:r>
        <w:rPr>
          <w:rFonts w:hint="eastAsia"/>
          <w:sz w:val="24"/>
        </w:rPr>
        <w:t>（二）风险管控具体要求</w:t>
      </w:r>
    </w:p>
    <w:p w14:paraId="7130E79E">
      <w:pPr>
        <w:spacing w:line="360" w:lineRule="auto"/>
        <w:ind w:firstLine="448" w:firstLineChars="200"/>
        <w:outlineLvl w:val="0"/>
        <w:rPr>
          <w:sz w:val="24"/>
        </w:rPr>
      </w:pPr>
      <w:r>
        <w:rPr>
          <w:rFonts w:hint="eastAsia"/>
          <w:sz w:val="24"/>
        </w:rPr>
        <w:t>1.风险管控内容要求</w:t>
      </w:r>
    </w:p>
    <w:p w14:paraId="13F26D67">
      <w:pPr>
        <w:spacing w:line="360" w:lineRule="auto"/>
        <w:ind w:firstLine="448" w:firstLineChars="200"/>
        <w:outlineLvl w:val="0"/>
        <w:rPr>
          <w:sz w:val="24"/>
        </w:rPr>
      </w:pPr>
      <w:r>
        <w:rPr>
          <w:rFonts w:hint="eastAsia"/>
          <w:sz w:val="24"/>
        </w:rPr>
        <w:t>一是管控人员流动风险：制定合理的薪酬体系和激励机制，避免因人员流动影响项目执行；二是管控运维风险：加强监控预警和安全防护，规范运维操作流程，避免因各种原因导致的生产事故。</w:t>
      </w:r>
    </w:p>
    <w:p w14:paraId="6B66C739">
      <w:pPr>
        <w:spacing w:line="360" w:lineRule="auto"/>
        <w:ind w:firstLine="448" w:firstLineChars="200"/>
        <w:outlineLvl w:val="0"/>
        <w:rPr>
          <w:sz w:val="24"/>
        </w:rPr>
      </w:pPr>
      <w:r>
        <w:rPr>
          <w:rFonts w:hint="eastAsia"/>
          <w:sz w:val="24"/>
        </w:rPr>
        <w:t>2.风险管控时间要求</w:t>
      </w:r>
    </w:p>
    <w:p w14:paraId="6019346D">
      <w:pPr>
        <w:spacing w:line="360" w:lineRule="auto"/>
        <w:ind w:firstLine="448" w:firstLineChars="200"/>
        <w:outlineLvl w:val="0"/>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5E9F01E6">
      <w:pPr>
        <w:spacing w:line="360" w:lineRule="auto"/>
        <w:ind w:firstLine="448" w:firstLineChars="200"/>
        <w:outlineLvl w:val="0"/>
        <w:rPr>
          <w:sz w:val="24"/>
        </w:rPr>
      </w:pPr>
      <w:r>
        <w:rPr>
          <w:rFonts w:hint="eastAsia"/>
          <w:sz w:val="24"/>
        </w:rPr>
        <w:t>3.风险管控形式要求</w:t>
      </w:r>
    </w:p>
    <w:p w14:paraId="7F351BC0">
      <w:pPr>
        <w:spacing w:line="360" w:lineRule="auto"/>
        <w:ind w:firstLine="448" w:firstLineChars="200"/>
        <w:outlineLvl w:val="0"/>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02416A95">
      <w:pPr>
        <w:spacing w:line="360" w:lineRule="auto"/>
        <w:ind w:firstLine="448" w:firstLineChars="200"/>
        <w:outlineLvl w:val="0"/>
        <w:rPr>
          <w:sz w:val="24"/>
        </w:rPr>
      </w:pPr>
      <w:r>
        <w:rPr>
          <w:rFonts w:hint="eastAsia"/>
          <w:sz w:val="24"/>
        </w:rPr>
        <w:t>十三、履约验收要求</w:t>
      </w:r>
    </w:p>
    <w:p w14:paraId="3C2D911E">
      <w:pPr>
        <w:spacing w:line="360" w:lineRule="auto"/>
        <w:ind w:firstLine="448" w:firstLineChars="200"/>
        <w:rPr>
          <w:sz w:val="24"/>
        </w:rPr>
      </w:pPr>
      <w:r>
        <w:rPr>
          <w:rFonts w:hint="eastAsia"/>
          <w:sz w:val="24"/>
        </w:rPr>
        <w:t>（一）验收工作由采购人组织实施，采购人、供应商和第三方验收公司等共同参与。</w:t>
      </w:r>
    </w:p>
    <w:p w14:paraId="3F61A326">
      <w:pPr>
        <w:spacing w:line="360" w:lineRule="auto"/>
        <w:ind w:firstLine="448" w:firstLineChars="200"/>
        <w:rPr>
          <w:sz w:val="24"/>
        </w:rPr>
      </w:pPr>
      <w:r>
        <w:rPr>
          <w:rFonts w:hint="eastAsia"/>
          <w:sz w:val="24"/>
        </w:rPr>
        <w:t>（二）供应商在满足验收条件后，提出项目验收申请，提交验收相关产出物，提供的各类文档应内容完整、描述清晰、经采购人确认后进行项目验收。</w:t>
      </w:r>
    </w:p>
    <w:p w14:paraId="02FE7AAE">
      <w:pPr>
        <w:spacing w:line="360" w:lineRule="auto"/>
        <w:ind w:firstLine="448" w:firstLineChars="200"/>
        <w:rPr>
          <w:sz w:val="24"/>
        </w:rPr>
      </w:pPr>
      <w:r>
        <w:rPr>
          <w:rFonts w:hint="eastAsia"/>
          <w:sz w:val="24"/>
        </w:rPr>
        <w:t>（三）以项目合同书、验收前双方确认的工作主要交付物、项目验收报告等作为验收依据。</w:t>
      </w:r>
    </w:p>
    <w:p w14:paraId="477AD71D">
      <w:pPr>
        <w:spacing w:line="360" w:lineRule="auto"/>
        <w:ind w:firstLine="448" w:firstLineChars="200"/>
        <w:rPr>
          <w:sz w:val="24"/>
        </w:rPr>
      </w:pPr>
      <w:r>
        <w:rPr>
          <w:rFonts w:hint="eastAsia"/>
          <w:sz w:val="24"/>
        </w:rPr>
        <w:t>（四）在服务期限内，供应商派出的运维人员应随时监控系统运行状态，做好事件记录，按照要求出具系统运行监控报告。</w:t>
      </w:r>
    </w:p>
    <w:p w14:paraId="5D5BB874">
      <w:pPr>
        <w:spacing w:line="360" w:lineRule="auto"/>
        <w:ind w:firstLine="448" w:firstLineChars="200"/>
        <w:rPr>
          <w:sz w:val="24"/>
        </w:rPr>
      </w:pPr>
      <w:r>
        <w:rPr>
          <w:rFonts w:hint="eastAsia"/>
          <w:sz w:val="24"/>
        </w:rPr>
        <w:t>（五）供应商按月提交工作日志和健康检查报告等运维产出物。提交报告数量、质量及采购人出具的评价意见作为验收依据。评价意见中工时统计来源至少包含考勤、堡垒机、工单、加班审批等数据。</w:t>
      </w:r>
    </w:p>
    <w:p w14:paraId="29FE15FA">
      <w:pPr>
        <w:spacing w:line="360" w:lineRule="auto"/>
        <w:ind w:firstLine="448" w:firstLineChars="200"/>
        <w:outlineLvl w:val="0"/>
        <w:rPr>
          <w:sz w:val="24"/>
        </w:rPr>
      </w:pPr>
      <w:r>
        <w:rPr>
          <w:rFonts w:hint="eastAsia"/>
          <w:sz w:val="24"/>
        </w:rPr>
        <w:t>十四、其他要求</w:t>
      </w:r>
    </w:p>
    <w:p w14:paraId="56316BCB">
      <w:pPr>
        <w:widowControl/>
        <w:ind w:firstLine="448" w:firstLineChars="200"/>
        <w:jc w:val="left"/>
        <w:rPr>
          <w:sz w:val="24"/>
        </w:rPr>
      </w:pPr>
      <w:r>
        <w:rPr>
          <w:rFonts w:hint="eastAsia" w:ascii="宋体" w:hAnsi="宋体" w:cs="宋体"/>
          <w:sz w:val="24"/>
        </w:rPr>
        <w:t>★（一）</w:t>
      </w:r>
      <w:r>
        <w:rPr>
          <w:sz w:val="24"/>
        </w:rPr>
        <w:t>税收信息化项目开发和应用管理工作要求</w:t>
      </w:r>
    </w:p>
    <w:p w14:paraId="19D2EB8E">
      <w:pPr>
        <w:widowControl/>
        <w:ind w:firstLine="448" w:firstLineChars="200"/>
        <w:jc w:val="left"/>
        <w:rPr>
          <w:sz w:val="24"/>
        </w:rPr>
      </w:pPr>
      <w:r>
        <w:rPr>
          <w:rFonts w:hint="eastAsia"/>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137D7BB9">
      <w:pPr>
        <w:widowControl/>
        <w:ind w:firstLine="448" w:firstLineChars="200"/>
        <w:jc w:val="left"/>
        <w:rPr>
          <w:sz w:val="24"/>
        </w:rPr>
      </w:pPr>
      <w:r>
        <w:rPr>
          <w:rFonts w:hint="eastAsia" w:ascii="宋体" w:hAnsi="宋体" w:cs="宋体"/>
          <w:sz w:val="24"/>
        </w:rPr>
        <w:t>★（二）</w:t>
      </w:r>
      <w:r>
        <w:rPr>
          <w:sz w:val="24"/>
        </w:rPr>
        <w:t>供应链安全管理要求</w:t>
      </w:r>
    </w:p>
    <w:p w14:paraId="20F67AFF">
      <w:pPr>
        <w:widowControl/>
        <w:ind w:firstLine="448" w:firstLineChars="200"/>
        <w:jc w:val="left"/>
        <w:rPr>
          <w:sz w:val="24"/>
        </w:rPr>
      </w:pPr>
      <w:r>
        <w:rPr>
          <w:sz w:val="24"/>
        </w:rPr>
        <w:t xml:space="preserve">1、人员资格要求 </w:t>
      </w:r>
    </w:p>
    <w:p w14:paraId="4693B566">
      <w:pPr>
        <w:widowControl/>
        <w:ind w:firstLine="448" w:firstLineChars="200"/>
        <w:jc w:val="left"/>
        <w:rPr>
          <w:sz w:val="24"/>
        </w:rPr>
      </w:pPr>
      <w:r>
        <w:rPr>
          <w:sz w:val="24"/>
        </w:rPr>
        <w:t xml:space="preserve">（1）签订承诺书。供应商应严格落实国家税务总局网络安全和保密管理要求，承担技术支持人员的网络安全和保密管理责任，按采购人要求签订协议和承诺书。 </w:t>
      </w:r>
    </w:p>
    <w:p w14:paraId="4A7298CA">
      <w:pPr>
        <w:widowControl/>
        <w:ind w:firstLine="448" w:firstLineChars="200"/>
        <w:jc w:val="left"/>
        <w:rPr>
          <w:sz w:val="24"/>
        </w:rPr>
      </w:pPr>
      <w:r>
        <w:rPr>
          <w:sz w:val="24"/>
        </w:rPr>
        <w:t xml:space="preserve">（2）开展背景审查。供应商承担技术支持人员背景审查工作，提供其身份证明、履历、家庭成员及主要社会关系、无犯罪记录证明等材料，并提交采购人进行备案。 </w:t>
      </w:r>
    </w:p>
    <w:p w14:paraId="402C1046">
      <w:pPr>
        <w:widowControl/>
        <w:ind w:firstLine="448" w:firstLineChars="200"/>
        <w:jc w:val="left"/>
        <w:rPr>
          <w:sz w:val="24"/>
        </w:rPr>
      </w:pPr>
      <w:r>
        <w:rPr>
          <w:sz w:val="24"/>
        </w:rPr>
        <w:t>（3）设置网络安全负责人（由</w:t>
      </w:r>
      <w:r>
        <w:rPr>
          <w:rFonts w:hint="eastAsia"/>
          <w:sz w:val="24"/>
        </w:rPr>
        <w:t>项目经理</w:t>
      </w:r>
      <w:r>
        <w:rPr>
          <w:sz w:val="24"/>
        </w:rPr>
        <w:t xml:space="preserve">兼任）。供应商为本项目配备一名网络安全负责人，该负责人具备独立决策能力并保持相对稳定，在项目实施的全过程负责网络安全工作，组织落实各项网络安全要求。 </w:t>
      </w:r>
    </w:p>
    <w:p w14:paraId="43463D0A">
      <w:pPr>
        <w:widowControl/>
        <w:ind w:firstLine="448" w:firstLineChars="200"/>
        <w:jc w:val="left"/>
        <w:rPr>
          <w:sz w:val="24"/>
        </w:rPr>
      </w:pPr>
      <w:r>
        <w:rPr>
          <w:sz w:val="24"/>
        </w:rPr>
        <w:t xml:space="preserve">2、日常行为规范要求 </w:t>
      </w:r>
    </w:p>
    <w:p w14:paraId="111C311E">
      <w:pPr>
        <w:widowControl/>
        <w:ind w:firstLine="448" w:firstLineChars="200"/>
        <w:jc w:val="left"/>
        <w:rPr>
          <w:sz w:val="24"/>
        </w:rPr>
      </w:pPr>
      <w:r>
        <w:rPr>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3D4CD0CA">
      <w:pPr>
        <w:widowControl/>
        <w:ind w:firstLine="448" w:firstLineChars="200"/>
        <w:jc w:val="left"/>
        <w:rPr>
          <w:sz w:val="24"/>
        </w:rPr>
      </w:pPr>
      <w:r>
        <w:rPr>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53AEC94A">
      <w:pPr>
        <w:widowControl/>
        <w:ind w:firstLine="448" w:firstLineChars="200"/>
        <w:jc w:val="left"/>
        <w:rPr>
          <w:sz w:val="24"/>
        </w:rPr>
      </w:pPr>
      <w:r>
        <w:rPr>
          <w:sz w:val="24"/>
        </w:rPr>
        <w:t xml:space="preserve">3、违约惩戒措施 </w:t>
      </w:r>
    </w:p>
    <w:p w14:paraId="72C13DDA">
      <w:pPr>
        <w:widowControl/>
        <w:ind w:firstLine="448" w:firstLineChars="200"/>
        <w:jc w:val="left"/>
        <w:rPr>
          <w:sz w:val="24"/>
        </w:rPr>
      </w:pPr>
      <w:r>
        <w:rPr>
          <w:rFonts w:hint="eastAsia"/>
          <w:sz w:val="24"/>
        </w:rPr>
        <w:t>供应商对供应链安全管理责任落实不到位，造成安全事件或产生不良影响的，采购人按照法律法规及合同约定进行处理。</w:t>
      </w:r>
    </w:p>
    <w:p w14:paraId="396773F8">
      <w:pPr>
        <w:widowControl/>
        <w:ind w:firstLine="448" w:firstLineChars="200"/>
        <w:jc w:val="left"/>
        <w:rPr>
          <w:rFonts w:ascii="宋体" w:hAnsi="宋体" w:cs="宋体"/>
          <w:sz w:val="24"/>
        </w:rPr>
      </w:pPr>
      <w:r>
        <w:rPr>
          <w:rFonts w:hint="eastAsia" w:ascii="宋体" w:hAnsi="宋体" w:cs="宋体"/>
          <w:sz w:val="24"/>
        </w:rPr>
        <w:t>★（三）信息化服务项目人员要求</w:t>
      </w:r>
    </w:p>
    <w:p w14:paraId="7F6535CD">
      <w:pPr>
        <w:widowControl/>
        <w:ind w:firstLine="448" w:firstLineChars="200"/>
        <w:jc w:val="left"/>
        <w:rPr>
          <w:rFonts w:ascii="宋体" w:hAnsi="宋体" w:cs="宋体"/>
          <w:sz w:val="24"/>
        </w:rPr>
      </w:pPr>
      <w:r>
        <w:rPr>
          <w:rFonts w:hint="eastAsia" w:ascii="宋体" w:hAnsi="宋体" w:cs="宋体"/>
          <w:sz w:val="24"/>
        </w:rPr>
        <w:t>本项目涉及信息化服务运维人员的，运维人员应当是运维单位的正式人员，或者是与运维单位签订1年以上劳动合同且实际工作满1年的人员，常驻运维人员应当为技术骨干。</w:t>
      </w:r>
    </w:p>
    <w:p w14:paraId="2691F157">
      <w:pPr>
        <w:widowControl/>
        <w:ind w:firstLine="448" w:firstLineChars="200"/>
        <w:jc w:val="left"/>
        <w:rPr>
          <w:sz w:val="24"/>
        </w:rPr>
      </w:pPr>
      <w:r>
        <w:rPr>
          <w:sz w:val="24"/>
        </w:rPr>
        <w:t>（四）运行维护保障要求</w:t>
      </w:r>
    </w:p>
    <w:p w14:paraId="36B6EACD">
      <w:pPr>
        <w:widowControl/>
        <w:ind w:firstLine="448" w:firstLineChars="200"/>
        <w:jc w:val="left"/>
        <w:rPr>
          <w:sz w:val="24"/>
        </w:rPr>
      </w:pPr>
      <w:r>
        <w:rPr>
          <w:sz w:val="24"/>
        </w:rPr>
        <w:t>1.供应商在运行维护中出现运行故障（不可抗力因素除外）或发现违规操作，30分钟内未主动上报采购单位的，给予警告，并按次扣除合同总价款1‰的金额；合同生效期间累计扣除不超过合同总价款5%的金额。</w:t>
      </w:r>
    </w:p>
    <w:p w14:paraId="4C02AD1B">
      <w:pPr>
        <w:widowControl/>
        <w:ind w:firstLine="448" w:firstLineChars="200"/>
        <w:jc w:val="left"/>
        <w:rPr>
          <w:sz w:val="24"/>
        </w:rPr>
      </w:pPr>
      <w:r>
        <w:rPr>
          <w:sz w:val="24"/>
        </w:rPr>
        <w:t>2.供应商在运行维护中出现巡检不及时、不到位的，按次扣除合同总价款1‰的金额；合同生效期间累计扣除不超过合同总价款的5%。</w:t>
      </w:r>
    </w:p>
    <w:p w14:paraId="3AB7A735">
      <w:pPr>
        <w:widowControl/>
        <w:ind w:firstLine="448" w:firstLineChars="200"/>
        <w:jc w:val="left"/>
        <w:rPr>
          <w:sz w:val="24"/>
        </w:rPr>
      </w:pPr>
      <w:r>
        <w:rPr>
          <w:sz w:val="24"/>
        </w:rPr>
        <w:t>3.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14:paraId="11D16370">
      <w:pPr>
        <w:widowControl/>
        <w:ind w:firstLine="448" w:firstLineChars="200"/>
        <w:jc w:val="left"/>
        <w:rPr>
          <w:sz w:val="24"/>
        </w:rPr>
      </w:pPr>
      <w:r>
        <w:rPr>
          <w:sz w:val="24"/>
        </w:rPr>
        <w:t>（</w:t>
      </w:r>
      <w:r>
        <w:rPr>
          <w:rFonts w:hint="eastAsia"/>
          <w:sz w:val="24"/>
        </w:rPr>
        <w:t>五</w:t>
      </w:r>
      <w:r>
        <w:rPr>
          <w:sz w:val="24"/>
        </w:rPr>
        <w:t>）廉政要求</w:t>
      </w:r>
    </w:p>
    <w:p w14:paraId="2EF27489">
      <w:pPr>
        <w:widowControl/>
        <w:ind w:firstLine="448" w:firstLineChars="200"/>
        <w:jc w:val="left"/>
        <w:rPr>
          <w:sz w:val="24"/>
        </w:rPr>
      </w:pPr>
      <w:r>
        <w:rPr>
          <w:rFonts w:hint="eastAsia"/>
          <w:sz w:val="24"/>
        </w:rPr>
        <w:t>供应商在参与税务部门信息化项目工作过程中，需严格遵守法律法规、规范履行合同，积极协助税务部门开展廉政风险防控工作，严格遵守并落实如下要求：</w:t>
      </w:r>
    </w:p>
    <w:p w14:paraId="69FB8668">
      <w:pPr>
        <w:widowControl/>
        <w:ind w:firstLine="448" w:firstLineChars="200"/>
        <w:jc w:val="left"/>
        <w:rPr>
          <w:sz w:val="24"/>
        </w:rPr>
      </w:pPr>
      <w:r>
        <w:rPr>
          <w:rFonts w:hint="eastAsia"/>
          <w:sz w:val="24"/>
        </w:rPr>
        <w:t>1、积极发挥廉政风险防控正向作用</w:t>
      </w:r>
    </w:p>
    <w:p w14:paraId="1A9731F0">
      <w:pPr>
        <w:widowControl/>
        <w:ind w:firstLine="448" w:firstLineChars="200"/>
        <w:jc w:val="left"/>
        <w:rPr>
          <w:sz w:val="24"/>
        </w:rPr>
      </w:pPr>
      <w:r>
        <w:rPr>
          <w:rFonts w:hint="eastAsia"/>
          <w:sz w:val="24"/>
        </w:rPr>
        <w:t>供应商有义务配合税务部门在信息化项目工作中加强廉政风险防控，执行有关措施。</w:t>
      </w:r>
    </w:p>
    <w:p w14:paraId="1895EE30">
      <w:pPr>
        <w:widowControl/>
        <w:ind w:firstLine="448" w:firstLineChars="200"/>
        <w:jc w:val="left"/>
        <w:rPr>
          <w:sz w:val="24"/>
        </w:rPr>
      </w:pPr>
      <w:r>
        <w:rPr>
          <w:rFonts w:hint="eastAsia"/>
          <w:sz w:val="24"/>
        </w:rPr>
        <w:t>2、健全廉政风险防控机制</w:t>
      </w:r>
    </w:p>
    <w:p w14:paraId="23D9D65E">
      <w:pPr>
        <w:widowControl/>
        <w:ind w:firstLine="448" w:firstLineChars="200"/>
        <w:jc w:val="left"/>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68CF7A5B">
      <w:pPr>
        <w:widowControl/>
        <w:ind w:firstLine="448" w:firstLineChars="200"/>
        <w:jc w:val="left"/>
        <w:rPr>
          <w:sz w:val="24"/>
        </w:rPr>
      </w:pPr>
      <w:r>
        <w:rPr>
          <w:rFonts w:hint="eastAsia"/>
          <w:sz w:val="24"/>
        </w:rPr>
        <w:t>3、杜绝违纪违法行为</w:t>
      </w:r>
    </w:p>
    <w:p w14:paraId="40B679DD">
      <w:pPr>
        <w:widowControl/>
        <w:ind w:firstLine="448" w:firstLineChars="200"/>
        <w:jc w:val="left"/>
        <w:rPr>
          <w:sz w:val="24"/>
        </w:rPr>
      </w:pPr>
      <w:r>
        <w:rPr>
          <w:rFonts w:hint="eastAsia"/>
          <w:sz w:val="24"/>
        </w:rPr>
        <w:t>供应商及相关项目人员必须严格遵守党纪国法，坚守职业道德，杜绝任何形式的利益输送、权力寻租等违纪违法行为，对采购人不得实施以下行为：</w:t>
      </w:r>
    </w:p>
    <w:p w14:paraId="52ADBDCF">
      <w:pPr>
        <w:widowControl/>
        <w:ind w:firstLine="448" w:firstLineChars="200"/>
        <w:jc w:val="left"/>
        <w:rPr>
          <w:sz w:val="24"/>
        </w:rPr>
      </w:pPr>
      <w:r>
        <w:rPr>
          <w:rFonts w:hint="eastAsia"/>
          <w:sz w:val="24"/>
        </w:rPr>
        <w:t>（1）以各种形式和名义提供礼品、礼金、电子红包、支付凭证、商业预付卡、名贵特产、有价证券、股权、其他金融产品等财物。</w:t>
      </w:r>
    </w:p>
    <w:p w14:paraId="1F117A8B">
      <w:pPr>
        <w:widowControl/>
        <w:ind w:firstLine="448" w:firstLineChars="200"/>
        <w:jc w:val="left"/>
        <w:rPr>
          <w:sz w:val="24"/>
        </w:rPr>
      </w:pPr>
      <w:r>
        <w:rPr>
          <w:rFonts w:hint="eastAsia"/>
          <w:sz w:val="24"/>
        </w:rPr>
        <w:t>（2）以各种形式和名义提供宴请、旅游、健身、娱乐、私人会所等活动安排；代付加班餐费、打车费等。</w:t>
      </w:r>
    </w:p>
    <w:p w14:paraId="2856810B">
      <w:pPr>
        <w:widowControl/>
        <w:ind w:firstLine="448" w:firstLineChars="200"/>
        <w:jc w:val="left"/>
        <w:rPr>
          <w:sz w:val="24"/>
        </w:rPr>
      </w:pPr>
      <w:r>
        <w:rPr>
          <w:rFonts w:hint="eastAsia"/>
          <w:sz w:val="24"/>
        </w:rPr>
        <w:t>（3）以讲课费、咨询费等名义，提供或变相提供报酬。</w:t>
      </w:r>
    </w:p>
    <w:p w14:paraId="34F9BF47">
      <w:pPr>
        <w:widowControl/>
        <w:ind w:firstLine="448" w:firstLineChars="200"/>
        <w:jc w:val="left"/>
        <w:rPr>
          <w:sz w:val="24"/>
        </w:rPr>
      </w:pPr>
      <w:r>
        <w:rPr>
          <w:rFonts w:hint="eastAsia"/>
          <w:sz w:val="24"/>
        </w:rPr>
        <w:t>（4）借款、借房、借车，报销应由个人负担的费用。</w:t>
      </w:r>
    </w:p>
    <w:p w14:paraId="455F6F41">
      <w:pPr>
        <w:widowControl/>
        <w:ind w:firstLine="448" w:firstLineChars="200"/>
        <w:jc w:val="left"/>
        <w:rPr>
          <w:sz w:val="24"/>
        </w:rPr>
      </w:pPr>
      <w:r>
        <w:rPr>
          <w:rFonts w:hint="eastAsia"/>
          <w:sz w:val="24"/>
        </w:rPr>
        <w:t>（5）以无偿、象征性地收取费用等方式提供家政、司机等服务劳务。</w:t>
      </w:r>
    </w:p>
    <w:p w14:paraId="2A121BA8">
      <w:pPr>
        <w:widowControl/>
        <w:ind w:firstLine="448" w:firstLineChars="200"/>
        <w:jc w:val="left"/>
        <w:rPr>
          <w:sz w:val="24"/>
        </w:rPr>
      </w:pPr>
      <w:r>
        <w:rPr>
          <w:rFonts w:hint="eastAsia"/>
          <w:sz w:val="24"/>
        </w:rPr>
        <w:t>（6）其他通过任何形式行贿或输送利益的行为。</w:t>
      </w:r>
    </w:p>
    <w:p w14:paraId="493AF5D8">
      <w:pPr>
        <w:widowControl/>
        <w:ind w:firstLine="448" w:firstLineChars="200"/>
        <w:jc w:val="left"/>
        <w:rPr>
          <w:sz w:val="24"/>
        </w:rPr>
      </w:pPr>
      <w:r>
        <w:rPr>
          <w:rFonts w:hint="eastAsia"/>
          <w:sz w:val="24"/>
        </w:rPr>
        <w:t>4、信守承诺</w:t>
      </w:r>
    </w:p>
    <w:p w14:paraId="4A6F36B8">
      <w:pPr>
        <w:widowControl/>
        <w:ind w:firstLine="448" w:firstLineChars="200"/>
        <w:jc w:val="left"/>
        <w:rPr>
          <w:sz w:val="24"/>
        </w:rPr>
      </w:pPr>
      <w:r>
        <w:rPr>
          <w:rFonts w:hint="eastAsia"/>
          <w:sz w:val="24"/>
        </w:rPr>
        <w:t>供应商应承诺在项目实施过程中，严格遵守国家法律法规合法、诚信经营，杜绝商业贿赂、规范经营活动、公开透明合作、严格内部管理，并签订《税务信息化项目服务商廉洁承诺书》</w:t>
      </w:r>
      <w:r>
        <w:rPr>
          <w:sz w:val="24"/>
        </w:rPr>
        <w:t>（格式详见附件A）</w:t>
      </w:r>
      <w:r>
        <w:rPr>
          <w:rFonts w:hint="eastAsia"/>
          <w:sz w:val="24"/>
        </w:rPr>
        <w:t>提交采购人负责项目实施的单位。</w:t>
      </w:r>
    </w:p>
    <w:p w14:paraId="25F93EE9">
      <w:pPr>
        <w:widowControl/>
        <w:ind w:firstLine="448" w:firstLineChars="200"/>
        <w:jc w:val="left"/>
        <w:rPr>
          <w:sz w:val="24"/>
        </w:rPr>
      </w:pPr>
      <w:r>
        <w:rPr>
          <w:rFonts w:hint="eastAsia"/>
          <w:sz w:val="24"/>
        </w:rPr>
        <w:t>5、自觉接受监管</w:t>
      </w:r>
    </w:p>
    <w:p w14:paraId="38B1EE25">
      <w:pPr>
        <w:widowControl/>
        <w:ind w:firstLine="448" w:firstLineChars="200"/>
        <w:jc w:val="left"/>
        <w:rPr>
          <w:sz w:val="24"/>
        </w:rPr>
      </w:pPr>
      <w:r>
        <w:rPr>
          <w:rFonts w:hint="eastAsia"/>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61E990BA">
      <w:pPr>
        <w:widowControl/>
        <w:ind w:firstLine="448" w:firstLineChars="200"/>
        <w:jc w:val="left"/>
        <w:rPr>
          <w:sz w:val="24"/>
        </w:rPr>
      </w:pPr>
      <w:r>
        <w:rPr>
          <w:rFonts w:hint="eastAsia"/>
          <w:sz w:val="24"/>
        </w:rPr>
        <w:t>6、举报和反馈意见</w:t>
      </w:r>
    </w:p>
    <w:p w14:paraId="10562C31">
      <w:pPr>
        <w:widowControl/>
        <w:ind w:firstLine="448" w:firstLineChars="200"/>
        <w:jc w:val="left"/>
        <w:rPr>
          <w:sz w:val="24"/>
        </w:rPr>
      </w:pPr>
      <w:r>
        <w:rPr>
          <w:rFonts w:hint="eastAsia"/>
          <w:sz w:val="24"/>
        </w:rPr>
        <w:t>项目执行过程中，供应商有权举报、反馈采购人索贿受贿、吃拿卡要、违反中央八项规定精神等违纪违法行为。项目验收前，应填写《税务信息化项目服务商廉政反馈书》</w:t>
      </w:r>
      <w:r>
        <w:rPr>
          <w:sz w:val="24"/>
        </w:rPr>
        <w:t>（格式详见附件A）</w:t>
      </w:r>
      <w:r>
        <w:rPr>
          <w:rFonts w:hint="eastAsia"/>
          <w:sz w:val="24"/>
        </w:rPr>
        <w:t>，提交采购人网络安全和信息化领导小组办公室。</w:t>
      </w:r>
    </w:p>
    <w:p w14:paraId="3D683A88">
      <w:pPr>
        <w:widowControl/>
        <w:ind w:firstLine="448" w:firstLineChars="200"/>
        <w:jc w:val="left"/>
        <w:rPr>
          <w:sz w:val="24"/>
        </w:rPr>
      </w:pPr>
      <w:r>
        <w:rPr>
          <w:rFonts w:hint="eastAsia"/>
          <w:sz w:val="24"/>
        </w:rPr>
        <w:t>（六）违约责任要求</w:t>
      </w:r>
    </w:p>
    <w:p w14:paraId="76D95D3D">
      <w:pPr>
        <w:widowControl/>
        <w:ind w:firstLine="448" w:firstLineChars="200"/>
        <w:jc w:val="left"/>
        <w:rPr>
          <w:sz w:val="24"/>
        </w:rPr>
      </w:pPr>
      <w:r>
        <w:rPr>
          <w:rFonts w:hint="eastAsia"/>
          <w:sz w:val="24"/>
        </w:rPr>
        <w:t>1.供应商违反合同约定内容且造成不良后果的，评审过程中被认定以明显低于成本的报价恶意竞标的，另行开发销售合同业务需求范围内软件供纳税人使用的，以及一年内发生2次及以上一般失信行为的，按照规定认定供应商失信行为，并将其失信行为报送税务总局网信办。</w:t>
      </w:r>
    </w:p>
    <w:p w14:paraId="16E8C631">
      <w:pPr>
        <w:widowControl/>
        <w:ind w:firstLine="448" w:firstLineChars="200"/>
        <w:jc w:val="left"/>
        <w:rPr>
          <w:sz w:val="24"/>
        </w:rPr>
      </w:pPr>
      <w:r>
        <w:rPr>
          <w:rFonts w:hint="eastAsia"/>
          <w:sz w:val="24"/>
        </w:rPr>
        <w:t>2.供应商违规聘用离职税务人员的，按照规定认定供应商失信行为，并将其失信行为报送税务总局网信办。</w:t>
      </w:r>
    </w:p>
    <w:p w14:paraId="2575B06F">
      <w:pPr>
        <w:widowControl/>
        <w:ind w:firstLine="448" w:firstLineChars="200"/>
        <w:jc w:val="left"/>
        <w:rPr>
          <w:sz w:val="24"/>
        </w:rPr>
      </w:pPr>
      <w:r>
        <w:rPr>
          <w:rFonts w:hint="eastAsia"/>
          <w:sz w:val="24"/>
        </w:rPr>
        <w:t>3.供应商利用为税务机关提供信息化服务便利向纳税人缴费人搭车收费或变相收费的，以及存在国家税务总局发票电子化改革（金税四期）领导小组办公室认定的失信行为的，按照规定认定供应商失信行为，并将其失信行为报送税务总局网信办。</w:t>
      </w:r>
    </w:p>
    <w:p w14:paraId="63DAACC5">
      <w:pPr>
        <w:widowControl/>
        <w:ind w:firstLine="448" w:firstLineChars="200"/>
        <w:jc w:val="left"/>
        <w:rPr>
          <w:sz w:val="24"/>
        </w:rPr>
      </w:pPr>
      <w:r>
        <w:rPr>
          <w:rFonts w:hint="eastAsia"/>
          <w:sz w:val="24"/>
        </w:rPr>
        <w:t>4.供应商违反网络安全管理规定并造成不良后果的，攻击或侵入税务信息系统（包括CA等）的，以及存在“围猎”税务人员失信行为的，按照规定认定供应商失信行为，并将其失信行为报送税务总局网信办。</w:t>
      </w:r>
    </w:p>
    <w:p w14:paraId="7AFF71B3">
      <w:pPr>
        <w:widowControl/>
        <w:ind w:firstLine="448" w:firstLineChars="200"/>
        <w:jc w:val="left"/>
        <w:rPr>
          <w:sz w:val="24"/>
        </w:rPr>
      </w:pPr>
      <w:r>
        <w:rPr>
          <w:rFonts w:hint="eastAsia"/>
          <w:sz w:val="24"/>
        </w:rPr>
        <w:t>5.供应商存在其他严重失信行为的，经相关部门分析研判，按照规定认定供应商失信行为，并将其失信行为报送税务总局网信办。</w:t>
      </w:r>
    </w:p>
    <w:p w14:paraId="26053D1F">
      <w:pPr>
        <w:widowControl/>
        <w:ind w:firstLine="448" w:firstLineChars="200"/>
        <w:jc w:val="left"/>
        <w:rPr>
          <w:sz w:val="24"/>
        </w:rPr>
      </w:pPr>
      <w:r>
        <w:rPr>
          <w:rFonts w:hint="eastAsia"/>
          <w:sz w:val="24"/>
        </w:rPr>
        <w:t>（七）知识产权要求</w:t>
      </w:r>
    </w:p>
    <w:p w14:paraId="582B955A">
      <w:pPr>
        <w:widowControl/>
        <w:ind w:firstLine="448" w:firstLineChars="200"/>
        <w:jc w:val="left"/>
        <w:rPr>
          <w:sz w:val="24"/>
        </w:rPr>
      </w:pPr>
      <w:r>
        <w:rPr>
          <w:rFonts w:hint="eastAsia"/>
          <w:sz w:val="24"/>
        </w:rPr>
        <w:t>采购人对项目实施过程中所产生的所有成果（包括发明、发现、可运行系统、源代码及相关技术资料、文档等）享有所有权（永久使用权、复制权和修改权等）。除本项目工作所需外，未经采购人书面同意，供应商不得擅自使用、复制采购人的商标、标志、数据信息、文档及其他资料。</w:t>
      </w:r>
    </w:p>
    <w:p w14:paraId="5FDA96FE">
      <w:pPr>
        <w:widowControl/>
        <w:ind w:firstLine="448" w:firstLineChars="200"/>
        <w:jc w:val="left"/>
        <w:rPr>
          <w:sz w:val="24"/>
        </w:rPr>
      </w:pPr>
      <w:r>
        <w:rPr>
          <w:rFonts w:hint="eastAsia"/>
          <w:sz w:val="24"/>
        </w:rPr>
        <w:t>供应商应保证在本项目中所有预装和为本项目安装的软件为在中国境内具有合法版权或使用权的正版软件且无质量瑕疵。</w:t>
      </w:r>
    </w:p>
    <w:p w14:paraId="7CB3CB0A">
      <w:pPr>
        <w:widowControl/>
        <w:ind w:firstLine="448" w:firstLineChars="200"/>
        <w:jc w:val="left"/>
        <w:rPr>
          <w:sz w:val="24"/>
        </w:rPr>
      </w:pPr>
      <w:r>
        <w:rPr>
          <w:rFonts w:hint="eastAsia"/>
          <w:sz w:val="24"/>
        </w:rPr>
        <w:t>供应商应保证其所提供的产品及服务不侵犯第三方的知识产权，否则，由此给采购人造成的一切损失由供应商承担。</w:t>
      </w:r>
    </w:p>
    <w:p w14:paraId="38ADAC66">
      <w:pPr>
        <w:widowControl/>
        <w:ind w:firstLine="448" w:firstLineChars="200"/>
        <w:jc w:val="left"/>
        <w:rPr>
          <w:sz w:val="24"/>
        </w:rPr>
      </w:pPr>
    </w:p>
    <w:p w14:paraId="4586A77F">
      <w:pPr>
        <w:widowControl/>
        <w:ind w:firstLine="448" w:firstLineChars="200"/>
        <w:jc w:val="left"/>
        <w:rPr>
          <w:sz w:val="24"/>
        </w:rPr>
      </w:pPr>
    </w:p>
    <w:p w14:paraId="20446A1D">
      <w:pPr>
        <w:widowControl/>
        <w:ind w:firstLine="448" w:firstLineChars="200"/>
        <w:jc w:val="left"/>
        <w:rPr>
          <w:sz w:val="24"/>
        </w:rPr>
      </w:pPr>
    </w:p>
    <w:p w14:paraId="6FDAE06F">
      <w:pPr>
        <w:widowControl/>
        <w:ind w:firstLine="448" w:firstLineChars="200"/>
        <w:jc w:val="left"/>
        <w:rPr>
          <w:sz w:val="24"/>
        </w:rPr>
      </w:pPr>
    </w:p>
    <w:p w14:paraId="38EDA936">
      <w:pPr>
        <w:widowControl/>
        <w:ind w:firstLine="448" w:firstLineChars="200"/>
        <w:jc w:val="left"/>
        <w:rPr>
          <w:sz w:val="24"/>
        </w:rPr>
      </w:pPr>
    </w:p>
    <w:p w14:paraId="0E3982FE">
      <w:pPr>
        <w:widowControl/>
        <w:ind w:firstLine="448" w:firstLineChars="200"/>
        <w:jc w:val="left"/>
        <w:rPr>
          <w:sz w:val="24"/>
        </w:rPr>
      </w:pPr>
    </w:p>
    <w:p w14:paraId="4A7E10DE">
      <w:pPr>
        <w:widowControl/>
        <w:jc w:val="left"/>
        <w:rPr>
          <w:sz w:val="24"/>
        </w:rPr>
      </w:pPr>
    </w:p>
    <w:p w14:paraId="1A96C50B">
      <w:pPr>
        <w:widowControl/>
        <w:ind w:firstLine="448" w:firstLineChars="200"/>
        <w:jc w:val="left"/>
        <w:rPr>
          <w:sz w:val="24"/>
        </w:rPr>
      </w:pPr>
    </w:p>
    <w:p w14:paraId="30541D33">
      <w:pPr>
        <w:widowControl/>
        <w:jc w:val="left"/>
        <w:rPr>
          <w:sz w:val="24"/>
        </w:rPr>
      </w:pPr>
      <w:r>
        <w:rPr>
          <w:sz w:val="24"/>
        </w:rPr>
        <w:br w:type="page"/>
      </w:r>
    </w:p>
    <w:p w14:paraId="213425D7">
      <w:pPr>
        <w:widowControl/>
        <w:ind w:firstLine="448" w:firstLineChars="200"/>
        <w:jc w:val="left"/>
        <w:rPr>
          <w:sz w:val="24"/>
        </w:rPr>
      </w:pPr>
      <w:r>
        <w:rPr>
          <w:sz w:val="24"/>
        </w:rPr>
        <w:t>附件A：</w:t>
      </w:r>
    </w:p>
    <w:p w14:paraId="0E9A097A">
      <w:pPr>
        <w:pStyle w:val="56"/>
        <w:spacing w:line="360" w:lineRule="auto"/>
        <w:jc w:val="center"/>
        <w:rPr>
          <w:rFonts w:asciiTheme="minorEastAsia" w:hAnsiTheme="minorEastAsia"/>
          <w:lang w:eastAsia="zh-CN"/>
        </w:rPr>
      </w:pPr>
      <w:r>
        <w:rPr>
          <w:rFonts w:asciiTheme="minorEastAsia" w:hAnsiTheme="minorEastAsia"/>
          <w:b/>
          <w:bCs/>
          <w:sz w:val="28"/>
          <w:szCs w:val="28"/>
          <w:lang w:eastAsia="zh-CN"/>
        </w:rPr>
        <w:t>税务信息化服务商廉洁承诺书</w:t>
      </w:r>
    </w:p>
    <w:p w14:paraId="5386265E">
      <w:pPr>
        <w:pStyle w:val="56"/>
        <w:spacing w:line="360" w:lineRule="auto"/>
        <w:ind w:firstLine="560"/>
        <w:rPr>
          <w:lang w:eastAsia="zh-CN"/>
        </w:rPr>
      </w:pPr>
      <w:r>
        <w:rPr>
          <w:rFonts w:eastAsia="仿宋_GB2312"/>
          <w:sz w:val="28"/>
          <w:szCs w:val="28"/>
          <w:lang w:eastAsia="zh-CN"/>
        </w:rPr>
        <w:t> </w:t>
      </w:r>
    </w:p>
    <w:p w14:paraId="5984C81F">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为深入贯彻落实党中央关于全面从严治党的决策部署，进一步加强税务信息化项目合作中的廉政建设，防范廉政风险发生，确保项目公开、公平、公正推进，我司郑重承诺如下：</w:t>
      </w:r>
    </w:p>
    <w:p w14:paraId="4BD910E2">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一、合法合规经营。严格遵守国家法律法规及税务部门的相关规定，坚持廉洁从业、诚信经营的原则。在合作过程中不以任何形式进行利益输送，维护良好的政商关系。</w:t>
      </w:r>
    </w:p>
    <w:p w14:paraId="76BB7AF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二、杜绝商业贿赂。加强内部管理，我司及我司员工均不对采购人工作人员实施以下行为：</w:t>
      </w:r>
    </w:p>
    <w:p w14:paraId="5384DAC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（一）以各种形式和名义提供礼品、礼金、电子红包、支付凭证、商业预付卡、名贵特产、有价证券、股权、其他金融产品等财物。</w:t>
      </w:r>
    </w:p>
    <w:p w14:paraId="50F734C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（二）以各种形式和名义提供宴请、旅游、健身、娱乐、私人会所等活动安排；代付加班餐费、打车费等。</w:t>
      </w:r>
    </w:p>
    <w:p w14:paraId="27AA2659">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（三）以讲课费、咨询费等名义，提供或变相提供报酬。</w:t>
      </w:r>
    </w:p>
    <w:p w14:paraId="3C59D2BE">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（四）借款、借房、借车，报销应由个人负担的费用。</w:t>
      </w:r>
    </w:p>
    <w:p w14:paraId="6FEF5526">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（五）以无偿、象征性地收取费用等方式提供家政、司机等服务劳务。</w:t>
      </w:r>
    </w:p>
    <w:p w14:paraId="33F3DF9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（六）其他通过任何形式行贿或输送利益的行为。</w:t>
      </w:r>
    </w:p>
    <w:p w14:paraId="371FD7B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三、规范经营活动。严格按照合同约定履行义务，保证项目质量，按时完成建设任务；在合作过程中不以任何借口拖延工期、虚报成本或谋取私利。</w:t>
      </w:r>
    </w:p>
    <w:p w14:paraId="25B38852">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四、公开透明合作。我司承诺在项目实施过程中保持公开透明，主动接受税务部门及纪检监察机构的全程监督，并积极配合任何有关廉洁从业的调查工作。</w:t>
      </w:r>
    </w:p>
    <w:p w14:paraId="33B4BF4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五、严格内部管理。加强企业内部廉洁教育，确保员工知晓并遵守相关法律法规及廉洁要求；加强项目实施全过程廉洁监督；对于违反廉洁承诺的员工，将严肃处理，并承担相应责任。</w:t>
      </w:r>
    </w:p>
    <w:p w14:paraId="0746DB6F">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六、积极参与监督。在税务信息化项目实施过程中，如发现任何违纪违法行为，将如实反馈问题和意见。</w:t>
      </w:r>
    </w:p>
    <w:p w14:paraId="2A89BAA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    </w:t>
      </w:r>
    </w:p>
    <w:p w14:paraId="1555FCD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承诺单位（盖章）：_________________________</w:t>
      </w:r>
    </w:p>
    <w:p w14:paraId="18DE3B7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法定代表人或授权代表签字：________________</w:t>
      </w:r>
    </w:p>
    <w:p w14:paraId="5A5C2952">
      <w:pPr>
        <w:pStyle w:val="56"/>
        <w:spacing w:line="360" w:lineRule="auto"/>
        <w:ind w:firstLine="560"/>
        <w:rPr>
          <w:sz w:val="21"/>
          <w:szCs w:val="21"/>
        </w:rPr>
      </w:pPr>
      <w:r>
        <w:rPr>
          <w:sz w:val="21"/>
          <w:szCs w:val="21"/>
        </w:rPr>
        <w:t>日期：XX年XX月XX日</w:t>
      </w:r>
    </w:p>
    <w:p w14:paraId="192C2188">
      <w:pPr>
        <w:pStyle w:val="55"/>
        <w:spacing w:line="360" w:lineRule="auto"/>
        <w:ind w:firstLine="490"/>
        <w:rPr>
          <w:rFonts w:asciiTheme="minorEastAsia" w:hAnsiTheme="minorEastAsia"/>
        </w:rPr>
      </w:pPr>
      <w:r>
        <w:rPr>
          <w:rFonts w:asciiTheme="minorEastAsia" w:hAnsiTheme="minorEastAsia"/>
          <w:sz w:val="28"/>
          <w:szCs w:val="28"/>
        </w:rPr>
        <w:t> </w:t>
      </w:r>
    </w:p>
    <w:p w14:paraId="733F54FF">
      <w:pPr>
        <w:pStyle w:val="56"/>
        <w:spacing w:line="360" w:lineRule="auto"/>
        <w:jc w:val="center"/>
        <w:rPr>
          <w:rFonts w:eastAsia="仿宋_GB2312"/>
          <w:b/>
          <w:bCs/>
          <w:sz w:val="28"/>
          <w:szCs w:val="28"/>
          <w:lang w:eastAsia="zh-CN"/>
        </w:rPr>
      </w:pPr>
    </w:p>
    <w:p w14:paraId="4F9E9707">
      <w:pPr>
        <w:pStyle w:val="56"/>
        <w:spacing w:line="360" w:lineRule="auto"/>
        <w:jc w:val="center"/>
        <w:rPr>
          <w:rFonts w:eastAsia="仿宋_GB2312"/>
          <w:b/>
          <w:bCs/>
          <w:sz w:val="28"/>
          <w:szCs w:val="28"/>
          <w:lang w:eastAsia="zh-CN"/>
        </w:rPr>
      </w:pPr>
    </w:p>
    <w:p w14:paraId="1CED815E">
      <w:pPr>
        <w:pStyle w:val="56"/>
        <w:spacing w:line="360" w:lineRule="auto"/>
        <w:jc w:val="center"/>
        <w:rPr>
          <w:lang w:eastAsia="zh-CN"/>
        </w:rPr>
      </w:pPr>
      <w:r>
        <w:rPr>
          <w:rFonts w:eastAsia="仿宋_GB2312"/>
          <w:b/>
          <w:bCs/>
          <w:sz w:val="28"/>
          <w:szCs w:val="28"/>
          <w:lang w:eastAsia="zh-CN"/>
        </w:rPr>
        <w:t>税务信息化廉政情况反馈书</w:t>
      </w:r>
    </w:p>
    <w:p w14:paraId="30EBA89F">
      <w:pPr>
        <w:pStyle w:val="55"/>
        <w:spacing w:line="360" w:lineRule="auto"/>
        <w:ind w:firstLine="490"/>
        <w:rPr>
          <w:lang w:eastAsia="zh-CN"/>
        </w:rPr>
      </w:pPr>
      <w:r>
        <w:rPr>
          <w:rFonts w:eastAsia="Century Gothic"/>
          <w:lang w:eastAsia="zh-CN"/>
        </w:rPr>
        <w:t> </w:t>
      </w:r>
    </w:p>
    <w:tbl>
      <w:tblPr>
        <w:tblStyle w:val="57"/>
        <w:tblW w:w="9350" w:type="dxa"/>
        <w:jc w:val="center"/>
        <w:tblCellSpacing w:w="0" w:type="dxa"/>
        <w:tblLayout w:type="autofit"/>
        <w:tblCellMar>
          <w:top w:w="15" w:type="dxa"/>
          <w:left w:w="15" w:type="dxa"/>
          <w:bottom w:w="15" w:type="dxa"/>
          <w:right w:w="15" w:type="dxa"/>
        </w:tblCellMar>
      </w:tblPr>
      <w:tblGrid>
        <w:gridCol w:w="2372"/>
        <w:gridCol w:w="6978"/>
      </w:tblGrid>
      <w:tr w14:paraId="600130D7">
        <w:trPr>
          <w:trHeight w:val="215" w:hRule="atLeast"/>
          <w:tblCellSpacing w:w="0" w:type="dxa"/>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712B2C24">
            <w:pPr>
              <w:pStyle w:val="56"/>
              <w:adjustRightInd w:val="0"/>
              <w:snapToGrid w:val="0"/>
              <w:ind w:firstLine="481"/>
              <w:jc w:val="center"/>
              <w:textAlignment w:val="center"/>
              <w:rPr>
                <w:sz w:val="21"/>
                <w:szCs w:val="21"/>
              </w:rPr>
            </w:pPr>
            <w:r>
              <w:rPr>
                <w:rFonts w:eastAsia="仿宋_GB2312"/>
                <w:b/>
                <w:bCs/>
                <w:sz w:val="21"/>
                <w:szCs w:val="21"/>
              </w:rPr>
              <w:t>项目基本情况</w:t>
            </w:r>
          </w:p>
        </w:tc>
      </w:tr>
      <w:tr w14:paraId="120D3532">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C5C971">
            <w:pPr>
              <w:pStyle w:val="56"/>
              <w:adjustRightInd w:val="0"/>
              <w:snapToGrid w:val="0"/>
              <w:jc w:val="both"/>
              <w:textAlignment w:val="center"/>
              <w:rPr>
                <w:sz w:val="21"/>
                <w:szCs w:val="21"/>
              </w:rPr>
            </w:pPr>
            <w:r>
              <w:rPr>
                <w:rFonts w:eastAsia="仿宋_GB2312"/>
                <w:b/>
                <w:bCs/>
                <w:sz w:val="21"/>
                <w:szCs w:val="21"/>
              </w:rPr>
              <w:t>项目名称（编号）</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7D79751C">
            <w:pPr>
              <w:pStyle w:val="56"/>
              <w:adjustRightInd w:val="0"/>
              <w:snapToGrid w:val="0"/>
              <w:ind w:firstLine="480"/>
              <w:jc w:val="center"/>
              <w:textAlignment w:val="center"/>
              <w:rPr>
                <w:sz w:val="21"/>
                <w:szCs w:val="21"/>
                <w:lang w:eastAsia="zh-CN"/>
              </w:rPr>
            </w:pPr>
            <w:r>
              <w:rPr>
                <w:rFonts w:eastAsia="仿宋_GB2312"/>
                <w:sz w:val="21"/>
                <w:szCs w:val="21"/>
                <w:lang w:eastAsia="zh-CN"/>
              </w:rPr>
              <w:t>XXX税务信息化项目  项目编号</w:t>
            </w:r>
          </w:p>
        </w:tc>
      </w:tr>
      <w:tr w14:paraId="15D877C3">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AD10D08">
            <w:pPr>
              <w:pStyle w:val="56"/>
              <w:adjustRightInd w:val="0"/>
              <w:snapToGrid w:val="0"/>
              <w:jc w:val="both"/>
              <w:textAlignment w:val="center"/>
              <w:rPr>
                <w:sz w:val="21"/>
                <w:szCs w:val="21"/>
              </w:rPr>
            </w:pPr>
            <w:r>
              <w:rPr>
                <w:rFonts w:eastAsia="仿宋_GB2312"/>
                <w:b/>
                <w:bCs/>
                <w:sz w:val="21"/>
                <w:szCs w:val="21"/>
              </w:rPr>
              <w:t>服务商名称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7CFD0EAB">
            <w:pPr>
              <w:pStyle w:val="56"/>
              <w:adjustRightInd w:val="0"/>
              <w:snapToGrid w:val="0"/>
              <w:ind w:firstLine="480"/>
              <w:jc w:val="center"/>
              <w:textAlignment w:val="center"/>
              <w:rPr>
                <w:sz w:val="21"/>
                <w:szCs w:val="21"/>
              </w:rPr>
            </w:pPr>
            <w:r>
              <w:rPr>
                <w:rFonts w:eastAsia="仿宋_GB2312"/>
                <w:sz w:val="21"/>
                <w:szCs w:val="21"/>
              </w:rPr>
              <w:t>XXX公司</w:t>
            </w:r>
          </w:p>
        </w:tc>
      </w:tr>
      <w:tr w14:paraId="18169352">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CF3F6C">
            <w:pPr>
              <w:pStyle w:val="56"/>
              <w:adjustRightInd w:val="0"/>
              <w:snapToGrid w:val="0"/>
              <w:jc w:val="both"/>
              <w:textAlignment w:val="center"/>
              <w:rPr>
                <w:sz w:val="21"/>
                <w:szCs w:val="21"/>
              </w:rPr>
            </w:pPr>
            <w:r>
              <w:rPr>
                <w:rFonts w:eastAsia="仿宋_GB2312"/>
                <w:b/>
                <w:bCs/>
                <w:sz w:val="21"/>
                <w:szCs w:val="21"/>
              </w:rPr>
              <w:t>联系人及电话</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0763AF79">
            <w:pPr>
              <w:pStyle w:val="56"/>
              <w:adjustRightInd w:val="0"/>
              <w:snapToGrid w:val="0"/>
              <w:ind w:firstLine="480"/>
              <w:jc w:val="center"/>
              <w:textAlignment w:val="center"/>
              <w:rPr>
                <w:sz w:val="21"/>
                <w:szCs w:val="21"/>
                <w:lang w:eastAsia="zh-CN"/>
              </w:rPr>
            </w:pPr>
            <w:r>
              <w:rPr>
                <w:rFonts w:eastAsia="仿宋_GB2312"/>
                <w:sz w:val="21"/>
                <w:szCs w:val="21"/>
                <w:lang w:eastAsia="zh-CN"/>
              </w:rPr>
              <w:t>联系人：  职务：   电话：123-4567890</w:t>
            </w:r>
          </w:p>
        </w:tc>
      </w:tr>
      <w:tr w14:paraId="63B89724">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ABA3A0">
            <w:pPr>
              <w:pStyle w:val="56"/>
              <w:adjustRightInd w:val="0"/>
              <w:snapToGrid w:val="0"/>
              <w:jc w:val="both"/>
              <w:textAlignment w:val="center"/>
              <w:rPr>
                <w:sz w:val="21"/>
                <w:szCs w:val="21"/>
              </w:rPr>
            </w:pPr>
            <w:r>
              <w:rPr>
                <w:rFonts w:eastAsia="仿宋_GB2312"/>
                <w:b/>
                <w:bCs/>
                <w:sz w:val="21"/>
                <w:szCs w:val="21"/>
              </w:rPr>
              <w:t>项目情况概述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22C052EC">
            <w:pPr>
              <w:pStyle w:val="56"/>
              <w:adjustRightInd w:val="0"/>
              <w:snapToGrid w:val="0"/>
              <w:ind w:firstLine="480"/>
              <w:jc w:val="center"/>
              <w:rPr>
                <w:sz w:val="21"/>
                <w:szCs w:val="21"/>
              </w:rPr>
            </w:pPr>
            <w:r>
              <w:rPr>
                <w:rFonts w:eastAsia="仿宋_GB2312"/>
                <w:sz w:val="21"/>
                <w:szCs w:val="21"/>
              </w:rPr>
              <w:t> </w:t>
            </w:r>
          </w:p>
        </w:tc>
      </w:tr>
      <w:tr w14:paraId="35287970">
        <w:trPr>
          <w:trHeight w:val="700"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75AE9956">
            <w:pPr>
              <w:pStyle w:val="56"/>
              <w:adjustRightInd w:val="0"/>
              <w:snapToGrid w:val="0"/>
              <w:ind w:firstLine="481"/>
              <w:jc w:val="center"/>
              <w:textAlignment w:val="center"/>
              <w:rPr>
                <w:sz w:val="21"/>
                <w:szCs w:val="21"/>
              </w:rPr>
            </w:pPr>
            <w:r>
              <w:rPr>
                <w:rFonts w:eastAsia="仿宋_GB2312"/>
                <w:b/>
                <w:bCs/>
                <w:sz w:val="21"/>
                <w:szCs w:val="21"/>
              </w:rPr>
              <w:t>廉洁承诺履行情况</w:t>
            </w:r>
          </w:p>
        </w:tc>
      </w:tr>
      <w:tr w14:paraId="5ED87D2D">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9A88AE">
            <w:pPr>
              <w:pStyle w:val="56"/>
              <w:adjustRightInd w:val="0"/>
              <w:snapToGrid w:val="0"/>
              <w:jc w:val="both"/>
              <w:textAlignment w:val="center"/>
              <w:rPr>
                <w:sz w:val="21"/>
                <w:szCs w:val="21"/>
              </w:rPr>
            </w:pPr>
            <w:r>
              <w:rPr>
                <w:rFonts w:eastAsia="仿宋_GB2312"/>
                <w:b/>
                <w:bCs/>
                <w:sz w:val="21"/>
                <w:szCs w:val="21"/>
              </w:rPr>
              <w:t>反馈项</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2513874">
            <w:pPr>
              <w:pStyle w:val="56"/>
              <w:adjustRightInd w:val="0"/>
              <w:snapToGrid w:val="0"/>
              <w:ind w:firstLine="2640"/>
              <w:jc w:val="both"/>
              <w:textAlignment w:val="center"/>
              <w:rPr>
                <w:sz w:val="21"/>
                <w:szCs w:val="21"/>
              </w:rPr>
            </w:pPr>
            <w:r>
              <w:rPr>
                <w:rFonts w:eastAsia="仿宋_GB2312"/>
                <w:sz w:val="21"/>
                <w:szCs w:val="21"/>
              </w:rPr>
              <w:t>反馈内容</w:t>
            </w:r>
          </w:p>
        </w:tc>
      </w:tr>
      <w:tr w14:paraId="5CAE0A4F">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32D78A8">
            <w:pPr>
              <w:pStyle w:val="56"/>
              <w:adjustRightInd w:val="0"/>
              <w:snapToGrid w:val="0"/>
              <w:jc w:val="both"/>
              <w:textAlignment w:val="center"/>
              <w:rPr>
                <w:sz w:val="21"/>
                <w:szCs w:val="21"/>
              </w:rPr>
            </w:pPr>
            <w:r>
              <w:rPr>
                <w:rFonts w:eastAsia="仿宋_GB2312"/>
                <w:b/>
                <w:bCs/>
                <w:sz w:val="21"/>
                <w:szCs w:val="21"/>
              </w:rPr>
              <w:t>杜绝商业贿赂</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387D6492">
            <w:pPr>
              <w:pStyle w:val="56"/>
              <w:adjustRightInd w:val="0"/>
              <w:snapToGrid w:val="0"/>
              <w:textAlignment w:val="center"/>
              <w:rPr>
                <w:sz w:val="21"/>
                <w:szCs w:val="21"/>
                <w:lang w:eastAsia="zh-CN"/>
              </w:rPr>
            </w:pPr>
            <w:r>
              <w:rPr>
                <w:rFonts w:eastAsia="仿宋_GB2312"/>
                <w:sz w:val="21"/>
                <w:szCs w:val="21"/>
                <w:lang w:eastAsia="zh-CN"/>
              </w:rPr>
              <w:t>向税务工作人员及其家属赠送礼品、礼金或提供任何形式的宴请、娱乐活动情况。</w:t>
            </w:r>
          </w:p>
        </w:tc>
      </w:tr>
      <w:tr w14:paraId="54D2DD46">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D9BA549">
            <w:pPr>
              <w:pStyle w:val="56"/>
              <w:adjustRightInd w:val="0"/>
              <w:snapToGrid w:val="0"/>
              <w:jc w:val="both"/>
              <w:textAlignment w:val="center"/>
              <w:rPr>
                <w:sz w:val="21"/>
                <w:szCs w:val="21"/>
              </w:rPr>
            </w:pPr>
            <w:r>
              <w:rPr>
                <w:rFonts w:eastAsia="仿宋_GB2312"/>
                <w:b/>
                <w:bCs/>
                <w:sz w:val="21"/>
                <w:szCs w:val="21"/>
              </w:rPr>
              <w:t>规范经营活动</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7C573359">
            <w:pPr>
              <w:pStyle w:val="56"/>
              <w:adjustRightInd w:val="0"/>
              <w:snapToGrid w:val="0"/>
              <w:textAlignment w:val="center"/>
              <w:rPr>
                <w:sz w:val="21"/>
                <w:szCs w:val="21"/>
                <w:lang w:eastAsia="zh-CN"/>
              </w:rPr>
            </w:pPr>
            <w:r>
              <w:rPr>
                <w:rFonts w:eastAsia="仿宋_GB2312"/>
                <w:sz w:val="21"/>
                <w:szCs w:val="21"/>
                <w:lang w:eastAsia="zh-CN"/>
              </w:rPr>
              <w:t>按照合同要求，按时完成各阶段任务，确保项目质量和进度情况。</w:t>
            </w:r>
          </w:p>
        </w:tc>
      </w:tr>
      <w:tr w14:paraId="108A61CB">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2D83BD">
            <w:pPr>
              <w:pStyle w:val="56"/>
              <w:adjustRightInd w:val="0"/>
              <w:snapToGrid w:val="0"/>
              <w:jc w:val="both"/>
              <w:textAlignment w:val="center"/>
              <w:rPr>
                <w:sz w:val="21"/>
                <w:szCs w:val="21"/>
              </w:rPr>
            </w:pPr>
            <w:r>
              <w:rPr>
                <w:rFonts w:eastAsia="仿宋_GB2312"/>
                <w:b/>
                <w:bCs/>
                <w:sz w:val="21"/>
                <w:szCs w:val="21"/>
              </w:rPr>
              <w:t>公开透明合作</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E0FA03D">
            <w:pPr>
              <w:pStyle w:val="56"/>
              <w:adjustRightInd w:val="0"/>
              <w:snapToGrid w:val="0"/>
              <w:textAlignment w:val="center"/>
              <w:rPr>
                <w:sz w:val="21"/>
                <w:szCs w:val="21"/>
                <w:lang w:eastAsia="zh-CN"/>
              </w:rPr>
            </w:pPr>
            <w:r>
              <w:rPr>
                <w:rFonts w:eastAsia="仿宋_GB2312"/>
                <w:sz w:val="21"/>
                <w:szCs w:val="21"/>
                <w:lang w:eastAsia="zh-CN"/>
              </w:rPr>
              <w:t>在项目实施过程中保持信息公开透明，主动接受相关部门的监督和检查情况。</w:t>
            </w:r>
          </w:p>
        </w:tc>
      </w:tr>
      <w:tr w14:paraId="660A0489">
        <w:trPr>
          <w:trHeight w:val="405"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6C8A9117">
            <w:pPr>
              <w:pStyle w:val="56"/>
              <w:adjustRightInd w:val="0"/>
              <w:snapToGrid w:val="0"/>
              <w:ind w:firstLine="481"/>
              <w:jc w:val="center"/>
              <w:textAlignment w:val="center"/>
              <w:rPr>
                <w:sz w:val="21"/>
                <w:szCs w:val="21"/>
                <w:lang w:eastAsia="zh-CN"/>
              </w:rPr>
            </w:pPr>
            <w:r>
              <w:rPr>
                <w:rFonts w:eastAsia="仿宋_GB2312"/>
                <w:b/>
                <w:bCs/>
                <w:sz w:val="21"/>
                <w:szCs w:val="21"/>
                <w:lang w:eastAsia="zh-CN"/>
              </w:rPr>
              <w:t>税务人员履职期间廉政情况</w:t>
            </w:r>
          </w:p>
        </w:tc>
      </w:tr>
      <w:tr w14:paraId="2274367E">
        <w:trPr>
          <w:trHeight w:val="505" w:hRule="atLeast"/>
          <w:tblCellSpacing w:w="0" w:type="dxa"/>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14:paraId="2ACC3B96">
            <w:pPr>
              <w:pStyle w:val="56"/>
              <w:adjustRightInd w:val="0"/>
              <w:snapToGrid w:val="0"/>
              <w:jc w:val="both"/>
              <w:textAlignment w:val="center"/>
              <w:rPr>
                <w:sz w:val="21"/>
                <w:szCs w:val="21"/>
                <w:lang w:eastAsia="zh-CN"/>
              </w:rPr>
            </w:pPr>
            <w:r>
              <w:rPr>
                <w:rFonts w:eastAsia="仿宋_GB2312"/>
                <w:b/>
                <w:bCs/>
                <w:sz w:val="21"/>
                <w:szCs w:val="21"/>
                <w:lang w:eastAsia="zh-CN"/>
              </w:rPr>
              <w:t>税务人员履职过程存在违纪违规行为</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5D940DC">
            <w:pPr>
              <w:pStyle w:val="56"/>
              <w:adjustRightInd w:val="0"/>
              <w:snapToGrid w:val="0"/>
              <w:ind w:firstLine="480"/>
              <w:jc w:val="center"/>
              <w:textAlignment w:val="center"/>
              <w:rPr>
                <w:sz w:val="21"/>
                <w:szCs w:val="21"/>
              </w:rPr>
            </w:pPr>
            <w:r>
              <w:rPr>
                <w:rFonts w:eastAsia="仿宋_GB2312"/>
                <w:sz w:val="21"/>
                <w:szCs w:val="21"/>
              </w:rPr>
              <w:t>否</w:t>
            </w:r>
          </w:p>
        </w:tc>
      </w:tr>
      <w:tr w14:paraId="0DCB1E12">
        <w:trPr>
          <w:trHeight w:val="311" w:hRule="atLeast"/>
          <w:tblCellSpacing w:w="0" w:type="dxa"/>
          <w:jc w:val="center"/>
        </w:trPr>
        <w:tc>
          <w:tcPr>
            <w:tcW w:w="0" w:type="auto"/>
            <w:vMerge w:val="continue"/>
            <w:tcBorders>
              <w:left w:val="single" w:color="000000" w:sz="8" w:space="0"/>
              <w:right w:val="single" w:color="000000" w:sz="8" w:space="0"/>
            </w:tcBorders>
            <w:vAlign w:val="center"/>
          </w:tcPr>
          <w:p w14:paraId="2DDA18D4">
            <w:pPr>
              <w:adjustRightInd w:val="0"/>
              <w:snapToGrid w:val="0"/>
              <w:rPr>
                <w:rFonts w:eastAsia="仿宋_GB2312"/>
                <w:kern w:val="0"/>
                <w:sz w:val="21"/>
                <w:szCs w:val="21"/>
                <w:lang w:eastAsia="en-US"/>
              </w:rPr>
            </w:pPr>
          </w:p>
        </w:tc>
        <w:tc>
          <w:tcPr>
            <w:tcW w:w="7671" w:type="dxa"/>
            <w:vMerge w:val="restart"/>
            <w:tcBorders>
              <w:right w:val="single" w:color="000000" w:sz="8" w:space="0"/>
            </w:tcBorders>
            <w:tcMar>
              <w:top w:w="0" w:type="dxa"/>
              <w:left w:w="108" w:type="dxa"/>
              <w:bottom w:w="0" w:type="dxa"/>
              <w:right w:w="128" w:type="dxa"/>
            </w:tcMar>
            <w:vAlign w:val="center"/>
          </w:tcPr>
          <w:p w14:paraId="5D34C0B9">
            <w:pPr>
              <w:pStyle w:val="56"/>
              <w:adjustRightInd w:val="0"/>
              <w:snapToGrid w:val="0"/>
              <w:ind w:firstLine="480"/>
              <w:jc w:val="center"/>
              <w:textAlignment w:val="center"/>
              <w:rPr>
                <w:sz w:val="21"/>
                <w:szCs w:val="21"/>
              </w:rPr>
            </w:pPr>
            <w:r>
              <w:rPr>
                <w:rFonts w:eastAsia="仿宋_GB2312"/>
                <w:sz w:val="21"/>
                <w:szCs w:val="21"/>
              </w:rPr>
              <w:t>是（说明具体情况）</w:t>
            </w:r>
          </w:p>
        </w:tc>
      </w:tr>
      <w:tr w14:paraId="69087892">
        <w:trPr>
          <w:trHeight w:val="537" w:hRule="atLeast"/>
          <w:tblCellSpacing w:w="0" w:type="dxa"/>
          <w:jc w:val="center"/>
        </w:trPr>
        <w:tc>
          <w:tcPr>
            <w:tcW w:w="0" w:type="auto"/>
            <w:vMerge w:val="continue"/>
            <w:tcBorders>
              <w:left w:val="single" w:color="000000" w:sz="8" w:space="0"/>
              <w:right w:val="single" w:color="000000" w:sz="8" w:space="0"/>
            </w:tcBorders>
            <w:vAlign w:val="center"/>
          </w:tcPr>
          <w:p w14:paraId="2923C6B8">
            <w:pPr>
              <w:adjustRightInd w:val="0"/>
              <w:snapToGrid w:val="0"/>
              <w:rPr>
                <w:rFonts w:eastAsia="仿宋_GB2312"/>
                <w:kern w:val="0"/>
                <w:sz w:val="21"/>
                <w:szCs w:val="21"/>
                <w:lang w:eastAsia="en-US"/>
              </w:rPr>
            </w:pPr>
          </w:p>
        </w:tc>
        <w:tc>
          <w:tcPr>
            <w:tcW w:w="0" w:type="auto"/>
            <w:vMerge w:val="continue"/>
            <w:tcBorders>
              <w:right w:val="single" w:color="000000" w:sz="8" w:space="0"/>
            </w:tcBorders>
            <w:vAlign w:val="center"/>
          </w:tcPr>
          <w:p w14:paraId="12D89D89">
            <w:pPr>
              <w:adjustRightInd w:val="0"/>
              <w:snapToGrid w:val="0"/>
              <w:rPr>
                <w:rFonts w:eastAsia="仿宋_GB2312"/>
                <w:kern w:val="0"/>
                <w:sz w:val="21"/>
                <w:szCs w:val="21"/>
                <w:lang w:eastAsia="en-US"/>
              </w:rPr>
            </w:pPr>
          </w:p>
        </w:tc>
      </w:tr>
    </w:tbl>
    <w:p w14:paraId="2205ABC3">
      <w:pPr>
        <w:pStyle w:val="56"/>
        <w:spacing w:line="360" w:lineRule="auto"/>
        <w:rPr>
          <w:lang w:eastAsia="zh-CN"/>
        </w:rPr>
      </w:pPr>
      <w:r>
        <w:rPr>
          <w:rFonts w:eastAsia="仿宋_GB2312"/>
          <w:sz w:val="28"/>
          <w:szCs w:val="28"/>
          <w:lang w:eastAsia="zh-CN"/>
        </w:rPr>
        <w:t>提交单位（盖章）：XXX公司</w:t>
      </w:r>
      <w:r>
        <w:rPr>
          <w:rFonts w:eastAsia="仿宋_GB2312"/>
          <w:sz w:val="28"/>
          <w:szCs w:val="28"/>
          <w:lang w:eastAsia="zh-CN"/>
        </w:rPr>
        <w:br w:type="textWrapping"/>
      </w:r>
      <w:r>
        <w:rPr>
          <w:rFonts w:eastAsia="仿宋_GB2312"/>
          <w:sz w:val="28"/>
          <w:szCs w:val="28"/>
          <w:lang w:eastAsia="zh-CN"/>
        </w:rPr>
        <w:t>法定代表人或授权代表签字：_________________________</w:t>
      </w:r>
      <w:r>
        <w:rPr>
          <w:rFonts w:eastAsia="仿宋_GB2312"/>
          <w:sz w:val="28"/>
          <w:szCs w:val="28"/>
          <w:lang w:eastAsia="zh-CN"/>
        </w:rPr>
        <w:br w:type="textWrapping"/>
      </w:r>
      <w:r>
        <w:rPr>
          <w:rFonts w:eastAsia="仿宋_GB2312"/>
          <w:sz w:val="28"/>
          <w:szCs w:val="28"/>
          <w:lang w:eastAsia="zh-CN"/>
        </w:rPr>
        <w:t>                                           日期：XX年XX月XX日</w:t>
      </w:r>
    </w:p>
    <w:p w14:paraId="373625D4">
      <w:pPr>
        <w:spacing w:line="360" w:lineRule="auto"/>
        <w:ind w:firstLine="448" w:firstLineChars="200"/>
        <w:outlineLvl w:val="0"/>
        <w:rPr>
          <w:sz w:val="24"/>
        </w:rPr>
      </w:pPr>
    </w:p>
    <w:p w14:paraId="6BD096BA">
      <w:pPr>
        <w:spacing w:line="360" w:lineRule="auto"/>
        <w:ind w:firstLine="448" w:firstLineChars="200"/>
        <w:outlineLvl w:val="0"/>
        <w:rPr>
          <w:sz w:val="24"/>
        </w:rPr>
      </w:pPr>
    </w:p>
    <w:p w14:paraId="6B77511E">
      <w:pPr>
        <w:pStyle w:val="16"/>
        <w:rPr>
          <w:rFonts w:ascii="Times New Roman" w:hAnsi="Times New Roman"/>
          <w:lang w:eastAsia="zh-CN"/>
        </w:rPr>
      </w:pPr>
    </w:p>
    <w:p w14:paraId="6C2A0824">
      <w:pPr>
        <w:pStyle w:val="16"/>
        <w:rPr>
          <w:rFonts w:ascii="Times New Roman" w:hAnsi="Times New Roman"/>
          <w:lang w:eastAsia="zh-CN"/>
        </w:rPr>
      </w:pPr>
    </w:p>
    <w:p w14:paraId="4F23DF10">
      <w:pPr>
        <w:widowControl/>
        <w:jc w:val="left"/>
        <w:rPr>
          <w:b/>
          <w:bCs/>
          <w:kern w:val="28"/>
          <w:sz w:val="32"/>
          <w:szCs w:val="32"/>
          <w:lang w:val="zh-CN"/>
        </w:rPr>
      </w:pPr>
      <w:r>
        <w:br w:type="page"/>
      </w:r>
    </w:p>
    <w:p w14:paraId="2C602673">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3A116EF0">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10D2964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0525B70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5E279E2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2BE1845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6669A82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2506BA2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1DEFA9F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3F96983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38EE627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0C0DB7A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435961A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1962FBC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523ED95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0C8A8B9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76898A1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291DA35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7D8EC7A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1184BAC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0DA469C">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2513104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7B9628C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395A2CE2">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743B24B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2E4E0573">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7A9F9D17">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59DA22B">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6F96438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7AE1F0A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3323174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04495E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200EEC9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114184D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1377D35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4751DBC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5F8245A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71AA734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29E7553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38BBE8E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27D2B68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3F7D9E8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732BB27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1B70DD0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67559C5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4214E0D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2E19E0C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6A4E004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373D732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67DB99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6FD36EC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39D0A0C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CB43F2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BC058D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3E0676E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color w:val="auto"/>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55FB17D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26BA23D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75F20FF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082049CC">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15EFEC1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697E467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220C2F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011D02E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618799D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2C06F28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1B491A4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6CCA7B7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232BDCB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678A7DB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223DA9E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2D5B3FF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3C92325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7D115EB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7FE363A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4096B26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2FC1D4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03E5B4B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26EA5A3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7683ACB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654E3D7C">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3C90306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5966804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126E6E1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D0081C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AE3F85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4EC0CBD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28F033A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65A7606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386F517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5CCB32D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5339E41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66A8992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4CE22DE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0F08257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4C10A9D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36945E4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77BF2F5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573AE97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05800D8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34671B1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06D0CA8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35985E2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18176FD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38C67AA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37B46F5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上述技术响应文件可以是文字资料、图纸或数据，其内容应包括但不限于人力、物力等资源的投入以及服务内容、方式、手段、措施、质量保证及建议等。</w:t>
      </w:r>
    </w:p>
    <w:p w14:paraId="7F8A4E5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01AD4DC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6F6AD6F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08B78CC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11489B7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6770E4C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3BC273F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7642C5B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5687D1E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6940FAA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59700781">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7729EE5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BAA962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0DCF035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C311DD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51581D7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40E1764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32DCCD9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7A63DEA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636735DB">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46321E0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412977E7">
      <w:pPr>
        <w:pStyle w:val="30"/>
        <w:spacing w:line="360" w:lineRule="auto"/>
        <w:ind w:firstLine="448" w:firstLineChars="200"/>
        <w:jc w:val="both"/>
        <w:rPr>
          <w:rFonts w:ascii="Times New Roman" w:hAnsi="Times New Roman" w:eastAsia="宋体" w:cs="Times New Roman"/>
          <w:color w:val="auto"/>
        </w:rPr>
      </w:pPr>
    </w:p>
    <w:p w14:paraId="58609AAB">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0C5ECFC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3BAA66A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1134A48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7E39622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08DEF78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52C1C15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10EFD7A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7B7CC90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7EC9AAB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0AB1680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176E558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1A3FDEB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7EFC10E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6EFE86D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1CA8582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73C91D8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0D5854E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517BB69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5B7514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3B166D3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2A6C31A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09E5920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47C4CE0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362C81C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0C57293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166E145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54006DF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6780E5D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73E6427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0BAF48C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755C6C7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9FC8FB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36ECEDB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2123837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7D11CF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2972B6B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25B8B33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2F5D28C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0FE5195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16FC315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70F8A66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281DACD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05D0C1C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3F5A311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82FF21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7A87118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8BF966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638F673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168C39D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304397B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0E8BC65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7DF08F2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6894189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1A7D442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63D3A04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6367FA5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303D5BEF">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AB5CEA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1832188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79C40C0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5F14411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04F57B9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7A5A54C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5A87731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521019C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6B8998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77AA084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3FCE3B3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7F4F9C2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6A30026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2415D27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2BA9A47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615CDFA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72000EBD">
      <w:pPr>
        <w:widowControl/>
        <w:jc w:val="left"/>
        <w:rPr>
          <w:b/>
          <w:bCs/>
          <w:kern w:val="28"/>
          <w:sz w:val="32"/>
          <w:szCs w:val="32"/>
          <w:lang w:val="zh-CN" w:eastAsia="zh-CN"/>
        </w:rPr>
      </w:pPr>
      <w:r>
        <w:br w:type="page"/>
      </w:r>
    </w:p>
    <w:p w14:paraId="70D677CA">
      <w:pPr>
        <w:pStyle w:val="16"/>
        <w:rPr>
          <w:rFonts w:ascii="Times New Roman" w:hAnsi="Times New Roman"/>
        </w:rPr>
      </w:pPr>
      <w:r>
        <w:rPr>
          <w:rFonts w:ascii="Times New Roman" w:hAnsi="Times New Roman"/>
        </w:rPr>
        <w:t>第四部分  合同条款</w:t>
      </w:r>
    </w:p>
    <w:p w14:paraId="5383D68A">
      <w:pPr>
        <w:tabs>
          <w:tab w:val="left" w:pos="412"/>
          <w:tab w:val="left" w:pos="618"/>
        </w:tabs>
        <w:spacing w:line="520" w:lineRule="exact"/>
        <w:jc w:val="center"/>
        <w:rPr>
          <w:b/>
          <w:sz w:val="30"/>
          <w:szCs w:val="30"/>
        </w:rPr>
      </w:pPr>
      <w:r>
        <w:rPr>
          <w:b/>
          <w:sz w:val="30"/>
          <w:szCs w:val="30"/>
        </w:rPr>
        <w:t>合同一般条款</w:t>
      </w:r>
    </w:p>
    <w:p w14:paraId="057C8177">
      <w:pPr>
        <w:tabs>
          <w:tab w:val="left" w:pos="0"/>
          <w:tab w:val="left" w:pos="315"/>
        </w:tabs>
        <w:spacing w:line="520" w:lineRule="exact"/>
        <w:ind w:firstLine="480"/>
        <w:rPr>
          <w:sz w:val="24"/>
          <w:szCs w:val="24"/>
        </w:rPr>
      </w:pPr>
      <w:r>
        <w:rPr>
          <w:sz w:val="24"/>
          <w:szCs w:val="24"/>
        </w:rPr>
        <w:t xml:space="preserve">需方：  </w:t>
      </w:r>
    </w:p>
    <w:p w14:paraId="08146E04">
      <w:pPr>
        <w:tabs>
          <w:tab w:val="left" w:pos="0"/>
          <w:tab w:val="left" w:pos="315"/>
        </w:tabs>
        <w:spacing w:line="520" w:lineRule="exact"/>
        <w:ind w:firstLine="480"/>
        <w:rPr>
          <w:sz w:val="24"/>
          <w:szCs w:val="24"/>
        </w:rPr>
      </w:pPr>
      <w:r>
        <w:rPr>
          <w:sz w:val="24"/>
          <w:szCs w:val="24"/>
        </w:rPr>
        <w:t xml:space="preserve">供方： </w:t>
      </w:r>
    </w:p>
    <w:p w14:paraId="6B88BD16">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33B0EF3A">
      <w:pPr>
        <w:pStyle w:val="35"/>
        <w:numPr>
          <w:ilvl w:val="0"/>
          <w:numId w:val="6"/>
        </w:numPr>
        <w:spacing w:line="480" w:lineRule="exact"/>
        <w:ind w:firstLineChars="0"/>
        <w:rPr>
          <w:sz w:val="24"/>
          <w:szCs w:val="24"/>
        </w:rPr>
      </w:pPr>
      <w:r>
        <w:rPr>
          <w:rFonts w:hint="eastAsia"/>
          <w:sz w:val="24"/>
          <w:szCs w:val="24"/>
        </w:rPr>
        <w:t>本合同为中小企业预留合同</w:t>
      </w:r>
    </w:p>
    <w:p w14:paraId="4DE087A0">
      <w:pPr>
        <w:pStyle w:val="35"/>
        <w:numPr>
          <w:ilvl w:val="0"/>
          <w:numId w:val="6"/>
        </w:numPr>
        <w:spacing w:line="480" w:lineRule="exact"/>
        <w:ind w:firstLineChars="0"/>
        <w:rPr>
          <w:sz w:val="24"/>
          <w:szCs w:val="24"/>
        </w:rPr>
      </w:pPr>
      <w:r>
        <w:rPr>
          <w:rFonts w:hint="eastAsia"/>
          <w:sz w:val="24"/>
          <w:szCs w:val="24"/>
        </w:rPr>
        <w:t>本合同非中小企业预留合同</w:t>
      </w:r>
    </w:p>
    <w:p w14:paraId="638F3FFF">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188CC439">
      <w:pPr>
        <w:tabs>
          <w:tab w:val="left" w:pos="1133"/>
        </w:tabs>
        <w:spacing w:line="520" w:lineRule="exact"/>
        <w:ind w:firstLine="448" w:firstLineChars="200"/>
        <w:rPr>
          <w:sz w:val="24"/>
          <w:szCs w:val="24"/>
        </w:rPr>
      </w:pPr>
      <w:r>
        <w:rPr>
          <w:sz w:val="24"/>
          <w:szCs w:val="24"/>
        </w:rPr>
        <w:t>一、采购内容：  （详见附件）</w:t>
      </w:r>
    </w:p>
    <w:p w14:paraId="282FDDC0">
      <w:pPr>
        <w:tabs>
          <w:tab w:val="left" w:pos="1133"/>
        </w:tabs>
        <w:spacing w:line="520" w:lineRule="exact"/>
        <w:ind w:firstLine="448" w:firstLineChars="200"/>
        <w:rPr>
          <w:sz w:val="24"/>
          <w:szCs w:val="24"/>
        </w:rPr>
      </w:pPr>
      <w:r>
        <w:rPr>
          <w:sz w:val="24"/>
          <w:szCs w:val="24"/>
        </w:rPr>
        <w:t xml:space="preserve">    合同总价款：人民币  元</w:t>
      </w:r>
    </w:p>
    <w:p w14:paraId="27525EC3">
      <w:pPr>
        <w:tabs>
          <w:tab w:val="left" w:pos="1133"/>
        </w:tabs>
        <w:spacing w:line="520" w:lineRule="exact"/>
        <w:ind w:firstLine="448" w:firstLineChars="200"/>
        <w:rPr>
          <w:sz w:val="24"/>
          <w:szCs w:val="24"/>
        </w:rPr>
      </w:pPr>
      <w:r>
        <w:rPr>
          <w:sz w:val="24"/>
          <w:szCs w:val="24"/>
        </w:rPr>
        <w:t xml:space="preserve">    大写：人民币  元整</w:t>
      </w:r>
    </w:p>
    <w:p w14:paraId="78F5F56A">
      <w:pPr>
        <w:tabs>
          <w:tab w:val="left" w:pos="360"/>
        </w:tabs>
        <w:spacing w:line="520" w:lineRule="exact"/>
        <w:ind w:firstLine="448" w:firstLineChars="200"/>
        <w:rPr>
          <w:sz w:val="24"/>
          <w:szCs w:val="24"/>
        </w:rPr>
      </w:pPr>
      <w:r>
        <w:rPr>
          <w:sz w:val="24"/>
          <w:szCs w:val="24"/>
        </w:rPr>
        <w:t>二、质量要求及对质量负责条件和期限：见附件。</w:t>
      </w:r>
    </w:p>
    <w:p w14:paraId="3484888B">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3348E41D">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104630EE">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0FBC1E9F">
      <w:pPr>
        <w:tabs>
          <w:tab w:val="left" w:pos="360"/>
          <w:tab w:val="left" w:pos="721"/>
        </w:tabs>
        <w:spacing w:line="520" w:lineRule="exact"/>
        <w:rPr>
          <w:sz w:val="24"/>
          <w:szCs w:val="24"/>
        </w:rPr>
      </w:pPr>
      <w:r>
        <w:rPr>
          <w:sz w:val="24"/>
          <w:szCs w:val="24"/>
        </w:rPr>
        <w:t xml:space="preserve">    六、验收工作由需方负责对合同进行验收。</w:t>
      </w:r>
    </w:p>
    <w:p w14:paraId="756A27C9">
      <w:pPr>
        <w:tabs>
          <w:tab w:val="left" w:pos="360"/>
        </w:tabs>
        <w:spacing w:line="520" w:lineRule="exact"/>
        <w:rPr>
          <w:sz w:val="24"/>
          <w:szCs w:val="24"/>
        </w:rPr>
      </w:pPr>
      <w:r>
        <w:rPr>
          <w:sz w:val="24"/>
          <w:szCs w:val="24"/>
        </w:rPr>
        <w:t xml:space="preserve">    七、货款支付方式：见附件。</w:t>
      </w:r>
    </w:p>
    <w:p w14:paraId="4C5675B7">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3F53CBF4">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748BEE07">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165DB263">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397E0E78">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4FA77271">
        <w:tc>
          <w:tcPr>
            <w:tcW w:w="4261" w:type="dxa"/>
          </w:tcPr>
          <w:p w14:paraId="3F559FA9">
            <w:pPr>
              <w:tabs>
                <w:tab w:val="left" w:pos="0"/>
                <w:tab w:val="left" w:pos="315"/>
              </w:tabs>
              <w:spacing w:line="520" w:lineRule="exact"/>
              <w:rPr>
                <w:sz w:val="24"/>
                <w:szCs w:val="24"/>
              </w:rPr>
            </w:pPr>
            <w:r>
              <w:rPr>
                <w:sz w:val="24"/>
                <w:szCs w:val="24"/>
              </w:rPr>
              <w:t xml:space="preserve">供方（公章）： </w:t>
            </w:r>
          </w:p>
        </w:tc>
        <w:tc>
          <w:tcPr>
            <w:tcW w:w="4261" w:type="dxa"/>
          </w:tcPr>
          <w:p w14:paraId="3A6E66BB">
            <w:pPr>
              <w:tabs>
                <w:tab w:val="left" w:pos="0"/>
                <w:tab w:val="left" w:pos="315"/>
              </w:tabs>
              <w:spacing w:line="520" w:lineRule="exact"/>
              <w:rPr>
                <w:sz w:val="24"/>
                <w:szCs w:val="24"/>
              </w:rPr>
            </w:pPr>
            <w:r>
              <w:rPr>
                <w:sz w:val="24"/>
                <w:szCs w:val="24"/>
              </w:rPr>
              <w:t xml:space="preserve">需方（公章）： </w:t>
            </w:r>
          </w:p>
        </w:tc>
      </w:tr>
      <w:tr w14:paraId="6EE794A9">
        <w:tc>
          <w:tcPr>
            <w:tcW w:w="4261" w:type="dxa"/>
          </w:tcPr>
          <w:p w14:paraId="28561A94">
            <w:pPr>
              <w:tabs>
                <w:tab w:val="left" w:pos="0"/>
                <w:tab w:val="left" w:pos="315"/>
              </w:tabs>
              <w:spacing w:line="520" w:lineRule="exact"/>
              <w:rPr>
                <w:sz w:val="24"/>
                <w:szCs w:val="24"/>
              </w:rPr>
            </w:pPr>
            <w:r>
              <w:rPr>
                <w:sz w:val="24"/>
                <w:szCs w:val="24"/>
              </w:rPr>
              <w:t xml:space="preserve">地址：  </w:t>
            </w:r>
          </w:p>
        </w:tc>
        <w:tc>
          <w:tcPr>
            <w:tcW w:w="4261" w:type="dxa"/>
          </w:tcPr>
          <w:p w14:paraId="3B628CF4">
            <w:pPr>
              <w:tabs>
                <w:tab w:val="left" w:pos="0"/>
                <w:tab w:val="left" w:pos="315"/>
              </w:tabs>
              <w:spacing w:line="520" w:lineRule="exact"/>
              <w:rPr>
                <w:sz w:val="24"/>
                <w:szCs w:val="24"/>
              </w:rPr>
            </w:pPr>
            <w:r>
              <w:rPr>
                <w:sz w:val="24"/>
                <w:szCs w:val="24"/>
              </w:rPr>
              <w:t xml:space="preserve">地址： </w:t>
            </w:r>
          </w:p>
        </w:tc>
      </w:tr>
      <w:tr w14:paraId="20F19AF4">
        <w:tc>
          <w:tcPr>
            <w:tcW w:w="4261" w:type="dxa"/>
          </w:tcPr>
          <w:p w14:paraId="65084097">
            <w:pPr>
              <w:tabs>
                <w:tab w:val="left" w:pos="360"/>
              </w:tabs>
              <w:spacing w:line="520" w:lineRule="exact"/>
              <w:rPr>
                <w:sz w:val="24"/>
                <w:szCs w:val="24"/>
              </w:rPr>
            </w:pPr>
            <w:r>
              <w:rPr>
                <w:sz w:val="24"/>
                <w:szCs w:val="24"/>
              </w:rPr>
              <w:t xml:space="preserve">法定代表人： </w:t>
            </w:r>
          </w:p>
        </w:tc>
        <w:tc>
          <w:tcPr>
            <w:tcW w:w="4261" w:type="dxa"/>
          </w:tcPr>
          <w:p w14:paraId="02B085F5">
            <w:pPr>
              <w:tabs>
                <w:tab w:val="left" w:pos="360"/>
              </w:tabs>
              <w:spacing w:line="520" w:lineRule="exact"/>
              <w:rPr>
                <w:sz w:val="24"/>
                <w:szCs w:val="24"/>
              </w:rPr>
            </w:pPr>
            <w:r>
              <w:rPr>
                <w:sz w:val="24"/>
                <w:szCs w:val="24"/>
              </w:rPr>
              <w:t xml:space="preserve">法定代表人： </w:t>
            </w:r>
          </w:p>
        </w:tc>
      </w:tr>
      <w:tr w14:paraId="5E26D793">
        <w:tc>
          <w:tcPr>
            <w:tcW w:w="4261" w:type="dxa"/>
          </w:tcPr>
          <w:p w14:paraId="54874DDC">
            <w:pPr>
              <w:tabs>
                <w:tab w:val="left" w:pos="360"/>
              </w:tabs>
              <w:spacing w:line="520" w:lineRule="exact"/>
              <w:rPr>
                <w:sz w:val="24"/>
                <w:szCs w:val="24"/>
              </w:rPr>
            </w:pPr>
            <w:r>
              <w:rPr>
                <w:sz w:val="24"/>
                <w:szCs w:val="24"/>
              </w:rPr>
              <w:t xml:space="preserve">委托代理人： </w:t>
            </w:r>
          </w:p>
        </w:tc>
        <w:tc>
          <w:tcPr>
            <w:tcW w:w="4261" w:type="dxa"/>
          </w:tcPr>
          <w:p w14:paraId="0A4F8D92">
            <w:pPr>
              <w:tabs>
                <w:tab w:val="left" w:pos="360"/>
              </w:tabs>
              <w:spacing w:line="520" w:lineRule="exact"/>
              <w:rPr>
                <w:sz w:val="24"/>
                <w:szCs w:val="24"/>
              </w:rPr>
            </w:pPr>
            <w:r>
              <w:rPr>
                <w:sz w:val="24"/>
                <w:szCs w:val="24"/>
              </w:rPr>
              <w:t xml:space="preserve">委托代理人： </w:t>
            </w:r>
          </w:p>
        </w:tc>
      </w:tr>
      <w:tr w14:paraId="546B4F39">
        <w:tc>
          <w:tcPr>
            <w:tcW w:w="4261" w:type="dxa"/>
          </w:tcPr>
          <w:p w14:paraId="3B903CD1">
            <w:pPr>
              <w:tabs>
                <w:tab w:val="left" w:pos="360"/>
              </w:tabs>
              <w:spacing w:line="520" w:lineRule="exact"/>
              <w:rPr>
                <w:sz w:val="24"/>
                <w:szCs w:val="24"/>
              </w:rPr>
            </w:pPr>
            <w:r>
              <w:rPr>
                <w:sz w:val="24"/>
                <w:szCs w:val="24"/>
              </w:rPr>
              <w:t>电话：</w:t>
            </w:r>
          </w:p>
        </w:tc>
        <w:tc>
          <w:tcPr>
            <w:tcW w:w="4261" w:type="dxa"/>
          </w:tcPr>
          <w:p w14:paraId="38FCD110">
            <w:pPr>
              <w:tabs>
                <w:tab w:val="left" w:pos="360"/>
              </w:tabs>
              <w:spacing w:line="520" w:lineRule="exact"/>
              <w:rPr>
                <w:sz w:val="24"/>
                <w:szCs w:val="24"/>
              </w:rPr>
            </w:pPr>
            <w:r>
              <w:rPr>
                <w:sz w:val="24"/>
                <w:szCs w:val="24"/>
              </w:rPr>
              <w:t>电话：</w:t>
            </w:r>
          </w:p>
        </w:tc>
      </w:tr>
    </w:tbl>
    <w:p w14:paraId="76AE88D9">
      <w:pPr>
        <w:rPr>
          <w:sz w:val="24"/>
          <w:szCs w:val="24"/>
        </w:rPr>
      </w:pPr>
    </w:p>
    <w:p w14:paraId="5B50C82F">
      <w:pPr>
        <w:rPr>
          <w:szCs w:val="24"/>
        </w:rPr>
      </w:pPr>
      <w:r>
        <w:rPr>
          <w:sz w:val="24"/>
          <w:szCs w:val="24"/>
        </w:rPr>
        <w:t>时间：20</w:t>
      </w:r>
      <w:r>
        <w:rPr>
          <w:rFonts w:hint="eastAsia"/>
          <w:sz w:val="24"/>
          <w:szCs w:val="24"/>
        </w:rPr>
        <w:t xml:space="preserve">  </w:t>
      </w:r>
      <w:r>
        <w:rPr>
          <w:sz w:val="24"/>
          <w:szCs w:val="24"/>
        </w:rPr>
        <w:t>年  月  日</w:t>
      </w:r>
    </w:p>
    <w:p w14:paraId="592B0AEC">
      <w:pPr>
        <w:jc w:val="center"/>
        <w:rPr>
          <w:b/>
          <w:sz w:val="30"/>
          <w:szCs w:val="30"/>
        </w:rPr>
      </w:pPr>
      <w:r>
        <w:rPr>
          <w:b/>
          <w:sz w:val="30"/>
          <w:szCs w:val="30"/>
        </w:rPr>
        <w:br w:type="page"/>
      </w:r>
      <w:r>
        <w:rPr>
          <w:b/>
          <w:sz w:val="30"/>
          <w:szCs w:val="30"/>
        </w:rPr>
        <w:t>合同特殊条款</w:t>
      </w:r>
    </w:p>
    <w:p w14:paraId="56012386">
      <w:pPr>
        <w:tabs>
          <w:tab w:val="left" w:pos="360"/>
        </w:tabs>
        <w:spacing w:line="520" w:lineRule="exact"/>
        <w:ind w:firstLine="383" w:firstLineChars="171"/>
        <w:rPr>
          <w:sz w:val="24"/>
          <w:szCs w:val="24"/>
        </w:rPr>
      </w:pPr>
    </w:p>
    <w:p w14:paraId="0989C606">
      <w:pPr>
        <w:tabs>
          <w:tab w:val="left" w:pos="360"/>
        </w:tabs>
        <w:spacing w:line="520" w:lineRule="exact"/>
        <w:ind w:firstLine="383" w:firstLineChars="171"/>
        <w:rPr>
          <w:sz w:val="24"/>
          <w:szCs w:val="24"/>
        </w:rPr>
      </w:pPr>
      <w:r>
        <w:rPr>
          <w:sz w:val="24"/>
          <w:szCs w:val="24"/>
        </w:rPr>
        <w:t xml:space="preserve"> 合同特殊条款是合同一般条款的补充和修改。如果两者之间有抵触，应以特殊条款为准。</w:t>
      </w:r>
    </w:p>
    <w:p w14:paraId="4B49787D">
      <w:pPr>
        <w:tabs>
          <w:tab w:val="left" w:pos="360"/>
        </w:tabs>
        <w:spacing w:line="520" w:lineRule="exact"/>
        <w:ind w:firstLine="383" w:firstLineChars="171"/>
        <w:rPr>
          <w:sz w:val="24"/>
          <w:szCs w:val="24"/>
        </w:rPr>
      </w:pPr>
      <w:r>
        <w:rPr>
          <w:sz w:val="24"/>
          <w:szCs w:val="24"/>
        </w:rPr>
        <w:t xml:space="preserve"> 合同特殊条款由</w:t>
      </w:r>
      <w:r>
        <w:rPr>
          <w:rFonts w:hint="eastAsia"/>
          <w:sz w:val="24"/>
          <w:szCs w:val="24"/>
        </w:rPr>
        <w:t>供方</w:t>
      </w:r>
      <w:r>
        <w:rPr>
          <w:sz w:val="24"/>
          <w:szCs w:val="24"/>
        </w:rPr>
        <w:t>和需方根据项目的具体情况协商拟订。</w:t>
      </w:r>
    </w:p>
    <w:p w14:paraId="070BF900">
      <w:pPr>
        <w:autoSpaceDE w:val="0"/>
        <w:autoSpaceDN w:val="0"/>
        <w:adjustRightInd w:val="0"/>
        <w:spacing w:line="360" w:lineRule="auto"/>
        <w:ind w:firstLine="448" w:firstLineChars="200"/>
        <w:rPr>
          <w:sz w:val="24"/>
        </w:rPr>
      </w:pPr>
    </w:p>
    <w:p w14:paraId="7B986941">
      <w:pPr>
        <w:widowControl/>
        <w:jc w:val="left"/>
        <w:rPr>
          <w:sz w:val="24"/>
        </w:rPr>
      </w:pPr>
      <w:r>
        <w:rPr>
          <w:sz w:val="24"/>
        </w:rPr>
        <w:br w:type="page"/>
      </w:r>
    </w:p>
    <w:p w14:paraId="2D8DB90D">
      <w:pPr>
        <w:pStyle w:val="16"/>
        <w:rPr>
          <w:rFonts w:ascii="Times New Roman" w:hAnsi="Times New Roman"/>
        </w:rPr>
      </w:pPr>
      <w:r>
        <w:rPr>
          <w:rFonts w:ascii="Times New Roman" w:hAnsi="Times New Roman"/>
        </w:rPr>
        <w:t>第五部分  投标文件格式</w:t>
      </w:r>
    </w:p>
    <w:p w14:paraId="3B98E482">
      <w:pPr>
        <w:autoSpaceDN w:val="0"/>
        <w:spacing w:line="360" w:lineRule="auto"/>
        <w:jc w:val="center"/>
        <w:rPr>
          <w:b/>
          <w:bCs/>
          <w:sz w:val="24"/>
        </w:rPr>
      </w:pPr>
      <w:r>
        <w:rPr>
          <w:b/>
          <w:bCs/>
          <w:sz w:val="24"/>
        </w:rPr>
        <w:t>投标文件封面格式</w:t>
      </w:r>
    </w:p>
    <w:p w14:paraId="12270C4E">
      <w:pPr>
        <w:autoSpaceDE w:val="0"/>
        <w:autoSpaceDN w:val="0"/>
        <w:adjustRightInd w:val="0"/>
        <w:spacing w:line="520" w:lineRule="exact"/>
      </w:pPr>
    </w:p>
    <w:p w14:paraId="137AC4B4">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7B870BA4">
      <w:pPr>
        <w:autoSpaceDE w:val="0"/>
        <w:autoSpaceDN w:val="0"/>
        <w:adjustRightInd w:val="0"/>
        <w:spacing w:line="520" w:lineRule="exact"/>
        <w:rPr>
          <w:b/>
          <w:kern w:val="0"/>
          <w:sz w:val="24"/>
        </w:rPr>
      </w:pPr>
    </w:p>
    <w:p w14:paraId="062E17A1">
      <w:pPr>
        <w:autoSpaceDE w:val="0"/>
        <w:autoSpaceDN w:val="0"/>
        <w:adjustRightInd w:val="0"/>
        <w:spacing w:line="520" w:lineRule="exact"/>
        <w:rPr>
          <w:b/>
          <w:kern w:val="0"/>
          <w:sz w:val="24"/>
        </w:rPr>
      </w:pPr>
    </w:p>
    <w:p w14:paraId="5E45A36A">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0FC5F005">
      <w:pPr>
        <w:autoSpaceDE w:val="0"/>
        <w:autoSpaceDN w:val="0"/>
        <w:adjustRightInd w:val="0"/>
        <w:spacing w:line="520" w:lineRule="exact"/>
        <w:rPr>
          <w:b/>
          <w:kern w:val="0"/>
          <w:sz w:val="36"/>
          <w:szCs w:val="36"/>
        </w:rPr>
      </w:pPr>
    </w:p>
    <w:p w14:paraId="353F8B04">
      <w:pPr>
        <w:autoSpaceDE w:val="0"/>
        <w:autoSpaceDN w:val="0"/>
        <w:adjustRightInd w:val="0"/>
        <w:spacing w:line="520" w:lineRule="exact"/>
        <w:jc w:val="center"/>
        <w:rPr>
          <w:b/>
          <w:kern w:val="0"/>
          <w:sz w:val="24"/>
        </w:rPr>
      </w:pPr>
      <w:r>
        <w:rPr>
          <w:b/>
          <w:kern w:val="0"/>
          <w:sz w:val="24"/>
        </w:rPr>
        <w:t>（加盖电子签章）</w:t>
      </w:r>
    </w:p>
    <w:p w14:paraId="680FA1D2">
      <w:pPr>
        <w:spacing w:before="85" w:beforeLines="30" w:after="199" w:afterLines="70" w:line="540" w:lineRule="exact"/>
        <w:ind w:left="582" w:leftChars="300"/>
        <w:rPr>
          <w:b/>
          <w:sz w:val="34"/>
          <w:szCs w:val="34"/>
        </w:rPr>
      </w:pPr>
      <w:r>
        <w:rPr>
          <w:b/>
          <w:sz w:val="34"/>
          <w:szCs w:val="34"/>
        </w:rPr>
        <w:t>项目编号：</w:t>
      </w:r>
    </w:p>
    <w:p w14:paraId="19828B06">
      <w:pPr>
        <w:spacing w:before="85" w:beforeLines="30" w:after="199" w:afterLines="70" w:line="540" w:lineRule="exact"/>
        <w:ind w:left="2027" w:leftChars="300" w:hanging="1445" w:hangingChars="446"/>
        <w:rPr>
          <w:b/>
          <w:sz w:val="34"/>
          <w:szCs w:val="34"/>
        </w:rPr>
      </w:pPr>
      <w:r>
        <w:rPr>
          <w:b/>
          <w:sz w:val="34"/>
          <w:szCs w:val="34"/>
        </w:rPr>
        <w:t>项目名称：</w:t>
      </w:r>
    </w:p>
    <w:p w14:paraId="1555C58D">
      <w:pPr>
        <w:spacing w:before="85" w:beforeLines="30" w:after="199" w:afterLines="70" w:line="540" w:lineRule="exact"/>
        <w:ind w:left="2027" w:leftChars="300" w:hanging="1445" w:hangingChars="446"/>
        <w:rPr>
          <w:b/>
          <w:sz w:val="34"/>
          <w:szCs w:val="34"/>
        </w:rPr>
      </w:pPr>
      <w:r>
        <w:rPr>
          <w:b/>
          <w:sz w:val="34"/>
          <w:szCs w:val="34"/>
        </w:rPr>
        <w:t>所投包号：</w:t>
      </w:r>
    </w:p>
    <w:p w14:paraId="36772D97">
      <w:pPr>
        <w:spacing w:before="85" w:beforeLines="30" w:after="199" w:afterLines="70" w:line="540" w:lineRule="exact"/>
        <w:ind w:left="582" w:leftChars="300"/>
        <w:rPr>
          <w:b/>
          <w:sz w:val="34"/>
          <w:szCs w:val="34"/>
        </w:rPr>
      </w:pPr>
      <w:r>
        <w:rPr>
          <w:b/>
          <w:sz w:val="34"/>
          <w:szCs w:val="34"/>
        </w:rPr>
        <w:t>投标单位名称：</w:t>
      </w:r>
    </w:p>
    <w:p w14:paraId="7E0BA217">
      <w:pPr>
        <w:spacing w:before="85" w:beforeLines="30" w:after="199" w:afterLines="70" w:line="540" w:lineRule="exact"/>
        <w:ind w:left="582" w:leftChars="300"/>
        <w:rPr>
          <w:b/>
          <w:sz w:val="34"/>
          <w:szCs w:val="34"/>
        </w:rPr>
      </w:pPr>
      <w:r>
        <w:rPr>
          <w:rFonts w:hint="eastAsia"/>
          <w:b/>
          <w:sz w:val="34"/>
          <w:szCs w:val="34"/>
        </w:rPr>
        <w:t>投标代表人姓名：</w:t>
      </w:r>
    </w:p>
    <w:p w14:paraId="4049E754">
      <w:pPr>
        <w:spacing w:before="85" w:beforeLines="30" w:after="199" w:afterLines="70" w:line="540" w:lineRule="exact"/>
        <w:ind w:left="582" w:leftChars="300"/>
        <w:rPr>
          <w:b/>
          <w:sz w:val="34"/>
          <w:szCs w:val="34"/>
        </w:rPr>
      </w:pPr>
    </w:p>
    <w:p w14:paraId="647EE156">
      <w:pPr>
        <w:spacing w:before="85" w:beforeLines="30" w:after="199" w:afterLines="70" w:line="540" w:lineRule="exact"/>
        <w:ind w:left="582" w:leftChars="300"/>
        <w:rPr>
          <w:b/>
          <w:sz w:val="34"/>
          <w:szCs w:val="34"/>
        </w:rPr>
      </w:pPr>
    </w:p>
    <w:p w14:paraId="2D026FC9">
      <w:pPr>
        <w:spacing w:before="85" w:beforeLines="30" w:after="199" w:afterLines="70" w:line="540" w:lineRule="exact"/>
        <w:ind w:left="582" w:leftChars="300"/>
        <w:rPr>
          <w:b/>
          <w:sz w:val="34"/>
          <w:szCs w:val="34"/>
        </w:rPr>
      </w:pPr>
    </w:p>
    <w:p w14:paraId="4B94C2C7">
      <w:pPr>
        <w:spacing w:before="85" w:beforeLines="30" w:after="199" w:afterLines="70" w:line="540" w:lineRule="exact"/>
        <w:ind w:left="582" w:leftChars="300"/>
        <w:rPr>
          <w:b/>
          <w:bCs/>
          <w:sz w:val="24"/>
        </w:rPr>
      </w:pPr>
      <w:r>
        <w:rPr>
          <w:b/>
          <w:sz w:val="34"/>
          <w:szCs w:val="34"/>
        </w:rPr>
        <w:t>投标日期：   年   月   日</w:t>
      </w:r>
    </w:p>
    <w:p w14:paraId="6EC9E1E5">
      <w:pPr>
        <w:widowControl/>
        <w:jc w:val="left"/>
        <w:rPr>
          <w:b/>
          <w:bCs/>
          <w:sz w:val="24"/>
        </w:rPr>
      </w:pPr>
      <w:r>
        <w:rPr>
          <w:b/>
          <w:bCs/>
          <w:sz w:val="24"/>
        </w:rPr>
        <w:br w:type="page"/>
      </w:r>
    </w:p>
    <w:p w14:paraId="352AE73B">
      <w:pPr>
        <w:autoSpaceDN w:val="0"/>
        <w:spacing w:line="360" w:lineRule="auto"/>
        <w:jc w:val="center"/>
        <w:rPr>
          <w:b/>
          <w:bCs/>
          <w:sz w:val="24"/>
        </w:rPr>
      </w:pPr>
      <w:r>
        <w:rPr>
          <w:b/>
          <w:bCs/>
          <w:sz w:val="24"/>
        </w:rPr>
        <w:t>投标文件总目录</w:t>
      </w:r>
    </w:p>
    <w:p w14:paraId="0BB18ABF">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3B34A3C0">
      <w:pPr>
        <w:widowControl/>
        <w:jc w:val="center"/>
        <w:rPr>
          <w:b/>
          <w:sz w:val="24"/>
        </w:rPr>
      </w:pPr>
    </w:p>
    <w:p w14:paraId="3CC9AA8A">
      <w:pPr>
        <w:widowControl/>
        <w:jc w:val="left"/>
        <w:rPr>
          <w:b/>
          <w:sz w:val="24"/>
        </w:rPr>
      </w:pPr>
      <w:r>
        <w:rPr>
          <w:b/>
          <w:sz w:val="24"/>
        </w:rPr>
        <w:br w:type="page"/>
      </w:r>
    </w:p>
    <w:p w14:paraId="4E5355CF">
      <w:pPr>
        <w:widowControl/>
        <w:jc w:val="center"/>
        <w:rPr>
          <w:b/>
          <w:sz w:val="24"/>
        </w:rPr>
      </w:pPr>
      <w:r>
        <w:rPr>
          <w:b/>
          <w:sz w:val="24"/>
        </w:rPr>
        <w:t>评分因素及评标标准页码检索</w:t>
      </w:r>
    </w:p>
    <w:p w14:paraId="459397D5">
      <w:pPr>
        <w:widowControl/>
        <w:jc w:val="center"/>
        <w:rPr>
          <w:b/>
          <w:sz w:val="24"/>
        </w:rPr>
      </w:pPr>
      <w:r>
        <w:rPr>
          <w:b/>
          <w:bCs/>
          <w:sz w:val="24"/>
        </w:rPr>
        <w:t>（需投标人按招标文件“评分因素及评标标准”中每个评分项逐项列明页码）</w:t>
      </w:r>
    </w:p>
    <w:p w14:paraId="2F62C593">
      <w:pPr>
        <w:widowControl/>
        <w:jc w:val="left"/>
        <w:rPr>
          <w:sz w:val="24"/>
        </w:rPr>
      </w:pPr>
      <w:r>
        <w:rPr>
          <w:sz w:val="24"/>
        </w:rPr>
        <w:br w:type="page"/>
      </w:r>
    </w:p>
    <w:p w14:paraId="07A2F0E5">
      <w:pPr>
        <w:widowControl/>
        <w:jc w:val="left"/>
        <w:rPr>
          <w:b/>
          <w:bCs/>
          <w:sz w:val="24"/>
        </w:rPr>
      </w:pPr>
      <w:r>
        <w:rPr>
          <w:b/>
          <w:sz w:val="24"/>
        </w:rPr>
        <w:t>附件1</w:t>
      </w:r>
    </w:p>
    <w:p w14:paraId="1CBF2D97">
      <w:pPr>
        <w:autoSpaceDN w:val="0"/>
        <w:spacing w:line="360" w:lineRule="auto"/>
        <w:jc w:val="center"/>
        <w:rPr>
          <w:b/>
          <w:bCs/>
          <w:sz w:val="24"/>
        </w:rPr>
      </w:pPr>
      <w:r>
        <w:rPr>
          <w:b/>
          <w:bCs/>
          <w:sz w:val="24"/>
        </w:rPr>
        <w:t>投标书</w:t>
      </w:r>
    </w:p>
    <w:p w14:paraId="5ABE345D">
      <w:pPr>
        <w:spacing w:line="360" w:lineRule="auto"/>
        <w:rPr>
          <w:sz w:val="24"/>
        </w:rPr>
      </w:pPr>
      <w:r>
        <w:rPr>
          <w:sz w:val="24"/>
        </w:rPr>
        <w:t>致：天津市政府采购中心</w:t>
      </w:r>
    </w:p>
    <w:p w14:paraId="3CEF3BAF">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36FF5DDD">
      <w:pPr>
        <w:spacing w:line="360" w:lineRule="auto"/>
        <w:ind w:firstLine="448" w:firstLineChars="200"/>
        <w:rPr>
          <w:sz w:val="24"/>
        </w:rPr>
      </w:pPr>
      <w:r>
        <w:rPr>
          <w:sz w:val="24"/>
        </w:rPr>
        <w:t>据此函，签字代表宣布同意如下：</w:t>
      </w:r>
    </w:p>
    <w:p w14:paraId="2797B189">
      <w:pPr>
        <w:spacing w:line="360" w:lineRule="auto"/>
        <w:ind w:firstLine="448" w:firstLineChars="200"/>
        <w:rPr>
          <w:sz w:val="24"/>
        </w:rPr>
      </w:pPr>
      <w:r>
        <w:rPr>
          <w:sz w:val="24"/>
        </w:rPr>
        <w:t>1. 所附投标报价表中规定的应提供和交付的服务投标总价为：</w:t>
      </w:r>
    </w:p>
    <w:p w14:paraId="0C1DC265">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1B2A6AFB">
      <w:pPr>
        <w:spacing w:line="360" w:lineRule="auto"/>
        <w:ind w:firstLine="448" w:firstLineChars="200"/>
        <w:rPr>
          <w:sz w:val="24"/>
        </w:rPr>
      </w:pPr>
      <w:r>
        <w:rPr>
          <w:sz w:val="24"/>
        </w:rPr>
        <w:t>2. 我公司将按招标文件的规定履行合同责任和义务。</w:t>
      </w:r>
    </w:p>
    <w:p w14:paraId="0A79A6EB">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46A86F28">
      <w:pPr>
        <w:spacing w:line="360" w:lineRule="auto"/>
        <w:ind w:firstLine="448" w:firstLineChars="200"/>
        <w:rPr>
          <w:sz w:val="24"/>
        </w:rPr>
      </w:pPr>
      <w:r>
        <w:rPr>
          <w:sz w:val="24"/>
        </w:rPr>
        <w:t>4. 我公司的投标有效期为开标之日起60天。</w:t>
      </w:r>
    </w:p>
    <w:p w14:paraId="449D1E83">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4D55FA00">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0E72FEBF">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D9CFDE5">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7331054F">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5C8A3D1E">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1F83D2AE">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14640368">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0DF1C779">
      <w:pPr>
        <w:spacing w:line="360" w:lineRule="auto"/>
        <w:ind w:firstLine="448" w:firstLineChars="200"/>
        <w:rPr>
          <w:sz w:val="24"/>
        </w:rPr>
      </w:pPr>
      <w:r>
        <w:rPr>
          <w:rFonts w:hint="eastAsia"/>
          <w:sz w:val="24"/>
        </w:rPr>
        <w:t>纳税人识别号：</w:t>
      </w:r>
    </w:p>
    <w:p w14:paraId="360ABDB1">
      <w:pPr>
        <w:spacing w:line="360" w:lineRule="auto"/>
        <w:ind w:firstLine="448" w:firstLineChars="200"/>
        <w:rPr>
          <w:sz w:val="24"/>
        </w:rPr>
      </w:pPr>
      <w:r>
        <w:rPr>
          <w:rFonts w:hint="eastAsia"/>
          <w:sz w:val="24"/>
        </w:rPr>
        <w:t>地址、电话：</w:t>
      </w:r>
    </w:p>
    <w:p w14:paraId="0FD5DD82">
      <w:pPr>
        <w:spacing w:line="360" w:lineRule="auto"/>
        <w:ind w:firstLine="448" w:firstLineChars="200"/>
        <w:rPr>
          <w:sz w:val="24"/>
        </w:rPr>
      </w:pPr>
      <w:r>
        <w:rPr>
          <w:rFonts w:hint="eastAsia"/>
          <w:sz w:val="24"/>
        </w:rPr>
        <w:t>开户行及账号：</w:t>
      </w:r>
    </w:p>
    <w:p w14:paraId="50E98E85">
      <w:pPr>
        <w:spacing w:line="360" w:lineRule="auto"/>
        <w:ind w:firstLine="448" w:firstLineChars="200"/>
        <w:rPr>
          <w:sz w:val="24"/>
        </w:rPr>
      </w:pPr>
      <w:r>
        <w:rPr>
          <w:rFonts w:hint="eastAsia"/>
          <w:sz w:val="24"/>
        </w:rPr>
        <w:t>开具发票类型：□增值税专用发票         □增值税普通发票</w:t>
      </w:r>
    </w:p>
    <w:p w14:paraId="13DD28E5">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6944E871">
      <w:pPr>
        <w:spacing w:line="360" w:lineRule="auto"/>
        <w:ind w:firstLine="448" w:firstLineChars="200"/>
        <w:rPr>
          <w:b/>
          <w:sz w:val="24"/>
        </w:rPr>
      </w:pPr>
      <w:r>
        <w:rPr>
          <w:rFonts w:hint="eastAsia"/>
          <w:b/>
          <w:sz w:val="24"/>
        </w:rPr>
        <w:t>□</w:t>
      </w:r>
      <w:r>
        <w:rPr>
          <w:b/>
          <w:sz w:val="24"/>
        </w:rPr>
        <w:t>上门自取</w:t>
      </w:r>
    </w:p>
    <w:p w14:paraId="3B79C914">
      <w:pPr>
        <w:spacing w:line="360" w:lineRule="auto"/>
        <w:ind w:firstLine="448" w:firstLineChars="200"/>
        <w:rPr>
          <w:sz w:val="24"/>
        </w:rPr>
      </w:pPr>
    </w:p>
    <w:p w14:paraId="5DCD8D81">
      <w:pPr>
        <w:spacing w:line="360" w:lineRule="auto"/>
        <w:ind w:firstLine="448" w:firstLineChars="200"/>
        <w:rPr>
          <w:b/>
          <w:sz w:val="24"/>
        </w:rPr>
      </w:pPr>
      <w:r>
        <w:rPr>
          <w:rFonts w:hint="eastAsia"/>
          <w:b/>
          <w:sz w:val="24"/>
        </w:rPr>
        <w:t>□</w:t>
      </w:r>
      <w:r>
        <w:rPr>
          <w:b/>
          <w:sz w:val="24"/>
        </w:rPr>
        <w:t>到付邮寄</w:t>
      </w:r>
    </w:p>
    <w:p w14:paraId="3C96C96E">
      <w:pPr>
        <w:spacing w:line="360" w:lineRule="auto"/>
        <w:ind w:firstLine="448" w:firstLineChars="200"/>
        <w:rPr>
          <w:sz w:val="24"/>
        </w:rPr>
      </w:pPr>
      <w:r>
        <w:rPr>
          <w:sz w:val="24"/>
        </w:rPr>
        <w:t>邮寄地址</w:t>
      </w:r>
      <w:r>
        <w:rPr>
          <w:rFonts w:hint="eastAsia"/>
          <w:sz w:val="24"/>
        </w:rPr>
        <w:t>、邮编</w:t>
      </w:r>
      <w:r>
        <w:rPr>
          <w:sz w:val="24"/>
        </w:rPr>
        <w:t>：</w:t>
      </w:r>
    </w:p>
    <w:p w14:paraId="2718E767">
      <w:pPr>
        <w:spacing w:line="360" w:lineRule="auto"/>
        <w:ind w:firstLine="448" w:firstLineChars="200"/>
        <w:rPr>
          <w:sz w:val="24"/>
        </w:rPr>
      </w:pPr>
      <w:r>
        <w:rPr>
          <w:sz w:val="24"/>
        </w:rPr>
        <w:t>邮寄联系人、手机号码：</w:t>
      </w:r>
    </w:p>
    <w:p w14:paraId="644B5C3D">
      <w:pPr>
        <w:spacing w:line="360" w:lineRule="auto"/>
        <w:ind w:firstLine="3808" w:firstLineChars="1700"/>
        <w:rPr>
          <w:sz w:val="24"/>
        </w:rPr>
      </w:pPr>
    </w:p>
    <w:p w14:paraId="70996D2B">
      <w:pPr>
        <w:spacing w:line="360" w:lineRule="auto"/>
        <w:ind w:firstLine="3808" w:firstLineChars="1700"/>
        <w:rPr>
          <w:sz w:val="24"/>
        </w:rPr>
      </w:pPr>
      <w:r>
        <w:rPr>
          <w:sz w:val="24"/>
        </w:rPr>
        <w:t>投标人名称：</w:t>
      </w:r>
    </w:p>
    <w:p w14:paraId="125FAE73">
      <w:pPr>
        <w:spacing w:line="360" w:lineRule="auto"/>
        <w:ind w:firstLine="3808" w:firstLineChars="1700"/>
        <w:rPr>
          <w:sz w:val="24"/>
        </w:rPr>
      </w:pPr>
    </w:p>
    <w:p w14:paraId="3A8C7B4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E533CA9">
      <w:pPr>
        <w:spacing w:line="460" w:lineRule="exact"/>
        <w:rPr>
          <w:sz w:val="24"/>
        </w:rPr>
      </w:pPr>
    </w:p>
    <w:p w14:paraId="7DC69E6E">
      <w:pPr>
        <w:widowControl/>
        <w:jc w:val="left"/>
        <w:rPr>
          <w:sz w:val="24"/>
        </w:rPr>
      </w:pPr>
      <w:r>
        <w:rPr>
          <w:sz w:val="24"/>
        </w:rPr>
        <w:br w:type="page"/>
      </w:r>
    </w:p>
    <w:p w14:paraId="7092869F">
      <w:pPr>
        <w:spacing w:line="460" w:lineRule="exact"/>
        <w:rPr>
          <w:b/>
          <w:sz w:val="24"/>
        </w:rPr>
      </w:pPr>
      <w:r>
        <w:rPr>
          <w:b/>
          <w:sz w:val="24"/>
        </w:rPr>
        <w:t>附件2</w:t>
      </w:r>
    </w:p>
    <w:p w14:paraId="357CB14B">
      <w:pPr>
        <w:ind w:right="84"/>
        <w:jc w:val="center"/>
        <w:rPr>
          <w:b/>
          <w:sz w:val="24"/>
        </w:rPr>
      </w:pPr>
    </w:p>
    <w:p w14:paraId="22E7C074">
      <w:pPr>
        <w:ind w:right="84"/>
        <w:jc w:val="center"/>
        <w:rPr>
          <w:b/>
          <w:sz w:val="24"/>
        </w:rPr>
      </w:pPr>
      <w:r>
        <w:rPr>
          <w:rFonts w:hint="eastAsia"/>
          <w:b/>
          <w:sz w:val="24"/>
        </w:rPr>
        <w:t>供应商资格声明函</w:t>
      </w:r>
    </w:p>
    <w:p w14:paraId="1E625B77">
      <w:pPr>
        <w:spacing w:line="360" w:lineRule="auto"/>
        <w:ind w:firstLine="420"/>
        <w:jc w:val="center"/>
        <w:rPr>
          <w:b/>
          <w:sz w:val="24"/>
        </w:rPr>
      </w:pPr>
    </w:p>
    <w:p w14:paraId="2A73BE1C">
      <w:pPr>
        <w:spacing w:line="360" w:lineRule="auto"/>
        <w:rPr>
          <w:sz w:val="24"/>
        </w:rPr>
      </w:pPr>
      <w:r>
        <w:rPr>
          <w:rFonts w:hint="eastAsia"/>
          <w:sz w:val="24"/>
        </w:rPr>
        <w:t>天津市政府采购中心：</w:t>
      </w:r>
    </w:p>
    <w:p w14:paraId="719946E9">
      <w:pPr>
        <w:spacing w:line="360" w:lineRule="auto"/>
        <w:ind w:firstLine="448" w:firstLineChars="200"/>
        <w:rPr>
          <w:sz w:val="24"/>
        </w:rPr>
      </w:pPr>
      <w:r>
        <w:rPr>
          <w:rFonts w:hint="eastAsia"/>
          <w:sz w:val="24"/>
        </w:rPr>
        <w:t>我单位自愿参与本项目的政府采购活动，郑重承诺如下：</w:t>
      </w:r>
    </w:p>
    <w:p w14:paraId="415F366F">
      <w:pPr>
        <w:spacing w:line="360" w:lineRule="auto"/>
        <w:ind w:firstLine="448" w:firstLineChars="200"/>
        <w:rPr>
          <w:sz w:val="24"/>
        </w:rPr>
      </w:pPr>
      <w:r>
        <w:rPr>
          <w:rFonts w:hint="eastAsia"/>
          <w:sz w:val="24"/>
        </w:rPr>
        <w:t>（一）我单位具有良好的商业信誉和健全的财务会计制度；</w:t>
      </w:r>
    </w:p>
    <w:p w14:paraId="4FAF6A8A">
      <w:pPr>
        <w:spacing w:line="360" w:lineRule="auto"/>
        <w:ind w:firstLine="448" w:firstLineChars="200"/>
        <w:rPr>
          <w:sz w:val="24"/>
        </w:rPr>
      </w:pPr>
      <w:r>
        <w:rPr>
          <w:rFonts w:hint="eastAsia"/>
          <w:sz w:val="24"/>
        </w:rPr>
        <w:t>（二）我单位依法缴纳税收和社会保障资金；</w:t>
      </w:r>
    </w:p>
    <w:p w14:paraId="7D81948C">
      <w:pPr>
        <w:spacing w:line="360" w:lineRule="auto"/>
        <w:ind w:firstLine="448" w:firstLineChars="200"/>
        <w:rPr>
          <w:sz w:val="24"/>
        </w:rPr>
      </w:pPr>
      <w:r>
        <w:rPr>
          <w:rFonts w:hint="eastAsia"/>
          <w:sz w:val="24"/>
        </w:rPr>
        <w:t>（三）我单位具备履行合同所必需的设备和专业技术能力；</w:t>
      </w:r>
    </w:p>
    <w:p w14:paraId="597998ED">
      <w:pPr>
        <w:spacing w:line="360" w:lineRule="auto"/>
        <w:ind w:firstLine="448" w:firstLineChars="200"/>
        <w:rPr>
          <w:sz w:val="24"/>
        </w:rPr>
      </w:pPr>
      <w:r>
        <w:rPr>
          <w:rFonts w:hint="eastAsia"/>
          <w:sz w:val="24"/>
        </w:rPr>
        <w:t>（四）参加政府采购活动前3年我单位在经营活动中没有重大违法记录；</w:t>
      </w:r>
    </w:p>
    <w:p w14:paraId="47D7964E">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38BBC4A5">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7B3AC7C7">
        <w:tc>
          <w:tcPr>
            <w:tcW w:w="1061" w:type="pct"/>
            <w:vAlign w:val="center"/>
          </w:tcPr>
          <w:p w14:paraId="7DB28797">
            <w:pPr>
              <w:jc w:val="center"/>
              <w:rPr>
                <w:szCs w:val="21"/>
              </w:rPr>
            </w:pPr>
            <w:r>
              <w:rPr>
                <w:rFonts w:hint="eastAsia"/>
                <w:szCs w:val="21"/>
              </w:rPr>
              <w:t>序号</w:t>
            </w:r>
          </w:p>
        </w:tc>
        <w:tc>
          <w:tcPr>
            <w:tcW w:w="2273" w:type="pct"/>
            <w:vAlign w:val="center"/>
          </w:tcPr>
          <w:p w14:paraId="349E8AED">
            <w:pPr>
              <w:jc w:val="center"/>
              <w:rPr>
                <w:szCs w:val="21"/>
              </w:rPr>
            </w:pPr>
            <w:r>
              <w:rPr>
                <w:rFonts w:hint="eastAsia"/>
                <w:szCs w:val="21"/>
              </w:rPr>
              <w:t>单位名称</w:t>
            </w:r>
          </w:p>
        </w:tc>
        <w:tc>
          <w:tcPr>
            <w:tcW w:w="1667" w:type="pct"/>
            <w:vAlign w:val="center"/>
          </w:tcPr>
          <w:p w14:paraId="287369AA">
            <w:pPr>
              <w:jc w:val="center"/>
              <w:rPr>
                <w:szCs w:val="21"/>
              </w:rPr>
            </w:pPr>
            <w:r>
              <w:rPr>
                <w:rFonts w:hint="eastAsia"/>
                <w:szCs w:val="21"/>
              </w:rPr>
              <w:t>相互关系类型</w:t>
            </w:r>
          </w:p>
        </w:tc>
      </w:tr>
      <w:tr w14:paraId="6F3C8631">
        <w:tc>
          <w:tcPr>
            <w:tcW w:w="1061" w:type="pct"/>
            <w:vAlign w:val="center"/>
          </w:tcPr>
          <w:p w14:paraId="1962C903">
            <w:pPr>
              <w:jc w:val="center"/>
              <w:rPr>
                <w:szCs w:val="21"/>
              </w:rPr>
            </w:pPr>
            <w:r>
              <w:rPr>
                <w:rFonts w:hint="eastAsia"/>
                <w:szCs w:val="21"/>
              </w:rPr>
              <w:t>1</w:t>
            </w:r>
          </w:p>
        </w:tc>
        <w:tc>
          <w:tcPr>
            <w:tcW w:w="2273" w:type="pct"/>
            <w:vAlign w:val="center"/>
          </w:tcPr>
          <w:p w14:paraId="1FBCED3F">
            <w:pPr>
              <w:jc w:val="center"/>
              <w:rPr>
                <w:szCs w:val="21"/>
              </w:rPr>
            </w:pPr>
          </w:p>
        </w:tc>
        <w:tc>
          <w:tcPr>
            <w:tcW w:w="1667" w:type="pct"/>
            <w:vAlign w:val="center"/>
          </w:tcPr>
          <w:p w14:paraId="6DB45372">
            <w:pPr>
              <w:jc w:val="center"/>
              <w:rPr>
                <w:szCs w:val="21"/>
              </w:rPr>
            </w:pPr>
          </w:p>
        </w:tc>
      </w:tr>
      <w:tr w14:paraId="70C274B8">
        <w:tc>
          <w:tcPr>
            <w:tcW w:w="1061" w:type="pct"/>
            <w:vAlign w:val="center"/>
          </w:tcPr>
          <w:p w14:paraId="0D547F2E">
            <w:pPr>
              <w:jc w:val="center"/>
              <w:rPr>
                <w:szCs w:val="21"/>
              </w:rPr>
            </w:pPr>
            <w:r>
              <w:rPr>
                <w:rFonts w:hint="eastAsia"/>
                <w:szCs w:val="21"/>
              </w:rPr>
              <w:t>2</w:t>
            </w:r>
          </w:p>
        </w:tc>
        <w:tc>
          <w:tcPr>
            <w:tcW w:w="2273" w:type="pct"/>
            <w:vAlign w:val="center"/>
          </w:tcPr>
          <w:p w14:paraId="0824DA71">
            <w:pPr>
              <w:jc w:val="center"/>
              <w:rPr>
                <w:szCs w:val="21"/>
              </w:rPr>
            </w:pPr>
          </w:p>
        </w:tc>
        <w:tc>
          <w:tcPr>
            <w:tcW w:w="1667" w:type="pct"/>
            <w:vAlign w:val="center"/>
          </w:tcPr>
          <w:p w14:paraId="069DAA1B">
            <w:pPr>
              <w:jc w:val="center"/>
              <w:rPr>
                <w:szCs w:val="21"/>
              </w:rPr>
            </w:pPr>
          </w:p>
        </w:tc>
      </w:tr>
      <w:tr w14:paraId="6C4A2FD3">
        <w:tc>
          <w:tcPr>
            <w:tcW w:w="1061" w:type="pct"/>
            <w:vAlign w:val="center"/>
          </w:tcPr>
          <w:p w14:paraId="394CF92B">
            <w:pPr>
              <w:jc w:val="center"/>
              <w:rPr>
                <w:szCs w:val="21"/>
              </w:rPr>
            </w:pPr>
            <w:r>
              <w:rPr>
                <w:rFonts w:hint="eastAsia"/>
                <w:szCs w:val="21"/>
              </w:rPr>
              <w:t>3</w:t>
            </w:r>
          </w:p>
        </w:tc>
        <w:tc>
          <w:tcPr>
            <w:tcW w:w="2273" w:type="pct"/>
            <w:vAlign w:val="center"/>
          </w:tcPr>
          <w:p w14:paraId="207E0659">
            <w:pPr>
              <w:jc w:val="center"/>
              <w:rPr>
                <w:szCs w:val="21"/>
              </w:rPr>
            </w:pPr>
          </w:p>
        </w:tc>
        <w:tc>
          <w:tcPr>
            <w:tcW w:w="1667" w:type="pct"/>
            <w:vAlign w:val="center"/>
          </w:tcPr>
          <w:p w14:paraId="68E55366">
            <w:pPr>
              <w:jc w:val="center"/>
              <w:rPr>
                <w:szCs w:val="21"/>
              </w:rPr>
            </w:pPr>
          </w:p>
        </w:tc>
      </w:tr>
    </w:tbl>
    <w:p w14:paraId="41AD8EC0">
      <w:pPr>
        <w:spacing w:line="360" w:lineRule="auto"/>
        <w:ind w:firstLine="448" w:firstLineChars="200"/>
        <w:rPr>
          <w:sz w:val="24"/>
        </w:rPr>
      </w:pPr>
      <w:r>
        <w:rPr>
          <w:rFonts w:hint="eastAsia"/>
          <w:sz w:val="24"/>
        </w:rPr>
        <w:t>上表未填写的，视为不存在第（六）条所列情形</w:t>
      </w:r>
    </w:p>
    <w:p w14:paraId="78440749">
      <w:pPr>
        <w:spacing w:line="360" w:lineRule="auto"/>
        <w:ind w:firstLine="448" w:firstLineChars="200"/>
        <w:rPr>
          <w:sz w:val="24"/>
        </w:rPr>
      </w:pPr>
    </w:p>
    <w:p w14:paraId="41016066">
      <w:pPr>
        <w:spacing w:line="360" w:lineRule="auto"/>
        <w:ind w:firstLine="448" w:firstLineChars="200"/>
        <w:rPr>
          <w:sz w:val="24"/>
        </w:rPr>
      </w:pPr>
      <w:r>
        <w:rPr>
          <w:rFonts w:hint="eastAsia"/>
          <w:sz w:val="24"/>
        </w:rPr>
        <w:t>上述声明真实有效，否则我单位承担全部责任和不利后果。</w:t>
      </w:r>
    </w:p>
    <w:p w14:paraId="33BF5C9C">
      <w:pPr>
        <w:spacing w:line="360" w:lineRule="auto"/>
        <w:ind w:firstLine="448" w:firstLineChars="200"/>
        <w:rPr>
          <w:sz w:val="24"/>
        </w:rPr>
      </w:pPr>
    </w:p>
    <w:p w14:paraId="786CF218">
      <w:pPr>
        <w:spacing w:line="360" w:lineRule="auto"/>
        <w:ind w:firstLine="224" w:firstLineChars="100"/>
        <w:rPr>
          <w:sz w:val="24"/>
        </w:rPr>
      </w:pPr>
      <w:r>
        <w:rPr>
          <w:sz w:val="24"/>
        </w:rPr>
        <w:t>投标人名称：</w:t>
      </w:r>
    </w:p>
    <w:p w14:paraId="3303B29A">
      <w:pPr>
        <w:spacing w:line="360" w:lineRule="auto"/>
        <w:ind w:firstLine="224" w:firstLineChars="100"/>
        <w:rPr>
          <w:sz w:val="24"/>
        </w:rPr>
      </w:pPr>
    </w:p>
    <w:p w14:paraId="724CF3A4">
      <w:pPr>
        <w:spacing w:line="360" w:lineRule="auto"/>
        <w:ind w:firstLine="224" w:firstLineChars="100"/>
        <w:rPr>
          <w:sz w:val="24"/>
        </w:rPr>
      </w:pPr>
      <w:r>
        <w:rPr>
          <w:sz w:val="24"/>
        </w:rPr>
        <w:t xml:space="preserve">日期：  </w:t>
      </w:r>
    </w:p>
    <w:p w14:paraId="0CA56122">
      <w:pPr>
        <w:widowControl/>
        <w:jc w:val="left"/>
        <w:rPr>
          <w:b/>
          <w:sz w:val="24"/>
        </w:rPr>
      </w:pPr>
    </w:p>
    <w:p w14:paraId="23735B1C">
      <w:pPr>
        <w:widowControl/>
        <w:jc w:val="left"/>
        <w:rPr>
          <w:b/>
          <w:sz w:val="24"/>
        </w:rPr>
      </w:pPr>
    </w:p>
    <w:p w14:paraId="01934127">
      <w:pPr>
        <w:widowControl/>
        <w:jc w:val="left"/>
        <w:rPr>
          <w:b/>
          <w:sz w:val="24"/>
        </w:rPr>
      </w:pPr>
    </w:p>
    <w:p w14:paraId="3C1073FE">
      <w:pPr>
        <w:widowControl/>
        <w:jc w:val="left"/>
        <w:rPr>
          <w:b/>
          <w:sz w:val="24"/>
        </w:rPr>
      </w:pPr>
      <w:r>
        <w:rPr>
          <w:b/>
          <w:sz w:val="24"/>
        </w:rPr>
        <w:br w:type="page"/>
      </w:r>
    </w:p>
    <w:p w14:paraId="77A032ED">
      <w:pPr>
        <w:spacing w:line="460" w:lineRule="exact"/>
        <w:rPr>
          <w:b/>
          <w:sz w:val="24"/>
        </w:rPr>
      </w:pPr>
      <w:r>
        <w:rPr>
          <w:rFonts w:hint="eastAsia"/>
          <w:b/>
          <w:bCs/>
          <w:sz w:val="24"/>
        </w:rPr>
        <w:t>附件2-1：招标文件第一部分供应商资格要求的证件</w:t>
      </w:r>
    </w:p>
    <w:p w14:paraId="5AC5D377">
      <w:pPr>
        <w:widowControl/>
        <w:jc w:val="left"/>
        <w:rPr>
          <w:b/>
          <w:sz w:val="24"/>
        </w:rPr>
      </w:pPr>
      <w:r>
        <w:rPr>
          <w:b/>
          <w:sz w:val="24"/>
        </w:rPr>
        <w:br w:type="page"/>
      </w:r>
    </w:p>
    <w:p w14:paraId="5AF21583">
      <w:pPr>
        <w:widowControl/>
        <w:jc w:val="left"/>
        <w:rPr>
          <w:b/>
          <w:sz w:val="24"/>
        </w:rPr>
      </w:pPr>
      <w:r>
        <w:rPr>
          <w:b/>
          <w:sz w:val="24"/>
        </w:rPr>
        <w:t>附件</w:t>
      </w:r>
      <w:r>
        <w:rPr>
          <w:rFonts w:hint="eastAsia"/>
          <w:b/>
          <w:sz w:val="24"/>
        </w:rPr>
        <w:t>3-1</w:t>
      </w:r>
    </w:p>
    <w:p w14:paraId="2292DA77">
      <w:pPr>
        <w:autoSpaceDN w:val="0"/>
        <w:spacing w:line="360" w:lineRule="auto"/>
        <w:jc w:val="center"/>
        <w:rPr>
          <w:b/>
          <w:bCs/>
          <w:sz w:val="24"/>
        </w:rPr>
      </w:pPr>
      <w:r>
        <w:rPr>
          <w:b/>
          <w:bCs/>
          <w:sz w:val="24"/>
        </w:rPr>
        <w:t>开标一览表</w:t>
      </w:r>
    </w:p>
    <w:p w14:paraId="7A629BFA">
      <w:pPr>
        <w:ind w:right="84"/>
        <w:rPr>
          <w:sz w:val="24"/>
        </w:rPr>
      </w:pPr>
    </w:p>
    <w:p w14:paraId="7323595D">
      <w:pPr>
        <w:spacing w:line="460" w:lineRule="exact"/>
        <w:rPr>
          <w:sz w:val="24"/>
        </w:rPr>
      </w:pPr>
      <w:r>
        <w:rPr>
          <w:sz w:val="24"/>
        </w:rPr>
        <w:t>项目名称：</w:t>
      </w:r>
      <w:r>
        <w:rPr>
          <w:sz w:val="24"/>
          <w:u w:val="single"/>
        </w:rPr>
        <w:t xml:space="preserve">                    </w:t>
      </w:r>
    </w:p>
    <w:p w14:paraId="27C9D829">
      <w:pPr>
        <w:spacing w:line="460" w:lineRule="exact"/>
        <w:rPr>
          <w:sz w:val="24"/>
        </w:rPr>
      </w:pPr>
      <w:r>
        <w:rPr>
          <w:sz w:val="24"/>
        </w:rPr>
        <w:t>项目编号：</w:t>
      </w:r>
      <w:r>
        <w:rPr>
          <w:sz w:val="24"/>
          <w:u w:val="single"/>
        </w:rPr>
        <w:t xml:space="preserve">                    </w:t>
      </w:r>
    </w:p>
    <w:p w14:paraId="5CBFAEA8">
      <w:pPr>
        <w:spacing w:line="460" w:lineRule="exact"/>
        <w:rPr>
          <w:sz w:val="24"/>
          <w:u w:val="single"/>
        </w:rPr>
      </w:pPr>
      <w:r>
        <w:rPr>
          <w:sz w:val="24"/>
        </w:rPr>
        <w:t>包号：</w:t>
      </w:r>
      <w:r>
        <w:rPr>
          <w:sz w:val="24"/>
          <w:u w:val="single"/>
        </w:rPr>
        <w:t xml:space="preserve">                        </w:t>
      </w:r>
    </w:p>
    <w:p w14:paraId="548C633F">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5"/>
        <w:gridCol w:w="2048"/>
        <w:gridCol w:w="1680"/>
      </w:tblGrid>
      <w:tr w14:paraId="16DA5DE7">
        <w:trPr>
          <w:jc w:val="center"/>
        </w:trPr>
        <w:tc>
          <w:tcPr>
            <w:tcW w:w="692" w:type="pct"/>
            <w:vAlign w:val="center"/>
          </w:tcPr>
          <w:p w14:paraId="2B5C18F1">
            <w:pPr>
              <w:spacing w:line="460" w:lineRule="exact"/>
              <w:jc w:val="center"/>
              <w:rPr>
                <w:sz w:val="24"/>
              </w:rPr>
            </w:pPr>
            <w:r>
              <w:rPr>
                <w:sz w:val="24"/>
              </w:rPr>
              <w:t>包号</w:t>
            </w:r>
          </w:p>
        </w:tc>
        <w:tc>
          <w:tcPr>
            <w:tcW w:w="1473" w:type="pct"/>
            <w:vAlign w:val="center"/>
          </w:tcPr>
          <w:p w14:paraId="2755BE04">
            <w:pPr>
              <w:spacing w:line="460" w:lineRule="exact"/>
              <w:jc w:val="center"/>
              <w:rPr>
                <w:sz w:val="24"/>
              </w:rPr>
            </w:pPr>
            <w:r>
              <w:rPr>
                <w:sz w:val="24"/>
              </w:rPr>
              <w:t>服务名称</w:t>
            </w:r>
          </w:p>
        </w:tc>
        <w:tc>
          <w:tcPr>
            <w:tcW w:w="764" w:type="pct"/>
            <w:vAlign w:val="center"/>
          </w:tcPr>
          <w:p w14:paraId="35E752E9">
            <w:pPr>
              <w:spacing w:line="460" w:lineRule="exact"/>
              <w:jc w:val="center"/>
              <w:rPr>
                <w:sz w:val="24"/>
              </w:rPr>
            </w:pPr>
            <w:r>
              <w:rPr>
                <w:sz w:val="24"/>
              </w:rPr>
              <w:t>数量</w:t>
            </w:r>
          </w:p>
        </w:tc>
        <w:tc>
          <w:tcPr>
            <w:tcW w:w="1138" w:type="pct"/>
            <w:vAlign w:val="center"/>
          </w:tcPr>
          <w:p w14:paraId="07C50561">
            <w:pPr>
              <w:spacing w:line="460" w:lineRule="exact"/>
              <w:jc w:val="center"/>
              <w:rPr>
                <w:sz w:val="24"/>
              </w:rPr>
            </w:pPr>
            <w:r>
              <w:rPr>
                <w:sz w:val="24"/>
              </w:rPr>
              <w:t>投标总价</w:t>
            </w:r>
          </w:p>
        </w:tc>
        <w:tc>
          <w:tcPr>
            <w:tcW w:w="933" w:type="pct"/>
            <w:vAlign w:val="center"/>
          </w:tcPr>
          <w:p w14:paraId="26439737">
            <w:pPr>
              <w:spacing w:line="460" w:lineRule="exact"/>
              <w:jc w:val="center"/>
              <w:rPr>
                <w:sz w:val="24"/>
              </w:rPr>
            </w:pPr>
            <w:r>
              <w:rPr>
                <w:sz w:val="24"/>
              </w:rPr>
              <w:t>备注</w:t>
            </w:r>
          </w:p>
        </w:tc>
      </w:tr>
      <w:tr w14:paraId="5A1B9BF0">
        <w:trPr>
          <w:jc w:val="center"/>
        </w:trPr>
        <w:tc>
          <w:tcPr>
            <w:tcW w:w="692" w:type="pct"/>
            <w:vAlign w:val="center"/>
          </w:tcPr>
          <w:p w14:paraId="0F0053CE">
            <w:pPr>
              <w:spacing w:line="460" w:lineRule="exact"/>
              <w:jc w:val="center"/>
              <w:rPr>
                <w:sz w:val="24"/>
              </w:rPr>
            </w:pPr>
            <w:r>
              <w:rPr>
                <w:rFonts w:hint="eastAsia"/>
                <w:sz w:val="24"/>
              </w:rPr>
              <w:t>1</w:t>
            </w:r>
          </w:p>
        </w:tc>
        <w:tc>
          <w:tcPr>
            <w:tcW w:w="1473" w:type="pct"/>
            <w:vAlign w:val="center"/>
          </w:tcPr>
          <w:p w14:paraId="6A0E1193">
            <w:pPr>
              <w:spacing w:line="460" w:lineRule="exact"/>
              <w:jc w:val="center"/>
              <w:rPr>
                <w:sz w:val="24"/>
              </w:rPr>
            </w:pPr>
            <w:r>
              <w:rPr>
                <w:rFonts w:hint="eastAsia"/>
                <w:sz w:val="24"/>
              </w:rPr>
              <w:t>国家税务总局天津市税务局全国统一规范电子税务局等系统运行维护</w:t>
            </w:r>
          </w:p>
        </w:tc>
        <w:tc>
          <w:tcPr>
            <w:tcW w:w="764" w:type="pct"/>
            <w:vAlign w:val="center"/>
          </w:tcPr>
          <w:p w14:paraId="33BCC44F">
            <w:pPr>
              <w:spacing w:line="460" w:lineRule="exact"/>
              <w:jc w:val="center"/>
              <w:rPr>
                <w:sz w:val="24"/>
              </w:rPr>
            </w:pPr>
            <w:r>
              <w:rPr>
                <w:rFonts w:hint="eastAsia"/>
                <w:sz w:val="24"/>
              </w:rPr>
              <w:t>1项</w:t>
            </w:r>
          </w:p>
        </w:tc>
        <w:tc>
          <w:tcPr>
            <w:tcW w:w="1138" w:type="pct"/>
            <w:vAlign w:val="center"/>
          </w:tcPr>
          <w:p w14:paraId="30933C4F">
            <w:pPr>
              <w:spacing w:line="460" w:lineRule="exact"/>
              <w:jc w:val="center"/>
              <w:rPr>
                <w:sz w:val="24"/>
              </w:rPr>
            </w:pPr>
          </w:p>
        </w:tc>
        <w:tc>
          <w:tcPr>
            <w:tcW w:w="933" w:type="pct"/>
            <w:vAlign w:val="center"/>
          </w:tcPr>
          <w:p w14:paraId="6ABA056D">
            <w:pPr>
              <w:spacing w:line="460" w:lineRule="exact"/>
              <w:jc w:val="center"/>
              <w:rPr>
                <w:sz w:val="24"/>
              </w:rPr>
            </w:pPr>
            <w:r>
              <w:rPr>
                <w:sz w:val="24"/>
              </w:rPr>
              <w:t>服务期</w:t>
            </w:r>
            <w:r>
              <w:rPr>
                <w:rFonts w:hint="eastAsia"/>
                <w:sz w:val="24"/>
              </w:rPr>
              <w:t>6个月</w:t>
            </w:r>
          </w:p>
        </w:tc>
      </w:tr>
      <w:tr w14:paraId="424446A7">
        <w:trPr>
          <w:jc w:val="center"/>
        </w:trPr>
        <w:tc>
          <w:tcPr>
            <w:tcW w:w="692" w:type="pct"/>
          </w:tcPr>
          <w:p w14:paraId="6ACB21C2">
            <w:pPr>
              <w:spacing w:line="460" w:lineRule="exact"/>
              <w:rPr>
                <w:sz w:val="24"/>
              </w:rPr>
            </w:pPr>
          </w:p>
        </w:tc>
        <w:tc>
          <w:tcPr>
            <w:tcW w:w="1473" w:type="pct"/>
          </w:tcPr>
          <w:p w14:paraId="1F76F90D">
            <w:pPr>
              <w:spacing w:line="460" w:lineRule="exact"/>
              <w:rPr>
                <w:sz w:val="24"/>
              </w:rPr>
            </w:pPr>
          </w:p>
        </w:tc>
        <w:tc>
          <w:tcPr>
            <w:tcW w:w="764" w:type="pct"/>
          </w:tcPr>
          <w:p w14:paraId="5FC86E90">
            <w:pPr>
              <w:spacing w:line="460" w:lineRule="exact"/>
              <w:rPr>
                <w:sz w:val="24"/>
              </w:rPr>
            </w:pPr>
          </w:p>
        </w:tc>
        <w:tc>
          <w:tcPr>
            <w:tcW w:w="1138" w:type="pct"/>
          </w:tcPr>
          <w:p w14:paraId="1A2C988D">
            <w:pPr>
              <w:spacing w:line="460" w:lineRule="exact"/>
              <w:rPr>
                <w:sz w:val="24"/>
              </w:rPr>
            </w:pPr>
          </w:p>
        </w:tc>
        <w:tc>
          <w:tcPr>
            <w:tcW w:w="933" w:type="pct"/>
          </w:tcPr>
          <w:p w14:paraId="27380749">
            <w:pPr>
              <w:spacing w:line="460" w:lineRule="exact"/>
              <w:rPr>
                <w:sz w:val="24"/>
              </w:rPr>
            </w:pPr>
          </w:p>
        </w:tc>
      </w:tr>
      <w:tr w14:paraId="248161DA">
        <w:trPr>
          <w:jc w:val="center"/>
        </w:trPr>
        <w:tc>
          <w:tcPr>
            <w:tcW w:w="692" w:type="pct"/>
          </w:tcPr>
          <w:p w14:paraId="6FF459C4">
            <w:pPr>
              <w:spacing w:line="460" w:lineRule="exact"/>
              <w:rPr>
                <w:sz w:val="24"/>
              </w:rPr>
            </w:pPr>
          </w:p>
        </w:tc>
        <w:tc>
          <w:tcPr>
            <w:tcW w:w="1473" w:type="pct"/>
          </w:tcPr>
          <w:p w14:paraId="2D40CB84">
            <w:pPr>
              <w:spacing w:line="460" w:lineRule="exact"/>
              <w:rPr>
                <w:sz w:val="24"/>
              </w:rPr>
            </w:pPr>
          </w:p>
        </w:tc>
        <w:tc>
          <w:tcPr>
            <w:tcW w:w="764" w:type="pct"/>
          </w:tcPr>
          <w:p w14:paraId="346AA261">
            <w:pPr>
              <w:spacing w:line="460" w:lineRule="exact"/>
              <w:rPr>
                <w:sz w:val="24"/>
              </w:rPr>
            </w:pPr>
          </w:p>
        </w:tc>
        <w:tc>
          <w:tcPr>
            <w:tcW w:w="1138" w:type="pct"/>
          </w:tcPr>
          <w:p w14:paraId="261E0061">
            <w:pPr>
              <w:spacing w:line="460" w:lineRule="exact"/>
              <w:rPr>
                <w:sz w:val="24"/>
              </w:rPr>
            </w:pPr>
          </w:p>
        </w:tc>
        <w:tc>
          <w:tcPr>
            <w:tcW w:w="933" w:type="pct"/>
          </w:tcPr>
          <w:p w14:paraId="611C70C0">
            <w:pPr>
              <w:spacing w:line="460" w:lineRule="exact"/>
              <w:rPr>
                <w:sz w:val="24"/>
              </w:rPr>
            </w:pPr>
          </w:p>
        </w:tc>
      </w:tr>
      <w:tr w14:paraId="745614D2">
        <w:trPr>
          <w:jc w:val="center"/>
        </w:trPr>
        <w:tc>
          <w:tcPr>
            <w:tcW w:w="692" w:type="pct"/>
          </w:tcPr>
          <w:p w14:paraId="741B7D94">
            <w:pPr>
              <w:spacing w:line="460" w:lineRule="exact"/>
              <w:rPr>
                <w:sz w:val="24"/>
              </w:rPr>
            </w:pPr>
          </w:p>
        </w:tc>
        <w:tc>
          <w:tcPr>
            <w:tcW w:w="1473" w:type="pct"/>
          </w:tcPr>
          <w:p w14:paraId="1C31FCEF">
            <w:pPr>
              <w:spacing w:line="460" w:lineRule="exact"/>
              <w:rPr>
                <w:sz w:val="24"/>
              </w:rPr>
            </w:pPr>
          </w:p>
        </w:tc>
        <w:tc>
          <w:tcPr>
            <w:tcW w:w="764" w:type="pct"/>
          </w:tcPr>
          <w:p w14:paraId="63886A5A">
            <w:pPr>
              <w:spacing w:line="460" w:lineRule="exact"/>
              <w:rPr>
                <w:sz w:val="24"/>
              </w:rPr>
            </w:pPr>
          </w:p>
        </w:tc>
        <w:tc>
          <w:tcPr>
            <w:tcW w:w="1138" w:type="pct"/>
          </w:tcPr>
          <w:p w14:paraId="4977A1A7">
            <w:pPr>
              <w:spacing w:line="460" w:lineRule="exact"/>
              <w:rPr>
                <w:sz w:val="24"/>
              </w:rPr>
            </w:pPr>
          </w:p>
        </w:tc>
        <w:tc>
          <w:tcPr>
            <w:tcW w:w="933" w:type="pct"/>
          </w:tcPr>
          <w:p w14:paraId="69CB8E0B">
            <w:pPr>
              <w:spacing w:line="460" w:lineRule="exact"/>
              <w:rPr>
                <w:sz w:val="24"/>
              </w:rPr>
            </w:pPr>
          </w:p>
        </w:tc>
      </w:tr>
      <w:tr w14:paraId="077FB524">
        <w:trPr>
          <w:jc w:val="center"/>
        </w:trPr>
        <w:tc>
          <w:tcPr>
            <w:tcW w:w="692" w:type="pct"/>
          </w:tcPr>
          <w:p w14:paraId="0EF8A1FF">
            <w:pPr>
              <w:spacing w:line="460" w:lineRule="exact"/>
              <w:rPr>
                <w:sz w:val="24"/>
              </w:rPr>
            </w:pPr>
          </w:p>
        </w:tc>
        <w:tc>
          <w:tcPr>
            <w:tcW w:w="1473" w:type="pct"/>
          </w:tcPr>
          <w:p w14:paraId="1D042BCE">
            <w:pPr>
              <w:spacing w:line="460" w:lineRule="exact"/>
              <w:rPr>
                <w:sz w:val="24"/>
              </w:rPr>
            </w:pPr>
          </w:p>
        </w:tc>
        <w:tc>
          <w:tcPr>
            <w:tcW w:w="764" w:type="pct"/>
          </w:tcPr>
          <w:p w14:paraId="41CC1E6F">
            <w:pPr>
              <w:spacing w:line="460" w:lineRule="exact"/>
              <w:rPr>
                <w:sz w:val="24"/>
              </w:rPr>
            </w:pPr>
          </w:p>
        </w:tc>
        <w:tc>
          <w:tcPr>
            <w:tcW w:w="1138" w:type="pct"/>
          </w:tcPr>
          <w:p w14:paraId="015C2A35">
            <w:pPr>
              <w:spacing w:line="460" w:lineRule="exact"/>
              <w:rPr>
                <w:sz w:val="24"/>
              </w:rPr>
            </w:pPr>
          </w:p>
        </w:tc>
        <w:tc>
          <w:tcPr>
            <w:tcW w:w="933" w:type="pct"/>
          </w:tcPr>
          <w:p w14:paraId="28A796A5">
            <w:pPr>
              <w:spacing w:line="460" w:lineRule="exact"/>
              <w:rPr>
                <w:sz w:val="24"/>
              </w:rPr>
            </w:pPr>
          </w:p>
        </w:tc>
      </w:tr>
      <w:tr w14:paraId="57723692">
        <w:trPr>
          <w:jc w:val="center"/>
        </w:trPr>
        <w:tc>
          <w:tcPr>
            <w:tcW w:w="692" w:type="pct"/>
          </w:tcPr>
          <w:p w14:paraId="38426F90">
            <w:pPr>
              <w:spacing w:line="460" w:lineRule="exact"/>
              <w:rPr>
                <w:sz w:val="24"/>
              </w:rPr>
            </w:pPr>
          </w:p>
        </w:tc>
        <w:tc>
          <w:tcPr>
            <w:tcW w:w="1473" w:type="pct"/>
          </w:tcPr>
          <w:p w14:paraId="1C44F87A">
            <w:pPr>
              <w:spacing w:line="460" w:lineRule="exact"/>
              <w:rPr>
                <w:sz w:val="24"/>
              </w:rPr>
            </w:pPr>
          </w:p>
        </w:tc>
        <w:tc>
          <w:tcPr>
            <w:tcW w:w="764" w:type="pct"/>
          </w:tcPr>
          <w:p w14:paraId="510C00E5">
            <w:pPr>
              <w:spacing w:line="460" w:lineRule="exact"/>
              <w:rPr>
                <w:sz w:val="24"/>
              </w:rPr>
            </w:pPr>
          </w:p>
        </w:tc>
        <w:tc>
          <w:tcPr>
            <w:tcW w:w="1138" w:type="pct"/>
          </w:tcPr>
          <w:p w14:paraId="16C383D2">
            <w:pPr>
              <w:spacing w:line="460" w:lineRule="exact"/>
              <w:rPr>
                <w:sz w:val="24"/>
              </w:rPr>
            </w:pPr>
          </w:p>
        </w:tc>
        <w:tc>
          <w:tcPr>
            <w:tcW w:w="933" w:type="pct"/>
          </w:tcPr>
          <w:p w14:paraId="738731A6">
            <w:pPr>
              <w:spacing w:line="460" w:lineRule="exact"/>
              <w:rPr>
                <w:sz w:val="24"/>
              </w:rPr>
            </w:pPr>
          </w:p>
        </w:tc>
      </w:tr>
      <w:tr w14:paraId="43DF7E55">
        <w:trPr>
          <w:jc w:val="center"/>
        </w:trPr>
        <w:tc>
          <w:tcPr>
            <w:tcW w:w="692" w:type="pct"/>
          </w:tcPr>
          <w:p w14:paraId="63C481DD">
            <w:pPr>
              <w:spacing w:line="460" w:lineRule="exact"/>
              <w:rPr>
                <w:sz w:val="24"/>
              </w:rPr>
            </w:pPr>
          </w:p>
        </w:tc>
        <w:tc>
          <w:tcPr>
            <w:tcW w:w="1473" w:type="pct"/>
          </w:tcPr>
          <w:p w14:paraId="31FCC942">
            <w:pPr>
              <w:spacing w:line="460" w:lineRule="exact"/>
              <w:rPr>
                <w:sz w:val="24"/>
              </w:rPr>
            </w:pPr>
          </w:p>
        </w:tc>
        <w:tc>
          <w:tcPr>
            <w:tcW w:w="764" w:type="pct"/>
          </w:tcPr>
          <w:p w14:paraId="252B0921">
            <w:pPr>
              <w:spacing w:line="460" w:lineRule="exact"/>
              <w:rPr>
                <w:sz w:val="24"/>
              </w:rPr>
            </w:pPr>
          </w:p>
        </w:tc>
        <w:tc>
          <w:tcPr>
            <w:tcW w:w="1138" w:type="pct"/>
          </w:tcPr>
          <w:p w14:paraId="7B8D2477">
            <w:pPr>
              <w:spacing w:line="460" w:lineRule="exact"/>
              <w:rPr>
                <w:sz w:val="24"/>
              </w:rPr>
            </w:pPr>
          </w:p>
        </w:tc>
        <w:tc>
          <w:tcPr>
            <w:tcW w:w="933" w:type="pct"/>
          </w:tcPr>
          <w:p w14:paraId="71F6819C">
            <w:pPr>
              <w:spacing w:line="460" w:lineRule="exact"/>
              <w:rPr>
                <w:sz w:val="24"/>
              </w:rPr>
            </w:pPr>
          </w:p>
        </w:tc>
      </w:tr>
      <w:tr w14:paraId="52505A4C">
        <w:trPr>
          <w:jc w:val="center"/>
        </w:trPr>
        <w:tc>
          <w:tcPr>
            <w:tcW w:w="692" w:type="pct"/>
          </w:tcPr>
          <w:p w14:paraId="179F9D71">
            <w:pPr>
              <w:spacing w:line="460" w:lineRule="exact"/>
              <w:rPr>
                <w:sz w:val="24"/>
              </w:rPr>
            </w:pPr>
          </w:p>
        </w:tc>
        <w:tc>
          <w:tcPr>
            <w:tcW w:w="1473" w:type="pct"/>
          </w:tcPr>
          <w:p w14:paraId="0215190A">
            <w:pPr>
              <w:spacing w:line="460" w:lineRule="exact"/>
              <w:rPr>
                <w:sz w:val="24"/>
              </w:rPr>
            </w:pPr>
          </w:p>
        </w:tc>
        <w:tc>
          <w:tcPr>
            <w:tcW w:w="764" w:type="pct"/>
          </w:tcPr>
          <w:p w14:paraId="4B0D488F">
            <w:pPr>
              <w:spacing w:line="460" w:lineRule="exact"/>
              <w:rPr>
                <w:sz w:val="24"/>
              </w:rPr>
            </w:pPr>
          </w:p>
        </w:tc>
        <w:tc>
          <w:tcPr>
            <w:tcW w:w="1138" w:type="pct"/>
          </w:tcPr>
          <w:p w14:paraId="10C8975F">
            <w:pPr>
              <w:spacing w:line="460" w:lineRule="exact"/>
              <w:rPr>
                <w:sz w:val="24"/>
              </w:rPr>
            </w:pPr>
          </w:p>
        </w:tc>
        <w:tc>
          <w:tcPr>
            <w:tcW w:w="933" w:type="pct"/>
          </w:tcPr>
          <w:p w14:paraId="00F0B40A">
            <w:pPr>
              <w:spacing w:line="460" w:lineRule="exact"/>
              <w:rPr>
                <w:sz w:val="24"/>
              </w:rPr>
            </w:pPr>
          </w:p>
        </w:tc>
      </w:tr>
      <w:tr w14:paraId="6A081F37">
        <w:trPr>
          <w:jc w:val="center"/>
        </w:trPr>
        <w:tc>
          <w:tcPr>
            <w:tcW w:w="692" w:type="pct"/>
          </w:tcPr>
          <w:p w14:paraId="5C1FADBB">
            <w:pPr>
              <w:spacing w:line="460" w:lineRule="exact"/>
              <w:rPr>
                <w:sz w:val="24"/>
              </w:rPr>
            </w:pPr>
          </w:p>
        </w:tc>
        <w:tc>
          <w:tcPr>
            <w:tcW w:w="1473" w:type="pct"/>
          </w:tcPr>
          <w:p w14:paraId="4CF83A5F">
            <w:pPr>
              <w:spacing w:line="460" w:lineRule="exact"/>
              <w:rPr>
                <w:sz w:val="24"/>
              </w:rPr>
            </w:pPr>
          </w:p>
        </w:tc>
        <w:tc>
          <w:tcPr>
            <w:tcW w:w="764" w:type="pct"/>
          </w:tcPr>
          <w:p w14:paraId="6FE26201">
            <w:pPr>
              <w:spacing w:line="460" w:lineRule="exact"/>
              <w:rPr>
                <w:sz w:val="24"/>
              </w:rPr>
            </w:pPr>
          </w:p>
        </w:tc>
        <w:tc>
          <w:tcPr>
            <w:tcW w:w="1138" w:type="pct"/>
          </w:tcPr>
          <w:p w14:paraId="0A42912D">
            <w:pPr>
              <w:spacing w:line="460" w:lineRule="exact"/>
              <w:rPr>
                <w:sz w:val="24"/>
              </w:rPr>
            </w:pPr>
          </w:p>
        </w:tc>
        <w:tc>
          <w:tcPr>
            <w:tcW w:w="933" w:type="pct"/>
          </w:tcPr>
          <w:p w14:paraId="7DD2A650">
            <w:pPr>
              <w:spacing w:line="460" w:lineRule="exact"/>
              <w:rPr>
                <w:sz w:val="24"/>
              </w:rPr>
            </w:pPr>
          </w:p>
        </w:tc>
      </w:tr>
      <w:tr w14:paraId="52C4007D">
        <w:trPr>
          <w:jc w:val="center"/>
        </w:trPr>
        <w:tc>
          <w:tcPr>
            <w:tcW w:w="692" w:type="pct"/>
          </w:tcPr>
          <w:p w14:paraId="4161F234">
            <w:pPr>
              <w:spacing w:line="460" w:lineRule="exact"/>
              <w:rPr>
                <w:sz w:val="24"/>
              </w:rPr>
            </w:pPr>
          </w:p>
        </w:tc>
        <w:tc>
          <w:tcPr>
            <w:tcW w:w="1473" w:type="pct"/>
          </w:tcPr>
          <w:p w14:paraId="7B3A3124">
            <w:pPr>
              <w:spacing w:line="460" w:lineRule="exact"/>
              <w:rPr>
                <w:sz w:val="24"/>
              </w:rPr>
            </w:pPr>
          </w:p>
        </w:tc>
        <w:tc>
          <w:tcPr>
            <w:tcW w:w="764" w:type="pct"/>
          </w:tcPr>
          <w:p w14:paraId="7FC8A40E">
            <w:pPr>
              <w:spacing w:line="460" w:lineRule="exact"/>
              <w:rPr>
                <w:sz w:val="24"/>
              </w:rPr>
            </w:pPr>
          </w:p>
        </w:tc>
        <w:tc>
          <w:tcPr>
            <w:tcW w:w="1138" w:type="pct"/>
          </w:tcPr>
          <w:p w14:paraId="0F7591B4">
            <w:pPr>
              <w:spacing w:line="460" w:lineRule="exact"/>
              <w:rPr>
                <w:sz w:val="24"/>
              </w:rPr>
            </w:pPr>
          </w:p>
        </w:tc>
        <w:tc>
          <w:tcPr>
            <w:tcW w:w="933" w:type="pct"/>
          </w:tcPr>
          <w:p w14:paraId="0A7EB78F">
            <w:pPr>
              <w:spacing w:line="460" w:lineRule="exact"/>
              <w:rPr>
                <w:sz w:val="24"/>
              </w:rPr>
            </w:pPr>
          </w:p>
        </w:tc>
      </w:tr>
      <w:tr w14:paraId="1545EFB3">
        <w:trPr>
          <w:jc w:val="center"/>
        </w:trPr>
        <w:tc>
          <w:tcPr>
            <w:tcW w:w="692" w:type="pct"/>
          </w:tcPr>
          <w:p w14:paraId="198CF3C8">
            <w:pPr>
              <w:spacing w:line="460" w:lineRule="exact"/>
              <w:rPr>
                <w:sz w:val="24"/>
              </w:rPr>
            </w:pPr>
          </w:p>
        </w:tc>
        <w:tc>
          <w:tcPr>
            <w:tcW w:w="1473" w:type="pct"/>
          </w:tcPr>
          <w:p w14:paraId="54C57D1E">
            <w:pPr>
              <w:spacing w:line="460" w:lineRule="exact"/>
              <w:rPr>
                <w:sz w:val="24"/>
              </w:rPr>
            </w:pPr>
          </w:p>
        </w:tc>
        <w:tc>
          <w:tcPr>
            <w:tcW w:w="764" w:type="pct"/>
          </w:tcPr>
          <w:p w14:paraId="221E4996">
            <w:pPr>
              <w:spacing w:line="460" w:lineRule="exact"/>
              <w:rPr>
                <w:sz w:val="24"/>
              </w:rPr>
            </w:pPr>
          </w:p>
        </w:tc>
        <w:tc>
          <w:tcPr>
            <w:tcW w:w="1138" w:type="pct"/>
          </w:tcPr>
          <w:p w14:paraId="5FEBACF5">
            <w:pPr>
              <w:spacing w:line="460" w:lineRule="exact"/>
              <w:rPr>
                <w:sz w:val="24"/>
              </w:rPr>
            </w:pPr>
          </w:p>
        </w:tc>
        <w:tc>
          <w:tcPr>
            <w:tcW w:w="933" w:type="pct"/>
          </w:tcPr>
          <w:p w14:paraId="3E8DA140">
            <w:pPr>
              <w:spacing w:line="460" w:lineRule="exact"/>
              <w:rPr>
                <w:sz w:val="24"/>
              </w:rPr>
            </w:pPr>
          </w:p>
        </w:tc>
      </w:tr>
      <w:tr w14:paraId="0BFFE34F">
        <w:trPr>
          <w:jc w:val="center"/>
        </w:trPr>
        <w:tc>
          <w:tcPr>
            <w:tcW w:w="692" w:type="pct"/>
          </w:tcPr>
          <w:p w14:paraId="6636BFC3">
            <w:pPr>
              <w:spacing w:line="460" w:lineRule="exact"/>
              <w:rPr>
                <w:sz w:val="24"/>
              </w:rPr>
            </w:pPr>
          </w:p>
        </w:tc>
        <w:tc>
          <w:tcPr>
            <w:tcW w:w="1473" w:type="pct"/>
          </w:tcPr>
          <w:p w14:paraId="707593CD">
            <w:pPr>
              <w:spacing w:line="460" w:lineRule="exact"/>
              <w:rPr>
                <w:sz w:val="24"/>
              </w:rPr>
            </w:pPr>
          </w:p>
        </w:tc>
        <w:tc>
          <w:tcPr>
            <w:tcW w:w="764" w:type="pct"/>
          </w:tcPr>
          <w:p w14:paraId="0E04AA1D">
            <w:pPr>
              <w:spacing w:line="460" w:lineRule="exact"/>
              <w:rPr>
                <w:sz w:val="24"/>
              </w:rPr>
            </w:pPr>
          </w:p>
        </w:tc>
        <w:tc>
          <w:tcPr>
            <w:tcW w:w="1138" w:type="pct"/>
          </w:tcPr>
          <w:p w14:paraId="230BFC17">
            <w:pPr>
              <w:spacing w:line="460" w:lineRule="exact"/>
              <w:rPr>
                <w:sz w:val="24"/>
              </w:rPr>
            </w:pPr>
          </w:p>
        </w:tc>
        <w:tc>
          <w:tcPr>
            <w:tcW w:w="933" w:type="pct"/>
          </w:tcPr>
          <w:p w14:paraId="2E76275C">
            <w:pPr>
              <w:spacing w:line="460" w:lineRule="exact"/>
              <w:rPr>
                <w:sz w:val="24"/>
              </w:rPr>
            </w:pPr>
          </w:p>
        </w:tc>
      </w:tr>
    </w:tbl>
    <w:p w14:paraId="48D618C0">
      <w:pPr>
        <w:spacing w:line="360" w:lineRule="auto"/>
        <w:ind w:right="84" w:firstLine="420"/>
        <w:rPr>
          <w:sz w:val="24"/>
        </w:rPr>
      </w:pPr>
    </w:p>
    <w:p w14:paraId="370E3881">
      <w:pPr>
        <w:spacing w:line="360" w:lineRule="auto"/>
        <w:ind w:right="84" w:firstLine="420"/>
        <w:rPr>
          <w:sz w:val="24"/>
        </w:rPr>
      </w:pPr>
    </w:p>
    <w:p w14:paraId="49EA762F">
      <w:pPr>
        <w:spacing w:line="360" w:lineRule="auto"/>
        <w:ind w:firstLine="3808" w:firstLineChars="1700"/>
        <w:rPr>
          <w:sz w:val="24"/>
        </w:rPr>
      </w:pPr>
      <w:r>
        <w:rPr>
          <w:sz w:val="24"/>
        </w:rPr>
        <w:t>投标人名称：</w:t>
      </w:r>
    </w:p>
    <w:p w14:paraId="3E4D8D98">
      <w:pPr>
        <w:spacing w:line="360" w:lineRule="auto"/>
        <w:ind w:firstLine="3808" w:firstLineChars="1700"/>
        <w:rPr>
          <w:sz w:val="24"/>
        </w:rPr>
      </w:pPr>
    </w:p>
    <w:p w14:paraId="0C01127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A9AE82C">
      <w:pPr>
        <w:spacing w:line="360" w:lineRule="auto"/>
        <w:ind w:right="84" w:firstLine="420"/>
        <w:rPr>
          <w:sz w:val="24"/>
        </w:rPr>
      </w:pPr>
    </w:p>
    <w:p w14:paraId="7DB0E7FF">
      <w:pPr>
        <w:widowControl/>
        <w:jc w:val="left"/>
        <w:rPr>
          <w:sz w:val="24"/>
        </w:rPr>
      </w:pPr>
      <w:r>
        <w:rPr>
          <w:sz w:val="24"/>
        </w:rPr>
        <w:br w:type="page"/>
      </w:r>
    </w:p>
    <w:p w14:paraId="4FB31192">
      <w:pPr>
        <w:tabs>
          <w:tab w:val="left" w:pos="360"/>
        </w:tabs>
        <w:spacing w:after="285" w:afterLines="100" w:line="360" w:lineRule="auto"/>
        <w:rPr>
          <w:b/>
          <w:sz w:val="24"/>
        </w:rPr>
      </w:pPr>
      <w:r>
        <w:rPr>
          <w:b/>
          <w:sz w:val="24"/>
        </w:rPr>
        <w:t>附件3</w:t>
      </w:r>
      <w:r>
        <w:rPr>
          <w:rFonts w:hint="eastAsia"/>
          <w:b/>
          <w:sz w:val="24"/>
        </w:rPr>
        <w:t>-2</w:t>
      </w:r>
    </w:p>
    <w:p w14:paraId="4BB841C8">
      <w:pPr>
        <w:autoSpaceDN w:val="0"/>
        <w:spacing w:line="360" w:lineRule="auto"/>
        <w:jc w:val="center"/>
        <w:rPr>
          <w:b/>
          <w:bCs/>
          <w:sz w:val="24"/>
        </w:rPr>
      </w:pPr>
      <w:r>
        <w:rPr>
          <w:b/>
          <w:bCs/>
          <w:sz w:val="24"/>
        </w:rPr>
        <w:t>开标分项一览表</w:t>
      </w:r>
    </w:p>
    <w:p w14:paraId="08885049">
      <w:pPr>
        <w:ind w:right="84"/>
        <w:rPr>
          <w:sz w:val="24"/>
        </w:rPr>
      </w:pPr>
    </w:p>
    <w:p w14:paraId="792C700F">
      <w:pPr>
        <w:spacing w:line="460" w:lineRule="exact"/>
        <w:ind w:left="192"/>
        <w:rPr>
          <w:sz w:val="24"/>
        </w:rPr>
      </w:pPr>
      <w:r>
        <w:rPr>
          <w:sz w:val="24"/>
        </w:rPr>
        <w:t>项目名称：</w:t>
      </w:r>
      <w:r>
        <w:rPr>
          <w:sz w:val="24"/>
          <w:u w:val="single"/>
        </w:rPr>
        <w:t xml:space="preserve">                    </w:t>
      </w:r>
    </w:p>
    <w:p w14:paraId="568432D0">
      <w:pPr>
        <w:spacing w:line="460" w:lineRule="exact"/>
        <w:ind w:left="192"/>
        <w:rPr>
          <w:sz w:val="24"/>
        </w:rPr>
      </w:pPr>
      <w:r>
        <w:rPr>
          <w:sz w:val="24"/>
        </w:rPr>
        <w:t>项目编号：</w:t>
      </w:r>
      <w:r>
        <w:rPr>
          <w:sz w:val="24"/>
          <w:u w:val="single"/>
        </w:rPr>
        <w:t xml:space="preserve">                    </w:t>
      </w:r>
    </w:p>
    <w:p w14:paraId="081B7EA0">
      <w:pPr>
        <w:spacing w:line="460" w:lineRule="exact"/>
        <w:ind w:left="192"/>
        <w:rPr>
          <w:sz w:val="24"/>
        </w:rPr>
      </w:pPr>
      <w:r>
        <w:rPr>
          <w:sz w:val="24"/>
        </w:rPr>
        <w:t>包    号：</w:t>
      </w:r>
      <w:r>
        <w:rPr>
          <w:sz w:val="24"/>
          <w:u w:val="single"/>
        </w:rPr>
        <w:t xml:space="preserve">                    </w:t>
      </w:r>
    </w:p>
    <w:p w14:paraId="03A84B07">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5DE3EF83">
        <w:trPr>
          <w:trHeight w:val="555" w:hRule="atLeast"/>
          <w:jc w:val="center"/>
        </w:trPr>
        <w:tc>
          <w:tcPr>
            <w:tcW w:w="878" w:type="dxa"/>
            <w:vAlign w:val="center"/>
          </w:tcPr>
          <w:p w14:paraId="3CECCAC2">
            <w:pPr>
              <w:widowControl/>
              <w:jc w:val="center"/>
              <w:rPr>
                <w:b/>
                <w:bCs/>
                <w:kern w:val="0"/>
                <w:sz w:val="24"/>
                <w:szCs w:val="24"/>
              </w:rPr>
            </w:pPr>
            <w:r>
              <w:rPr>
                <w:b/>
                <w:bCs/>
                <w:kern w:val="0"/>
                <w:sz w:val="24"/>
                <w:szCs w:val="24"/>
              </w:rPr>
              <w:t>项号</w:t>
            </w:r>
          </w:p>
        </w:tc>
        <w:tc>
          <w:tcPr>
            <w:tcW w:w="2349" w:type="dxa"/>
            <w:vAlign w:val="center"/>
          </w:tcPr>
          <w:p w14:paraId="491B999F">
            <w:pPr>
              <w:widowControl/>
              <w:jc w:val="center"/>
              <w:rPr>
                <w:b/>
                <w:bCs/>
                <w:kern w:val="0"/>
                <w:sz w:val="24"/>
                <w:szCs w:val="24"/>
              </w:rPr>
            </w:pPr>
            <w:r>
              <w:rPr>
                <w:b/>
                <w:bCs/>
                <w:kern w:val="0"/>
                <w:sz w:val="24"/>
                <w:szCs w:val="24"/>
              </w:rPr>
              <w:t>服务名称</w:t>
            </w:r>
          </w:p>
        </w:tc>
        <w:tc>
          <w:tcPr>
            <w:tcW w:w="1701" w:type="dxa"/>
            <w:vAlign w:val="center"/>
          </w:tcPr>
          <w:p w14:paraId="0B148987">
            <w:pPr>
              <w:widowControl/>
              <w:jc w:val="center"/>
              <w:rPr>
                <w:b/>
                <w:bCs/>
                <w:kern w:val="0"/>
                <w:sz w:val="24"/>
                <w:szCs w:val="24"/>
              </w:rPr>
            </w:pPr>
            <w:r>
              <w:rPr>
                <w:b/>
                <w:bCs/>
                <w:kern w:val="0"/>
                <w:sz w:val="24"/>
                <w:szCs w:val="24"/>
              </w:rPr>
              <w:t>总价</w:t>
            </w:r>
          </w:p>
        </w:tc>
        <w:tc>
          <w:tcPr>
            <w:tcW w:w="2238" w:type="dxa"/>
            <w:vAlign w:val="center"/>
          </w:tcPr>
          <w:p w14:paraId="3C07F0D6">
            <w:pPr>
              <w:widowControl/>
              <w:jc w:val="center"/>
              <w:rPr>
                <w:b/>
                <w:bCs/>
                <w:kern w:val="0"/>
                <w:sz w:val="24"/>
                <w:szCs w:val="24"/>
              </w:rPr>
            </w:pPr>
            <w:r>
              <w:rPr>
                <w:b/>
                <w:bCs/>
                <w:kern w:val="0"/>
                <w:sz w:val="24"/>
                <w:szCs w:val="24"/>
              </w:rPr>
              <w:t>数量</w:t>
            </w:r>
          </w:p>
        </w:tc>
        <w:tc>
          <w:tcPr>
            <w:tcW w:w="1848" w:type="dxa"/>
            <w:vAlign w:val="center"/>
          </w:tcPr>
          <w:p w14:paraId="66ABE1E1">
            <w:pPr>
              <w:widowControl/>
              <w:jc w:val="center"/>
              <w:rPr>
                <w:b/>
                <w:bCs/>
                <w:kern w:val="0"/>
                <w:sz w:val="24"/>
                <w:szCs w:val="24"/>
              </w:rPr>
            </w:pPr>
            <w:r>
              <w:rPr>
                <w:b/>
                <w:bCs/>
                <w:kern w:val="0"/>
                <w:sz w:val="24"/>
                <w:szCs w:val="24"/>
              </w:rPr>
              <w:t>备注</w:t>
            </w:r>
          </w:p>
        </w:tc>
      </w:tr>
      <w:tr w14:paraId="7940A1D7">
        <w:trPr>
          <w:trHeight w:val="465" w:hRule="atLeast"/>
          <w:jc w:val="center"/>
        </w:trPr>
        <w:tc>
          <w:tcPr>
            <w:tcW w:w="878" w:type="dxa"/>
            <w:vAlign w:val="center"/>
          </w:tcPr>
          <w:p w14:paraId="176A96AF">
            <w:pPr>
              <w:widowControl/>
              <w:jc w:val="center"/>
              <w:rPr>
                <w:kern w:val="0"/>
                <w:sz w:val="24"/>
                <w:szCs w:val="24"/>
              </w:rPr>
            </w:pPr>
            <w:r>
              <w:rPr>
                <w:kern w:val="0"/>
                <w:sz w:val="24"/>
                <w:szCs w:val="24"/>
              </w:rPr>
              <w:t>1</w:t>
            </w:r>
          </w:p>
        </w:tc>
        <w:tc>
          <w:tcPr>
            <w:tcW w:w="2349" w:type="dxa"/>
            <w:vAlign w:val="center"/>
          </w:tcPr>
          <w:p w14:paraId="7C00B24B">
            <w:pPr>
              <w:widowControl/>
              <w:jc w:val="center"/>
              <w:rPr>
                <w:kern w:val="0"/>
                <w:sz w:val="24"/>
                <w:szCs w:val="24"/>
              </w:rPr>
            </w:pPr>
            <w:r>
              <w:rPr>
                <w:rFonts w:hint="eastAsia"/>
                <w:sz w:val="24"/>
              </w:rPr>
              <w:t>国家税务总局天津市税务局全国统一规范电子税务局等系统运行维护</w:t>
            </w:r>
          </w:p>
        </w:tc>
        <w:tc>
          <w:tcPr>
            <w:tcW w:w="1701" w:type="dxa"/>
            <w:vAlign w:val="center"/>
          </w:tcPr>
          <w:p w14:paraId="0C2A3B9A">
            <w:pPr>
              <w:widowControl/>
              <w:jc w:val="center"/>
              <w:rPr>
                <w:kern w:val="0"/>
                <w:sz w:val="24"/>
                <w:szCs w:val="24"/>
              </w:rPr>
            </w:pPr>
          </w:p>
        </w:tc>
        <w:tc>
          <w:tcPr>
            <w:tcW w:w="2238" w:type="dxa"/>
            <w:vAlign w:val="center"/>
          </w:tcPr>
          <w:p w14:paraId="074C27FE">
            <w:pPr>
              <w:widowControl/>
              <w:jc w:val="center"/>
              <w:rPr>
                <w:sz w:val="24"/>
                <w:szCs w:val="24"/>
              </w:rPr>
            </w:pPr>
            <w:r>
              <w:rPr>
                <w:sz w:val="24"/>
                <w:szCs w:val="24"/>
              </w:rPr>
              <w:t>1项</w:t>
            </w:r>
          </w:p>
        </w:tc>
        <w:tc>
          <w:tcPr>
            <w:tcW w:w="1848" w:type="dxa"/>
            <w:vAlign w:val="center"/>
          </w:tcPr>
          <w:p w14:paraId="106D086B">
            <w:pPr>
              <w:widowControl/>
              <w:jc w:val="center"/>
              <w:rPr>
                <w:sz w:val="24"/>
                <w:szCs w:val="24"/>
              </w:rPr>
            </w:pPr>
          </w:p>
        </w:tc>
      </w:tr>
      <w:tr w14:paraId="75EE8818">
        <w:trPr>
          <w:trHeight w:val="465" w:hRule="atLeast"/>
          <w:jc w:val="center"/>
        </w:trPr>
        <w:tc>
          <w:tcPr>
            <w:tcW w:w="9014" w:type="dxa"/>
            <w:gridSpan w:val="5"/>
            <w:vAlign w:val="center"/>
          </w:tcPr>
          <w:p w14:paraId="17FABCAB">
            <w:pPr>
              <w:widowControl/>
              <w:jc w:val="left"/>
              <w:rPr>
                <w:kern w:val="0"/>
                <w:sz w:val="24"/>
                <w:szCs w:val="24"/>
              </w:rPr>
            </w:pPr>
            <w:r>
              <w:rPr>
                <w:kern w:val="0"/>
                <w:sz w:val="24"/>
                <w:szCs w:val="24"/>
              </w:rPr>
              <w:t>其中</w:t>
            </w:r>
          </w:p>
        </w:tc>
      </w:tr>
      <w:tr w14:paraId="02E5C642">
        <w:trPr>
          <w:trHeight w:val="465" w:hRule="atLeast"/>
          <w:jc w:val="center"/>
        </w:trPr>
        <w:tc>
          <w:tcPr>
            <w:tcW w:w="3227" w:type="dxa"/>
            <w:gridSpan w:val="2"/>
            <w:vAlign w:val="center"/>
          </w:tcPr>
          <w:p w14:paraId="49AB077D">
            <w:pPr>
              <w:widowControl/>
              <w:jc w:val="left"/>
              <w:rPr>
                <w:b/>
                <w:sz w:val="24"/>
                <w:szCs w:val="24"/>
              </w:rPr>
            </w:pPr>
            <w:r>
              <w:rPr>
                <w:b/>
                <w:sz w:val="24"/>
                <w:szCs w:val="24"/>
              </w:rPr>
              <w:t>分项名称</w:t>
            </w:r>
          </w:p>
        </w:tc>
        <w:tc>
          <w:tcPr>
            <w:tcW w:w="1701" w:type="dxa"/>
            <w:vAlign w:val="center"/>
          </w:tcPr>
          <w:p w14:paraId="07141334">
            <w:pPr>
              <w:widowControl/>
              <w:jc w:val="center"/>
              <w:rPr>
                <w:b/>
                <w:kern w:val="0"/>
                <w:sz w:val="24"/>
                <w:szCs w:val="24"/>
              </w:rPr>
            </w:pPr>
            <w:r>
              <w:rPr>
                <w:b/>
                <w:kern w:val="0"/>
                <w:sz w:val="24"/>
                <w:szCs w:val="24"/>
              </w:rPr>
              <w:t>价格</w:t>
            </w:r>
          </w:p>
        </w:tc>
        <w:tc>
          <w:tcPr>
            <w:tcW w:w="2238" w:type="dxa"/>
            <w:vAlign w:val="center"/>
          </w:tcPr>
          <w:p w14:paraId="6540F606">
            <w:pPr>
              <w:widowControl/>
              <w:jc w:val="center"/>
              <w:rPr>
                <w:b/>
                <w:kern w:val="0"/>
                <w:sz w:val="24"/>
                <w:szCs w:val="24"/>
              </w:rPr>
            </w:pPr>
            <w:r>
              <w:rPr>
                <w:b/>
                <w:kern w:val="0"/>
                <w:sz w:val="24"/>
                <w:szCs w:val="24"/>
              </w:rPr>
              <w:t>数量</w:t>
            </w:r>
          </w:p>
        </w:tc>
        <w:tc>
          <w:tcPr>
            <w:tcW w:w="1848" w:type="dxa"/>
            <w:vAlign w:val="center"/>
          </w:tcPr>
          <w:p w14:paraId="4A8B03B4">
            <w:pPr>
              <w:widowControl/>
              <w:jc w:val="center"/>
              <w:rPr>
                <w:b/>
                <w:bCs/>
                <w:kern w:val="0"/>
                <w:sz w:val="24"/>
                <w:szCs w:val="24"/>
              </w:rPr>
            </w:pPr>
            <w:r>
              <w:rPr>
                <w:b/>
                <w:bCs/>
                <w:kern w:val="0"/>
                <w:sz w:val="24"/>
                <w:szCs w:val="24"/>
              </w:rPr>
              <w:t>备注</w:t>
            </w:r>
          </w:p>
        </w:tc>
      </w:tr>
      <w:tr w14:paraId="686216B9">
        <w:trPr>
          <w:trHeight w:val="465" w:hRule="atLeast"/>
          <w:jc w:val="center"/>
        </w:trPr>
        <w:tc>
          <w:tcPr>
            <w:tcW w:w="3227" w:type="dxa"/>
            <w:gridSpan w:val="2"/>
            <w:vAlign w:val="center"/>
          </w:tcPr>
          <w:p w14:paraId="51735F81">
            <w:pPr>
              <w:widowControl/>
              <w:jc w:val="left"/>
              <w:rPr>
                <w:kern w:val="0"/>
                <w:sz w:val="24"/>
                <w:szCs w:val="24"/>
              </w:rPr>
            </w:pPr>
          </w:p>
        </w:tc>
        <w:tc>
          <w:tcPr>
            <w:tcW w:w="1701" w:type="dxa"/>
            <w:vAlign w:val="center"/>
          </w:tcPr>
          <w:p w14:paraId="2981B340">
            <w:pPr>
              <w:widowControl/>
              <w:jc w:val="center"/>
              <w:rPr>
                <w:kern w:val="0"/>
                <w:sz w:val="24"/>
                <w:szCs w:val="24"/>
              </w:rPr>
            </w:pPr>
          </w:p>
        </w:tc>
        <w:tc>
          <w:tcPr>
            <w:tcW w:w="2238" w:type="dxa"/>
            <w:vAlign w:val="center"/>
          </w:tcPr>
          <w:p w14:paraId="62026068">
            <w:pPr>
              <w:widowControl/>
              <w:jc w:val="center"/>
              <w:rPr>
                <w:kern w:val="0"/>
                <w:sz w:val="24"/>
                <w:szCs w:val="24"/>
              </w:rPr>
            </w:pPr>
          </w:p>
        </w:tc>
        <w:tc>
          <w:tcPr>
            <w:tcW w:w="1848" w:type="dxa"/>
            <w:vAlign w:val="center"/>
          </w:tcPr>
          <w:p w14:paraId="24971194">
            <w:pPr>
              <w:widowControl/>
              <w:jc w:val="center"/>
              <w:rPr>
                <w:sz w:val="24"/>
                <w:szCs w:val="24"/>
              </w:rPr>
            </w:pPr>
          </w:p>
        </w:tc>
      </w:tr>
      <w:tr w14:paraId="7E2AE596">
        <w:trPr>
          <w:trHeight w:val="465" w:hRule="atLeast"/>
          <w:jc w:val="center"/>
        </w:trPr>
        <w:tc>
          <w:tcPr>
            <w:tcW w:w="3227" w:type="dxa"/>
            <w:gridSpan w:val="2"/>
            <w:vAlign w:val="center"/>
          </w:tcPr>
          <w:p w14:paraId="588D6BF7">
            <w:pPr>
              <w:widowControl/>
              <w:jc w:val="left"/>
              <w:rPr>
                <w:kern w:val="0"/>
                <w:sz w:val="24"/>
                <w:szCs w:val="24"/>
              </w:rPr>
            </w:pPr>
          </w:p>
        </w:tc>
        <w:tc>
          <w:tcPr>
            <w:tcW w:w="1701" w:type="dxa"/>
            <w:vAlign w:val="center"/>
          </w:tcPr>
          <w:p w14:paraId="0B35A5C7">
            <w:pPr>
              <w:widowControl/>
              <w:jc w:val="center"/>
              <w:rPr>
                <w:kern w:val="0"/>
                <w:sz w:val="24"/>
                <w:szCs w:val="24"/>
              </w:rPr>
            </w:pPr>
          </w:p>
        </w:tc>
        <w:tc>
          <w:tcPr>
            <w:tcW w:w="2238" w:type="dxa"/>
            <w:vAlign w:val="center"/>
          </w:tcPr>
          <w:p w14:paraId="7F517D5C">
            <w:pPr>
              <w:widowControl/>
              <w:jc w:val="center"/>
              <w:rPr>
                <w:kern w:val="0"/>
                <w:sz w:val="24"/>
                <w:szCs w:val="24"/>
              </w:rPr>
            </w:pPr>
          </w:p>
        </w:tc>
        <w:tc>
          <w:tcPr>
            <w:tcW w:w="1848" w:type="dxa"/>
            <w:vAlign w:val="center"/>
          </w:tcPr>
          <w:p w14:paraId="5A37150E">
            <w:pPr>
              <w:widowControl/>
              <w:jc w:val="center"/>
              <w:rPr>
                <w:sz w:val="24"/>
                <w:szCs w:val="24"/>
              </w:rPr>
            </w:pPr>
          </w:p>
        </w:tc>
      </w:tr>
      <w:tr w14:paraId="6046D158">
        <w:trPr>
          <w:trHeight w:val="465" w:hRule="atLeast"/>
          <w:jc w:val="center"/>
        </w:trPr>
        <w:tc>
          <w:tcPr>
            <w:tcW w:w="3227" w:type="dxa"/>
            <w:gridSpan w:val="2"/>
            <w:vAlign w:val="center"/>
          </w:tcPr>
          <w:p w14:paraId="3EB44646">
            <w:pPr>
              <w:widowControl/>
              <w:jc w:val="left"/>
              <w:rPr>
                <w:kern w:val="0"/>
                <w:sz w:val="24"/>
                <w:szCs w:val="24"/>
              </w:rPr>
            </w:pPr>
          </w:p>
        </w:tc>
        <w:tc>
          <w:tcPr>
            <w:tcW w:w="1701" w:type="dxa"/>
            <w:vAlign w:val="center"/>
          </w:tcPr>
          <w:p w14:paraId="107A7A37">
            <w:pPr>
              <w:widowControl/>
              <w:jc w:val="center"/>
              <w:rPr>
                <w:kern w:val="0"/>
                <w:sz w:val="24"/>
                <w:szCs w:val="24"/>
              </w:rPr>
            </w:pPr>
          </w:p>
        </w:tc>
        <w:tc>
          <w:tcPr>
            <w:tcW w:w="2238" w:type="dxa"/>
            <w:vAlign w:val="center"/>
          </w:tcPr>
          <w:p w14:paraId="002EA4C1">
            <w:pPr>
              <w:widowControl/>
              <w:jc w:val="center"/>
              <w:rPr>
                <w:kern w:val="0"/>
                <w:sz w:val="24"/>
                <w:szCs w:val="24"/>
              </w:rPr>
            </w:pPr>
          </w:p>
        </w:tc>
        <w:tc>
          <w:tcPr>
            <w:tcW w:w="1848" w:type="dxa"/>
            <w:vAlign w:val="center"/>
          </w:tcPr>
          <w:p w14:paraId="7B6B7EA6">
            <w:pPr>
              <w:widowControl/>
              <w:jc w:val="center"/>
              <w:rPr>
                <w:sz w:val="24"/>
                <w:szCs w:val="24"/>
              </w:rPr>
            </w:pPr>
          </w:p>
        </w:tc>
      </w:tr>
      <w:tr w14:paraId="65076C26">
        <w:trPr>
          <w:trHeight w:val="465" w:hRule="atLeast"/>
          <w:jc w:val="center"/>
        </w:trPr>
        <w:tc>
          <w:tcPr>
            <w:tcW w:w="3227" w:type="dxa"/>
            <w:gridSpan w:val="2"/>
            <w:vAlign w:val="center"/>
          </w:tcPr>
          <w:p w14:paraId="07138AE8">
            <w:pPr>
              <w:widowControl/>
              <w:jc w:val="left"/>
              <w:rPr>
                <w:kern w:val="0"/>
                <w:sz w:val="24"/>
                <w:szCs w:val="24"/>
              </w:rPr>
            </w:pPr>
          </w:p>
        </w:tc>
        <w:tc>
          <w:tcPr>
            <w:tcW w:w="1701" w:type="dxa"/>
            <w:vAlign w:val="center"/>
          </w:tcPr>
          <w:p w14:paraId="30D9F657">
            <w:pPr>
              <w:widowControl/>
              <w:jc w:val="center"/>
              <w:rPr>
                <w:kern w:val="0"/>
                <w:sz w:val="24"/>
                <w:szCs w:val="24"/>
              </w:rPr>
            </w:pPr>
          </w:p>
        </w:tc>
        <w:tc>
          <w:tcPr>
            <w:tcW w:w="2238" w:type="dxa"/>
            <w:vAlign w:val="center"/>
          </w:tcPr>
          <w:p w14:paraId="1083D1AC">
            <w:pPr>
              <w:widowControl/>
              <w:jc w:val="center"/>
              <w:rPr>
                <w:kern w:val="0"/>
                <w:sz w:val="24"/>
                <w:szCs w:val="24"/>
              </w:rPr>
            </w:pPr>
          </w:p>
        </w:tc>
        <w:tc>
          <w:tcPr>
            <w:tcW w:w="1848" w:type="dxa"/>
            <w:vAlign w:val="center"/>
          </w:tcPr>
          <w:p w14:paraId="1D8F14F7">
            <w:pPr>
              <w:widowControl/>
              <w:jc w:val="center"/>
              <w:rPr>
                <w:sz w:val="24"/>
                <w:szCs w:val="24"/>
              </w:rPr>
            </w:pPr>
          </w:p>
        </w:tc>
      </w:tr>
      <w:tr w14:paraId="026D6B2D">
        <w:trPr>
          <w:trHeight w:val="465" w:hRule="atLeast"/>
          <w:jc w:val="center"/>
        </w:trPr>
        <w:tc>
          <w:tcPr>
            <w:tcW w:w="3227" w:type="dxa"/>
            <w:gridSpan w:val="2"/>
            <w:vAlign w:val="center"/>
          </w:tcPr>
          <w:p w14:paraId="016088E0">
            <w:pPr>
              <w:widowControl/>
              <w:jc w:val="left"/>
              <w:rPr>
                <w:sz w:val="24"/>
              </w:rPr>
            </w:pPr>
          </w:p>
        </w:tc>
        <w:tc>
          <w:tcPr>
            <w:tcW w:w="1701" w:type="dxa"/>
            <w:vAlign w:val="center"/>
          </w:tcPr>
          <w:p w14:paraId="747BA2AF">
            <w:pPr>
              <w:widowControl/>
              <w:jc w:val="center"/>
              <w:rPr>
                <w:kern w:val="0"/>
                <w:sz w:val="24"/>
                <w:szCs w:val="24"/>
              </w:rPr>
            </w:pPr>
          </w:p>
        </w:tc>
        <w:tc>
          <w:tcPr>
            <w:tcW w:w="2238" w:type="dxa"/>
            <w:vAlign w:val="center"/>
          </w:tcPr>
          <w:p w14:paraId="5AD58C5C">
            <w:pPr>
              <w:widowControl/>
              <w:jc w:val="center"/>
              <w:rPr>
                <w:kern w:val="0"/>
                <w:sz w:val="24"/>
                <w:szCs w:val="24"/>
              </w:rPr>
            </w:pPr>
          </w:p>
        </w:tc>
        <w:tc>
          <w:tcPr>
            <w:tcW w:w="1848" w:type="dxa"/>
            <w:vAlign w:val="center"/>
          </w:tcPr>
          <w:p w14:paraId="22E1FB8D">
            <w:pPr>
              <w:widowControl/>
              <w:jc w:val="center"/>
              <w:rPr>
                <w:kern w:val="0"/>
                <w:sz w:val="24"/>
                <w:szCs w:val="24"/>
              </w:rPr>
            </w:pPr>
          </w:p>
        </w:tc>
      </w:tr>
    </w:tbl>
    <w:p w14:paraId="53606510">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14:paraId="0BC8EDD2">
      <w:pPr>
        <w:ind w:left="180" w:firstLine="408" w:firstLineChars="200"/>
      </w:pPr>
      <w:r>
        <w:rPr>
          <w:sz w:val="22"/>
          <w:szCs w:val="24"/>
        </w:rPr>
        <w:t>2. 下面应填写分项价格及分项名称（分项名称可根据实际情况增减、修改），分项价格汇总应等于总价。</w:t>
      </w:r>
    </w:p>
    <w:p w14:paraId="7B30B42F">
      <w:pPr>
        <w:ind w:left="180" w:firstLine="388" w:firstLineChars="200"/>
      </w:pPr>
    </w:p>
    <w:p w14:paraId="32C0D003">
      <w:pPr>
        <w:spacing w:line="360" w:lineRule="auto"/>
        <w:ind w:firstLine="3808" w:firstLineChars="1700"/>
        <w:rPr>
          <w:sz w:val="24"/>
        </w:rPr>
      </w:pPr>
    </w:p>
    <w:p w14:paraId="3A44D422">
      <w:pPr>
        <w:spacing w:line="360" w:lineRule="auto"/>
        <w:ind w:firstLine="3808" w:firstLineChars="1700"/>
        <w:rPr>
          <w:sz w:val="24"/>
        </w:rPr>
      </w:pPr>
      <w:r>
        <w:rPr>
          <w:sz w:val="24"/>
        </w:rPr>
        <w:t>投标人名称：</w:t>
      </w:r>
    </w:p>
    <w:p w14:paraId="51304871">
      <w:pPr>
        <w:spacing w:line="360" w:lineRule="auto"/>
        <w:ind w:firstLine="3808" w:firstLineChars="1700"/>
        <w:rPr>
          <w:sz w:val="24"/>
        </w:rPr>
      </w:pPr>
    </w:p>
    <w:p w14:paraId="497CFAC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35AE8E15">
      <w:pPr>
        <w:tabs>
          <w:tab w:val="left" w:pos="360"/>
        </w:tabs>
        <w:spacing w:after="285" w:afterLines="100" w:line="360" w:lineRule="auto"/>
        <w:rPr>
          <w:b/>
          <w:sz w:val="24"/>
        </w:rPr>
      </w:pPr>
      <w:r>
        <w:rPr>
          <w:b/>
          <w:sz w:val="24"/>
        </w:rPr>
        <w:t>附件4</w:t>
      </w:r>
    </w:p>
    <w:p w14:paraId="30833F91">
      <w:pPr>
        <w:autoSpaceDN w:val="0"/>
        <w:spacing w:line="360" w:lineRule="auto"/>
        <w:jc w:val="center"/>
        <w:rPr>
          <w:b/>
          <w:bCs/>
          <w:sz w:val="24"/>
        </w:rPr>
      </w:pPr>
      <w:r>
        <w:rPr>
          <w:b/>
          <w:bCs/>
          <w:sz w:val="24"/>
        </w:rPr>
        <w:t>商务要求点对点应答表</w:t>
      </w:r>
    </w:p>
    <w:p w14:paraId="182A25C6">
      <w:pPr>
        <w:spacing w:line="460" w:lineRule="exact"/>
        <w:rPr>
          <w:sz w:val="24"/>
        </w:rPr>
      </w:pPr>
    </w:p>
    <w:p w14:paraId="0EE8D55D">
      <w:pPr>
        <w:spacing w:line="460" w:lineRule="exact"/>
        <w:rPr>
          <w:sz w:val="24"/>
        </w:rPr>
      </w:pPr>
      <w:r>
        <w:rPr>
          <w:sz w:val="24"/>
        </w:rPr>
        <w:t>项目名称：</w:t>
      </w:r>
      <w:r>
        <w:rPr>
          <w:sz w:val="24"/>
          <w:u w:val="single"/>
        </w:rPr>
        <w:t xml:space="preserve">                    </w:t>
      </w:r>
    </w:p>
    <w:p w14:paraId="1B0D2F3A">
      <w:pPr>
        <w:spacing w:line="460" w:lineRule="exact"/>
        <w:rPr>
          <w:sz w:val="24"/>
        </w:rPr>
      </w:pPr>
      <w:r>
        <w:rPr>
          <w:sz w:val="24"/>
        </w:rPr>
        <w:t>项目编号：</w:t>
      </w:r>
      <w:r>
        <w:rPr>
          <w:sz w:val="24"/>
          <w:u w:val="single"/>
        </w:rPr>
        <w:t xml:space="preserve">                    </w:t>
      </w:r>
    </w:p>
    <w:p w14:paraId="36BCC913">
      <w:pPr>
        <w:spacing w:line="460" w:lineRule="exact"/>
        <w:rPr>
          <w:sz w:val="24"/>
          <w:u w:val="single"/>
        </w:rPr>
      </w:pPr>
      <w:r>
        <w:rPr>
          <w:sz w:val="24"/>
        </w:rPr>
        <w:t>包号：</w:t>
      </w:r>
      <w:r>
        <w:rPr>
          <w:sz w:val="24"/>
          <w:u w:val="single"/>
        </w:rPr>
        <w:t xml:space="preserve">                        </w:t>
      </w:r>
    </w:p>
    <w:p w14:paraId="052E54DE">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E9C85C3">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6373277E">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39FDC983">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19220AFB">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51070D83">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01BCFB5">
            <w:pPr>
              <w:widowControl/>
              <w:jc w:val="center"/>
              <w:rPr>
                <w:kern w:val="0"/>
                <w:szCs w:val="21"/>
              </w:rPr>
            </w:pPr>
            <w:r>
              <w:rPr>
                <w:kern w:val="0"/>
                <w:szCs w:val="21"/>
              </w:rPr>
              <w:t>备注</w:t>
            </w:r>
          </w:p>
        </w:tc>
      </w:tr>
      <w:tr w14:paraId="14D11D91">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D326E38">
            <w:pPr>
              <w:widowControl/>
              <w:jc w:val="left"/>
              <w:rPr>
                <w:kern w:val="0"/>
                <w:szCs w:val="21"/>
              </w:rPr>
            </w:pPr>
            <w:r>
              <w:rPr>
                <w:kern w:val="0"/>
                <w:szCs w:val="21"/>
              </w:rPr>
              <w:t>（一）报价要求</w:t>
            </w:r>
          </w:p>
        </w:tc>
      </w:tr>
      <w:tr w14:paraId="7313473E">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5E59F99F">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81B0C87">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095F20E">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34A1DED">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90A9B91">
            <w:pPr>
              <w:widowControl/>
              <w:jc w:val="left"/>
              <w:rPr>
                <w:kern w:val="0"/>
                <w:szCs w:val="21"/>
              </w:rPr>
            </w:pPr>
            <w:r>
              <w:rPr>
                <w:kern w:val="0"/>
                <w:szCs w:val="21"/>
              </w:rPr>
              <w:t>　</w:t>
            </w:r>
          </w:p>
        </w:tc>
      </w:tr>
      <w:tr w14:paraId="78447E7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CCAD31E">
            <w:pPr>
              <w:widowControl/>
              <w:jc w:val="left"/>
              <w:rPr>
                <w:kern w:val="0"/>
                <w:szCs w:val="21"/>
              </w:rPr>
            </w:pPr>
            <w:r>
              <w:rPr>
                <w:kern w:val="0"/>
                <w:szCs w:val="21"/>
              </w:rPr>
              <w:t>（</w:t>
            </w:r>
            <w:r>
              <w:rPr>
                <w:rFonts w:hint="eastAsia"/>
                <w:kern w:val="0"/>
                <w:szCs w:val="21"/>
              </w:rPr>
              <w:t>二</w:t>
            </w:r>
            <w:r>
              <w:rPr>
                <w:kern w:val="0"/>
                <w:szCs w:val="21"/>
              </w:rPr>
              <w:t>）时间、地点要求</w:t>
            </w:r>
          </w:p>
        </w:tc>
      </w:tr>
      <w:tr w14:paraId="05D9799D">
        <w:tc>
          <w:tcPr>
            <w:tcW w:w="974" w:type="pct"/>
            <w:tcBorders>
              <w:top w:val="nil"/>
              <w:left w:val="single" w:color="auto" w:sz="8" w:space="0"/>
              <w:bottom w:val="single" w:color="auto" w:sz="8" w:space="0"/>
              <w:right w:val="single" w:color="auto" w:sz="8" w:space="0"/>
            </w:tcBorders>
            <w:shd w:val="clear" w:color="auto" w:fill="auto"/>
            <w:vAlign w:val="center"/>
          </w:tcPr>
          <w:p w14:paraId="13908C6D">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5516EA7">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D5403A4">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9F200C0">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E6C0C57">
            <w:pPr>
              <w:widowControl/>
              <w:jc w:val="left"/>
              <w:rPr>
                <w:kern w:val="0"/>
                <w:szCs w:val="21"/>
              </w:rPr>
            </w:pPr>
            <w:r>
              <w:rPr>
                <w:kern w:val="0"/>
                <w:szCs w:val="21"/>
              </w:rPr>
              <w:t>　</w:t>
            </w:r>
          </w:p>
        </w:tc>
      </w:tr>
      <w:tr w14:paraId="3BEA6D7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E914D8B">
            <w:pPr>
              <w:widowControl/>
              <w:jc w:val="left"/>
              <w:rPr>
                <w:kern w:val="0"/>
                <w:szCs w:val="21"/>
              </w:rPr>
            </w:pPr>
            <w:r>
              <w:rPr>
                <w:kern w:val="0"/>
                <w:szCs w:val="21"/>
              </w:rPr>
              <w:t>（</w:t>
            </w:r>
            <w:r>
              <w:rPr>
                <w:rFonts w:hint="eastAsia"/>
                <w:kern w:val="0"/>
                <w:szCs w:val="21"/>
              </w:rPr>
              <w:t>三</w:t>
            </w:r>
            <w:r>
              <w:rPr>
                <w:kern w:val="0"/>
                <w:szCs w:val="21"/>
              </w:rPr>
              <w:t>）付款方式</w:t>
            </w:r>
          </w:p>
        </w:tc>
      </w:tr>
      <w:tr w14:paraId="7180343A">
        <w:tc>
          <w:tcPr>
            <w:tcW w:w="974" w:type="pct"/>
            <w:tcBorders>
              <w:top w:val="nil"/>
              <w:left w:val="single" w:color="auto" w:sz="8" w:space="0"/>
              <w:bottom w:val="single" w:color="auto" w:sz="8" w:space="0"/>
              <w:right w:val="single" w:color="auto" w:sz="8" w:space="0"/>
            </w:tcBorders>
            <w:shd w:val="clear" w:color="auto" w:fill="auto"/>
            <w:vAlign w:val="center"/>
          </w:tcPr>
          <w:p w14:paraId="4F6DF733">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ACDF1DC">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03C440D">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29C7526">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D2A082A">
            <w:pPr>
              <w:widowControl/>
              <w:jc w:val="left"/>
              <w:rPr>
                <w:kern w:val="0"/>
                <w:szCs w:val="21"/>
              </w:rPr>
            </w:pPr>
            <w:r>
              <w:rPr>
                <w:kern w:val="0"/>
                <w:szCs w:val="21"/>
              </w:rPr>
              <w:t>　</w:t>
            </w:r>
          </w:p>
        </w:tc>
      </w:tr>
      <w:tr w14:paraId="54B6723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1CCDA8A">
            <w:pPr>
              <w:widowControl/>
              <w:jc w:val="left"/>
              <w:rPr>
                <w:kern w:val="0"/>
                <w:szCs w:val="21"/>
              </w:rPr>
            </w:pPr>
            <w:r>
              <w:rPr>
                <w:kern w:val="0"/>
                <w:szCs w:val="21"/>
              </w:rPr>
              <w:t>（</w:t>
            </w:r>
            <w:r>
              <w:rPr>
                <w:rFonts w:hint="eastAsia"/>
                <w:kern w:val="0"/>
                <w:szCs w:val="21"/>
              </w:rPr>
              <w:t>四</w:t>
            </w:r>
            <w:r>
              <w:rPr>
                <w:kern w:val="0"/>
                <w:szCs w:val="21"/>
              </w:rPr>
              <w:t>）投标保证金和履约保证金</w:t>
            </w:r>
          </w:p>
        </w:tc>
      </w:tr>
      <w:tr w14:paraId="321775B8">
        <w:tc>
          <w:tcPr>
            <w:tcW w:w="974" w:type="pct"/>
            <w:tcBorders>
              <w:top w:val="nil"/>
              <w:left w:val="single" w:color="auto" w:sz="8" w:space="0"/>
              <w:bottom w:val="single" w:color="auto" w:sz="8" w:space="0"/>
              <w:right w:val="single" w:color="auto" w:sz="8" w:space="0"/>
            </w:tcBorders>
            <w:shd w:val="clear" w:color="auto" w:fill="auto"/>
            <w:vAlign w:val="center"/>
          </w:tcPr>
          <w:p w14:paraId="0E2F465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510E34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030D0B1">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9735A56">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6FC7ADA">
            <w:pPr>
              <w:widowControl/>
              <w:jc w:val="left"/>
              <w:rPr>
                <w:kern w:val="0"/>
                <w:szCs w:val="21"/>
              </w:rPr>
            </w:pPr>
            <w:r>
              <w:rPr>
                <w:kern w:val="0"/>
                <w:szCs w:val="21"/>
              </w:rPr>
              <w:t>　</w:t>
            </w:r>
          </w:p>
        </w:tc>
      </w:tr>
    </w:tbl>
    <w:p w14:paraId="1F08ADC2">
      <w:pPr>
        <w:spacing w:line="620" w:lineRule="exact"/>
        <w:rPr>
          <w:sz w:val="24"/>
        </w:rPr>
      </w:pPr>
      <w:r>
        <w:rPr>
          <w:sz w:val="24"/>
        </w:rPr>
        <w:t>注：</w:t>
      </w:r>
    </w:p>
    <w:p w14:paraId="0932A3BD">
      <w:pPr>
        <w:spacing w:line="360" w:lineRule="auto"/>
        <w:rPr>
          <w:sz w:val="24"/>
        </w:rPr>
      </w:pPr>
      <w:r>
        <w:rPr>
          <w:sz w:val="24"/>
        </w:rPr>
        <w:t>1. 不如实填写偏离情况的投标文件将视为虚假材料。</w:t>
      </w:r>
    </w:p>
    <w:p w14:paraId="66A5E101">
      <w:pPr>
        <w:spacing w:line="360" w:lineRule="auto"/>
        <w:rPr>
          <w:sz w:val="24"/>
        </w:rPr>
      </w:pPr>
      <w:r>
        <w:rPr>
          <w:sz w:val="24"/>
        </w:rPr>
        <w:t>2. 招标要求指招标文件中规定的具体要求，投标应答指投标文件的具体内容。</w:t>
      </w:r>
    </w:p>
    <w:p w14:paraId="6282F66F">
      <w:pPr>
        <w:spacing w:line="360" w:lineRule="auto"/>
        <w:rPr>
          <w:sz w:val="24"/>
        </w:rPr>
      </w:pPr>
      <w:r>
        <w:rPr>
          <w:sz w:val="24"/>
        </w:rPr>
        <w:t>4. 偏离说明指招标要求与投标应答之间的不同之处。</w:t>
      </w:r>
    </w:p>
    <w:p w14:paraId="35393B94">
      <w:pPr>
        <w:spacing w:line="360" w:lineRule="auto"/>
        <w:rPr>
          <w:sz w:val="24"/>
        </w:rPr>
      </w:pPr>
    </w:p>
    <w:p w14:paraId="33EC59BF">
      <w:pPr>
        <w:spacing w:line="360" w:lineRule="auto"/>
        <w:ind w:firstLine="3808" w:firstLineChars="1700"/>
        <w:rPr>
          <w:sz w:val="24"/>
        </w:rPr>
      </w:pPr>
      <w:r>
        <w:rPr>
          <w:sz w:val="24"/>
        </w:rPr>
        <w:t>投标人名称：</w:t>
      </w:r>
    </w:p>
    <w:p w14:paraId="3484720C">
      <w:pPr>
        <w:spacing w:line="360" w:lineRule="auto"/>
        <w:ind w:firstLine="3808" w:firstLineChars="1700"/>
        <w:rPr>
          <w:sz w:val="24"/>
        </w:rPr>
      </w:pPr>
    </w:p>
    <w:p w14:paraId="645026F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FB07DAE">
      <w:pPr>
        <w:tabs>
          <w:tab w:val="left" w:pos="360"/>
        </w:tabs>
        <w:spacing w:after="285" w:afterLines="100" w:line="360" w:lineRule="auto"/>
        <w:rPr>
          <w:b/>
          <w:sz w:val="24"/>
        </w:rPr>
      </w:pPr>
      <w:r>
        <w:rPr>
          <w:sz w:val="24"/>
        </w:rPr>
        <w:br w:type="page"/>
      </w:r>
      <w:r>
        <w:rPr>
          <w:b/>
          <w:sz w:val="24"/>
        </w:rPr>
        <w:t>附件5</w:t>
      </w:r>
    </w:p>
    <w:p w14:paraId="7F4A2F09">
      <w:pPr>
        <w:autoSpaceDN w:val="0"/>
        <w:spacing w:line="360" w:lineRule="auto"/>
        <w:jc w:val="center"/>
        <w:rPr>
          <w:b/>
          <w:bCs/>
          <w:sz w:val="24"/>
        </w:rPr>
      </w:pPr>
      <w:r>
        <w:rPr>
          <w:b/>
          <w:bCs/>
          <w:sz w:val="24"/>
        </w:rPr>
        <w:t>技术要求点对点应答表</w:t>
      </w:r>
    </w:p>
    <w:p w14:paraId="2C9E64BC">
      <w:pPr>
        <w:spacing w:line="460" w:lineRule="exact"/>
        <w:rPr>
          <w:sz w:val="24"/>
        </w:rPr>
      </w:pPr>
    </w:p>
    <w:p w14:paraId="507B163C">
      <w:pPr>
        <w:spacing w:line="460" w:lineRule="exact"/>
        <w:rPr>
          <w:sz w:val="24"/>
        </w:rPr>
      </w:pPr>
      <w:r>
        <w:rPr>
          <w:sz w:val="24"/>
        </w:rPr>
        <w:t>项目名称：</w:t>
      </w:r>
      <w:r>
        <w:rPr>
          <w:sz w:val="24"/>
          <w:u w:val="single"/>
        </w:rPr>
        <w:t xml:space="preserve">                    </w:t>
      </w:r>
    </w:p>
    <w:p w14:paraId="2CE3B2FD">
      <w:pPr>
        <w:spacing w:line="460" w:lineRule="exact"/>
        <w:rPr>
          <w:sz w:val="24"/>
        </w:rPr>
      </w:pPr>
      <w:r>
        <w:rPr>
          <w:sz w:val="24"/>
        </w:rPr>
        <w:t>项目编号：</w:t>
      </w:r>
      <w:r>
        <w:rPr>
          <w:sz w:val="24"/>
          <w:u w:val="single"/>
        </w:rPr>
        <w:t xml:space="preserve">                    </w:t>
      </w:r>
    </w:p>
    <w:p w14:paraId="152E130B">
      <w:pPr>
        <w:spacing w:line="460" w:lineRule="exact"/>
        <w:rPr>
          <w:sz w:val="24"/>
          <w:u w:val="single"/>
        </w:rPr>
      </w:pPr>
      <w:r>
        <w:rPr>
          <w:sz w:val="24"/>
        </w:rPr>
        <w:t>包号：</w:t>
      </w:r>
      <w:r>
        <w:rPr>
          <w:sz w:val="24"/>
          <w:u w:val="single"/>
        </w:rPr>
        <w:t xml:space="preserve">                        </w:t>
      </w:r>
    </w:p>
    <w:p w14:paraId="3DE0F080">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4ACB1C90">
        <w:trPr>
          <w:tblHeader/>
          <w:jc w:val="center"/>
        </w:trPr>
        <w:tc>
          <w:tcPr>
            <w:tcW w:w="843" w:type="dxa"/>
            <w:shd w:val="clear" w:color="auto" w:fill="auto"/>
            <w:vAlign w:val="center"/>
          </w:tcPr>
          <w:p w14:paraId="74F433EB">
            <w:pPr>
              <w:widowControl/>
              <w:snapToGrid w:val="0"/>
              <w:jc w:val="center"/>
              <w:rPr>
                <w:kern w:val="0"/>
                <w:sz w:val="24"/>
                <w:szCs w:val="21"/>
              </w:rPr>
            </w:pPr>
            <w:r>
              <w:rPr>
                <w:kern w:val="0"/>
                <w:sz w:val="24"/>
                <w:szCs w:val="21"/>
              </w:rPr>
              <w:t>序号</w:t>
            </w:r>
          </w:p>
        </w:tc>
        <w:tc>
          <w:tcPr>
            <w:tcW w:w="3922" w:type="dxa"/>
            <w:shd w:val="clear" w:color="auto" w:fill="auto"/>
            <w:vAlign w:val="center"/>
          </w:tcPr>
          <w:p w14:paraId="3F8125F6">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829AE11">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5A15D0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97E6F76">
            <w:pPr>
              <w:widowControl/>
              <w:snapToGrid w:val="0"/>
              <w:jc w:val="center"/>
              <w:rPr>
                <w:kern w:val="0"/>
                <w:sz w:val="24"/>
                <w:szCs w:val="21"/>
              </w:rPr>
            </w:pPr>
            <w:r>
              <w:rPr>
                <w:kern w:val="0"/>
                <w:sz w:val="24"/>
                <w:szCs w:val="21"/>
              </w:rPr>
              <w:t>备注</w:t>
            </w:r>
          </w:p>
        </w:tc>
      </w:tr>
      <w:tr w14:paraId="7F369868">
        <w:trPr>
          <w:jc w:val="center"/>
        </w:trPr>
        <w:tc>
          <w:tcPr>
            <w:tcW w:w="843" w:type="dxa"/>
            <w:shd w:val="clear" w:color="auto" w:fill="auto"/>
            <w:vAlign w:val="center"/>
          </w:tcPr>
          <w:p w14:paraId="02DBDC78">
            <w:pPr>
              <w:widowControl/>
              <w:snapToGrid w:val="0"/>
              <w:jc w:val="center"/>
              <w:rPr>
                <w:kern w:val="0"/>
                <w:sz w:val="24"/>
                <w:szCs w:val="21"/>
              </w:rPr>
            </w:pPr>
            <w:r>
              <w:rPr>
                <w:kern w:val="0"/>
                <w:sz w:val="24"/>
                <w:szCs w:val="21"/>
              </w:rPr>
              <w:t>1</w:t>
            </w:r>
          </w:p>
        </w:tc>
        <w:tc>
          <w:tcPr>
            <w:tcW w:w="3922" w:type="dxa"/>
            <w:shd w:val="clear" w:color="auto" w:fill="auto"/>
            <w:vAlign w:val="center"/>
          </w:tcPr>
          <w:p w14:paraId="7922993C">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4BF49D8A">
            <w:pPr>
              <w:widowControl/>
              <w:snapToGrid w:val="0"/>
              <w:jc w:val="center"/>
              <w:rPr>
                <w:kern w:val="0"/>
                <w:sz w:val="24"/>
                <w:szCs w:val="21"/>
              </w:rPr>
            </w:pPr>
          </w:p>
        </w:tc>
        <w:tc>
          <w:tcPr>
            <w:tcW w:w="1289" w:type="dxa"/>
            <w:shd w:val="clear" w:color="auto" w:fill="auto"/>
            <w:vAlign w:val="center"/>
          </w:tcPr>
          <w:p w14:paraId="01193B7A">
            <w:pPr>
              <w:widowControl/>
              <w:snapToGrid w:val="0"/>
              <w:jc w:val="center"/>
              <w:rPr>
                <w:kern w:val="0"/>
                <w:sz w:val="24"/>
                <w:szCs w:val="21"/>
              </w:rPr>
            </w:pPr>
          </w:p>
        </w:tc>
        <w:tc>
          <w:tcPr>
            <w:tcW w:w="843" w:type="dxa"/>
            <w:shd w:val="clear" w:color="auto" w:fill="auto"/>
            <w:vAlign w:val="center"/>
          </w:tcPr>
          <w:p w14:paraId="165144FB">
            <w:pPr>
              <w:widowControl/>
              <w:snapToGrid w:val="0"/>
              <w:jc w:val="center"/>
              <w:rPr>
                <w:kern w:val="0"/>
                <w:sz w:val="24"/>
                <w:szCs w:val="21"/>
              </w:rPr>
            </w:pPr>
          </w:p>
        </w:tc>
      </w:tr>
      <w:tr w14:paraId="63EE5B3E">
        <w:trPr>
          <w:jc w:val="center"/>
        </w:trPr>
        <w:tc>
          <w:tcPr>
            <w:tcW w:w="9335" w:type="dxa"/>
            <w:gridSpan w:val="5"/>
            <w:shd w:val="clear" w:color="auto" w:fill="auto"/>
            <w:vAlign w:val="center"/>
          </w:tcPr>
          <w:p w14:paraId="0A13769F">
            <w:pPr>
              <w:widowControl/>
              <w:snapToGrid w:val="0"/>
              <w:ind w:firstLine="336" w:firstLineChars="150"/>
              <w:rPr>
                <w:kern w:val="0"/>
                <w:sz w:val="24"/>
                <w:szCs w:val="21"/>
              </w:rPr>
            </w:pPr>
            <w:r>
              <w:rPr>
                <w:kern w:val="0"/>
                <w:sz w:val="24"/>
                <w:szCs w:val="21"/>
              </w:rPr>
              <w:t>2. 项目需求书要求</w:t>
            </w:r>
          </w:p>
        </w:tc>
      </w:tr>
      <w:tr w14:paraId="6DCB2D32">
        <w:trPr>
          <w:jc w:val="center"/>
        </w:trPr>
        <w:tc>
          <w:tcPr>
            <w:tcW w:w="843" w:type="dxa"/>
            <w:shd w:val="clear" w:color="auto" w:fill="auto"/>
            <w:vAlign w:val="center"/>
          </w:tcPr>
          <w:p w14:paraId="020ACE2C">
            <w:pPr>
              <w:widowControl/>
              <w:snapToGrid w:val="0"/>
              <w:jc w:val="center"/>
              <w:rPr>
                <w:kern w:val="0"/>
                <w:sz w:val="24"/>
                <w:szCs w:val="21"/>
              </w:rPr>
            </w:pPr>
            <w:r>
              <w:rPr>
                <w:kern w:val="0"/>
                <w:sz w:val="24"/>
                <w:szCs w:val="21"/>
              </w:rPr>
              <w:t>序号</w:t>
            </w:r>
          </w:p>
        </w:tc>
        <w:tc>
          <w:tcPr>
            <w:tcW w:w="3922" w:type="dxa"/>
            <w:shd w:val="clear" w:color="auto" w:fill="auto"/>
            <w:vAlign w:val="center"/>
          </w:tcPr>
          <w:p w14:paraId="04D5E7D8">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D109032">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0D66F8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298F4EE">
            <w:pPr>
              <w:widowControl/>
              <w:snapToGrid w:val="0"/>
              <w:jc w:val="center"/>
              <w:rPr>
                <w:kern w:val="0"/>
                <w:sz w:val="24"/>
                <w:szCs w:val="21"/>
              </w:rPr>
            </w:pPr>
            <w:r>
              <w:rPr>
                <w:kern w:val="0"/>
                <w:sz w:val="24"/>
                <w:szCs w:val="21"/>
              </w:rPr>
              <w:t>备注</w:t>
            </w:r>
          </w:p>
        </w:tc>
      </w:tr>
      <w:tr w14:paraId="5974D499">
        <w:trPr>
          <w:jc w:val="center"/>
        </w:trPr>
        <w:tc>
          <w:tcPr>
            <w:tcW w:w="843" w:type="dxa"/>
            <w:shd w:val="clear" w:color="auto" w:fill="auto"/>
            <w:vAlign w:val="center"/>
          </w:tcPr>
          <w:p w14:paraId="4682B4F0">
            <w:pPr>
              <w:widowControl/>
              <w:snapToGrid w:val="0"/>
              <w:jc w:val="center"/>
              <w:rPr>
                <w:kern w:val="0"/>
                <w:sz w:val="24"/>
                <w:szCs w:val="21"/>
              </w:rPr>
            </w:pPr>
          </w:p>
        </w:tc>
        <w:tc>
          <w:tcPr>
            <w:tcW w:w="3922" w:type="dxa"/>
            <w:shd w:val="clear" w:color="auto" w:fill="auto"/>
            <w:vAlign w:val="center"/>
          </w:tcPr>
          <w:p w14:paraId="09B1D1E6">
            <w:pPr>
              <w:widowControl/>
              <w:snapToGrid w:val="0"/>
              <w:jc w:val="center"/>
              <w:rPr>
                <w:kern w:val="0"/>
                <w:sz w:val="24"/>
                <w:szCs w:val="21"/>
              </w:rPr>
            </w:pPr>
          </w:p>
        </w:tc>
        <w:tc>
          <w:tcPr>
            <w:tcW w:w="2438" w:type="dxa"/>
            <w:shd w:val="clear" w:color="auto" w:fill="auto"/>
            <w:vAlign w:val="center"/>
          </w:tcPr>
          <w:p w14:paraId="6F72407F">
            <w:pPr>
              <w:widowControl/>
              <w:snapToGrid w:val="0"/>
              <w:jc w:val="center"/>
              <w:rPr>
                <w:kern w:val="0"/>
                <w:sz w:val="24"/>
                <w:szCs w:val="21"/>
              </w:rPr>
            </w:pPr>
          </w:p>
        </w:tc>
        <w:tc>
          <w:tcPr>
            <w:tcW w:w="1289" w:type="dxa"/>
            <w:shd w:val="clear" w:color="auto" w:fill="auto"/>
            <w:vAlign w:val="center"/>
          </w:tcPr>
          <w:p w14:paraId="21820D4D">
            <w:pPr>
              <w:widowControl/>
              <w:snapToGrid w:val="0"/>
              <w:jc w:val="center"/>
              <w:rPr>
                <w:kern w:val="0"/>
                <w:sz w:val="24"/>
                <w:szCs w:val="21"/>
              </w:rPr>
            </w:pPr>
          </w:p>
        </w:tc>
        <w:tc>
          <w:tcPr>
            <w:tcW w:w="843" w:type="dxa"/>
            <w:shd w:val="clear" w:color="auto" w:fill="auto"/>
            <w:vAlign w:val="center"/>
          </w:tcPr>
          <w:p w14:paraId="6F681A21">
            <w:pPr>
              <w:widowControl/>
              <w:snapToGrid w:val="0"/>
              <w:jc w:val="center"/>
              <w:rPr>
                <w:kern w:val="0"/>
                <w:sz w:val="24"/>
                <w:szCs w:val="21"/>
              </w:rPr>
            </w:pPr>
          </w:p>
        </w:tc>
      </w:tr>
      <w:tr w14:paraId="203DA3B7">
        <w:trPr>
          <w:jc w:val="center"/>
        </w:trPr>
        <w:tc>
          <w:tcPr>
            <w:tcW w:w="843" w:type="dxa"/>
            <w:shd w:val="clear" w:color="auto" w:fill="auto"/>
            <w:vAlign w:val="center"/>
          </w:tcPr>
          <w:p w14:paraId="55C5DB7B">
            <w:pPr>
              <w:widowControl/>
              <w:snapToGrid w:val="0"/>
              <w:jc w:val="center"/>
              <w:rPr>
                <w:kern w:val="0"/>
                <w:sz w:val="24"/>
                <w:szCs w:val="21"/>
              </w:rPr>
            </w:pPr>
          </w:p>
        </w:tc>
        <w:tc>
          <w:tcPr>
            <w:tcW w:w="3922" w:type="dxa"/>
            <w:shd w:val="clear" w:color="auto" w:fill="auto"/>
            <w:vAlign w:val="center"/>
          </w:tcPr>
          <w:p w14:paraId="478BE163">
            <w:pPr>
              <w:widowControl/>
              <w:snapToGrid w:val="0"/>
              <w:jc w:val="center"/>
              <w:rPr>
                <w:kern w:val="0"/>
                <w:sz w:val="24"/>
                <w:szCs w:val="21"/>
              </w:rPr>
            </w:pPr>
          </w:p>
        </w:tc>
        <w:tc>
          <w:tcPr>
            <w:tcW w:w="2438" w:type="dxa"/>
            <w:shd w:val="clear" w:color="auto" w:fill="auto"/>
            <w:vAlign w:val="center"/>
          </w:tcPr>
          <w:p w14:paraId="4268A3A6">
            <w:pPr>
              <w:widowControl/>
              <w:snapToGrid w:val="0"/>
              <w:jc w:val="center"/>
              <w:rPr>
                <w:kern w:val="0"/>
                <w:sz w:val="24"/>
                <w:szCs w:val="21"/>
              </w:rPr>
            </w:pPr>
          </w:p>
        </w:tc>
        <w:tc>
          <w:tcPr>
            <w:tcW w:w="1289" w:type="dxa"/>
            <w:shd w:val="clear" w:color="auto" w:fill="auto"/>
            <w:vAlign w:val="center"/>
          </w:tcPr>
          <w:p w14:paraId="2BB262E6">
            <w:pPr>
              <w:widowControl/>
              <w:snapToGrid w:val="0"/>
              <w:jc w:val="center"/>
              <w:rPr>
                <w:kern w:val="0"/>
                <w:sz w:val="24"/>
                <w:szCs w:val="21"/>
              </w:rPr>
            </w:pPr>
          </w:p>
        </w:tc>
        <w:tc>
          <w:tcPr>
            <w:tcW w:w="843" w:type="dxa"/>
            <w:shd w:val="clear" w:color="auto" w:fill="auto"/>
            <w:vAlign w:val="center"/>
          </w:tcPr>
          <w:p w14:paraId="4FFC01E0">
            <w:pPr>
              <w:widowControl/>
              <w:snapToGrid w:val="0"/>
              <w:jc w:val="center"/>
              <w:rPr>
                <w:kern w:val="0"/>
                <w:sz w:val="24"/>
                <w:szCs w:val="21"/>
              </w:rPr>
            </w:pPr>
          </w:p>
        </w:tc>
      </w:tr>
      <w:tr w14:paraId="0A028196">
        <w:trPr>
          <w:jc w:val="center"/>
        </w:trPr>
        <w:tc>
          <w:tcPr>
            <w:tcW w:w="843" w:type="dxa"/>
            <w:shd w:val="clear" w:color="auto" w:fill="auto"/>
            <w:vAlign w:val="center"/>
          </w:tcPr>
          <w:p w14:paraId="019BDB37">
            <w:pPr>
              <w:widowControl/>
              <w:snapToGrid w:val="0"/>
              <w:jc w:val="center"/>
              <w:rPr>
                <w:kern w:val="0"/>
                <w:sz w:val="24"/>
                <w:szCs w:val="21"/>
              </w:rPr>
            </w:pPr>
          </w:p>
        </w:tc>
        <w:tc>
          <w:tcPr>
            <w:tcW w:w="3922" w:type="dxa"/>
            <w:shd w:val="clear" w:color="auto" w:fill="auto"/>
            <w:vAlign w:val="center"/>
          </w:tcPr>
          <w:p w14:paraId="4D89C9BE">
            <w:pPr>
              <w:widowControl/>
              <w:snapToGrid w:val="0"/>
              <w:jc w:val="center"/>
              <w:rPr>
                <w:kern w:val="0"/>
                <w:sz w:val="24"/>
                <w:szCs w:val="21"/>
              </w:rPr>
            </w:pPr>
          </w:p>
        </w:tc>
        <w:tc>
          <w:tcPr>
            <w:tcW w:w="2438" w:type="dxa"/>
            <w:shd w:val="clear" w:color="auto" w:fill="auto"/>
            <w:vAlign w:val="center"/>
          </w:tcPr>
          <w:p w14:paraId="544F8CA1">
            <w:pPr>
              <w:widowControl/>
              <w:snapToGrid w:val="0"/>
              <w:jc w:val="center"/>
              <w:rPr>
                <w:kern w:val="0"/>
                <w:sz w:val="24"/>
                <w:szCs w:val="21"/>
              </w:rPr>
            </w:pPr>
          </w:p>
        </w:tc>
        <w:tc>
          <w:tcPr>
            <w:tcW w:w="1289" w:type="dxa"/>
            <w:shd w:val="clear" w:color="auto" w:fill="auto"/>
            <w:vAlign w:val="center"/>
          </w:tcPr>
          <w:p w14:paraId="674EF178">
            <w:pPr>
              <w:widowControl/>
              <w:snapToGrid w:val="0"/>
              <w:jc w:val="center"/>
              <w:rPr>
                <w:kern w:val="0"/>
                <w:sz w:val="24"/>
                <w:szCs w:val="21"/>
              </w:rPr>
            </w:pPr>
          </w:p>
        </w:tc>
        <w:tc>
          <w:tcPr>
            <w:tcW w:w="843" w:type="dxa"/>
            <w:shd w:val="clear" w:color="auto" w:fill="auto"/>
            <w:vAlign w:val="center"/>
          </w:tcPr>
          <w:p w14:paraId="10C76E76">
            <w:pPr>
              <w:widowControl/>
              <w:snapToGrid w:val="0"/>
              <w:jc w:val="center"/>
              <w:rPr>
                <w:kern w:val="0"/>
                <w:sz w:val="24"/>
                <w:szCs w:val="21"/>
              </w:rPr>
            </w:pPr>
          </w:p>
        </w:tc>
      </w:tr>
      <w:tr w14:paraId="0F3BE443">
        <w:trPr>
          <w:jc w:val="center"/>
        </w:trPr>
        <w:tc>
          <w:tcPr>
            <w:tcW w:w="843" w:type="dxa"/>
            <w:shd w:val="clear" w:color="auto" w:fill="auto"/>
            <w:vAlign w:val="center"/>
          </w:tcPr>
          <w:p w14:paraId="61415A51">
            <w:pPr>
              <w:widowControl/>
              <w:snapToGrid w:val="0"/>
              <w:jc w:val="center"/>
              <w:rPr>
                <w:kern w:val="0"/>
                <w:sz w:val="24"/>
                <w:szCs w:val="21"/>
              </w:rPr>
            </w:pPr>
          </w:p>
        </w:tc>
        <w:tc>
          <w:tcPr>
            <w:tcW w:w="3922" w:type="dxa"/>
            <w:shd w:val="clear" w:color="auto" w:fill="auto"/>
            <w:vAlign w:val="center"/>
          </w:tcPr>
          <w:p w14:paraId="0C409B95">
            <w:pPr>
              <w:widowControl/>
              <w:snapToGrid w:val="0"/>
              <w:jc w:val="center"/>
              <w:rPr>
                <w:kern w:val="0"/>
                <w:sz w:val="24"/>
                <w:szCs w:val="21"/>
              </w:rPr>
            </w:pPr>
          </w:p>
        </w:tc>
        <w:tc>
          <w:tcPr>
            <w:tcW w:w="2438" w:type="dxa"/>
            <w:shd w:val="clear" w:color="auto" w:fill="auto"/>
            <w:vAlign w:val="center"/>
          </w:tcPr>
          <w:p w14:paraId="093F3CD3">
            <w:pPr>
              <w:widowControl/>
              <w:snapToGrid w:val="0"/>
              <w:jc w:val="center"/>
              <w:rPr>
                <w:kern w:val="0"/>
                <w:sz w:val="24"/>
                <w:szCs w:val="21"/>
              </w:rPr>
            </w:pPr>
          </w:p>
        </w:tc>
        <w:tc>
          <w:tcPr>
            <w:tcW w:w="1289" w:type="dxa"/>
            <w:shd w:val="clear" w:color="auto" w:fill="auto"/>
            <w:vAlign w:val="center"/>
          </w:tcPr>
          <w:p w14:paraId="4C00484E">
            <w:pPr>
              <w:widowControl/>
              <w:snapToGrid w:val="0"/>
              <w:jc w:val="center"/>
              <w:rPr>
                <w:kern w:val="0"/>
                <w:sz w:val="24"/>
                <w:szCs w:val="21"/>
              </w:rPr>
            </w:pPr>
          </w:p>
        </w:tc>
        <w:tc>
          <w:tcPr>
            <w:tcW w:w="843" w:type="dxa"/>
            <w:shd w:val="clear" w:color="auto" w:fill="auto"/>
            <w:vAlign w:val="center"/>
          </w:tcPr>
          <w:p w14:paraId="5F438F53">
            <w:pPr>
              <w:widowControl/>
              <w:snapToGrid w:val="0"/>
              <w:jc w:val="center"/>
              <w:rPr>
                <w:kern w:val="0"/>
                <w:sz w:val="24"/>
                <w:szCs w:val="21"/>
              </w:rPr>
            </w:pPr>
          </w:p>
        </w:tc>
      </w:tr>
      <w:tr w14:paraId="5F4F9E49">
        <w:trPr>
          <w:jc w:val="center"/>
        </w:trPr>
        <w:tc>
          <w:tcPr>
            <w:tcW w:w="843" w:type="dxa"/>
            <w:shd w:val="clear" w:color="auto" w:fill="auto"/>
            <w:vAlign w:val="center"/>
          </w:tcPr>
          <w:p w14:paraId="34B44D94">
            <w:pPr>
              <w:widowControl/>
              <w:snapToGrid w:val="0"/>
              <w:jc w:val="center"/>
              <w:rPr>
                <w:kern w:val="0"/>
                <w:sz w:val="24"/>
                <w:szCs w:val="21"/>
              </w:rPr>
            </w:pPr>
          </w:p>
        </w:tc>
        <w:tc>
          <w:tcPr>
            <w:tcW w:w="3922" w:type="dxa"/>
            <w:shd w:val="clear" w:color="auto" w:fill="auto"/>
            <w:vAlign w:val="center"/>
          </w:tcPr>
          <w:p w14:paraId="2D5AD706">
            <w:pPr>
              <w:widowControl/>
              <w:snapToGrid w:val="0"/>
              <w:jc w:val="center"/>
              <w:rPr>
                <w:kern w:val="0"/>
                <w:sz w:val="24"/>
                <w:szCs w:val="21"/>
              </w:rPr>
            </w:pPr>
          </w:p>
        </w:tc>
        <w:tc>
          <w:tcPr>
            <w:tcW w:w="2438" w:type="dxa"/>
            <w:shd w:val="clear" w:color="auto" w:fill="auto"/>
            <w:vAlign w:val="center"/>
          </w:tcPr>
          <w:p w14:paraId="5DC65DA3">
            <w:pPr>
              <w:widowControl/>
              <w:snapToGrid w:val="0"/>
              <w:jc w:val="center"/>
              <w:rPr>
                <w:kern w:val="0"/>
                <w:sz w:val="24"/>
                <w:szCs w:val="21"/>
              </w:rPr>
            </w:pPr>
          </w:p>
        </w:tc>
        <w:tc>
          <w:tcPr>
            <w:tcW w:w="1289" w:type="dxa"/>
            <w:shd w:val="clear" w:color="auto" w:fill="auto"/>
            <w:vAlign w:val="center"/>
          </w:tcPr>
          <w:p w14:paraId="68F54C08">
            <w:pPr>
              <w:widowControl/>
              <w:snapToGrid w:val="0"/>
              <w:jc w:val="center"/>
              <w:rPr>
                <w:kern w:val="0"/>
                <w:sz w:val="24"/>
                <w:szCs w:val="21"/>
              </w:rPr>
            </w:pPr>
          </w:p>
        </w:tc>
        <w:tc>
          <w:tcPr>
            <w:tcW w:w="843" w:type="dxa"/>
            <w:shd w:val="clear" w:color="auto" w:fill="auto"/>
            <w:vAlign w:val="center"/>
          </w:tcPr>
          <w:p w14:paraId="2294F0A9">
            <w:pPr>
              <w:widowControl/>
              <w:snapToGrid w:val="0"/>
              <w:jc w:val="center"/>
              <w:rPr>
                <w:kern w:val="0"/>
                <w:sz w:val="24"/>
                <w:szCs w:val="21"/>
              </w:rPr>
            </w:pPr>
          </w:p>
        </w:tc>
      </w:tr>
    </w:tbl>
    <w:p w14:paraId="29B2438B">
      <w:pPr>
        <w:spacing w:line="620" w:lineRule="exact"/>
        <w:rPr>
          <w:sz w:val="24"/>
        </w:rPr>
      </w:pPr>
      <w:r>
        <w:rPr>
          <w:sz w:val="24"/>
        </w:rPr>
        <w:t>注：</w:t>
      </w:r>
    </w:p>
    <w:p w14:paraId="4CDDA5BA">
      <w:pPr>
        <w:spacing w:line="360" w:lineRule="auto"/>
        <w:rPr>
          <w:sz w:val="24"/>
        </w:rPr>
      </w:pPr>
      <w:r>
        <w:rPr>
          <w:sz w:val="24"/>
        </w:rPr>
        <w:t>1. 不如实填写偏离情况的投标文件将视为虚假材料。</w:t>
      </w:r>
    </w:p>
    <w:p w14:paraId="654254C1">
      <w:pPr>
        <w:spacing w:line="360" w:lineRule="auto"/>
        <w:rPr>
          <w:sz w:val="24"/>
        </w:rPr>
      </w:pPr>
      <w:r>
        <w:rPr>
          <w:sz w:val="24"/>
        </w:rPr>
        <w:t>2. 招标要求指招标文件中规定的具体要求，投标应答指投标文件的具体内容。</w:t>
      </w:r>
    </w:p>
    <w:p w14:paraId="716DB11C">
      <w:pPr>
        <w:spacing w:line="360" w:lineRule="auto"/>
        <w:rPr>
          <w:sz w:val="24"/>
        </w:rPr>
      </w:pPr>
      <w:r>
        <w:rPr>
          <w:sz w:val="24"/>
        </w:rPr>
        <w:t>3. 偏离说明指招标要求与投标应答之间的不同之处。</w:t>
      </w:r>
    </w:p>
    <w:p w14:paraId="05E273B2">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0D09F25C">
      <w:pPr>
        <w:spacing w:line="360" w:lineRule="auto"/>
        <w:ind w:firstLine="3808" w:firstLineChars="1700"/>
        <w:rPr>
          <w:sz w:val="24"/>
        </w:rPr>
      </w:pPr>
      <w:r>
        <w:rPr>
          <w:sz w:val="24"/>
        </w:rPr>
        <w:t>投标人名称：</w:t>
      </w:r>
    </w:p>
    <w:p w14:paraId="4398A15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68B2AE1">
      <w:pPr>
        <w:tabs>
          <w:tab w:val="left" w:pos="360"/>
        </w:tabs>
        <w:spacing w:after="285" w:afterLines="100" w:line="360" w:lineRule="auto"/>
        <w:rPr>
          <w:b/>
          <w:sz w:val="24"/>
        </w:rPr>
      </w:pPr>
      <w:r>
        <w:rPr>
          <w:sz w:val="24"/>
        </w:rPr>
        <w:br w:type="page"/>
      </w:r>
      <w:r>
        <w:rPr>
          <w:b/>
          <w:sz w:val="24"/>
        </w:rPr>
        <w:t>附件6</w:t>
      </w:r>
    </w:p>
    <w:p w14:paraId="702ACE36">
      <w:pPr>
        <w:autoSpaceDN w:val="0"/>
        <w:spacing w:line="360" w:lineRule="auto"/>
        <w:jc w:val="center"/>
        <w:rPr>
          <w:b/>
          <w:bCs/>
          <w:sz w:val="24"/>
        </w:rPr>
      </w:pPr>
      <w:r>
        <w:rPr>
          <w:b/>
          <w:sz w:val="24"/>
        </w:rPr>
        <w:t>主要相关项目业绩一览表</w:t>
      </w:r>
    </w:p>
    <w:p w14:paraId="183D5E31">
      <w:pPr>
        <w:spacing w:line="460" w:lineRule="exact"/>
        <w:ind w:left="192"/>
        <w:rPr>
          <w:sz w:val="24"/>
        </w:rPr>
      </w:pPr>
    </w:p>
    <w:p w14:paraId="494A33C5">
      <w:pPr>
        <w:spacing w:line="460" w:lineRule="exact"/>
        <w:rPr>
          <w:sz w:val="24"/>
        </w:rPr>
      </w:pPr>
      <w:r>
        <w:rPr>
          <w:sz w:val="24"/>
        </w:rPr>
        <w:t>项目名称：</w:t>
      </w:r>
      <w:r>
        <w:rPr>
          <w:sz w:val="24"/>
          <w:u w:val="single"/>
        </w:rPr>
        <w:t xml:space="preserve">                    </w:t>
      </w:r>
    </w:p>
    <w:p w14:paraId="56B9E623">
      <w:pPr>
        <w:spacing w:line="460" w:lineRule="exact"/>
        <w:rPr>
          <w:sz w:val="24"/>
        </w:rPr>
      </w:pPr>
      <w:r>
        <w:rPr>
          <w:sz w:val="24"/>
        </w:rPr>
        <w:t>项目编号：</w:t>
      </w:r>
      <w:r>
        <w:rPr>
          <w:sz w:val="24"/>
          <w:u w:val="single"/>
        </w:rPr>
        <w:t xml:space="preserve">                    </w:t>
      </w:r>
    </w:p>
    <w:p w14:paraId="1561819B">
      <w:pPr>
        <w:spacing w:line="460" w:lineRule="exact"/>
        <w:rPr>
          <w:sz w:val="24"/>
          <w:u w:val="single"/>
        </w:rPr>
      </w:pPr>
      <w:r>
        <w:rPr>
          <w:sz w:val="24"/>
        </w:rPr>
        <w:t>包号：</w:t>
      </w:r>
      <w:r>
        <w:rPr>
          <w:sz w:val="24"/>
          <w:u w:val="single"/>
        </w:rPr>
        <w:t xml:space="preserve">                        </w:t>
      </w:r>
    </w:p>
    <w:p w14:paraId="094B779A">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0A4E77B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E747A90">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679FF49E">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7E37923D">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2C11896C">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48593D48">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1593F99B">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04993838">
            <w:pPr>
              <w:snapToGrid w:val="0"/>
              <w:jc w:val="center"/>
              <w:rPr>
                <w:sz w:val="24"/>
              </w:rPr>
            </w:pPr>
            <w:r>
              <w:rPr>
                <w:sz w:val="24"/>
              </w:rPr>
              <w:t>合同金额</w:t>
            </w:r>
          </w:p>
        </w:tc>
      </w:tr>
      <w:tr w14:paraId="3C0F746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14E4B1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2753C6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BD5CC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08C81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922A9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2ACA2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81F9C9C">
            <w:pPr>
              <w:snapToGrid w:val="0"/>
              <w:jc w:val="center"/>
              <w:rPr>
                <w:sz w:val="24"/>
              </w:rPr>
            </w:pPr>
          </w:p>
        </w:tc>
      </w:tr>
      <w:tr w14:paraId="6C5F939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D6B724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FDFD94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2F75A2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08289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33CF4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E5B42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D357CE">
            <w:pPr>
              <w:snapToGrid w:val="0"/>
              <w:jc w:val="center"/>
              <w:rPr>
                <w:sz w:val="24"/>
              </w:rPr>
            </w:pPr>
          </w:p>
        </w:tc>
      </w:tr>
      <w:tr w14:paraId="46FFBF9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CDF2C3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8C9D67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393983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B8AC69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476CE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5F5B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92569C">
            <w:pPr>
              <w:snapToGrid w:val="0"/>
              <w:jc w:val="center"/>
              <w:rPr>
                <w:sz w:val="24"/>
              </w:rPr>
            </w:pPr>
          </w:p>
        </w:tc>
      </w:tr>
      <w:tr w14:paraId="7402BB7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FC1866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977C72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96BF4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C4F2F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A0E55F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5CDC29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6D309D">
            <w:pPr>
              <w:snapToGrid w:val="0"/>
              <w:jc w:val="center"/>
              <w:rPr>
                <w:sz w:val="24"/>
              </w:rPr>
            </w:pPr>
          </w:p>
        </w:tc>
      </w:tr>
      <w:tr w14:paraId="1FE3C5E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D3EC94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D20ADA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1B372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7F7D05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ED257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F8EB6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4BC0C54">
            <w:pPr>
              <w:snapToGrid w:val="0"/>
              <w:jc w:val="center"/>
              <w:rPr>
                <w:sz w:val="24"/>
              </w:rPr>
            </w:pPr>
          </w:p>
        </w:tc>
      </w:tr>
      <w:tr w14:paraId="7D8F3FF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1367E6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00B294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F7D99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42CA8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BEA2C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D8395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027C8A">
            <w:pPr>
              <w:snapToGrid w:val="0"/>
              <w:jc w:val="center"/>
              <w:rPr>
                <w:sz w:val="24"/>
              </w:rPr>
            </w:pPr>
          </w:p>
        </w:tc>
      </w:tr>
      <w:tr w14:paraId="5E2BD3B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083BF5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00D1E3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07527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6AD22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68FD9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F66C1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EC53D4">
            <w:pPr>
              <w:snapToGrid w:val="0"/>
              <w:jc w:val="center"/>
              <w:rPr>
                <w:sz w:val="24"/>
              </w:rPr>
            </w:pPr>
          </w:p>
        </w:tc>
      </w:tr>
      <w:tr w14:paraId="14DB535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4133A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CD25E4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90FA9D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637495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367C5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43435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A7A571">
            <w:pPr>
              <w:snapToGrid w:val="0"/>
              <w:jc w:val="center"/>
              <w:rPr>
                <w:sz w:val="24"/>
              </w:rPr>
            </w:pPr>
          </w:p>
        </w:tc>
      </w:tr>
      <w:tr w14:paraId="2B8CF76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438A6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4D555E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35B98E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9C9EB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7EEE7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05CC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465CFE0">
            <w:pPr>
              <w:snapToGrid w:val="0"/>
              <w:jc w:val="center"/>
              <w:rPr>
                <w:sz w:val="24"/>
              </w:rPr>
            </w:pPr>
          </w:p>
        </w:tc>
      </w:tr>
      <w:tr w14:paraId="2A833CD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822372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8673AA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1BBE1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96BB6C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A73B6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6A7118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FC8146">
            <w:pPr>
              <w:snapToGrid w:val="0"/>
              <w:jc w:val="center"/>
              <w:rPr>
                <w:sz w:val="24"/>
              </w:rPr>
            </w:pPr>
          </w:p>
        </w:tc>
      </w:tr>
      <w:tr w14:paraId="6644420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E946E1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18DB95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80056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678B5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FCC0E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7B2E3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AD6180E">
            <w:pPr>
              <w:snapToGrid w:val="0"/>
              <w:jc w:val="center"/>
              <w:rPr>
                <w:sz w:val="24"/>
              </w:rPr>
            </w:pPr>
          </w:p>
        </w:tc>
      </w:tr>
    </w:tbl>
    <w:p w14:paraId="1C291955">
      <w:pPr>
        <w:spacing w:line="560" w:lineRule="exact"/>
        <w:rPr>
          <w:sz w:val="24"/>
        </w:rPr>
      </w:pPr>
      <w:r>
        <w:rPr>
          <w:sz w:val="24"/>
        </w:rPr>
        <w:t>备注：若招标文件第二部分评分因素及评标标准中要求提供业绩的，投标人所列业绩应按其要求将证明材料按顺序附后。</w:t>
      </w:r>
    </w:p>
    <w:p w14:paraId="07479B4A">
      <w:pPr>
        <w:spacing w:line="560" w:lineRule="exact"/>
        <w:rPr>
          <w:sz w:val="24"/>
        </w:rPr>
      </w:pPr>
    </w:p>
    <w:p w14:paraId="60B3571B">
      <w:pPr>
        <w:spacing w:line="360" w:lineRule="auto"/>
        <w:ind w:firstLine="3808" w:firstLineChars="1700"/>
        <w:rPr>
          <w:sz w:val="24"/>
        </w:rPr>
      </w:pPr>
      <w:r>
        <w:rPr>
          <w:sz w:val="24"/>
        </w:rPr>
        <w:t>投标人名称：</w:t>
      </w:r>
    </w:p>
    <w:p w14:paraId="14BC8ACB">
      <w:pPr>
        <w:spacing w:line="360" w:lineRule="auto"/>
        <w:ind w:firstLine="3808" w:firstLineChars="1700"/>
        <w:rPr>
          <w:sz w:val="24"/>
        </w:rPr>
      </w:pPr>
    </w:p>
    <w:p w14:paraId="0EC75A4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C770329">
      <w:pPr>
        <w:spacing w:line="460" w:lineRule="exact"/>
        <w:rPr>
          <w:sz w:val="24"/>
        </w:rPr>
      </w:pPr>
    </w:p>
    <w:p w14:paraId="6345D1C5">
      <w:pPr>
        <w:widowControl/>
        <w:jc w:val="left"/>
        <w:rPr>
          <w:sz w:val="24"/>
        </w:rPr>
      </w:pPr>
      <w:r>
        <w:rPr>
          <w:sz w:val="24"/>
        </w:rPr>
        <w:br w:type="page"/>
      </w:r>
    </w:p>
    <w:p w14:paraId="14AB62FC">
      <w:pPr>
        <w:spacing w:line="480" w:lineRule="auto"/>
        <w:rPr>
          <w:b/>
          <w:sz w:val="24"/>
        </w:rPr>
      </w:pPr>
      <w:r>
        <w:rPr>
          <w:rFonts w:hint="eastAsia"/>
          <w:b/>
          <w:sz w:val="24"/>
        </w:rPr>
        <w:t>附件7</w:t>
      </w:r>
    </w:p>
    <w:p w14:paraId="7785B1D2">
      <w:pPr>
        <w:autoSpaceDN w:val="0"/>
        <w:spacing w:line="360" w:lineRule="auto"/>
        <w:jc w:val="center"/>
        <w:rPr>
          <w:b/>
          <w:bCs/>
          <w:sz w:val="24"/>
        </w:rPr>
      </w:pPr>
      <w:r>
        <w:rPr>
          <w:rFonts w:hint="eastAsia"/>
          <w:b/>
          <w:bCs/>
          <w:sz w:val="24"/>
        </w:rPr>
        <w:t>投标</w:t>
      </w:r>
      <w:r>
        <w:rPr>
          <w:b/>
          <w:bCs/>
          <w:sz w:val="24"/>
        </w:rPr>
        <w:t>代表人授权书</w:t>
      </w:r>
    </w:p>
    <w:p w14:paraId="4724C2E0">
      <w:pPr>
        <w:spacing w:line="360" w:lineRule="auto"/>
        <w:rPr>
          <w:sz w:val="24"/>
          <w:szCs w:val="21"/>
        </w:rPr>
      </w:pPr>
    </w:p>
    <w:p w14:paraId="65AC5269">
      <w:pPr>
        <w:spacing w:line="360" w:lineRule="auto"/>
        <w:rPr>
          <w:sz w:val="24"/>
          <w:szCs w:val="21"/>
        </w:rPr>
      </w:pPr>
      <w:r>
        <w:rPr>
          <w:sz w:val="24"/>
          <w:szCs w:val="21"/>
        </w:rPr>
        <w:t>致：天津市政府采购中心</w:t>
      </w:r>
    </w:p>
    <w:p w14:paraId="282FFFCF">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9CAB330">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48BD19A9">
      <w:pPr>
        <w:spacing w:line="360" w:lineRule="auto"/>
        <w:ind w:firstLine="448" w:firstLineChars="200"/>
        <w:rPr>
          <w:sz w:val="24"/>
          <w:szCs w:val="21"/>
        </w:rPr>
      </w:pPr>
      <w:r>
        <w:rPr>
          <w:sz w:val="24"/>
          <w:szCs w:val="21"/>
        </w:rPr>
        <w:t>本授权书至投标有效期结束前始终有效。</w:t>
      </w:r>
    </w:p>
    <w:p w14:paraId="2733C03D">
      <w:pPr>
        <w:spacing w:line="360" w:lineRule="auto"/>
        <w:ind w:firstLine="448" w:firstLineChars="200"/>
        <w:rPr>
          <w:sz w:val="24"/>
          <w:szCs w:val="21"/>
        </w:rPr>
      </w:pPr>
      <w:r>
        <w:rPr>
          <w:sz w:val="24"/>
          <w:szCs w:val="21"/>
        </w:rPr>
        <w:t>投标代表人无转委托权，特此委托。</w:t>
      </w:r>
    </w:p>
    <w:p w14:paraId="06E4AFE8">
      <w:pPr>
        <w:spacing w:line="360" w:lineRule="auto"/>
        <w:ind w:firstLine="448" w:firstLineChars="200"/>
        <w:rPr>
          <w:sz w:val="24"/>
        </w:rPr>
      </w:pPr>
    </w:p>
    <w:p w14:paraId="6FADBD61">
      <w:pPr>
        <w:spacing w:line="360" w:lineRule="auto"/>
        <w:ind w:firstLine="448" w:firstLineChars="200"/>
        <w:rPr>
          <w:sz w:val="24"/>
        </w:rPr>
      </w:pPr>
    </w:p>
    <w:p w14:paraId="29324D12">
      <w:pPr>
        <w:spacing w:line="360" w:lineRule="auto"/>
        <w:ind w:firstLine="448" w:firstLineChars="200"/>
        <w:rPr>
          <w:sz w:val="24"/>
        </w:rPr>
      </w:pPr>
    </w:p>
    <w:p w14:paraId="62BEC4B6">
      <w:pPr>
        <w:spacing w:line="480" w:lineRule="auto"/>
        <w:jc w:val="center"/>
        <w:rPr>
          <w:sz w:val="24"/>
        </w:rPr>
      </w:pPr>
      <w:r>
        <w:rPr>
          <w:sz w:val="24"/>
        </w:rPr>
        <w:t xml:space="preserve">     年   月   日  </w:t>
      </w:r>
    </w:p>
    <w:p w14:paraId="14573718">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FB5E15E">
        <w:tc>
          <w:tcPr>
            <w:tcW w:w="4264" w:type="dxa"/>
          </w:tcPr>
          <w:p w14:paraId="7B64D31A">
            <w:pPr>
              <w:spacing w:line="360" w:lineRule="auto"/>
              <w:jc w:val="left"/>
              <w:rPr>
                <w:sz w:val="24"/>
              </w:rPr>
            </w:pPr>
            <w:r>
              <w:rPr>
                <w:sz w:val="24"/>
              </w:rPr>
              <w:t>投标代表人身份证正面</w:t>
            </w:r>
          </w:p>
          <w:p w14:paraId="26947823">
            <w:pPr>
              <w:spacing w:line="360" w:lineRule="auto"/>
              <w:jc w:val="left"/>
              <w:rPr>
                <w:sz w:val="24"/>
              </w:rPr>
            </w:pPr>
          </w:p>
          <w:p w14:paraId="367F1B25">
            <w:pPr>
              <w:spacing w:line="360" w:lineRule="auto"/>
              <w:jc w:val="left"/>
              <w:rPr>
                <w:sz w:val="24"/>
              </w:rPr>
            </w:pPr>
          </w:p>
          <w:p w14:paraId="56769794">
            <w:pPr>
              <w:spacing w:line="360" w:lineRule="auto"/>
              <w:jc w:val="left"/>
              <w:rPr>
                <w:sz w:val="24"/>
              </w:rPr>
            </w:pPr>
          </w:p>
          <w:p w14:paraId="1E21DA5F">
            <w:pPr>
              <w:spacing w:line="360" w:lineRule="auto"/>
              <w:jc w:val="left"/>
              <w:rPr>
                <w:sz w:val="24"/>
              </w:rPr>
            </w:pPr>
          </w:p>
          <w:p w14:paraId="127FEA68">
            <w:pPr>
              <w:spacing w:line="360" w:lineRule="auto"/>
              <w:jc w:val="left"/>
              <w:rPr>
                <w:sz w:val="24"/>
              </w:rPr>
            </w:pPr>
          </w:p>
        </w:tc>
        <w:tc>
          <w:tcPr>
            <w:tcW w:w="4264" w:type="dxa"/>
          </w:tcPr>
          <w:p w14:paraId="44660D91">
            <w:pPr>
              <w:spacing w:line="360" w:lineRule="auto"/>
              <w:jc w:val="left"/>
              <w:rPr>
                <w:sz w:val="24"/>
              </w:rPr>
            </w:pPr>
            <w:r>
              <w:rPr>
                <w:sz w:val="24"/>
              </w:rPr>
              <w:t>投标代表人身份证背面</w:t>
            </w:r>
          </w:p>
        </w:tc>
      </w:tr>
    </w:tbl>
    <w:p w14:paraId="3D206E5B">
      <w:pPr>
        <w:widowControl/>
        <w:jc w:val="left"/>
        <w:rPr>
          <w:sz w:val="24"/>
        </w:rPr>
      </w:pPr>
      <w:r>
        <w:rPr>
          <w:sz w:val="24"/>
        </w:rPr>
        <w:br w:type="page"/>
      </w:r>
    </w:p>
    <w:p w14:paraId="0FB2C688">
      <w:pPr>
        <w:autoSpaceDN w:val="0"/>
        <w:spacing w:line="360" w:lineRule="auto"/>
        <w:jc w:val="left"/>
        <w:rPr>
          <w:b/>
          <w:bCs/>
          <w:sz w:val="24"/>
        </w:rPr>
      </w:pPr>
      <w:r>
        <w:rPr>
          <w:b/>
          <w:bCs/>
          <w:sz w:val="24"/>
        </w:rPr>
        <w:t>附件</w:t>
      </w:r>
      <w:r>
        <w:rPr>
          <w:rFonts w:hint="eastAsia"/>
          <w:b/>
          <w:bCs/>
          <w:sz w:val="24"/>
        </w:rPr>
        <w:t>8</w:t>
      </w:r>
    </w:p>
    <w:p w14:paraId="361104F1">
      <w:pPr>
        <w:autoSpaceDE w:val="0"/>
        <w:autoSpaceDN w:val="0"/>
        <w:spacing w:line="480" w:lineRule="auto"/>
        <w:jc w:val="center"/>
        <w:rPr>
          <w:sz w:val="24"/>
          <w:szCs w:val="24"/>
        </w:rPr>
      </w:pPr>
      <w:r>
        <w:rPr>
          <w:b/>
          <w:sz w:val="24"/>
          <w:szCs w:val="24"/>
        </w:rPr>
        <w:t>中小企业声明函（服务）</w:t>
      </w:r>
    </w:p>
    <w:p w14:paraId="015128BC">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                                </w:t>
      </w:r>
      <w:r>
        <w:rPr>
          <w:sz w:val="24"/>
          <w:szCs w:val="24"/>
        </w:rPr>
        <w:t>采购活动，服务全部由符合政策要求的中小企业承接。相关企业（含联合体中的中小企业、签订分包意向协议的中小企业）的具体情况如下：</w:t>
      </w:r>
    </w:p>
    <w:p w14:paraId="7119B553">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                              </w:t>
      </w:r>
      <w:r>
        <w:rPr>
          <w:sz w:val="24"/>
          <w:szCs w:val="24"/>
        </w:rPr>
        <w:t>，属于</w:t>
      </w:r>
      <w:r>
        <w:rPr>
          <w:sz w:val="24"/>
          <w:szCs w:val="24"/>
          <w:u w:val="single"/>
        </w:rPr>
        <w:t xml:space="preserve"> </w:t>
      </w:r>
      <w:r>
        <w:rPr>
          <w:rFonts w:hint="eastAsia"/>
          <w:sz w:val="24"/>
          <w:u w:val="single"/>
        </w:rPr>
        <w:t xml:space="preserve">软件和信息技术服务业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61A8041">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46B9D589">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5886F23E">
      <w:pPr>
        <w:autoSpaceDE w:val="0"/>
        <w:autoSpaceDN w:val="0"/>
        <w:spacing w:line="500" w:lineRule="exact"/>
        <w:ind w:left="3840"/>
        <w:jc w:val="left"/>
        <w:rPr>
          <w:sz w:val="24"/>
          <w:szCs w:val="24"/>
        </w:rPr>
      </w:pPr>
      <w:r>
        <w:rPr>
          <w:sz w:val="24"/>
          <w:szCs w:val="24"/>
        </w:rPr>
        <w:t>投标人名称：</w:t>
      </w:r>
    </w:p>
    <w:p w14:paraId="555AA30D">
      <w:pPr>
        <w:autoSpaceDE w:val="0"/>
        <w:autoSpaceDN w:val="0"/>
        <w:spacing w:line="500" w:lineRule="exact"/>
        <w:ind w:left="3840"/>
        <w:jc w:val="left"/>
        <w:rPr>
          <w:sz w:val="32"/>
        </w:rPr>
      </w:pPr>
      <w:r>
        <w:rPr>
          <w:sz w:val="24"/>
          <w:szCs w:val="24"/>
        </w:rPr>
        <w:t>日期：</w:t>
      </w:r>
    </w:p>
    <w:p w14:paraId="0A24D767">
      <w:pPr>
        <w:spacing w:line="360" w:lineRule="auto"/>
        <w:ind w:right="84" w:firstLine="224" w:firstLineChars="100"/>
        <w:rPr>
          <w:b/>
          <w:sz w:val="24"/>
          <w:szCs w:val="24"/>
        </w:rPr>
      </w:pPr>
      <w:r>
        <w:rPr>
          <w:b/>
          <w:sz w:val="24"/>
          <w:szCs w:val="24"/>
        </w:rPr>
        <w:t>注：</w:t>
      </w:r>
    </w:p>
    <w:p w14:paraId="526D549F">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2CD5EBC2">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D94D31F">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1F6AD05B">
      <w:pPr>
        <w:autoSpaceDN w:val="0"/>
        <w:spacing w:line="360" w:lineRule="auto"/>
        <w:rPr>
          <w:b/>
          <w:bCs/>
          <w:sz w:val="24"/>
        </w:rPr>
      </w:pPr>
      <w:r>
        <w:rPr>
          <w:sz w:val="24"/>
        </w:rPr>
        <w:br w:type="page"/>
      </w:r>
      <w:bookmarkStart w:id="6" w:name="OLE_LINK13"/>
      <w:bookmarkStart w:id="7" w:name="OLE_LINK14"/>
      <w:r>
        <w:rPr>
          <w:rFonts w:hint="eastAsia"/>
          <w:b/>
          <w:bCs/>
          <w:sz w:val="24"/>
        </w:rPr>
        <w:t>附件9</w:t>
      </w:r>
    </w:p>
    <w:bookmarkEnd w:id="6"/>
    <w:bookmarkEnd w:id="7"/>
    <w:p w14:paraId="6EA48D6A">
      <w:pPr>
        <w:autoSpaceDN w:val="0"/>
        <w:spacing w:line="360" w:lineRule="auto"/>
        <w:jc w:val="left"/>
        <w:rPr>
          <w:b/>
          <w:bCs/>
          <w:sz w:val="24"/>
        </w:rPr>
      </w:pPr>
      <w:r>
        <w:rPr>
          <w:rFonts w:hint="eastAsia"/>
          <w:b/>
          <w:kern w:val="0"/>
          <w:sz w:val="24"/>
          <w:szCs w:val="21"/>
        </w:rPr>
        <w:t>若不是残疾人福利性单位，投标文件中可不提供此声明函</w:t>
      </w:r>
    </w:p>
    <w:p w14:paraId="1CA8405C">
      <w:pPr>
        <w:autoSpaceDN w:val="0"/>
        <w:spacing w:line="360" w:lineRule="auto"/>
        <w:jc w:val="center"/>
        <w:rPr>
          <w:b/>
          <w:bCs/>
          <w:sz w:val="24"/>
        </w:rPr>
      </w:pPr>
    </w:p>
    <w:p w14:paraId="76FEB6ED">
      <w:pPr>
        <w:snapToGrid w:val="0"/>
        <w:spacing w:line="360" w:lineRule="auto"/>
        <w:jc w:val="center"/>
        <w:rPr>
          <w:b/>
          <w:bCs/>
          <w:sz w:val="24"/>
        </w:rPr>
      </w:pPr>
      <w:r>
        <w:rPr>
          <w:rFonts w:hint="eastAsia"/>
          <w:b/>
          <w:bCs/>
          <w:sz w:val="24"/>
        </w:rPr>
        <w:t>残疾人福利性单位声明函</w:t>
      </w:r>
    </w:p>
    <w:p w14:paraId="17EA6D0A">
      <w:pPr>
        <w:snapToGrid w:val="0"/>
        <w:spacing w:line="360" w:lineRule="auto"/>
        <w:ind w:firstLine="448" w:firstLineChars="200"/>
        <w:jc w:val="left"/>
        <w:rPr>
          <w:b/>
          <w:bCs/>
          <w:sz w:val="24"/>
        </w:rPr>
      </w:pPr>
    </w:p>
    <w:p w14:paraId="6CBD725A">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E47CE74">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49B046E">
      <w:pPr>
        <w:snapToGrid w:val="0"/>
        <w:spacing w:line="360" w:lineRule="auto"/>
        <w:ind w:firstLine="448" w:firstLineChars="200"/>
        <w:jc w:val="left"/>
        <w:rPr>
          <w:bCs/>
          <w:sz w:val="24"/>
        </w:rPr>
      </w:pPr>
    </w:p>
    <w:p w14:paraId="0E96A525">
      <w:pPr>
        <w:snapToGrid w:val="0"/>
        <w:spacing w:line="360" w:lineRule="auto"/>
        <w:ind w:firstLine="448" w:firstLineChars="200"/>
        <w:jc w:val="left"/>
        <w:rPr>
          <w:bCs/>
          <w:sz w:val="24"/>
        </w:rPr>
      </w:pPr>
    </w:p>
    <w:p w14:paraId="2FE20C37">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7B27692D">
      <w:pPr>
        <w:snapToGrid w:val="0"/>
        <w:spacing w:line="360" w:lineRule="auto"/>
        <w:ind w:firstLine="448" w:firstLineChars="200"/>
        <w:jc w:val="left"/>
        <w:rPr>
          <w:bCs/>
          <w:sz w:val="24"/>
        </w:rPr>
      </w:pPr>
    </w:p>
    <w:p w14:paraId="154ED6F9">
      <w:pPr>
        <w:snapToGrid w:val="0"/>
        <w:spacing w:line="360" w:lineRule="auto"/>
        <w:ind w:firstLine="448" w:firstLineChars="200"/>
        <w:jc w:val="left"/>
        <w:rPr>
          <w:sz w:val="24"/>
          <w:szCs w:val="21"/>
        </w:rPr>
      </w:pPr>
      <w:r>
        <w:rPr>
          <w:rFonts w:hint="eastAsia"/>
          <w:bCs/>
          <w:sz w:val="24"/>
        </w:rPr>
        <w:t xml:space="preserve">               日  期：</w:t>
      </w:r>
    </w:p>
    <w:p w14:paraId="1B8D1D18">
      <w:pPr>
        <w:snapToGrid w:val="0"/>
        <w:spacing w:line="360" w:lineRule="auto"/>
        <w:ind w:firstLine="448" w:firstLineChars="200"/>
        <w:jc w:val="left"/>
        <w:rPr>
          <w:sz w:val="24"/>
          <w:szCs w:val="21"/>
        </w:rPr>
      </w:pPr>
    </w:p>
    <w:p w14:paraId="47239A49">
      <w:pPr>
        <w:snapToGrid w:val="0"/>
        <w:spacing w:line="360" w:lineRule="auto"/>
        <w:ind w:firstLine="448" w:firstLineChars="200"/>
        <w:rPr>
          <w:sz w:val="24"/>
          <w:szCs w:val="21"/>
        </w:rPr>
      </w:pPr>
      <w:r>
        <w:rPr>
          <w:sz w:val="24"/>
          <w:szCs w:val="21"/>
        </w:rPr>
        <w:t>注：</w:t>
      </w:r>
    </w:p>
    <w:p w14:paraId="6A7023C6">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01970181">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3AB5353">
      <w:pPr>
        <w:widowControl/>
        <w:jc w:val="left"/>
        <w:rPr>
          <w:sz w:val="24"/>
        </w:rPr>
      </w:pPr>
      <w:r>
        <w:rPr>
          <w:sz w:val="24"/>
        </w:rPr>
        <w:br w:type="page"/>
      </w:r>
    </w:p>
    <w:p w14:paraId="62B86B22">
      <w:pPr>
        <w:tabs>
          <w:tab w:val="left" w:pos="360"/>
        </w:tabs>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5B52654E">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p w14:paraId="4BF67C83">
      <w:pPr>
        <w:tabs>
          <w:tab w:val="left" w:pos="360"/>
        </w:tabs>
        <w:spacing w:after="285" w:afterLines="100" w:line="360" w:lineRule="auto"/>
        <w:ind w:firstLine="448" w:firstLineChars="200"/>
        <w:rPr>
          <w:sz w:val="24"/>
          <w:szCs w:val="21"/>
        </w:rPr>
      </w:pPr>
    </w:p>
    <w:sectPr>
      <w:footerReference r:id="rId4"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方正小标宋简体">
    <w:altName w:val="宋体"/>
    <w:panose1 w:val="03000509000000000000"/>
    <w:charset w:val="86"/>
    <w:family w:val="script"/>
    <w:pitch w:val="default"/>
    <w:sig w:usb0="00000000" w:usb1="00000000" w:usb2="00000010" w:usb3="00000000" w:csb0="00040000" w:csb1="00000000"/>
  </w:font>
  <w:font w:name="Century Gothic">
    <w:panose1 w:val="020B0502020202020204"/>
    <w:charset w:val="00"/>
    <w:family w:val="swiss"/>
    <w:pitch w:val="default"/>
    <w:sig w:usb0="00000003" w:usb1="00000000" w:usb2="00000000" w:usb3="00000000" w:csb0="0000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AF60A">
    <w:pPr>
      <w:pStyle w:val="14"/>
      <w:jc w:val="center"/>
    </w:pPr>
    <w:r>
      <w:rPr>
        <w:b/>
      </w:rPr>
      <w:fldChar w:fldCharType="begin"/>
    </w:r>
    <w:r>
      <w:rPr>
        <w:b/>
      </w:rPr>
      <w:instrText xml:space="preserve">PAGE  \* Arabic  \* MERGEFORMAT</w:instrText>
    </w:r>
    <w:r>
      <w:rPr>
        <w:b/>
      </w:rPr>
      <w:fldChar w:fldCharType="separate"/>
    </w:r>
    <w:r>
      <w:rPr>
        <w:b/>
        <w:lang w:val="zh-CN"/>
      </w:rPr>
      <w:t>62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7493D">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96E15"/>
    <w:multiLevelType w:val="multilevel"/>
    <w:tmpl w:val="0CF96E15"/>
    <w:lvl w:ilvl="0" w:tentative="0">
      <w:start w:val="1"/>
      <w:numFmt w:val="decimal"/>
      <w:suff w:val="space"/>
      <w:lvlText w:val="（%1）"/>
      <w:lvlJc w:val="left"/>
      <w:pPr>
        <w:ind w:left="866" w:hanging="420"/>
      </w:pPr>
      <w:rPr>
        <w:rFonts w:hint="eastAsia"/>
      </w:rPr>
    </w:lvl>
    <w:lvl w:ilvl="1" w:tentative="0">
      <w:start w:val="1"/>
      <w:numFmt w:val="decimal"/>
      <w:lvlText w:val="%2."/>
      <w:lvlJc w:val="left"/>
      <w:pPr>
        <w:ind w:left="1481" w:hanging="615"/>
      </w:pPr>
      <w:rPr>
        <w:rFonts w:hint="default"/>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1">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2">
    <w:nsid w:val="21D22B76"/>
    <w:multiLevelType w:val="multilevel"/>
    <w:tmpl w:val="21D22B76"/>
    <w:lvl w:ilvl="0" w:tentative="0">
      <w:start w:val="1"/>
      <w:numFmt w:val="chineseCountingThousand"/>
      <w:lvlText w:val="(%1)"/>
      <w:lvlJc w:val="left"/>
      <w:pPr>
        <w:ind w:left="866" w:hanging="420"/>
      </w:pPr>
    </w:lvl>
    <w:lvl w:ilvl="1" w:tentative="0">
      <w:start w:val="1"/>
      <w:numFmt w:val="chineseCountingThousand"/>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3">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4">
    <w:nsid w:val="5AC86973"/>
    <w:multiLevelType w:val="multilevel"/>
    <w:tmpl w:val="5AC86973"/>
    <w:lvl w:ilvl="0" w:tentative="0">
      <w:start w:val="1"/>
      <w:numFmt w:val="decimal"/>
      <w:lvlText w:val="（%1）"/>
      <w:lvlJc w:val="left"/>
      <w:pPr>
        <w:ind w:left="866" w:hanging="420"/>
      </w:pPr>
      <w:rPr>
        <w:rFonts w:hint="eastAsia"/>
      </w:rPr>
    </w:lvl>
    <w:lvl w:ilvl="1" w:tentative="0">
      <w:start w:val="1"/>
      <w:numFmt w:val="decimal"/>
      <w:suff w:val="space"/>
      <w:lvlText w:val="（%2）"/>
      <w:lvlJc w:val="left"/>
      <w:pPr>
        <w:ind w:left="1286" w:hanging="420"/>
      </w:pPr>
      <w:rPr>
        <w:rFonts w:hint="eastAsia"/>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5">
    <w:nsid w:val="6CF5382F"/>
    <w:multiLevelType w:val="multilevel"/>
    <w:tmpl w:val="6CF5382F"/>
    <w:lvl w:ilvl="0" w:tentative="0">
      <w:start w:val="1"/>
      <w:numFmt w:val="chineseCountingThousand"/>
      <w:lvlText w:val="(%1)"/>
      <w:lvlJc w:val="left"/>
      <w:pPr>
        <w:ind w:left="866" w:hanging="420"/>
      </w:pPr>
    </w:lvl>
    <w:lvl w:ilvl="1" w:tentative="0">
      <w:start w:val="1"/>
      <w:numFmt w:val="japaneseCounting"/>
      <w:lvlText w:val="%2、"/>
      <w:lvlJc w:val="left"/>
      <w:pPr>
        <w:ind w:left="1766" w:hanging="900"/>
      </w:pPr>
      <w:rPr>
        <w:rFonts w:hint="default"/>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507"/>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64D"/>
    <w:rsid w:val="000B2975"/>
    <w:rsid w:val="000B3B22"/>
    <w:rsid w:val="000B4BF2"/>
    <w:rsid w:val="000C24D7"/>
    <w:rsid w:val="000C337F"/>
    <w:rsid w:val="000C6CA8"/>
    <w:rsid w:val="000C7A3F"/>
    <w:rsid w:val="000D1424"/>
    <w:rsid w:val="000D18BF"/>
    <w:rsid w:val="000D26D7"/>
    <w:rsid w:val="000D2E2F"/>
    <w:rsid w:val="000D2F5A"/>
    <w:rsid w:val="000D514E"/>
    <w:rsid w:val="000D5DE9"/>
    <w:rsid w:val="000D6C11"/>
    <w:rsid w:val="000D6CA1"/>
    <w:rsid w:val="000D743A"/>
    <w:rsid w:val="000E1CB6"/>
    <w:rsid w:val="000E50F9"/>
    <w:rsid w:val="000E5380"/>
    <w:rsid w:val="000E6A76"/>
    <w:rsid w:val="000F1202"/>
    <w:rsid w:val="000F1454"/>
    <w:rsid w:val="000F31B3"/>
    <w:rsid w:val="000F48D9"/>
    <w:rsid w:val="000F4D4E"/>
    <w:rsid w:val="000F542E"/>
    <w:rsid w:val="000F5C82"/>
    <w:rsid w:val="000F6957"/>
    <w:rsid w:val="001038F9"/>
    <w:rsid w:val="001047BE"/>
    <w:rsid w:val="001072ED"/>
    <w:rsid w:val="001079F4"/>
    <w:rsid w:val="00110977"/>
    <w:rsid w:val="00110A24"/>
    <w:rsid w:val="00111969"/>
    <w:rsid w:val="00115721"/>
    <w:rsid w:val="001165C6"/>
    <w:rsid w:val="0012139A"/>
    <w:rsid w:val="00121CDE"/>
    <w:rsid w:val="00122957"/>
    <w:rsid w:val="00123BF8"/>
    <w:rsid w:val="00125059"/>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77D80"/>
    <w:rsid w:val="00181ED5"/>
    <w:rsid w:val="001822E0"/>
    <w:rsid w:val="001834DA"/>
    <w:rsid w:val="001837F4"/>
    <w:rsid w:val="00183D6B"/>
    <w:rsid w:val="0018594D"/>
    <w:rsid w:val="00185D85"/>
    <w:rsid w:val="001871F3"/>
    <w:rsid w:val="00192CBF"/>
    <w:rsid w:val="00193212"/>
    <w:rsid w:val="00193BCD"/>
    <w:rsid w:val="0019431D"/>
    <w:rsid w:val="00194FBC"/>
    <w:rsid w:val="001968FF"/>
    <w:rsid w:val="00196A86"/>
    <w:rsid w:val="00196D6B"/>
    <w:rsid w:val="00196E07"/>
    <w:rsid w:val="001A142F"/>
    <w:rsid w:val="001A1AFA"/>
    <w:rsid w:val="001A2919"/>
    <w:rsid w:val="001A3DE3"/>
    <w:rsid w:val="001A46F9"/>
    <w:rsid w:val="001A5FD4"/>
    <w:rsid w:val="001A609F"/>
    <w:rsid w:val="001A758C"/>
    <w:rsid w:val="001B12C5"/>
    <w:rsid w:val="001B5BEA"/>
    <w:rsid w:val="001B6668"/>
    <w:rsid w:val="001C0E64"/>
    <w:rsid w:val="001C1981"/>
    <w:rsid w:val="001C4E69"/>
    <w:rsid w:val="001C50CC"/>
    <w:rsid w:val="001C53AD"/>
    <w:rsid w:val="001C7C08"/>
    <w:rsid w:val="001D1850"/>
    <w:rsid w:val="001D4F15"/>
    <w:rsid w:val="001D4FB9"/>
    <w:rsid w:val="001E3051"/>
    <w:rsid w:val="001E3CB7"/>
    <w:rsid w:val="001F0ABE"/>
    <w:rsid w:val="001F2B50"/>
    <w:rsid w:val="001F345B"/>
    <w:rsid w:val="001F4AD6"/>
    <w:rsid w:val="001F5D75"/>
    <w:rsid w:val="001F623F"/>
    <w:rsid w:val="001F65EF"/>
    <w:rsid w:val="001F6DCF"/>
    <w:rsid w:val="001F7224"/>
    <w:rsid w:val="00200009"/>
    <w:rsid w:val="00201479"/>
    <w:rsid w:val="002019E0"/>
    <w:rsid w:val="002027E3"/>
    <w:rsid w:val="00206328"/>
    <w:rsid w:val="00206F1C"/>
    <w:rsid w:val="002113A2"/>
    <w:rsid w:val="00212E26"/>
    <w:rsid w:val="00214D65"/>
    <w:rsid w:val="0021541C"/>
    <w:rsid w:val="0021638D"/>
    <w:rsid w:val="002164D4"/>
    <w:rsid w:val="0022038D"/>
    <w:rsid w:val="00220883"/>
    <w:rsid w:val="00224174"/>
    <w:rsid w:val="00226247"/>
    <w:rsid w:val="00230077"/>
    <w:rsid w:val="00231FDD"/>
    <w:rsid w:val="002320BD"/>
    <w:rsid w:val="00233239"/>
    <w:rsid w:val="002349B2"/>
    <w:rsid w:val="00236008"/>
    <w:rsid w:val="00243DC1"/>
    <w:rsid w:val="00244482"/>
    <w:rsid w:val="0024790F"/>
    <w:rsid w:val="00247A26"/>
    <w:rsid w:val="00247CAD"/>
    <w:rsid w:val="00250531"/>
    <w:rsid w:val="00251ED7"/>
    <w:rsid w:val="0025595D"/>
    <w:rsid w:val="00256A4A"/>
    <w:rsid w:val="002575F6"/>
    <w:rsid w:val="00260635"/>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616"/>
    <w:rsid w:val="002B7EB8"/>
    <w:rsid w:val="002C696D"/>
    <w:rsid w:val="002D03FB"/>
    <w:rsid w:val="002D09CD"/>
    <w:rsid w:val="002D17E4"/>
    <w:rsid w:val="002D1D64"/>
    <w:rsid w:val="002D3C4C"/>
    <w:rsid w:val="002D5B4E"/>
    <w:rsid w:val="002E0803"/>
    <w:rsid w:val="002E1053"/>
    <w:rsid w:val="002E3ECC"/>
    <w:rsid w:val="002E4551"/>
    <w:rsid w:val="002E64DB"/>
    <w:rsid w:val="002F07E4"/>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561"/>
    <w:rsid w:val="003A7FEB"/>
    <w:rsid w:val="003B23AD"/>
    <w:rsid w:val="003B24A5"/>
    <w:rsid w:val="003B6D2D"/>
    <w:rsid w:val="003B78E0"/>
    <w:rsid w:val="003C2C87"/>
    <w:rsid w:val="003C2DC5"/>
    <w:rsid w:val="003C3FFF"/>
    <w:rsid w:val="003C640D"/>
    <w:rsid w:val="003C71A3"/>
    <w:rsid w:val="003C7A89"/>
    <w:rsid w:val="003D0506"/>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3D8B"/>
    <w:rsid w:val="003F43B7"/>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0F4B"/>
    <w:rsid w:val="00431536"/>
    <w:rsid w:val="00431C42"/>
    <w:rsid w:val="00432C99"/>
    <w:rsid w:val="00433C64"/>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429B"/>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C5C37"/>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26A78"/>
    <w:rsid w:val="0053021A"/>
    <w:rsid w:val="0053026D"/>
    <w:rsid w:val="00530D50"/>
    <w:rsid w:val="005329BE"/>
    <w:rsid w:val="005334B4"/>
    <w:rsid w:val="00533CB7"/>
    <w:rsid w:val="005349D4"/>
    <w:rsid w:val="005359A4"/>
    <w:rsid w:val="00537D63"/>
    <w:rsid w:val="00537ED2"/>
    <w:rsid w:val="005407BF"/>
    <w:rsid w:val="00542508"/>
    <w:rsid w:val="00543020"/>
    <w:rsid w:val="00544107"/>
    <w:rsid w:val="005449BE"/>
    <w:rsid w:val="005506C7"/>
    <w:rsid w:val="0055079B"/>
    <w:rsid w:val="00550B2F"/>
    <w:rsid w:val="005553CF"/>
    <w:rsid w:val="00555DDD"/>
    <w:rsid w:val="0055739D"/>
    <w:rsid w:val="0056011E"/>
    <w:rsid w:val="00561038"/>
    <w:rsid w:val="005626F3"/>
    <w:rsid w:val="00562A6B"/>
    <w:rsid w:val="00563595"/>
    <w:rsid w:val="0056453E"/>
    <w:rsid w:val="005656DC"/>
    <w:rsid w:val="00566018"/>
    <w:rsid w:val="00570D6F"/>
    <w:rsid w:val="0057120E"/>
    <w:rsid w:val="005718A8"/>
    <w:rsid w:val="00572118"/>
    <w:rsid w:val="005725C3"/>
    <w:rsid w:val="00572E0A"/>
    <w:rsid w:val="005737C6"/>
    <w:rsid w:val="005739C1"/>
    <w:rsid w:val="00575DF4"/>
    <w:rsid w:val="00580546"/>
    <w:rsid w:val="005842A0"/>
    <w:rsid w:val="0058471F"/>
    <w:rsid w:val="0058472E"/>
    <w:rsid w:val="00584D37"/>
    <w:rsid w:val="0058705D"/>
    <w:rsid w:val="0059473B"/>
    <w:rsid w:val="005948CC"/>
    <w:rsid w:val="005953CA"/>
    <w:rsid w:val="005960BA"/>
    <w:rsid w:val="005966DE"/>
    <w:rsid w:val="005A204A"/>
    <w:rsid w:val="005A6731"/>
    <w:rsid w:val="005A69F3"/>
    <w:rsid w:val="005B352D"/>
    <w:rsid w:val="005B3CE3"/>
    <w:rsid w:val="005B631B"/>
    <w:rsid w:val="005B6420"/>
    <w:rsid w:val="005B681B"/>
    <w:rsid w:val="005C3C8F"/>
    <w:rsid w:val="005C463B"/>
    <w:rsid w:val="005C5EB1"/>
    <w:rsid w:val="005C60A0"/>
    <w:rsid w:val="005D16CC"/>
    <w:rsid w:val="005D1B17"/>
    <w:rsid w:val="005D34F6"/>
    <w:rsid w:val="005D3683"/>
    <w:rsid w:val="005D3AB2"/>
    <w:rsid w:val="005D4A74"/>
    <w:rsid w:val="005D59D2"/>
    <w:rsid w:val="005D6A9F"/>
    <w:rsid w:val="005D792B"/>
    <w:rsid w:val="005E2966"/>
    <w:rsid w:val="005E6149"/>
    <w:rsid w:val="005E7FF4"/>
    <w:rsid w:val="005F09CC"/>
    <w:rsid w:val="005F0BBC"/>
    <w:rsid w:val="005F2890"/>
    <w:rsid w:val="005F297C"/>
    <w:rsid w:val="005F3CEB"/>
    <w:rsid w:val="005F3EB2"/>
    <w:rsid w:val="005F486A"/>
    <w:rsid w:val="005F6C47"/>
    <w:rsid w:val="005F7DB3"/>
    <w:rsid w:val="006001B2"/>
    <w:rsid w:val="006014DA"/>
    <w:rsid w:val="0060236B"/>
    <w:rsid w:val="006038D0"/>
    <w:rsid w:val="00604B6E"/>
    <w:rsid w:val="00606818"/>
    <w:rsid w:val="00611900"/>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22CF"/>
    <w:rsid w:val="00653266"/>
    <w:rsid w:val="006538BF"/>
    <w:rsid w:val="0065671E"/>
    <w:rsid w:val="00656777"/>
    <w:rsid w:val="00657014"/>
    <w:rsid w:val="006572FA"/>
    <w:rsid w:val="00662408"/>
    <w:rsid w:val="00663645"/>
    <w:rsid w:val="00665F3D"/>
    <w:rsid w:val="00667577"/>
    <w:rsid w:val="00670BE5"/>
    <w:rsid w:val="00674152"/>
    <w:rsid w:val="006741E5"/>
    <w:rsid w:val="0067617C"/>
    <w:rsid w:val="006802EF"/>
    <w:rsid w:val="00681B8D"/>
    <w:rsid w:val="00685987"/>
    <w:rsid w:val="006901DD"/>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4201"/>
    <w:rsid w:val="006B52A7"/>
    <w:rsid w:val="006C0461"/>
    <w:rsid w:val="006C1836"/>
    <w:rsid w:val="006C1DA9"/>
    <w:rsid w:val="006C23C2"/>
    <w:rsid w:val="006C2D9B"/>
    <w:rsid w:val="006C52B5"/>
    <w:rsid w:val="006C59A5"/>
    <w:rsid w:val="006C7FB3"/>
    <w:rsid w:val="006E0CD2"/>
    <w:rsid w:val="006E1997"/>
    <w:rsid w:val="006E1D56"/>
    <w:rsid w:val="006E2EB7"/>
    <w:rsid w:val="006E54B4"/>
    <w:rsid w:val="006E5DC3"/>
    <w:rsid w:val="006E76A5"/>
    <w:rsid w:val="006F0645"/>
    <w:rsid w:val="006F1700"/>
    <w:rsid w:val="006F239F"/>
    <w:rsid w:val="006F2555"/>
    <w:rsid w:val="0070070A"/>
    <w:rsid w:val="00702C0D"/>
    <w:rsid w:val="00706B6F"/>
    <w:rsid w:val="00711804"/>
    <w:rsid w:val="0071193F"/>
    <w:rsid w:val="0071433C"/>
    <w:rsid w:val="007157A0"/>
    <w:rsid w:val="00720A22"/>
    <w:rsid w:val="00722BBA"/>
    <w:rsid w:val="007236BA"/>
    <w:rsid w:val="007238DD"/>
    <w:rsid w:val="00723D02"/>
    <w:rsid w:val="00723D84"/>
    <w:rsid w:val="00723EDE"/>
    <w:rsid w:val="00724717"/>
    <w:rsid w:val="00725591"/>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5C7"/>
    <w:rsid w:val="00766870"/>
    <w:rsid w:val="007668EA"/>
    <w:rsid w:val="00766AA4"/>
    <w:rsid w:val="007702C7"/>
    <w:rsid w:val="00771AB4"/>
    <w:rsid w:val="007737A3"/>
    <w:rsid w:val="007738A0"/>
    <w:rsid w:val="00773DFC"/>
    <w:rsid w:val="0077606A"/>
    <w:rsid w:val="0078146D"/>
    <w:rsid w:val="00781801"/>
    <w:rsid w:val="0078423C"/>
    <w:rsid w:val="00784A9B"/>
    <w:rsid w:val="00784C33"/>
    <w:rsid w:val="00786C64"/>
    <w:rsid w:val="00786E2F"/>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6EC"/>
    <w:rsid w:val="007C1D1B"/>
    <w:rsid w:val="007D05B4"/>
    <w:rsid w:val="007D2C2E"/>
    <w:rsid w:val="007D5983"/>
    <w:rsid w:val="007D5B3D"/>
    <w:rsid w:val="007D6EC1"/>
    <w:rsid w:val="007E0946"/>
    <w:rsid w:val="007E0E61"/>
    <w:rsid w:val="007E197E"/>
    <w:rsid w:val="007E26D5"/>
    <w:rsid w:val="007E4CD6"/>
    <w:rsid w:val="007E73D8"/>
    <w:rsid w:val="007F1F0C"/>
    <w:rsid w:val="007F4D3E"/>
    <w:rsid w:val="007F5589"/>
    <w:rsid w:val="007F55DE"/>
    <w:rsid w:val="007F6768"/>
    <w:rsid w:val="007F7510"/>
    <w:rsid w:val="007F783D"/>
    <w:rsid w:val="007F79A8"/>
    <w:rsid w:val="0080028A"/>
    <w:rsid w:val="008005A8"/>
    <w:rsid w:val="008029B5"/>
    <w:rsid w:val="00802CE5"/>
    <w:rsid w:val="00805098"/>
    <w:rsid w:val="00807A77"/>
    <w:rsid w:val="0081188B"/>
    <w:rsid w:val="008133BC"/>
    <w:rsid w:val="00813CB3"/>
    <w:rsid w:val="00814C9A"/>
    <w:rsid w:val="00817833"/>
    <w:rsid w:val="008213F7"/>
    <w:rsid w:val="008259FC"/>
    <w:rsid w:val="00826405"/>
    <w:rsid w:val="0082733F"/>
    <w:rsid w:val="00832534"/>
    <w:rsid w:val="00834EDE"/>
    <w:rsid w:val="00837228"/>
    <w:rsid w:val="008444AE"/>
    <w:rsid w:val="008465BF"/>
    <w:rsid w:val="00846602"/>
    <w:rsid w:val="00846E31"/>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7777D"/>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06E7"/>
    <w:rsid w:val="008A1E8A"/>
    <w:rsid w:val="008A27BF"/>
    <w:rsid w:val="008A5D68"/>
    <w:rsid w:val="008B202B"/>
    <w:rsid w:val="008B3001"/>
    <w:rsid w:val="008B36FA"/>
    <w:rsid w:val="008B3CFE"/>
    <w:rsid w:val="008B5DBC"/>
    <w:rsid w:val="008C0CE7"/>
    <w:rsid w:val="008C16B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B44"/>
    <w:rsid w:val="00913DFF"/>
    <w:rsid w:val="00913F09"/>
    <w:rsid w:val="0091445C"/>
    <w:rsid w:val="0091647A"/>
    <w:rsid w:val="00916DF9"/>
    <w:rsid w:val="00916EDA"/>
    <w:rsid w:val="00917496"/>
    <w:rsid w:val="0092119D"/>
    <w:rsid w:val="0092151E"/>
    <w:rsid w:val="0092600D"/>
    <w:rsid w:val="0093630E"/>
    <w:rsid w:val="00936E99"/>
    <w:rsid w:val="00937842"/>
    <w:rsid w:val="009412AF"/>
    <w:rsid w:val="0094212E"/>
    <w:rsid w:val="0094458A"/>
    <w:rsid w:val="0094466C"/>
    <w:rsid w:val="00946039"/>
    <w:rsid w:val="00947EC9"/>
    <w:rsid w:val="009516C8"/>
    <w:rsid w:val="00951A8D"/>
    <w:rsid w:val="009533CE"/>
    <w:rsid w:val="00955668"/>
    <w:rsid w:val="00955B43"/>
    <w:rsid w:val="0095612C"/>
    <w:rsid w:val="009602D2"/>
    <w:rsid w:val="00962A82"/>
    <w:rsid w:val="009662F0"/>
    <w:rsid w:val="00967AB5"/>
    <w:rsid w:val="00971BBA"/>
    <w:rsid w:val="00974525"/>
    <w:rsid w:val="00974B43"/>
    <w:rsid w:val="0097634A"/>
    <w:rsid w:val="00977FB6"/>
    <w:rsid w:val="009809F0"/>
    <w:rsid w:val="009820A2"/>
    <w:rsid w:val="009821C3"/>
    <w:rsid w:val="009829B0"/>
    <w:rsid w:val="00983903"/>
    <w:rsid w:val="00983A40"/>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2708"/>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BA6"/>
    <w:rsid w:val="00A03C90"/>
    <w:rsid w:val="00A03EDD"/>
    <w:rsid w:val="00A043E4"/>
    <w:rsid w:val="00A071FC"/>
    <w:rsid w:val="00A07548"/>
    <w:rsid w:val="00A11FFD"/>
    <w:rsid w:val="00A12C8D"/>
    <w:rsid w:val="00A13EEB"/>
    <w:rsid w:val="00A148A6"/>
    <w:rsid w:val="00A14B45"/>
    <w:rsid w:val="00A15907"/>
    <w:rsid w:val="00A2223B"/>
    <w:rsid w:val="00A22269"/>
    <w:rsid w:val="00A224A8"/>
    <w:rsid w:val="00A252F0"/>
    <w:rsid w:val="00A264A9"/>
    <w:rsid w:val="00A26C90"/>
    <w:rsid w:val="00A34CD9"/>
    <w:rsid w:val="00A3561D"/>
    <w:rsid w:val="00A35BC5"/>
    <w:rsid w:val="00A41C04"/>
    <w:rsid w:val="00A41E3E"/>
    <w:rsid w:val="00A440E2"/>
    <w:rsid w:val="00A45815"/>
    <w:rsid w:val="00A5132F"/>
    <w:rsid w:val="00A5241A"/>
    <w:rsid w:val="00A53A2E"/>
    <w:rsid w:val="00A53C66"/>
    <w:rsid w:val="00A53EAD"/>
    <w:rsid w:val="00A55CB3"/>
    <w:rsid w:val="00A57696"/>
    <w:rsid w:val="00A60795"/>
    <w:rsid w:val="00A60AF2"/>
    <w:rsid w:val="00A62455"/>
    <w:rsid w:val="00A63263"/>
    <w:rsid w:val="00A64F8F"/>
    <w:rsid w:val="00A65965"/>
    <w:rsid w:val="00A67797"/>
    <w:rsid w:val="00A711EB"/>
    <w:rsid w:val="00A771E9"/>
    <w:rsid w:val="00A8009D"/>
    <w:rsid w:val="00A80AAB"/>
    <w:rsid w:val="00A81B92"/>
    <w:rsid w:val="00A83C11"/>
    <w:rsid w:val="00A90C1C"/>
    <w:rsid w:val="00A90E13"/>
    <w:rsid w:val="00A917A0"/>
    <w:rsid w:val="00A92667"/>
    <w:rsid w:val="00A92A1A"/>
    <w:rsid w:val="00A936E7"/>
    <w:rsid w:val="00A951EA"/>
    <w:rsid w:val="00A95244"/>
    <w:rsid w:val="00A9562A"/>
    <w:rsid w:val="00A958D1"/>
    <w:rsid w:val="00A95C0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6633"/>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4DA1"/>
    <w:rsid w:val="00B662C3"/>
    <w:rsid w:val="00B6637D"/>
    <w:rsid w:val="00B666C8"/>
    <w:rsid w:val="00B666EF"/>
    <w:rsid w:val="00B671A0"/>
    <w:rsid w:val="00B6721D"/>
    <w:rsid w:val="00B672EC"/>
    <w:rsid w:val="00B67A36"/>
    <w:rsid w:val="00B7176B"/>
    <w:rsid w:val="00B71CE7"/>
    <w:rsid w:val="00B724B4"/>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0250"/>
    <w:rsid w:val="00BC3F7B"/>
    <w:rsid w:val="00BC5201"/>
    <w:rsid w:val="00BC5D73"/>
    <w:rsid w:val="00BC64F6"/>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77C28"/>
    <w:rsid w:val="00C8474B"/>
    <w:rsid w:val="00C90170"/>
    <w:rsid w:val="00C938D1"/>
    <w:rsid w:val="00C96973"/>
    <w:rsid w:val="00CA0D71"/>
    <w:rsid w:val="00CA262C"/>
    <w:rsid w:val="00CA2C16"/>
    <w:rsid w:val="00CA4635"/>
    <w:rsid w:val="00CA59AD"/>
    <w:rsid w:val="00CA66F7"/>
    <w:rsid w:val="00CA6807"/>
    <w:rsid w:val="00CB0677"/>
    <w:rsid w:val="00CB1696"/>
    <w:rsid w:val="00CB758D"/>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2CAF"/>
    <w:rsid w:val="00D13280"/>
    <w:rsid w:val="00D16646"/>
    <w:rsid w:val="00D2261A"/>
    <w:rsid w:val="00D23036"/>
    <w:rsid w:val="00D23135"/>
    <w:rsid w:val="00D23EA4"/>
    <w:rsid w:val="00D260FE"/>
    <w:rsid w:val="00D27BDA"/>
    <w:rsid w:val="00D31B46"/>
    <w:rsid w:val="00D41CD8"/>
    <w:rsid w:val="00D4221A"/>
    <w:rsid w:val="00D43D4D"/>
    <w:rsid w:val="00D53725"/>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552"/>
    <w:rsid w:val="00D97DB2"/>
    <w:rsid w:val="00DA04B3"/>
    <w:rsid w:val="00DA059D"/>
    <w:rsid w:val="00DA1933"/>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6F4"/>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195A"/>
    <w:rsid w:val="00DF2A97"/>
    <w:rsid w:val="00DF3628"/>
    <w:rsid w:val="00DF3ED5"/>
    <w:rsid w:val="00DF44EA"/>
    <w:rsid w:val="00DF650C"/>
    <w:rsid w:val="00E0035A"/>
    <w:rsid w:val="00E03E6D"/>
    <w:rsid w:val="00E0438B"/>
    <w:rsid w:val="00E07B01"/>
    <w:rsid w:val="00E11279"/>
    <w:rsid w:val="00E1179C"/>
    <w:rsid w:val="00E12E28"/>
    <w:rsid w:val="00E15D14"/>
    <w:rsid w:val="00E15DBA"/>
    <w:rsid w:val="00E20F2B"/>
    <w:rsid w:val="00E227FF"/>
    <w:rsid w:val="00E260E5"/>
    <w:rsid w:val="00E26969"/>
    <w:rsid w:val="00E269BA"/>
    <w:rsid w:val="00E33C5C"/>
    <w:rsid w:val="00E349FE"/>
    <w:rsid w:val="00E3578B"/>
    <w:rsid w:val="00E35F8C"/>
    <w:rsid w:val="00E36C66"/>
    <w:rsid w:val="00E40D53"/>
    <w:rsid w:val="00E41D23"/>
    <w:rsid w:val="00E455E0"/>
    <w:rsid w:val="00E516F7"/>
    <w:rsid w:val="00E51DD4"/>
    <w:rsid w:val="00E53059"/>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7AD"/>
    <w:rsid w:val="00E8588D"/>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0A05"/>
    <w:rsid w:val="00EB1C5B"/>
    <w:rsid w:val="00EB1F35"/>
    <w:rsid w:val="00EB2419"/>
    <w:rsid w:val="00EB39C5"/>
    <w:rsid w:val="00EB43A8"/>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0D3"/>
    <w:rsid w:val="00EF18D1"/>
    <w:rsid w:val="00EF492C"/>
    <w:rsid w:val="00EF5154"/>
    <w:rsid w:val="00EF5351"/>
    <w:rsid w:val="00EF6D6A"/>
    <w:rsid w:val="00EF7338"/>
    <w:rsid w:val="00F041C4"/>
    <w:rsid w:val="00F04FF1"/>
    <w:rsid w:val="00F06646"/>
    <w:rsid w:val="00F0691A"/>
    <w:rsid w:val="00F06D5E"/>
    <w:rsid w:val="00F075BC"/>
    <w:rsid w:val="00F07FF9"/>
    <w:rsid w:val="00F1659A"/>
    <w:rsid w:val="00F17B48"/>
    <w:rsid w:val="00F21FAF"/>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5772D"/>
    <w:rsid w:val="00F61CAD"/>
    <w:rsid w:val="00F6284E"/>
    <w:rsid w:val="00F645A1"/>
    <w:rsid w:val="00F64C54"/>
    <w:rsid w:val="00F64D3B"/>
    <w:rsid w:val="00F66DD2"/>
    <w:rsid w:val="00F67C9D"/>
    <w:rsid w:val="00F67E53"/>
    <w:rsid w:val="00F67F16"/>
    <w:rsid w:val="00F70820"/>
    <w:rsid w:val="00F7324C"/>
    <w:rsid w:val="00F75995"/>
    <w:rsid w:val="00F76002"/>
    <w:rsid w:val="00F773DC"/>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20A"/>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 w:val="3DFFCC98"/>
    <w:rsid w:val="FBE94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uiPriority w:val="99"/>
    <w:pPr>
      <w:jc w:val="left"/>
    </w:pPr>
  </w:style>
  <w:style w:type="paragraph" w:styleId="6">
    <w:name w:val="Body Text"/>
    <w:basedOn w:val="1"/>
    <w:link w:val="51"/>
    <w:semiHidden/>
    <w:unhideWhenUsed/>
    <w:uiPriority w:val="99"/>
    <w:pPr>
      <w:spacing w:after="120"/>
    </w:pPr>
  </w:style>
  <w:style w:type="paragraph" w:styleId="7">
    <w:name w:val="Body Text Indent"/>
    <w:basedOn w:val="1"/>
    <w:link w:val="29"/>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uiPriority w:val="0"/>
    <w:pPr>
      <w:adjustRightInd w:val="0"/>
      <w:spacing w:line="360" w:lineRule="atLeast"/>
      <w:textAlignment w:val="baseline"/>
    </w:pPr>
    <w:rPr>
      <w:sz w:val="32"/>
    </w:rPr>
  </w:style>
  <w:style w:type="paragraph" w:styleId="12">
    <w:name w:val="Body Text Indent 2"/>
    <w:basedOn w:val="1"/>
    <w:link w:val="36"/>
    <w:semiHidden/>
    <w:unhideWhenUsed/>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3"/>
    <w:unhideWhenUsed/>
    <w:uiPriority w:val="99"/>
    <w:pPr>
      <w:tabs>
        <w:tab w:val="center" w:pos="4153"/>
        <w:tab w:val="right" w:pos="8306"/>
      </w:tabs>
      <w:snapToGrid w:val="0"/>
      <w:jc w:val="left"/>
    </w:pPr>
    <w:rPr>
      <w:sz w:val="18"/>
      <w:szCs w:val="18"/>
    </w:rPr>
  </w:style>
  <w:style w:type="paragraph" w:styleId="15">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uiPriority w:val="99"/>
    <w:pPr>
      <w:spacing w:after="120"/>
      <w:ind w:left="420" w:leftChars="200"/>
    </w:pPr>
    <w:rPr>
      <w:sz w:val="16"/>
      <w:szCs w:val="16"/>
    </w:rPr>
  </w:style>
  <w:style w:type="paragraph" w:styleId="19">
    <w:name w:val="Body Text 2"/>
    <w:basedOn w:val="1"/>
    <w:link w:val="38"/>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uiPriority w:val="0"/>
  </w:style>
  <w:style w:type="character" w:styleId="27">
    <w:name w:val="Hyperlink"/>
    <w:basedOn w:val="24"/>
    <w:unhideWhenUsed/>
    <w:uiPriority w:val="99"/>
    <w:rPr>
      <w:color w:val="0000FF" w:themeColor="hyperlink"/>
      <w:u w:val="single"/>
      <w14:textFill>
        <w14:solidFill>
          <w14:schemeClr w14:val="hlink"/>
        </w14:solidFill>
      </w14:textFill>
    </w:rPr>
  </w:style>
  <w:style w:type="character" w:styleId="28">
    <w:name w:val="annotation reference"/>
    <w:basedOn w:val="24"/>
    <w:semiHidden/>
    <w:unhideWhenUsed/>
    <w:uiPriority w:val="99"/>
    <w:rPr>
      <w:sz w:val="21"/>
      <w:szCs w:val="21"/>
    </w:rPr>
  </w:style>
  <w:style w:type="character" w:customStyle="1" w:styleId="29">
    <w:name w:val="正文文本缩进 Char"/>
    <w:basedOn w:val="24"/>
    <w:link w:val="7"/>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uiPriority w:val="99"/>
    <w:rPr>
      <w:rFonts w:ascii="Times New Roman" w:hAnsi="Times New Roman" w:eastAsia="宋体" w:cs="Times New Roman"/>
      <w:sz w:val="18"/>
      <w:szCs w:val="18"/>
    </w:rPr>
  </w:style>
  <w:style w:type="character" w:customStyle="1" w:styleId="33">
    <w:name w:val="页脚 Char"/>
    <w:basedOn w:val="24"/>
    <w:link w:val="14"/>
    <w:uiPriority w:val="99"/>
    <w:rPr>
      <w:rFonts w:ascii="Times New Roman" w:hAnsi="Times New Roman" w:eastAsia="宋体" w:cs="Times New Roman"/>
      <w:sz w:val="18"/>
      <w:szCs w:val="18"/>
    </w:rPr>
  </w:style>
  <w:style w:type="character" w:customStyle="1" w:styleId="34">
    <w:name w:val="日期 Char"/>
    <w:basedOn w:val="24"/>
    <w:link w:val="11"/>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uiPriority w:val="99"/>
    <w:rPr>
      <w:rFonts w:ascii="Times New Roman" w:hAnsi="Times New Roman" w:eastAsia="宋体" w:cs="Times New Roman"/>
      <w:szCs w:val="20"/>
    </w:rPr>
  </w:style>
  <w:style w:type="character" w:customStyle="1" w:styleId="37">
    <w:name w:val="标题 3 Char"/>
    <w:basedOn w:val="24"/>
    <w:link w:val="2"/>
    <w:uiPriority w:val="0"/>
    <w:rPr>
      <w:rFonts w:ascii="Times New Roman" w:hAnsi="Times New Roman" w:eastAsia="宋体" w:cs="Times New Roman"/>
      <w:b/>
      <w:bCs/>
      <w:sz w:val="32"/>
      <w:szCs w:val="32"/>
    </w:rPr>
  </w:style>
  <w:style w:type="character" w:customStyle="1" w:styleId="38">
    <w:name w:val="正文文本 2 Char"/>
    <w:basedOn w:val="24"/>
    <w:link w:val="19"/>
    <w:semiHidden/>
    <w:uiPriority w:val="99"/>
    <w:rPr>
      <w:rFonts w:ascii="Times New Roman" w:hAnsi="Times New Roman" w:eastAsia="宋体" w:cs="Times New Roman"/>
      <w:szCs w:val="20"/>
    </w:rPr>
  </w:style>
  <w:style w:type="paragraph" w:customStyle="1" w:styleId="39">
    <w:name w:val="Char"/>
    <w:basedOn w:val="1"/>
    <w:autoRedefine/>
    <w:uiPriority w:val="0"/>
    <w:pPr>
      <w:tabs>
        <w:tab w:val="left" w:pos="360"/>
      </w:tabs>
    </w:pPr>
    <w:rPr>
      <w:sz w:val="24"/>
      <w:szCs w:val="24"/>
    </w:rPr>
  </w:style>
  <w:style w:type="character" w:customStyle="1" w:styleId="40">
    <w:name w:val="纯文本 Char"/>
    <w:basedOn w:val="24"/>
    <w:semiHidden/>
    <w:uiPriority w:val="99"/>
    <w:rPr>
      <w:rFonts w:ascii="宋体" w:hAnsi="Courier New" w:eastAsia="宋体" w:cs="Courier New"/>
      <w:szCs w:val="21"/>
    </w:rPr>
  </w:style>
  <w:style w:type="character" w:customStyle="1" w:styleId="41">
    <w:name w:val="纯文本 Char1"/>
    <w:link w:val="9"/>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uiPriority w:val="0"/>
    <w:pPr>
      <w:tabs>
        <w:tab w:val="left" w:pos="360"/>
      </w:tabs>
    </w:pPr>
    <w:rPr>
      <w:sz w:val="24"/>
      <w:szCs w:val="24"/>
    </w:rPr>
  </w:style>
  <w:style w:type="paragraph" w:customStyle="1" w:styleId="48">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uiPriority w:val="99"/>
    <w:rPr>
      <w:rFonts w:ascii="Times New Roman" w:hAnsi="Times New Roman" w:eastAsia="宋体" w:cs="Times New Roman"/>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正文文本 Char"/>
    <w:basedOn w:val="24"/>
    <w:link w:val="6"/>
    <w:semiHidden/>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uiPriority w:val="99"/>
    <w:rPr>
      <w:rFonts w:ascii="Times New Roman" w:hAnsi="Times New Roman" w:eastAsia="宋体" w:cs="Times New Roman"/>
      <w:b/>
      <w:bCs/>
      <w:szCs w:val="20"/>
    </w:rPr>
  </w:style>
  <w:style w:type="character" w:customStyle="1" w:styleId="54">
    <w:name w:val="列出段落 Char"/>
    <w:link w:val="35"/>
    <w:uiPriority w:val="34"/>
    <w:rPr>
      <w:rFonts w:ascii="Times New Roman" w:hAnsi="Times New Roman" w:eastAsia="宋体" w:cs="Times New Roman"/>
      <w:szCs w:val="20"/>
    </w:rPr>
  </w:style>
  <w:style w:type="paragraph" w:customStyle="1" w:styleId="55">
    <w:name w:val="15"/>
    <w:basedOn w:val="1"/>
    <w:uiPriority w:val="0"/>
    <w:pPr>
      <w:widowControl/>
      <w:jc w:val="left"/>
    </w:pPr>
    <w:rPr>
      <w:rFonts w:eastAsiaTheme="minorEastAsia"/>
      <w:kern w:val="0"/>
      <w:sz w:val="24"/>
      <w:szCs w:val="24"/>
      <w:lang w:eastAsia="en-US"/>
    </w:rPr>
  </w:style>
  <w:style w:type="paragraph" w:customStyle="1" w:styleId="56">
    <w:name w:val="16"/>
    <w:basedOn w:val="1"/>
    <w:uiPriority w:val="0"/>
    <w:pPr>
      <w:widowControl/>
      <w:jc w:val="left"/>
    </w:pPr>
    <w:rPr>
      <w:rFonts w:eastAsiaTheme="minorEastAsia"/>
      <w:kern w:val="0"/>
      <w:sz w:val="24"/>
      <w:szCs w:val="24"/>
      <w:lang w:eastAsia="en-US"/>
    </w:rPr>
  </w:style>
  <w:style w:type="table" w:customStyle="1" w:styleId="57">
    <w:name w:val="17"/>
    <w:basedOn w:val="22"/>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58">
    <w:name w:val="MsoNormal"/>
    <w:basedOn w:val="1"/>
    <w:uiPriority w:val="0"/>
    <w:pPr>
      <w:widowControl/>
      <w:jc w:val="left"/>
    </w:pPr>
    <w:rPr>
      <w:rFonts w:eastAsiaTheme="minorEastAsia"/>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E20AE7-5019-4EAE-9AF0-66087E36B3A6}">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96</Pages>
  <Words>8449</Words>
  <Characters>48164</Characters>
  <Lines>401</Lines>
  <Paragraphs>112</Paragraphs>
  <TotalTime>536</TotalTime>
  <ScaleCrop>false</ScaleCrop>
  <LinksUpToDate>false</LinksUpToDate>
  <CharactersWithSpaces>56501</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2025-11-28T16:44:00Z</dcterms:created>
  <dc:creator>未定义</dc:creator>
  <cp:lastModifiedBy>陈慧璐</cp:lastModifiedBy>
  <dcterms:modified xsi:type="dcterms:W3CDTF">2025-12-11T16:22:17Z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66533D0E4BBAAEED2D6F3A69C931E586_42</vt:lpwstr>
  </property>
</Properties>
</file>