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816610</wp:posOffset>
                </wp:positionV>
                <wp:extent cx="504190" cy="0"/>
                <wp:effectExtent l="0" t="95250" r="1016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4.3pt;height:0pt;width:39.7pt;z-index:251659264;mso-width-relative:page;mso-height-relative:page;" filled="f" stroked="t" coordsize="21600,21600" o:gfxdata="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TXsfXW&#10;AAAACgEAAA8AAAAAAAAAAQAgAAAAIgAAAGRycy9kb3ducmV2LnhtbFBLAQIUABQAAAAIAIdO4kCR&#10;mhAc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国家税务总局天津市税务局第三税务分局食堂餐饮服务项目</w:t>
      </w: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color w:val="FF0000"/>
          <w:spacing w:val="40"/>
          <w:w w:val="66"/>
          <w:sz w:val="32"/>
          <w:szCs w:val="32"/>
        </w:rPr>
      </w:pPr>
      <w:r>
        <w:rPr>
          <w:rFonts w:eastAsia="黑体"/>
          <w:spacing w:val="40"/>
          <w:w w:val="66"/>
          <w:sz w:val="32"/>
          <w:szCs w:val="32"/>
        </w:rPr>
        <w:t>（项目编号：TGPC-202</w:t>
      </w:r>
      <w:r>
        <w:rPr>
          <w:rFonts w:hint="eastAsia" w:eastAsia="黑体"/>
          <w:spacing w:val="40"/>
          <w:w w:val="66"/>
          <w:sz w:val="32"/>
          <w:szCs w:val="32"/>
        </w:rPr>
        <w:t>5</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w:t>
      </w:r>
      <w:r>
        <w:rPr>
          <w:rFonts w:hint="eastAsia" w:eastAsia="黑体"/>
          <w:spacing w:val="40"/>
          <w:w w:val="66"/>
          <w:sz w:val="32"/>
          <w:szCs w:val="32"/>
        </w:rPr>
        <w:t>1375</w:t>
      </w:r>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5.12</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招标项目要求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6"/>
        <w:rPr>
          <w:rFonts w:ascii="Times New Roman" w:hAnsi="Times New Roman"/>
        </w:rPr>
      </w:pPr>
      <w:r>
        <w:rPr>
          <w:rFonts w:ascii="Times New Roman" w:hAnsi="Times New Roman"/>
        </w:rPr>
        <w:t>第一部分  投标邀请函</w:t>
      </w:r>
      <w:bookmarkEnd w:id="0"/>
    </w:p>
    <w:p>
      <w:pPr>
        <w:pStyle w:val="29"/>
        <w:spacing w:line="360" w:lineRule="auto"/>
        <w:ind w:firstLine="448" w:firstLineChars="200"/>
        <w:jc w:val="both"/>
        <w:rPr>
          <w:rFonts w:ascii="Times New Roman" w:hAnsi="Times New Roman" w:cs="Times New Roman" w:eastAsiaTheme="minorEastAsia"/>
          <w:color w:val="auto"/>
          <w:szCs w:val="32"/>
        </w:rPr>
      </w:pPr>
      <w:bookmarkStart w:id="1" w:name="_Toc412903615"/>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国家税务总局天津市税务局第三税务分局</w:t>
      </w:r>
      <w:r>
        <w:rPr>
          <w:rFonts w:ascii="Times New Roman" w:hAnsi="Times New Roman" w:cs="Times New Roman" w:eastAsiaTheme="minorEastAsia"/>
          <w:color w:val="auto"/>
          <w:szCs w:val="32"/>
        </w:rPr>
        <w:t>委托，天津市政府采购中心将以公开招标方式，对</w:t>
      </w:r>
      <w:r>
        <w:rPr>
          <w:rFonts w:hint="eastAsia" w:ascii="Times New Roman" w:hAnsi="Times New Roman" w:cs="Times New Roman" w:eastAsiaTheme="minorEastAsia"/>
          <w:color w:val="auto"/>
          <w:szCs w:val="32"/>
        </w:rPr>
        <w:t>国家税务总局天津市税务局第三税务分局食堂餐饮服务项目</w:t>
      </w:r>
      <w:r>
        <w:rPr>
          <w:rFonts w:ascii="Times New Roman" w:hAnsi="Times New Roman" w:cs="Times New Roman" w:eastAsiaTheme="minorEastAsia"/>
          <w:color w:val="auto"/>
          <w:szCs w:val="32"/>
        </w:rPr>
        <w:t>实施政府采购。现欢迎合格的供应商参加投标。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一、项目名称和编号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国家税务总局天津市税务局第三税务分局食堂餐饮服务项目</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5</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w:t>
      </w:r>
      <w:r>
        <w:rPr>
          <w:rFonts w:hint="eastAsia" w:ascii="Times New Roman" w:hAnsi="Times New Roman" w:eastAsia="宋体" w:cs="Times New Roman"/>
          <w:color w:val="auto"/>
        </w:rPr>
        <w:t>1375</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国家税务总局天津市税务局第三税务分局食堂餐饮服务，合同履行期限：两年</w:t>
      </w:r>
    </w:p>
    <w:p>
      <w:pPr>
        <w:tabs>
          <w:tab w:val="left" w:pos="210"/>
        </w:tabs>
        <w:autoSpaceDE w:val="0"/>
        <w:autoSpaceDN w:val="0"/>
        <w:adjustRightInd w:val="0"/>
        <w:spacing w:line="360" w:lineRule="auto"/>
        <w:ind w:firstLine="448" w:firstLineChars="200"/>
        <w:outlineLvl w:val="0"/>
        <w:rPr>
          <w:sz w:val="24"/>
          <w:szCs w:val="24"/>
          <w:lang w:val="zh-CN"/>
        </w:rPr>
      </w:pPr>
      <w:r>
        <w:rPr>
          <w:sz w:val="24"/>
          <w:szCs w:val="24"/>
          <w:lang w:val="zh-CN"/>
        </w:rPr>
        <w:t>三、项目预算</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第一包：42338</w:t>
      </w:r>
      <w:r>
        <w:rPr>
          <w:rFonts w:hint="eastAsia" w:ascii="Times New Roman" w:hAnsi="Times New Roman" w:eastAsia="宋体" w:cs="Times New Roman"/>
          <w:color w:val="auto"/>
        </w:rPr>
        <w:t>24</w:t>
      </w:r>
      <w:r>
        <w:rPr>
          <w:rFonts w:ascii="Times New Roman" w:hAnsi="Times New Roman" w:eastAsia="宋体" w:cs="Times New Roman"/>
          <w:color w:val="auto"/>
        </w:rPr>
        <w:t>元</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、供应商资格要求（实质性要求）</w:t>
      </w:r>
    </w:p>
    <w:p>
      <w:pPr>
        <w:pStyle w:val="29"/>
        <w:spacing w:line="360" w:lineRule="auto"/>
        <w:ind w:firstLine="448" w:firstLineChars="200"/>
        <w:rPr>
          <w:rFonts w:ascii="Times New Roman" w:hAnsi="Times New Roman" w:eastAsia="宋体" w:cs="Times New Roman"/>
          <w:color w:val="auto"/>
        </w:rPr>
      </w:pPr>
      <w:bookmarkStart w:id="2" w:name="OLE_LINK1"/>
      <w:bookmarkStart w:id="3" w:name="OLE_LINK2"/>
      <w:r>
        <w:rPr>
          <w:rFonts w:hint="eastAsia" w:ascii="Times New Roman" w:hAnsi="Times New Roman" w:eastAsia="宋体" w:cs="Times New Roman"/>
          <w:color w:val="auto"/>
        </w:rPr>
        <w:t>（一）投标人须具备《食品经营许可证》，经营项目至少包含食品经营管理或餐饮服务管理，提供证书扫描件；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（三）本项目不接受联合体投标。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（四）本项目专门面向中小企业采购，提供《中小企业声明函》。</w:t>
      </w:r>
    </w:p>
    <w:bookmarkEnd w:id="2"/>
    <w:bookmarkEnd w:id="3"/>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、项目需要落实的政府采购政策</w:t>
      </w:r>
    </w:p>
    <w:p>
      <w:pPr>
        <w:pStyle w:val="29"/>
        <w:spacing w:line="360" w:lineRule="auto"/>
        <w:ind w:firstLine="448" w:firstLineChars="200"/>
        <w:rPr>
          <w:rFonts w:ascii="Times New Roman" w:hAnsi="Times New Roman" w:eastAsia="宋体" w:cs="Times New Roman"/>
          <w:color w:val="auto"/>
        </w:rPr>
      </w:pPr>
      <w:bookmarkStart w:id="4" w:name="OLE_LINK3"/>
      <w:bookmarkStart w:id="5" w:name="OLE_LINK4"/>
      <w:r>
        <w:rPr>
          <w:rFonts w:ascii="Times New Roman" w:hAnsi="Times New Roman" w:eastAsia="宋体" w:cs="Times New Roman"/>
          <w:color w:val="auto"/>
        </w:rPr>
        <w:t>（一）</w:t>
      </w:r>
      <w:r>
        <w:rPr>
          <w:rFonts w:hint="eastAsia" w:ascii="Times New Roman" w:hAnsi="Times New Roman" w:eastAsia="宋体" w:cs="Times New Roman"/>
          <w:color w:val="auto"/>
        </w:rPr>
        <w:t>本项目专门面向中小企业采购</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4"/>
    <w:bookmarkEnd w:id="5"/>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六、获取招标文件时间、方式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（一）获取招标文件时间：2025年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日至2025年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30</w:t>
      </w:r>
      <w:r>
        <w:rPr>
          <w:rFonts w:ascii="Times New Roman" w:hAnsi="Times New Roman" w:eastAsia="宋体" w:cs="Times New Roman"/>
          <w:color w:val="auto"/>
        </w:rPr>
        <w:t>日，每日9:00至17:00（北京时间，法定节假日除外）。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（二）获取招标文件的方式：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获取招标文件网址：使用天津数字认证有限公司发出的CA数字证书（原天津市电子认证中心发出尚在有效期内的CA数字证书仍可使用）登录天津市政府采购中心网（网址：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 </w:t>
      </w:r>
      <w:r>
        <w:rPr>
          <w:rFonts w:hint="eastAsia" w:ascii="Times New Roman" w:hAnsi="Times New Roman" w:eastAsia="宋体" w:cs="Times New Roman"/>
          <w:color w:val="auto"/>
        </w:rPr>
        <w:t>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w:t>
      </w:r>
      <w:r>
        <w:rPr>
          <w:rFonts w:ascii="Times New Roman" w:hAnsi="Times New Roman" w:eastAsia="宋体" w:cs="Times New Roman"/>
          <w:color w:val="auto"/>
        </w:rPr>
        <w:t>1</w:t>
      </w: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w:t>
      </w:r>
      <w:r>
        <w:rPr>
          <w:rFonts w:hint="eastAsia" w:ascii="Times New Roman" w:hAnsi="Times New Roman" w:eastAsia="宋体" w:cs="Times New Roman"/>
          <w:color w:val="auto"/>
        </w:rPr>
        <w:t>8059。</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hint="eastAsia" w:ascii="Times New Roman" w:hAnsi="Times New Roman" w:eastAsia="宋体" w:cs="Times New Roman"/>
          <w:color w:val="auto"/>
        </w:rPr>
        <w:t>本项目不组织</w:t>
      </w:r>
      <w:r>
        <w:rPr>
          <w:rFonts w:ascii="Times New Roman" w:hAnsi="Times New Roman" w:eastAsia="宋体" w:cs="Times New Roman"/>
          <w:color w:val="auto"/>
        </w:rPr>
        <w:t>踏勘现场</w:t>
      </w:r>
      <w:r>
        <w:rPr>
          <w:rFonts w:hint="eastAsia" w:ascii="Times New Roman" w:hAnsi="Times New Roman" w:eastAsia="宋体" w:cs="Times New Roman"/>
          <w:color w:val="auto"/>
        </w:rPr>
        <w:t>，不组织标前答疑会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日9:00至202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13</w:t>
      </w:r>
      <w:r>
        <w:rPr>
          <w:rFonts w:ascii="Times New Roman" w:hAnsi="Times New Roman" w:eastAsia="宋体" w:cs="Times New Roman"/>
          <w:color w:val="auto"/>
        </w:rPr>
        <w:t>日8:30，使用天津数字认证有限公司发出的CA数字证书（原天津市电子认证中心发出尚在有效期内的CA数字证书仍可使用）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进行应答</w:t>
      </w:r>
      <w:r>
        <w:rPr>
          <w:rFonts w:hint="eastAsia" w:ascii="Times New Roman" w:hAnsi="Times New Roman" w:eastAsia="宋体" w:cs="Times New Roman"/>
          <w:color w:val="auto"/>
        </w:rPr>
        <w:t>并提交</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八、投标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w:t>
      </w:r>
      <w:r>
        <w:rPr>
          <w:rFonts w:hint="eastAsia" w:ascii="Times New Roman" w:hAnsi="Times New Roman" w:eastAsia="宋体" w:cs="Times New Roman"/>
          <w:color w:val="auto"/>
        </w:rPr>
        <w:t>及方式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13</w:t>
      </w:r>
      <w:r>
        <w:rPr>
          <w:rFonts w:ascii="Times New Roman" w:hAnsi="Times New Roman" w:eastAsia="宋体" w:cs="Times New Roman"/>
          <w:color w:val="auto"/>
        </w:rPr>
        <w:t>日8:30</w:t>
      </w:r>
      <w:r>
        <w:rPr>
          <w:rFonts w:hint="eastAsia" w:ascii="Times New Roman" w:hAnsi="Times New Roman" w:eastAsia="宋体" w:cs="Times New Roman"/>
          <w:color w:val="auto"/>
          <w:szCs w:val="21"/>
        </w:rPr>
        <w:t>。</w:t>
      </w:r>
      <w:r>
        <w:rPr>
          <w:rFonts w:ascii="Times New Roman" w:hAnsi="Times New Roman" w:eastAsia="宋体" w:cs="Times New Roman"/>
          <w:color w:val="auto"/>
        </w:rPr>
        <w:t>投标截止时间前</w:t>
      </w:r>
      <w:r>
        <w:rPr>
          <w:rFonts w:hint="eastAsia" w:ascii="Times New Roman" w:hAnsi="Times New Roman" w:eastAsia="宋体" w:cs="Times New Roman"/>
          <w:color w:val="auto"/>
        </w:rPr>
        <w:t>提交网上应答并上传加盖投标人电子签章的电子投标文件（以通过天津公共资源电子签章客户端正确读取签章信息为准）</w:t>
      </w:r>
      <w:r>
        <w:rPr>
          <w:rFonts w:ascii="Times New Roman" w:hAnsi="Times New Roman" w:eastAsia="宋体" w:cs="Times New Roman"/>
          <w:color w:val="auto"/>
        </w:rPr>
        <w:t>方为有效投标。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（二）投标</w:t>
      </w:r>
      <w:r>
        <w:rPr>
          <w:rFonts w:hint="eastAsia" w:ascii="Times New Roman" w:hAnsi="Times New Roman" w:eastAsia="宋体" w:cs="Times New Roman"/>
          <w:color w:val="auto"/>
        </w:rPr>
        <w:t>方式</w:t>
      </w:r>
      <w:r>
        <w:rPr>
          <w:rFonts w:ascii="Times New Roman" w:hAnsi="Times New Roman" w:eastAsia="宋体" w:cs="Times New Roman"/>
          <w:color w:val="auto"/>
        </w:rPr>
        <w:t>：本项目投标采用网上电子投标方式，投标人须于投标截止时间前使用天津数字认证有限公司发出的CA数字证书（原天津市电子认证中心发出尚在有效期内的CA数字证书仍可使用）登录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、开标时间及方式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（一）开标解密时间：202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13</w:t>
      </w:r>
      <w:r>
        <w:rPr>
          <w:rFonts w:ascii="Times New Roman" w:hAnsi="Times New Roman" w:eastAsia="宋体" w:cs="Times New Roman"/>
          <w:color w:val="auto"/>
        </w:rPr>
        <w:t>日8:30至9:</w:t>
      </w:r>
      <w:r>
        <w:rPr>
          <w:rFonts w:hint="eastAsia" w:ascii="Times New Roman" w:hAnsi="Times New Roman" w:eastAsia="宋体" w:cs="Times New Roman"/>
          <w:color w:val="auto"/>
        </w:rPr>
        <w:t>30</w:t>
      </w:r>
      <w:r>
        <w:rPr>
          <w:rFonts w:ascii="Times New Roman" w:hAnsi="Times New Roman" w:eastAsia="宋体" w:cs="Times New Roman"/>
          <w:color w:val="auto"/>
        </w:rPr>
        <w:t>完成开标解密的投标为有效投标。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（二）开标</w:t>
      </w:r>
      <w:r>
        <w:rPr>
          <w:rFonts w:hint="eastAsia" w:ascii="Times New Roman" w:hAnsi="Times New Roman" w:eastAsia="宋体" w:cs="Times New Roman"/>
          <w:color w:val="auto"/>
        </w:rPr>
        <w:t>解密方式</w:t>
      </w:r>
      <w:r>
        <w:rPr>
          <w:rFonts w:ascii="Times New Roman" w:hAnsi="Times New Roman" w:eastAsia="宋体" w:cs="Times New Roman"/>
          <w:color w:val="auto"/>
        </w:rPr>
        <w:t>：本项目采用网上开标方式，投标人须于</w:t>
      </w:r>
      <w:r>
        <w:rPr>
          <w:rFonts w:hint="eastAsia" w:ascii="Times New Roman" w:hAnsi="Times New Roman" w:eastAsia="宋体" w:cs="Times New Roman"/>
          <w:color w:val="auto"/>
        </w:rPr>
        <w:t>规定时间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（三）网上开标公示时间：202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13</w:t>
      </w:r>
      <w:r>
        <w:rPr>
          <w:rFonts w:ascii="Times New Roman" w:hAnsi="Times New Roman" w:eastAsia="宋体" w:cs="Times New Roman"/>
          <w:color w:val="auto"/>
        </w:rPr>
        <w:t>日9:</w:t>
      </w:r>
      <w:r>
        <w:rPr>
          <w:rFonts w:hint="eastAsia" w:ascii="Times New Roman" w:hAnsi="Times New Roman" w:eastAsia="宋体" w:cs="Times New Roman"/>
          <w:color w:val="auto"/>
        </w:rPr>
        <w:t>30</w:t>
      </w:r>
      <w:r>
        <w:rPr>
          <w:rFonts w:ascii="Times New Roman" w:hAnsi="Times New Roman" w:eastAsia="宋体" w:cs="Times New Roman"/>
          <w:color w:val="auto"/>
        </w:rPr>
        <w:t>至12:00。</w:t>
      </w: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十</w:t>
      </w:r>
      <w:r>
        <w:rPr>
          <w:rFonts w:ascii="Times New Roman" w:hAnsi="Times New Roman" w:eastAsia="宋体" w:cs="Times New Roman"/>
          <w:color w:val="auto"/>
        </w:rPr>
        <w:t>、采购代理机构名称、地址</w:t>
      </w:r>
      <w:r>
        <w:rPr>
          <w:rFonts w:hint="eastAsia" w:ascii="Times New Roman" w:hAnsi="Times New Roman" w:eastAsia="宋体" w:cs="Times New Roman"/>
          <w:color w:val="auto"/>
        </w:rPr>
        <w:t>、</w:t>
      </w:r>
      <w:r>
        <w:rPr>
          <w:rFonts w:ascii="Times New Roman" w:hAnsi="Times New Roman" w:eastAsia="宋体" w:cs="Times New Roman"/>
          <w:color w:val="auto"/>
        </w:rPr>
        <w:t>联系人及联系方式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联系人：杨光、范志刚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、采购人的名称、地址和联系方式</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国家税务总局天津市税务局第三税务分局</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天津市和平区建设路2号</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赵宏强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（四）采购人联系电话：022-27118087</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二</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联系部门：国家税务总局天津市税务局第三税务分局</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联系地址：天津市和平区建设路2号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人：赵宏强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022-27118087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三</w:t>
      </w:r>
      <w:r>
        <w:rPr>
          <w:rFonts w:ascii="Times New Roman" w:hAnsi="Times New Roman" w:eastAsia="宋体" w:cs="Times New Roman"/>
          <w:color w:val="auto"/>
        </w:rPr>
        <w:t>、公告期限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四</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jc w:val="both"/>
        <w:rPr>
          <w:rFonts w:ascii="Times New Roman" w:hAnsi="Times New Roman" w:eastAsia="宋体" w:cs="Times New Roman"/>
          <w:color w:val="auto"/>
        </w:rPr>
      </w:pPr>
    </w:p>
    <w:p>
      <w:pPr>
        <w:pStyle w:val="29"/>
        <w:spacing w:line="360" w:lineRule="auto"/>
        <w:jc w:val="right"/>
        <w:rPr>
          <w:b/>
          <w:bCs/>
          <w:kern w:val="28"/>
          <w:sz w:val="32"/>
          <w:szCs w:val="32"/>
        </w:rPr>
      </w:pPr>
      <w:r>
        <w:rPr>
          <w:rFonts w:ascii="Times New Roman" w:hAnsi="Times New Roman" w:eastAsia="宋体" w:cs="Times New Roman"/>
          <w:color w:val="auto"/>
        </w:rPr>
        <w:t>2025年</w:t>
      </w:r>
      <w:r>
        <w:rPr>
          <w:rFonts w:hint="eastAsia" w:ascii="Times New Roman" w:hAnsi="Times New Roman" w:eastAsia="宋体" w:cs="Times New Roman"/>
          <w:color w:val="auto"/>
        </w:rPr>
        <w:t>12</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w:t>
      </w:r>
    </w:p>
    <w:p>
      <w:pPr>
        <w:pStyle w:val="29"/>
        <w:spacing w:line="360" w:lineRule="auto"/>
        <w:jc w:val="both"/>
      </w:pPr>
    </w:p>
    <w:p>
      <w:pPr>
        <w:widowControl/>
        <w:jc w:val="left"/>
        <w:rPr>
          <w:rFonts w:ascii="......." w:hAnsi="Calibri" w:eastAsia="......." w:cs="......."/>
          <w:color w:val="000000"/>
          <w:kern w:val="0"/>
          <w:sz w:val="24"/>
          <w:szCs w:val="24"/>
        </w:rPr>
      </w:pPr>
      <w:r>
        <w:br w:type="page"/>
      </w:r>
    </w:p>
    <w:p>
      <w:pPr>
        <w:pStyle w:val="16"/>
        <w:rPr>
          <w:rFonts w:ascii="Times New Roman" w:hAnsi="Times New Roman"/>
        </w:rPr>
      </w:pPr>
      <w:r>
        <w:rPr>
          <w:rFonts w:ascii="Times New Roman" w:hAnsi="Times New Roman"/>
        </w:rPr>
        <w:t>第二部分  招标项目要求</w:t>
      </w:r>
      <w:bookmarkEnd w:id="1"/>
    </w:p>
    <w:p>
      <w:pPr>
        <w:tabs>
          <w:tab w:val="left" w:pos="210"/>
        </w:tabs>
        <w:autoSpaceDE w:val="0"/>
        <w:autoSpaceDN w:val="0"/>
        <w:adjustRightInd w:val="0"/>
        <w:spacing w:line="360" w:lineRule="auto"/>
        <w:ind w:firstLine="448" w:firstLineChars="200"/>
        <w:outlineLvl w:val="0"/>
        <w:rPr>
          <w:sz w:val="24"/>
          <w:szCs w:val="24"/>
        </w:rPr>
      </w:pPr>
      <w:r>
        <w:rPr>
          <w:sz w:val="24"/>
          <w:szCs w:val="24"/>
        </w:rPr>
        <w:t>一、商务要求</w:t>
      </w:r>
    </w:p>
    <w:p>
      <w:pPr>
        <w:tabs>
          <w:tab w:val="left" w:pos="210"/>
        </w:tabs>
        <w:autoSpaceDE w:val="0"/>
        <w:autoSpaceDN w:val="0"/>
        <w:adjustRightInd w:val="0"/>
        <w:spacing w:line="360" w:lineRule="auto"/>
        <w:ind w:firstLine="448" w:firstLineChars="200"/>
        <w:outlineLvl w:val="0"/>
        <w:rPr>
          <w:sz w:val="24"/>
          <w:szCs w:val="24"/>
        </w:rPr>
      </w:pPr>
      <w:r>
        <w:rPr>
          <w:sz w:val="24"/>
          <w:szCs w:val="24"/>
        </w:rPr>
        <w:t>（一）报价要求</w:t>
      </w:r>
    </w:p>
    <w:p>
      <w:pPr>
        <w:tabs>
          <w:tab w:val="left" w:pos="210"/>
        </w:tabs>
        <w:autoSpaceDE w:val="0"/>
        <w:autoSpaceDN w:val="0"/>
        <w:adjustRightInd w:val="0"/>
        <w:spacing w:line="360" w:lineRule="auto"/>
        <w:ind w:firstLine="448" w:firstLineChars="200"/>
        <w:outlineLvl w:val="0"/>
        <w:rPr>
          <w:sz w:val="24"/>
          <w:szCs w:val="24"/>
        </w:rPr>
      </w:pPr>
      <w:r>
        <w:rPr>
          <w:sz w:val="24"/>
          <w:szCs w:val="24"/>
        </w:rPr>
        <w:t>1. 投标报价以人民币填列。</w:t>
      </w:r>
    </w:p>
    <w:p>
      <w:pPr>
        <w:tabs>
          <w:tab w:val="left" w:pos="210"/>
        </w:tabs>
        <w:autoSpaceDE w:val="0"/>
        <w:autoSpaceDN w:val="0"/>
        <w:adjustRightInd w:val="0"/>
        <w:spacing w:line="360" w:lineRule="auto"/>
        <w:ind w:firstLine="448" w:firstLineChars="200"/>
        <w:outlineLvl w:val="0"/>
        <w:rPr>
          <w:sz w:val="24"/>
          <w:szCs w:val="24"/>
        </w:rPr>
      </w:pPr>
      <w:r>
        <w:rPr>
          <w:sz w:val="24"/>
          <w:szCs w:val="24"/>
        </w:rPr>
        <w:t>2. 投标人的报价应包括：人员工资、福利、社险</w:t>
      </w:r>
      <w:r>
        <w:rPr>
          <w:rFonts w:hint="eastAsia"/>
          <w:sz w:val="24"/>
          <w:szCs w:val="24"/>
        </w:rPr>
        <w:t>、住房公积金</w:t>
      </w:r>
      <w:r>
        <w:rPr>
          <w:sz w:val="24"/>
          <w:szCs w:val="24"/>
        </w:rPr>
        <w:t>等人工费用、服装费、办公费、企业利润及税金等为完成招标文件规定的一切工作所需的全部费用。投标人所报价格应为最终优惠价格。</w:t>
      </w:r>
    </w:p>
    <w:p>
      <w:pPr>
        <w:spacing w:line="360" w:lineRule="auto"/>
        <w:ind w:firstLine="448" w:firstLineChars="200"/>
        <w:rPr>
          <w:kern w:val="0"/>
          <w:sz w:val="24"/>
          <w:szCs w:val="24"/>
        </w:rPr>
      </w:pPr>
      <w:r>
        <w:rPr>
          <w:rFonts w:hint="eastAsia"/>
          <w:kern w:val="0"/>
          <w:sz w:val="24"/>
          <w:szCs w:val="24"/>
        </w:rPr>
        <w:t>3. 投标报价在不超采购预算的前提下，其合理性由评标委员会在评分中予以考虑。</w:t>
      </w:r>
    </w:p>
    <w:p>
      <w:pPr>
        <w:spacing w:line="360" w:lineRule="auto"/>
        <w:ind w:firstLine="448" w:firstLineChars="200"/>
        <w:rPr>
          <w:kern w:val="0"/>
          <w:sz w:val="24"/>
          <w:szCs w:val="24"/>
        </w:rPr>
      </w:pPr>
      <w:r>
        <w:rPr>
          <w:rFonts w:hint="eastAsia"/>
          <w:kern w:val="0"/>
          <w:sz w:val="24"/>
          <w:szCs w:val="24"/>
        </w:rPr>
        <w:t xml:space="preserve">4.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合同规定的服务起始之日起两年的服务期，签订合同之日起7日内服务人员进场服务</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国家税务总局天津市税务局第三税务分局建设路办公区（建设路2号）及绍兴道办公区（绍兴道127号）</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sz w:val="24"/>
        </w:rPr>
        <w:t>按</w:t>
      </w:r>
      <w:r>
        <w:rPr>
          <w:rFonts w:hint="eastAsia"/>
          <w:sz w:val="24"/>
        </w:rPr>
        <w:t>月</w:t>
      </w:r>
      <w:r>
        <w:rPr>
          <w:sz w:val="24"/>
        </w:rPr>
        <w:t>付款，经月度验收，每月</w:t>
      </w:r>
      <w:r>
        <w:rPr>
          <w:rFonts w:hint="eastAsia"/>
          <w:sz w:val="24"/>
        </w:rPr>
        <w:t>30日</w:t>
      </w:r>
      <w:r>
        <w:rPr>
          <w:sz w:val="24"/>
        </w:rPr>
        <w:t>前支付上月费用（特殊情况以合同为准）。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autoSpaceDE w:val="0"/>
        <w:autoSpaceDN w:val="0"/>
        <w:adjustRightInd w:val="0"/>
        <w:spacing w:line="360" w:lineRule="auto"/>
        <w:ind w:firstLine="448" w:firstLineChars="200"/>
        <w:rPr>
          <w:bCs/>
          <w:sz w:val="24"/>
        </w:rPr>
      </w:pPr>
      <w:r>
        <w:rPr>
          <w:sz w:val="24"/>
        </w:rPr>
        <w:t>二</w:t>
      </w:r>
      <w:r>
        <w:rPr>
          <w:bCs/>
          <w:sz w:val="24"/>
        </w:rPr>
        <w:t>、技术要求</w:t>
      </w:r>
    </w:p>
    <w:p>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p>
    <w:p>
      <w:pPr>
        <w:autoSpaceDE w:val="0"/>
        <w:autoSpaceDN w:val="0"/>
        <w:adjustRightInd w:val="0"/>
        <w:spacing w:line="360" w:lineRule="auto"/>
        <w:ind w:firstLine="448" w:firstLineChars="200"/>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pPr>
        <w:autoSpaceDE w:val="0"/>
        <w:autoSpaceDN w:val="0"/>
        <w:adjustRightInd w:val="0"/>
        <w:spacing w:line="360" w:lineRule="auto"/>
        <w:ind w:firstLine="448" w:firstLineChars="200"/>
        <w:rPr>
          <w:color w:val="000000"/>
          <w:sz w:val="24"/>
        </w:rPr>
      </w:pPr>
      <w:r>
        <w:rPr>
          <w:rFonts w:hint="eastAsia"/>
          <w:color w:val="000000"/>
          <w:sz w:val="24"/>
        </w:rPr>
        <w:t>★</w:t>
      </w:r>
      <w:r>
        <w:rPr>
          <w:color w:val="000000"/>
          <w:sz w:val="24"/>
        </w:rPr>
        <w:t>（三）</w:t>
      </w:r>
      <w:r>
        <w:rPr>
          <w:sz w:val="24"/>
        </w:rPr>
        <w:t>投标人须承诺</w:t>
      </w:r>
      <w:r>
        <w:rPr>
          <w:rFonts w:hint="eastAsia"/>
          <w:color w:val="000000"/>
          <w:sz w:val="24"/>
        </w:rPr>
        <w:t>相应专业</w:t>
      </w:r>
      <w:r>
        <w:rPr>
          <w:color w:val="000000"/>
          <w:sz w:val="24"/>
        </w:rPr>
        <w:t>人员须具备国家相关部门颁发的在有效期内的资质证书，项目实施过程中保证持证上岗。</w:t>
      </w:r>
    </w:p>
    <w:p>
      <w:pPr>
        <w:spacing w:line="360" w:lineRule="auto"/>
        <w:ind w:firstLine="448" w:firstLineChars="200"/>
        <w:outlineLvl w:val="0"/>
        <w:rPr>
          <w:sz w:val="24"/>
        </w:rPr>
      </w:pPr>
      <w:r>
        <w:rPr>
          <w:sz w:val="24"/>
        </w:rPr>
        <w:t>（</w:t>
      </w:r>
      <w:r>
        <w:rPr>
          <w:rFonts w:hint="eastAsia"/>
          <w:sz w:val="24"/>
        </w:rPr>
        <w:t>四</w:t>
      </w:r>
      <w:r>
        <w:rPr>
          <w:sz w:val="24"/>
        </w:rPr>
        <w:t>）具体需求详见本部分项目需求书。</w:t>
      </w:r>
    </w:p>
    <w:p>
      <w:pPr>
        <w:spacing w:line="360" w:lineRule="auto"/>
        <w:ind w:firstLine="448" w:firstLineChars="200"/>
        <w:outlineLvl w:val="0"/>
        <w:rPr>
          <w:sz w:val="24"/>
        </w:rPr>
      </w:pPr>
      <w:r>
        <w:rPr>
          <w:sz w:val="24"/>
        </w:rPr>
        <w:t>三、评分因素及评标标准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color w:val="000000"/>
                <w:kern w:val="0"/>
                <w:sz w:val="24"/>
                <w:szCs w:val="24"/>
              </w:rPr>
            </w:pPr>
            <w:r>
              <w:rPr>
                <w:color w:val="000000"/>
                <w:kern w:val="0"/>
                <w:sz w:val="24"/>
                <w:szCs w:val="24"/>
              </w:rPr>
              <w:t>第一部分 价格（20分）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50</w:t>
            </w:r>
            <w:r>
              <w:rPr>
                <w:color w:val="000000"/>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完全按照以下要求提供投标人曾实施的餐饮服务业绩，提供的证明材料均不得遮挡涂黑，否则不予认定加分。</w:t>
            </w:r>
          </w:p>
          <w:p>
            <w:pPr>
              <w:widowControl/>
              <w:adjustRightInd w:val="0"/>
              <w:snapToGrid w:val="0"/>
              <w:rPr>
                <w:kern w:val="0"/>
                <w:sz w:val="24"/>
                <w:szCs w:val="24"/>
              </w:rPr>
            </w:pPr>
            <w:r>
              <w:rPr>
                <w:rFonts w:hint="eastAsia"/>
                <w:kern w:val="0"/>
                <w:sz w:val="24"/>
                <w:szCs w:val="24"/>
              </w:rPr>
              <w:t>A. 合同原件扫描件。包括买卖双方名称及盖章、服务期限（合同服务起始日期为2022年1月1日或以后，且已经履行至少1年的时间）、服务内容</w:t>
            </w:r>
          </w:p>
          <w:p>
            <w:pPr>
              <w:widowControl/>
              <w:adjustRightInd w:val="0"/>
              <w:snapToGrid w:val="0"/>
              <w:rPr>
                <w:color w:val="FF0000"/>
                <w:kern w:val="0"/>
                <w:sz w:val="24"/>
                <w:szCs w:val="24"/>
              </w:rPr>
            </w:pPr>
            <w:r>
              <w:rPr>
                <w:rFonts w:hint="eastAsia"/>
                <w:kern w:val="0"/>
                <w:sz w:val="24"/>
                <w:szCs w:val="24"/>
              </w:rPr>
              <w:t>B. 提供上述合同服务期限内至少一个月的服务方开具的发票凭证原件扫描件。</w:t>
            </w:r>
          </w:p>
          <w:p>
            <w:pPr>
              <w:widowControl/>
              <w:adjustRightInd w:val="0"/>
              <w:snapToGrid w:val="0"/>
              <w:rPr>
                <w:color w:val="FF0000"/>
                <w:kern w:val="0"/>
                <w:sz w:val="24"/>
                <w:szCs w:val="24"/>
              </w:rPr>
            </w:pPr>
            <w:r>
              <w:rPr>
                <w:kern w:val="0"/>
                <w:sz w:val="24"/>
                <w:szCs w:val="24"/>
              </w:rPr>
              <w:t>每个业绩2分，最多</w:t>
            </w:r>
            <w:r>
              <w:rPr>
                <w:rFonts w:hint="eastAsia"/>
                <w:kern w:val="0"/>
                <w:sz w:val="24"/>
                <w:szCs w:val="24"/>
              </w:rPr>
              <w:t>10</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投标人相关证书评价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投标人具备质量管理体系认证、环境管理体系认证、职业健康安全管理体系认证，提供证书扫描件。</w:t>
            </w:r>
          </w:p>
          <w:p>
            <w:pPr>
              <w:widowControl/>
              <w:adjustRightInd w:val="0"/>
              <w:snapToGrid w:val="0"/>
              <w:rPr>
                <w:kern w:val="0"/>
                <w:sz w:val="24"/>
                <w:szCs w:val="24"/>
              </w:rPr>
            </w:pPr>
            <w:r>
              <w:rPr>
                <w:rFonts w:hint="eastAsia"/>
                <w:kern w:val="0"/>
                <w:sz w:val="24"/>
                <w:szCs w:val="24"/>
              </w:rPr>
              <w:t>具备1个证书得2分，最高6分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派驻项目负责人评价</w:t>
            </w:r>
          </w:p>
        </w:tc>
        <w:tc>
          <w:tcPr>
            <w:tcW w:w="7311" w:type="dxa"/>
            <w:shd w:val="clear" w:color="auto" w:fill="auto"/>
            <w:vAlign w:val="center"/>
          </w:tcPr>
          <w:p>
            <w:pPr>
              <w:widowControl/>
              <w:adjustRightInd w:val="0"/>
              <w:snapToGrid w:val="0"/>
              <w:rPr>
                <w:kern w:val="0"/>
                <w:sz w:val="24"/>
                <w:szCs w:val="24"/>
              </w:rPr>
            </w:pPr>
            <w:r>
              <w:rPr>
                <w:kern w:val="0"/>
                <w:sz w:val="24"/>
                <w:szCs w:val="24"/>
              </w:rPr>
              <w:t>投入的项目负责人为投标单位正式员工，提供项目负责人姓名、开标日前三个月中连续两个月的由投标单位或其分公司为该项目负责人缴纳社会保险证明扫描件，否则不予认定加分。</w:t>
            </w:r>
          </w:p>
          <w:p>
            <w:pPr>
              <w:widowControl/>
              <w:adjustRightInd w:val="0"/>
              <w:snapToGrid w:val="0"/>
              <w:rPr>
                <w:kern w:val="0"/>
                <w:sz w:val="24"/>
                <w:szCs w:val="24"/>
              </w:rPr>
            </w:pPr>
            <w:r>
              <w:rPr>
                <w:rFonts w:hint="eastAsia"/>
                <w:kern w:val="0"/>
                <w:sz w:val="24"/>
                <w:szCs w:val="24"/>
              </w:rPr>
              <w:t>（1）提供项目负责人大专以上（含大专）毕业证书扫描件，且年龄满足招标文件要求：2分，其他：0分；</w:t>
            </w:r>
          </w:p>
          <w:p>
            <w:pPr>
              <w:widowControl/>
              <w:adjustRightInd w:val="0"/>
              <w:snapToGrid w:val="0"/>
              <w:rPr>
                <w:kern w:val="0"/>
                <w:sz w:val="24"/>
                <w:szCs w:val="24"/>
              </w:rPr>
            </w:pPr>
            <w:r>
              <w:rPr>
                <w:rFonts w:hint="eastAsia"/>
                <w:kern w:val="0"/>
                <w:sz w:val="24"/>
                <w:szCs w:val="24"/>
              </w:rPr>
              <w:t>（2）提供项目负责人用户服务证明扫描件（加盖用户单位公章），用户服务证明能表明该项目负责人具备5年（含5年）以上单位餐饮管理经验的，且年龄满足招标文件要求：2分，其他：0分；</w:t>
            </w:r>
          </w:p>
          <w:p>
            <w:pPr>
              <w:widowControl/>
              <w:adjustRightInd w:val="0"/>
              <w:snapToGrid w:val="0"/>
              <w:rPr>
                <w:kern w:val="0"/>
                <w:sz w:val="24"/>
                <w:szCs w:val="24"/>
              </w:rPr>
            </w:pPr>
            <w:r>
              <w:rPr>
                <w:rFonts w:hint="eastAsia"/>
                <w:kern w:val="0"/>
                <w:sz w:val="24"/>
                <w:szCs w:val="24"/>
              </w:rPr>
              <w:t>（3）项目负责人具备卫生防疫部门或医疗机构颁发的健康证，提供合格的证书扫描件，且年龄满足招标文件要求：2分，其他：0分；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派驻服务人员（不含项目负责人）评价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（1）厨师：提供卫生防疫部门或医疗机构为餐饮服务人员颁发的健康证扫描件，且性别年龄满足招标文件要求，每个合格的人员得1分，最多1分。</w:t>
            </w:r>
          </w:p>
          <w:p>
            <w:pPr>
              <w:widowControl/>
              <w:adjustRightInd w:val="0"/>
              <w:snapToGrid w:val="0"/>
              <w:rPr>
                <w:kern w:val="0"/>
                <w:sz w:val="24"/>
                <w:szCs w:val="24"/>
              </w:rPr>
            </w:pPr>
            <w:r>
              <w:rPr>
                <w:rFonts w:hint="eastAsia"/>
                <w:kern w:val="0"/>
                <w:sz w:val="24"/>
                <w:szCs w:val="24"/>
              </w:rPr>
              <w:t>（2）厨师：提供上述厨师（已提供证书扫描件的）开标日当月或上一月的由投标单位缴纳社会保险证明扫描件，每个合格的人员社保证明扫描件得1分，最多1分。</w:t>
            </w:r>
          </w:p>
          <w:p>
            <w:pPr>
              <w:widowControl/>
              <w:adjustRightInd w:val="0"/>
              <w:snapToGrid w:val="0"/>
              <w:rPr>
                <w:kern w:val="0"/>
                <w:sz w:val="24"/>
                <w:szCs w:val="24"/>
              </w:rPr>
            </w:pPr>
            <w:r>
              <w:rPr>
                <w:rFonts w:hint="eastAsia"/>
                <w:kern w:val="0"/>
                <w:sz w:val="24"/>
                <w:szCs w:val="24"/>
              </w:rPr>
              <w:t>（3）面点师：提供卫生防疫部门或医疗机构为餐饮服务人员颁发的健康证扫描件，且年龄满足招标文件要求，每个合格的人员得1分，最多1分。</w:t>
            </w:r>
          </w:p>
          <w:p>
            <w:pPr>
              <w:widowControl/>
              <w:adjustRightInd w:val="0"/>
              <w:snapToGrid w:val="0"/>
              <w:rPr>
                <w:kern w:val="0"/>
                <w:sz w:val="24"/>
                <w:szCs w:val="24"/>
              </w:rPr>
            </w:pPr>
            <w:r>
              <w:rPr>
                <w:rFonts w:hint="eastAsia"/>
                <w:kern w:val="0"/>
                <w:sz w:val="24"/>
                <w:szCs w:val="24"/>
              </w:rPr>
              <w:t>（4）面点师：提供上述面点师（已提供证书扫描件的）开标日当月或上一月的由投标单位缴纳社会保险证明扫描件，每个合格的人员社保证明扫描件得1分，最多1分。</w:t>
            </w:r>
          </w:p>
          <w:p>
            <w:pPr>
              <w:widowControl/>
              <w:adjustRightInd w:val="0"/>
              <w:snapToGrid w:val="0"/>
              <w:rPr>
                <w:kern w:val="0"/>
                <w:sz w:val="24"/>
                <w:szCs w:val="24"/>
              </w:rPr>
            </w:pPr>
            <w:r>
              <w:rPr>
                <w:rFonts w:hint="eastAsia"/>
                <w:kern w:val="0"/>
                <w:sz w:val="24"/>
                <w:szCs w:val="24"/>
              </w:rPr>
              <w:t>（5）墩工：提供卫生防疫部门或医疗机构为餐饮服务人员颁发的健康证扫描件，且性别年龄满足招标文件要求，每个合格的人员得1分，最多1分。</w:t>
            </w:r>
          </w:p>
          <w:p>
            <w:pPr>
              <w:widowControl/>
              <w:adjustRightInd w:val="0"/>
              <w:snapToGrid w:val="0"/>
              <w:rPr>
                <w:kern w:val="0"/>
                <w:sz w:val="24"/>
                <w:szCs w:val="24"/>
              </w:rPr>
            </w:pPr>
            <w:r>
              <w:rPr>
                <w:rFonts w:hint="eastAsia"/>
                <w:kern w:val="0"/>
                <w:sz w:val="24"/>
                <w:szCs w:val="24"/>
              </w:rPr>
              <w:t>（6）墩工：提供上述墩工（已提供证书扫描件的）开标日当月或上一月的由投标单位缴纳社会保险证明扫描件，每个合格的人员社保证明扫描件得1分，最多1分。</w:t>
            </w:r>
          </w:p>
          <w:p>
            <w:pPr>
              <w:widowControl/>
              <w:adjustRightInd w:val="0"/>
              <w:snapToGrid w:val="0"/>
              <w:rPr>
                <w:kern w:val="0"/>
                <w:sz w:val="24"/>
                <w:szCs w:val="24"/>
              </w:rPr>
            </w:pPr>
            <w:r>
              <w:rPr>
                <w:rFonts w:hint="eastAsia"/>
                <w:kern w:val="0"/>
                <w:sz w:val="24"/>
                <w:szCs w:val="24"/>
              </w:rPr>
              <w:t>（7）服务员：提供卫生防疫部门或医疗机构为餐饮服务人员颁发的健康证扫描件，且性别年龄满足招标文件要求，每个合格的人员得1分，最多1分。</w:t>
            </w:r>
          </w:p>
          <w:p>
            <w:pPr>
              <w:widowControl/>
              <w:adjustRightInd w:val="0"/>
              <w:snapToGrid w:val="0"/>
              <w:rPr>
                <w:kern w:val="0"/>
                <w:sz w:val="24"/>
                <w:szCs w:val="24"/>
              </w:rPr>
            </w:pPr>
            <w:r>
              <w:rPr>
                <w:rFonts w:hint="eastAsia"/>
                <w:kern w:val="0"/>
                <w:sz w:val="24"/>
                <w:szCs w:val="24"/>
              </w:rPr>
              <w:t>（8）服务员：提供上述服务员（已提供证书扫描件的）开标日当月或上一月的由投标单位缴纳社会保险证明扫描件，每个合格的人员社保证明扫描件得1分，最多1分。</w:t>
            </w:r>
          </w:p>
          <w:p>
            <w:pPr>
              <w:widowControl/>
              <w:adjustRightInd w:val="0"/>
              <w:snapToGrid w:val="0"/>
              <w:rPr>
                <w:kern w:val="0"/>
                <w:sz w:val="24"/>
                <w:szCs w:val="24"/>
              </w:rPr>
            </w:pPr>
            <w:r>
              <w:rPr>
                <w:rFonts w:hint="eastAsia"/>
                <w:kern w:val="0"/>
                <w:sz w:val="24"/>
                <w:szCs w:val="24"/>
              </w:rPr>
              <w:t>（9）洗碗工兼勤杂：提供卫生防疫部门或医疗机构为餐饮服务人员颁发的健康证扫描件，且性别年龄满足招标文件要求，每个合格的人员得1分，最多1分。</w:t>
            </w:r>
          </w:p>
          <w:p>
            <w:pPr>
              <w:widowControl/>
              <w:adjustRightInd w:val="0"/>
              <w:snapToGrid w:val="0"/>
              <w:rPr>
                <w:kern w:val="0"/>
                <w:sz w:val="24"/>
                <w:szCs w:val="24"/>
              </w:rPr>
            </w:pPr>
            <w:r>
              <w:rPr>
                <w:rFonts w:hint="eastAsia"/>
                <w:kern w:val="0"/>
                <w:sz w:val="24"/>
                <w:szCs w:val="24"/>
              </w:rPr>
              <w:t>（10）洗碗工兼勤杂：提供上述洗碗工兼勤杂（已提供证书扫描件的）开标日当月或上一月的由投标单位缴纳社会保险证明扫描件，每个合格的人员社保证明扫描件得1分，最多1分。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pPr>
              <w:widowControl/>
              <w:adjustRightInd w:val="0"/>
              <w:snapToGrid w:val="0"/>
              <w:jc w:val="center"/>
              <w:rPr>
                <w:kern w:val="0"/>
                <w:sz w:val="24"/>
                <w:szCs w:val="24"/>
              </w:rPr>
            </w:pPr>
            <w:r>
              <w:rPr>
                <w:color w:val="000000" w:themeColor="text1"/>
                <w:sz w:val="24"/>
                <w14:textFill>
                  <w14:solidFill>
                    <w14:schemeClr w14:val="tx1"/>
                  </w14:solidFill>
                </w14:textFill>
              </w:rPr>
              <w:t>人员培训方案</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pPr>
              <w:widowControl/>
              <w:adjustRightInd w:val="0"/>
              <w:snapToGrid w:val="0"/>
              <w:rPr>
                <w:kern w:val="0"/>
                <w:sz w:val="24"/>
                <w:szCs w:val="24"/>
              </w:rPr>
            </w:pPr>
            <w:r>
              <w:rPr>
                <w:rFonts w:hint="eastAsia"/>
                <w:kern w:val="0"/>
                <w:sz w:val="24"/>
                <w:szCs w:val="24"/>
              </w:rPr>
              <w:t>每提供上述1项内容的得1分，最多6分。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承诺完全满足招标文件“报价要求”、“时间地点要求”、“付款方式要求”和技术要求中非“★”号要求的：12分，其他0分。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30</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至少包含各岗位投入人员数量、各岗位内部人员安排配置方案</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餐饮</w:t>
            </w:r>
            <w:r>
              <w:rPr>
                <w:kern w:val="0"/>
                <w:sz w:val="24"/>
                <w:szCs w:val="24"/>
              </w:rPr>
              <w:t>服务方案</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4</w:t>
            </w:r>
            <w:r>
              <w:rPr>
                <w:kern w:val="0"/>
                <w:sz w:val="24"/>
                <w:szCs w:val="24"/>
              </w:rPr>
              <w:t>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2</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对项目重点、难点的理解评价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1处瑕疵</w:t>
            </w:r>
            <w:r>
              <w:rPr>
                <w:kern w:val="0"/>
                <w:sz w:val="24"/>
                <w:szCs w:val="24"/>
              </w:rPr>
              <w:t>：</w:t>
            </w:r>
            <w:r>
              <w:rPr>
                <w:rFonts w:hint="eastAsia"/>
                <w:kern w:val="0"/>
                <w:sz w:val="24"/>
                <w:szCs w:val="24"/>
              </w:rPr>
              <w:t>4</w:t>
            </w:r>
            <w:r>
              <w:rPr>
                <w:kern w:val="0"/>
                <w:sz w:val="24"/>
                <w:szCs w:val="24"/>
              </w:rPr>
              <w:t>分；</w:t>
            </w:r>
          </w:p>
          <w:p>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2处瑕疵</w:t>
            </w:r>
            <w:r>
              <w:rPr>
                <w:kern w:val="0"/>
                <w:sz w:val="24"/>
                <w:szCs w:val="24"/>
              </w:rPr>
              <w:t>：</w:t>
            </w:r>
            <w:r>
              <w:rPr>
                <w:rFonts w:hint="eastAsia"/>
                <w:kern w:val="0"/>
                <w:sz w:val="24"/>
                <w:szCs w:val="24"/>
              </w:rPr>
              <w:t>2</w:t>
            </w:r>
            <w:r>
              <w:rPr>
                <w:kern w:val="0"/>
                <w:sz w:val="24"/>
                <w:szCs w:val="24"/>
              </w:rPr>
              <w:t>分；</w:t>
            </w:r>
          </w:p>
          <w:p>
            <w:pPr>
              <w:widowControl/>
              <w:adjustRightInd w:val="0"/>
              <w:snapToGrid w:val="0"/>
              <w:rPr>
                <w:kern w:val="0"/>
                <w:sz w:val="24"/>
                <w:szCs w:val="24"/>
              </w:rPr>
            </w:pPr>
            <w:r>
              <w:rPr>
                <w:kern w:val="0"/>
                <w:sz w:val="24"/>
                <w:szCs w:val="24"/>
              </w:rPr>
              <w:t>未提供重点难点理解或应对解决方案或不满足招标文件要求或内容存在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color w:val="000000" w:themeColor="text1"/>
                <w:sz w:val="24"/>
                <w14:textFill>
                  <w14:solidFill>
                    <w14:schemeClr w14:val="tx1"/>
                  </w14:solidFill>
                </w14:textFill>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至少包含当出现不可预知紧急情况时，如何保证服务正常运转的措施，临时增配人员设备、现有人员岗位职责临时增加、与相关政府部门协调配合等措施。</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人员保密管理方案评价</w:t>
            </w:r>
          </w:p>
        </w:tc>
        <w:tc>
          <w:tcPr>
            <w:tcW w:w="7311" w:type="dxa"/>
            <w:shd w:val="clear" w:color="auto" w:fill="auto"/>
            <w:vAlign w:val="center"/>
          </w:tcPr>
          <w:p>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至少包含保证服务过程中有可能获取的保密信息不泄露的措施：制定保密制度、服务人员保密培训、重点岗位双人服务、泄密惩罚办法。</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人员稳定性方案评价</w:t>
            </w:r>
          </w:p>
        </w:tc>
        <w:tc>
          <w:tcPr>
            <w:tcW w:w="7311" w:type="dxa"/>
            <w:shd w:val="clear" w:color="auto" w:fill="auto"/>
            <w:vAlign w:val="center"/>
          </w:tcPr>
          <w:p>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至少包含服务期内保证人员更换率不得超过招标文件要求的措施，保证更换人员不得低于采购需求，且应经采购人同意的措施</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pPr>
              <w:widowControl/>
              <w:adjustRightInd w:val="0"/>
              <w:snapToGrid w:val="0"/>
              <w:rPr>
                <w:sz w:val="24"/>
              </w:rPr>
            </w:pPr>
            <w:r>
              <w:rPr>
                <w:rFonts w:hint="eastAsia"/>
                <w:sz w:val="24"/>
              </w:rPr>
              <w:t>价格测算方案科学合理，无瑕疵：3分；</w:t>
            </w:r>
          </w:p>
          <w:p>
            <w:pPr>
              <w:widowControl/>
              <w:adjustRightInd w:val="0"/>
              <w:snapToGrid w:val="0"/>
              <w:rPr>
                <w:sz w:val="24"/>
              </w:rPr>
            </w:pPr>
            <w:r>
              <w:rPr>
                <w:rFonts w:hint="eastAsia"/>
                <w:sz w:val="24"/>
              </w:rPr>
              <w:t>内容存在1处瑕疵：2分；</w:t>
            </w:r>
          </w:p>
          <w:p>
            <w:pPr>
              <w:widowControl/>
              <w:adjustRightInd w:val="0"/>
              <w:snapToGrid w:val="0"/>
              <w:rPr>
                <w:sz w:val="24"/>
              </w:rPr>
            </w:pPr>
            <w:r>
              <w:rPr>
                <w:rFonts w:hint="eastAsia"/>
                <w:sz w:val="24"/>
              </w:rPr>
              <w:t>内容存在2处瑕疵：1分；</w:t>
            </w:r>
          </w:p>
          <w:p>
            <w:pPr>
              <w:widowControl/>
              <w:adjustRightInd w:val="0"/>
              <w:snapToGrid w:val="0"/>
              <w:rPr>
                <w:sz w:val="24"/>
              </w:rPr>
            </w:pPr>
            <w:r>
              <w:rPr>
                <w:rFonts w:hint="eastAsia"/>
                <w:sz w:val="24"/>
              </w:rPr>
              <w:t>未提供测算方案或方案存在3处及以上瑕疵或社会保险、住房公积金应缴未缴的：0分。</w:t>
            </w:r>
          </w:p>
          <w:p>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9393" w:type="dxa"/>
            <w:gridSpan w:val="3"/>
            <w:shd w:val="clear" w:color="auto" w:fill="auto"/>
            <w:noWrap/>
            <w:vAlign w:val="center"/>
          </w:tcPr>
          <w:p>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100</w:t>
            </w:r>
          </w:p>
        </w:tc>
      </w:tr>
    </w:tbl>
    <w:p>
      <w:pPr>
        <w:spacing w:line="360" w:lineRule="auto"/>
        <w:ind w:firstLine="448" w:firstLineChars="200"/>
        <w:outlineLvl w:val="0"/>
        <w:rPr>
          <w:sz w:val="24"/>
        </w:rPr>
      </w:pPr>
      <w:r>
        <w:rPr>
          <w:sz w:val="24"/>
        </w:rPr>
        <w:t>四、投标文件内容要求</w:t>
      </w:r>
    </w:p>
    <w:p>
      <w:pPr>
        <w:spacing w:line="360" w:lineRule="auto"/>
        <w:ind w:firstLine="448" w:firstLineChars="200"/>
        <w:outlineLvl w:val="0"/>
        <w:rPr>
          <w:sz w:val="24"/>
        </w:rPr>
      </w:pPr>
      <w:r>
        <w:rPr>
          <w:rFonts w:hint="eastAsia"/>
          <w:sz w:val="24"/>
        </w:rPr>
        <w:t>（一）</w:t>
      </w:r>
      <w:r>
        <w:rPr>
          <w:sz w:val="24"/>
        </w:rPr>
        <w:t>投标人须按照《投标须知》“C 投标文件的编制”中的相关要求编制投标文件</w:t>
      </w:r>
      <w:r>
        <w:rPr>
          <w:rFonts w:hint="eastAsia"/>
          <w:sz w:val="24"/>
        </w:rPr>
        <w:t>。</w:t>
      </w:r>
    </w:p>
    <w:p>
      <w:pPr>
        <w:spacing w:line="360" w:lineRule="auto"/>
        <w:ind w:firstLine="448" w:firstLineChars="200"/>
        <w:outlineLvl w:val="0"/>
        <w:rPr>
          <w:sz w:val="24"/>
        </w:rPr>
      </w:pPr>
      <w:r>
        <w:rPr>
          <w:rFonts w:hint="eastAsia"/>
          <w:sz w:val="24"/>
        </w:rPr>
        <w:t>（二）</w:t>
      </w:r>
      <w:r>
        <w:rPr>
          <w:sz w:val="24"/>
        </w:rPr>
        <w:t>投标文件</w:t>
      </w:r>
      <w:r>
        <w:rPr>
          <w:rFonts w:hint="eastAsia"/>
          <w:sz w:val="24"/>
        </w:rPr>
        <w:t>格式参照第五部分“投标文件格式”。</w:t>
      </w:r>
    </w:p>
    <w:p>
      <w:pPr>
        <w:spacing w:line="360" w:lineRule="auto"/>
        <w:jc w:val="center"/>
        <w:rPr>
          <w:b/>
          <w:sz w:val="24"/>
        </w:rPr>
      </w:pPr>
      <w:r>
        <w:rPr>
          <w:sz w:val="24"/>
          <w:u w:val="single"/>
        </w:rPr>
        <w:br w:type="page"/>
      </w:r>
      <w:r>
        <w:rPr>
          <w:b/>
          <w:sz w:val="24"/>
        </w:rPr>
        <w:t>项目需求书</w:t>
      </w:r>
    </w:p>
    <w:p>
      <w:pPr>
        <w:widowControl/>
        <w:ind w:firstLine="448" w:firstLineChars="200"/>
        <w:jc w:val="left"/>
        <w:rPr>
          <w:bCs/>
          <w:sz w:val="24"/>
        </w:rPr>
      </w:pPr>
      <w:r>
        <w:rPr>
          <w:rFonts w:hint="eastAsia" w:cs="宋体"/>
          <w:bCs/>
          <w:sz w:val="24"/>
        </w:rPr>
        <w:t>一、项目背景</w:t>
      </w:r>
    </w:p>
    <w:p>
      <w:pPr>
        <w:widowControl/>
        <w:ind w:firstLine="448" w:firstLineChars="200"/>
        <w:jc w:val="left"/>
        <w:rPr>
          <w:rFonts w:cs="宋体"/>
          <w:b/>
          <w:bCs/>
          <w:sz w:val="24"/>
        </w:rPr>
      </w:pPr>
      <w:r>
        <w:rPr>
          <w:rFonts w:hint="eastAsia" w:cs="宋体"/>
          <w:bCs/>
          <w:sz w:val="24"/>
        </w:rPr>
        <w:t>本食堂餐饮服务项目范围包括国家税务总局天津市税务局第三税务分局包含建设路办公区及绍兴道办公区共计2个服务地点，预计就餐人数178人，其中绍兴道办公区78人，建设路办公区100人。</w:t>
      </w:r>
    </w:p>
    <w:p>
      <w:pPr>
        <w:widowControl/>
        <w:ind w:firstLine="448" w:firstLineChars="200"/>
        <w:jc w:val="left"/>
        <w:rPr>
          <w:rFonts w:cs="宋体"/>
          <w:bCs/>
          <w:sz w:val="24"/>
        </w:rPr>
      </w:pPr>
      <w:r>
        <w:rPr>
          <w:rFonts w:hint="eastAsia" w:cs="宋体"/>
          <w:bCs/>
          <w:sz w:val="24"/>
        </w:rPr>
        <w:t>本项目属于餐饮业</w:t>
      </w:r>
    </w:p>
    <w:p>
      <w:pPr>
        <w:widowControl/>
        <w:ind w:firstLine="448" w:firstLineChars="200"/>
        <w:jc w:val="left"/>
        <w:rPr>
          <w:rFonts w:cs="宋体"/>
          <w:sz w:val="24"/>
        </w:rPr>
      </w:pPr>
      <w:r>
        <w:rPr>
          <w:rFonts w:hint="eastAsia" w:cs="宋体"/>
          <w:bCs/>
          <w:sz w:val="24"/>
        </w:rPr>
        <w:t>二、人员及岗位要求</w:t>
      </w:r>
    </w:p>
    <w:tbl>
      <w:tblPr>
        <w:tblStyle w:val="55"/>
        <w:tblW w:w="5260" w:type="pct"/>
        <w:jc w:val="center"/>
        <w:tblCellSpacing w:w="0" w:type="dxa"/>
        <w:tblLayout w:type="autofit"/>
        <w:tblCellMar>
          <w:top w:w="15" w:type="dxa"/>
          <w:left w:w="15" w:type="dxa"/>
          <w:bottom w:w="15" w:type="dxa"/>
          <w:right w:w="15" w:type="dxa"/>
        </w:tblCellMar>
      </w:tblPr>
      <w:tblGrid>
        <w:gridCol w:w="685"/>
        <w:gridCol w:w="1256"/>
        <w:gridCol w:w="707"/>
        <w:gridCol w:w="4976"/>
        <w:gridCol w:w="1411"/>
      </w:tblGrid>
      <w:tr>
        <w:tblPrEx>
          <w:tblCellMar>
            <w:top w:w="15" w:type="dxa"/>
            <w:left w:w="15" w:type="dxa"/>
            <w:bottom w:w="15" w:type="dxa"/>
            <w:right w:w="15" w:type="dxa"/>
          </w:tblCellMar>
        </w:tblPrEx>
        <w:trPr>
          <w:trHeight w:val="93" w:hRule="atLeast"/>
          <w:tblCellSpacing w:w="0" w:type="dxa"/>
          <w:jc w:val="center"/>
        </w:trPr>
        <w:tc>
          <w:tcPr>
            <w:tcW w:w="379" w:type="pct"/>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b/>
                <w:bCs/>
                <w:color w:val="000000"/>
                <w:sz w:val="21"/>
                <w:szCs w:val="21"/>
              </w:rPr>
              <w:t>序号</w:t>
            </w:r>
          </w:p>
        </w:tc>
        <w:tc>
          <w:tcPr>
            <w:tcW w:w="695"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b/>
                <w:bCs/>
                <w:color w:val="000000"/>
                <w:sz w:val="21"/>
                <w:szCs w:val="21"/>
              </w:rPr>
              <w:t>岗位名称</w:t>
            </w:r>
          </w:p>
        </w:tc>
        <w:tc>
          <w:tcPr>
            <w:tcW w:w="391"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b/>
                <w:bCs/>
                <w:color w:val="000000"/>
                <w:sz w:val="21"/>
                <w:szCs w:val="21"/>
              </w:rPr>
              <w:t>人数</w:t>
            </w:r>
          </w:p>
        </w:tc>
        <w:tc>
          <w:tcPr>
            <w:tcW w:w="2754"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b/>
                <w:bCs/>
                <w:color w:val="000000"/>
                <w:sz w:val="21"/>
                <w:szCs w:val="21"/>
              </w:rPr>
              <w:t>要求</w:t>
            </w:r>
          </w:p>
        </w:tc>
        <w:tc>
          <w:tcPr>
            <w:tcW w:w="781" w:type="pct"/>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b/>
                <w:bCs/>
                <w:color w:val="000000"/>
                <w:sz w:val="21"/>
                <w:szCs w:val="21"/>
              </w:rPr>
              <w:t>工作时间</w:t>
            </w:r>
          </w:p>
        </w:tc>
      </w:tr>
      <w:tr>
        <w:tblPrEx>
          <w:tblCellMar>
            <w:top w:w="15" w:type="dxa"/>
            <w:left w:w="15" w:type="dxa"/>
            <w:bottom w:w="15" w:type="dxa"/>
            <w:right w:w="15" w:type="dxa"/>
          </w:tblCellMar>
        </w:tblPrEx>
        <w:trPr>
          <w:trHeight w:val="495"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1</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项目负责人</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1</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1.男女不限，年龄45周岁或以下，身体健康，无前科劣迹，大专以上（含大专）学历，具有五年以上类似单位管理经验和履历；</w:t>
            </w:r>
          </w:p>
          <w:p>
            <w:pPr>
              <w:pStyle w:val="54"/>
              <w:adjustRightInd w:val="0"/>
              <w:snapToGrid w:val="0"/>
              <w:rPr>
                <w:color w:val="000000"/>
                <w:sz w:val="21"/>
                <w:szCs w:val="21"/>
                <w:lang w:eastAsia="zh-CN"/>
              </w:rPr>
            </w:pPr>
            <w:r>
              <w:rPr>
                <w:color w:val="000000"/>
                <w:sz w:val="21"/>
                <w:szCs w:val="21"/>
                <w:lang w:eastAsia="zh-CN"/>
              </w:rPr>
              <w:t>2.常驻项目现场，不得兼管其他项目；</w:t>
            </w:r>
          </w:p>
          <w:p>
            <w:pPr>
              <w:pStyle w:val="54"/>
              <w:adjustRightInd w:val="0"/>
              <w:snapToGrid w:val="0"/>
              <w:rPr>
                <w:color w:val="000000"/>
                <w:sz w:val="21"/>
                <w:szCs w:val="21"/>
                <w:lang w:eastAsia="zh-CN"/>
              </w:rPr>
            </w:pPr>
            <w:r>
              <w:rPr>
                <w:color w:val="000000"/>
                <w:sz w:val="21"/>
                <w:szCs w:val="21"/>
                <w:lang w:eastAsia="zh-CN"/>
              </w:rPr>
              <w:t>3.负责人员管理及食堂食谱拟定、出餐、卫生、安全等监督检查。</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70"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厨师</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1.男性，年龄50周岁或以下，身体健康，无前科劣迹，具有三年以上相关工作经验；</w:t>
            </w:r>
          </w:p>
          <w:p>
            <w:pPr>
              <w:pStyle w:val="54"/>
              <w:adjustRightInd w:val="0"/>
              <w:snapToGrid w:val="0"/>
              <w:rPr>
                <w:color w:val="000000"/>
                <w:sz w:val="21"/>
                <w:szCs w:val="21"/>
                <w:lang w:eastAsia="zh-CN"/>
              </w:rPr>
            </w:pPr>
            <w:r>
              <w:rPr>
                <w:color w:val="000000"/>
                <w:sz w:val="21"/>
                <w:szCs w:val="21"/>
                <w:lang w:eastAsia="zh-CN"/>
              </w:rPr>
              <w:t>2.负责协助项目负责人做好日常管理工作；</w:t>
            </w:r>
          </w:p>
          <w:p>
            <w:pPr>
              <w:pStyle w:val="54"/>
              <w:adjustRightInd w:val="0"/>
              <w:snapToGrid w:val="0"/>
              <w:rPr>
                <w:color w:val="000000"/>
                <w:sz w:val="21"/>
                <w:szCs w:val="21"/>
                <w:lang w:eastAsia="zh-CN"/>
              </w:rPr>
            </w:pPr>
            <w:r>
              <w:rPr>
                <w:color w:val="000000"/>
                <w:sz w:val="21"/>
                <w:szCs w:val="21"/>
                <w:lang w:eastAsia="zh-CN"/>
              </w:rPr>
              <w:t>3.负责菜品的烹制及出品的质量把控。</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70"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3</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面点师</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1.男女不限，年龄50周岁或以下，身体健康，无前科劣迹，具有三年以上相关工作经验；</w:t>
            </w:r>
          </w:p>
          <w:p>
            <w:pPr>
              <w:pStyle w:val="54"/>
              <w:adjustRightInd w:val="0"/>
              <w:snapToGrid w:val="0"/>
              <w:rPr>
                <w:color w:val="000000"/>
                <w:sz w:val="21"/>
                <w:szCs w:val="21"/>
                <w:lang w:eastAsia="zh-CN"/>
              </w:rPr>
            </w:pPr>
            <w:r>
              <w:rPr>
                <w:color w:val="000000"/>
                <w:sz w:val="21"/>
                <w:szCs w:val="21"/>
                <w:lang w:eastAsia="zh-CN"/>
              </w:rPr>
              <w:t>2.负责食堂面点制作及工作区域内设备设施及环境卫生清洁。</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1567"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4</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墩工</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1.男性，年龄45周岁或以下，身体健康，无前科劣迹，具有三年以上相关工作经验。</w:t>
            </w:r>
          </w:p>
          <w:p>
            <w:pPr>
              <w:pStyle w:val="54"/>
              <w:adjustRightInd w:val="0"/>
              <w:snapToGrid w:val="0"/>
              <w:rPr>
                <w:color w:val="000000"/>
                <w:sz w:val="21"/>
                <w:szCs w:val="21"/>
                <w:lang w:eastAsia="zh-CN"/>
              </w:rPr>
            </w:pPr>
            <w:r>
              <w:rPr>
                <w:color w:val="000000"/>
                <w:sz w:val="21"/>
                <w:szCs w:val="21"/>
                <w:lang w:eastAsia="zh-CN"/>
              </w:rPr>
              <w:t>2.按食谱核对原材料种类数量，及时完成各项切配工作，按需切配，合理用料，减少浪费；</w:t>
            </w:r>
          </w:p>
          <w:p>
            <w:pPr>
              <w:pStyle w:val="54"/>
              <w:adjustRightInd w:val="0"/>
              <w:snapToGrid w:val="0"/>
              <w:rPr>
                <w:color w:val="000000"/>
                <w:sz w:val="21"/>
                <w:szCs w:val="21"/>
                <w:lang w:eastAsia="zh-CN"/>
              </w:rPr>
            </w:pPr>
            <w:r>
              <w:rPr>
                <w:color w:val="000000"/>
                <w:sz w:val="21"/>
                <w:szCs w:val="21"/>
                <w:lang w:eastAsia="zh-CN"/>
              </w:rPr>
              <w:t>3.负责菜品的搬运、整理、清洗工作；</w:t>
            </w:r>
          </w:p>
          <w:p>
            <w:pPr>
              <w:pStyle w:val="54"/>
              <w:adjustRightInd w:val="0"/>
              <w:snapToGrid w:val="0"/>
              <w:rPr>
                <w:color w:val="000000"/>
                <w:sz w:val="21"/>
                <w:szCs w:val="21"/>
                <w:lang w:eastAsia="zh-CN"/>
              </w:rPr>
            </w:pPr>
            <w:r>
              <w:rPr>
                <w:color w:val="000000"/>
                <w:sz w:val="21"/>
                <w:szCs w:val="21"/>
                <w:lang w:eastAsia="zh-CN"/>
              </w:rPr>
              <w:t>4.负责厨师炒制期间的打荷工作。</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1125"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5</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服务员</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1.女性，年龄45周岁或以下，身体健康，无前科劣迹，具有三年以上相关工作经验，负责前厅及小餐厅的卫生清理工作；</w:t>
            </w:r>
          </w:p>
          <w:p>
            <w:pPr>
              <w:pStyle w:val="54"/>
              <w:adjustRightInd w:val="0"/>
              <w:snapToGrid w:val="0"/>
              <w:rPr>
                <w:color w:val="000000"/>
                <w:sz w:val="21"/>
                <w:szCs w:val="21"/>
                <w:lang w:eastAsia="zh-CN"/>
              </w:rPr>
            </w:pPr>
            <w:r>
              <w:rPr>
                <w:color w:val="000000"/>
                <w:sz w:val="21"/>
                <w:szCs w:val="21"/>
                <w:lang w:eastAsia="zh-CN"/>
              </w:rPr>
              <w:t>2.负责就餐桌面物品的更换及补充；</w:t>
            </w:r>
          </w:p>
          <w:p>
            <w:pPr>
              <w:pStyle w:val="54"/>
              <w:adjustRightInd w:val="0"/>
              <w:snapToGrid w:val="0"/>
              <w:rPr>
                <w:color w:val="000000"/>
                <w:sz w:val="21"/>
                <w:szCs w:val="21"/>
                <w:lang w:eastAsia="zh-CN"/>
              </w:rPr>
            </w:pPr>
            <w:r>
              <w:rPr>
                <w:color w:val="000000"/>
                <w:sz w:val="21"/>
                <w:szCs w:val="21"/>
                <w:lang w:eastAsia="zh-CN"/>
              </w:rPr>
              <w:t>3.负责菜品及主食的出餐及补充工作；</w:t>
            </w:r>
          </w:p>
          <w:p>
            <w:pPr>
              <w:pStyle w:val="54"/>
              <w:adjustRightInd w:val="0"/>
              <w:snapToGrid w:val="0"/>
              <w:rPr>
                <w:color w:val="000000"/>
                <w:sz w:val="21"/>
                <w:szCs w:val="21"/>
                <w:lang w:eastAsia="zh-CN"/>
              </w:rPr>
            </w:pPr>
            <w:r>
              <w:rPr>
                <w:color w:val="000000"/>
                <w:sz w:val="21"/>
                <w:szCs w:val="21"/>
                <w:lang w:eastAsia="zh-CN"/>
              </w:rPr>
              <w:t>4.协助面点师做好早餐小吃明档的制作。</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1125" w:hRule="atLeast"/>
          <w:tblCellSpacing w:w="0" w:type="dxa"/>
          <w:jc w:val="center"/>
        </w:trPr>
        <w:tc>
          <w:tcPr>
            <w:tcW w:w="379" w:type="pct"/>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6</w:t>
            </w:r>
          </w:p>
        </w:tc>
        <w:tc>
          <w:tcPr>
            <w:tcW w:w="695"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洗碗工兼勤杂</w:t>
            </w:r>
          </w:p>
        </w:tc>
        <w:tc>
          <w:tcPr>
            <w:tcW w:w="39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2</w:t>
            </w:r>
          </w:p>
        </w:tc>
        <w:tc>
          <w:tcPr>
            <w:tcW w:w="2754"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rPr>
                <w:color w:val="000000"/>
                <w:sz w:val="21"/>
                <w:szCs w:val="21"/>
                <w:lang w:eastAsia="zh-CN"/>
              </w:rPr>
            </w:pPr>
            <w:r>
              <w:rPr>
                <w:color w:val="000000"/>
                <w:sz w:val="21"/>
                <w:szCs w:val="21"/>
                <w:lang w:eastAsia="zh-CN"/>
              </w:rPr>
              <w:t>1.男性，年龄55周岁或以下；女性50周岁以下，身体健康，无前科劣迹，具有三年以上相关工作经验，负责餐具的回收、清洗、消毒与整理工作；</w:t>
            </w:r>
          </w:p>
          <w:p>
            <w:pPr>
              <w:pStyle w:val="54"/>
              <w:adjustRightInd w:val="0"/>
              <w:snapToGrid w:val="0"/>
              <w:rPr>
                <w:color w:val="000000"/>
                <w:sz w:val="21"/>
                <w:szCs w:val="21"/>
                <w:lang w:eastAsia="zh-CN"/>
              </w:rPr>
            </w:pPr>
            <w:r>
              <w:rPr>
                <w:color w:val="000000"/>
                <w:sz w:val="21"/>
                <w:szCs w:val="21"/>
                <w:lang w:eastAsia="zh-CN"/>
              </w:rPr>
              <w:t>2.负责洗碗机的日常保洁及维护工作；</w:t>
            </w:r>
          </w:p>
          <w:p>
            <w:pPr>
              <w:pStyle w:val="54"/>
              <w:adjustRightInd w:val="0"/>
              <w:snapToGrid w:val="0"/>
              <w:rPr>
                <w:color w:val="000000"/>
                <w:sz w:val="21"/>
                <w:szCs w:val="21"/>
                <w:lang w:eastAsia="zh-CN"/>
              </w:rPr>
            </w:pPr>
            <w:r>
              <w:rPr>
                <w:color w:val="000000"/>
                <w:sz w:val="21"/>
                <w:szCs w:val="21"/>
                <w:lang w:eastAsia="zh-CN"/>
              </w:rPr>
              <w:t>3.完成项目经理、厨师布置的其它工作。 </w:t>
            </w:r>
          </w:p>
        </w:tc>
        <w:tc>
          <w:tcPr>
            <w:tcW w:w="781" w:type="pct"/>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每日8小时，每周5日</w:t>
            </w:r>
          </w:p>
        </w:tc>
      </w:tr>
      <w:tr>
        <w:tblPrEx>
          <w:tblCellMar>
            <w:top w:w="15" w:type="dxa"/>
            <w:left w:w="15" w:type="dxa"/>
            <w:bottom w:w="15" w:type="dxa"/>
            <w:right w:w="15" w:type="dxa"/>
          </w:tblCellMar>
        </w:tblPrEx>
        <w:trPr>
          <w:trHeight w:val="70" w:hRule="atLeast"/>
          <w:tblCellSpacing w:w="0" w:type="dxa"/>
          <w:jc w:val="center"/>
        </w:trPr>
        <w:tc>
          <w:tcPr>
            <w:tcW w:w="1465" w:type="pct"/>
            <w:gridSpan w:val="3"/>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color w:val="000000"/>
                <w:sz w:val="21"/>
                <w:szCs w:val="21"/>
              </w:rPr>
            </w:pPr>
            <w:r>
              <w:rPr>
                <w:color w:val="000000"/>
                <w:sz w:val="21"/>
                <w:szCs w:val="21"/>
              </w:rPr>
              <w:t>合计</w:t>
            </w:r>
          </w:p>
        </w:tc>
        <w:tc>
          <w:tcPr>
            <w:tcW w:w="3535" w:type="pct"/>
            <w:gridSpan w:val="2"/>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color w:val="000000"/>
                <w:sz w:val="21"/>
                <w:szCs w:val="21"/>
              </w:rPr>
            </w:pPr>
            <w:r>
              <w:rPr>
                <w:color w:val="000000"/>
                <w:sz w:val="21"/>
                <w:szCs w:val="21"/>
              </w:rPr>
              <w:t>11人</w:t>
            </w:r>
          </w:p>
        </w:tc>
      </w:tr>
    </w:tbl>
    <w:p>
      <w:pPr>
        <w:widowControl/>
        <w:ind w:firstLine="448" w:firstLineChars="200"/>
        <w:jc w:val="left"/>
        <w:rPr>
          <w:sz w:val="24"/>
        </w:rPr>
      </w:pPr>
      <w:r>
        <w:rPr>
          <w:rFonts w:hint="eastAsia"/>
          <w:sz w:val="24"/>
        </w:rPr>
        <w:t>注：</w:t>
      </w:r>
    </w:p>
    <w:p>
      <w:pPr>
        <w:widowControl/>
        <w:ind w:firstLine="448" w:firstLineChars="200"/>
        <w:jc w:val="left"/>
        <w:rPr>
          <w:sz w:val="24"/>
        </w:rPr>
      </w:pPr>
      <w:r>
        <w:rPr>
          <w:rFonts w:hint="eastAsia"/>
          <w:sz w:val="24"/>
        </w:rPr>
        <w:t>★以上人员均不接受退休人员，且均持卫生防疫部门或医疗机构颁发的健康证上岗。</w:t>
      </w:r>
    </w:p>
    <w:p>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pPr>
        <w:widowControl/>
        <w:ind w:firstLine="448" w:firstLineChars="200"/>
        <w:jc w:val="left"/>
        <w:rPr>
          <w:sz w:val="24"/>
        </w:rPr>
      </w:pPr>
      <w:r>
        <w:rPr>
          <w:rFonts w:hint="eastAsia"/>
          <w:sz w:val="24"/>
        </w:rPr>
        <w:t>一旦获得中标资格，上述人员按要求投入本项目服务，非经采购人同意，不随意更换人员。</w:t>
      </w:r>
    </w:p>
    <w:p>
      <w:pPr>
        <w:widowControl/>
        <w:ind w:firstLine="448" w:firstLineChars="200"/>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pPr>
        <w:spacing w:line="360" w:lineRule="auto"/>
        <w:ind w:firstLine="448" w:firstLineChars="200"/>
        <w:jc w:val="left"/>
        <w:rPr>
          <w:bCs/>
          <w:sz w:val="24"/>
          <w:szCs w:val="24"/>
        </w:rPr>
      </w:pPr>
      <w:r>
        <w:rPr>
          <w:rFonts w:hint="eastAsia" w:cs="宋体"/>
          <w:bCs/>
          <w:sz w:val="24"/>
          <w:szCs w:val="24"/>
        </w:rPr>
        <w:t>三、具体要求</w:t>
      </w:r>
    </w:p>
    <w:p>
      <w:pPr>
        <w:spacing w:line="360" w:lineRule="auto"/>
        <w:ind w:firstLine="448" w:firstLineChars="200"/>
        <w:jc w:val="left"/>
        <w:rPr>
          <w:rFonts w:cs="宋体"/>
          <w:bCs/>
          <w:sz w:val="24"/>
          <w:szCs w:val="24"/>
        </w:rPr>
      </w:pPr>
      <w:r>
        <w:rPr>
          <w:rFonts w:hint="eastAsia" w:cs="宋体"/>
          <w:bCs/>
          <w:sz w:val="24"/>
          <w:szCs w:val="24"/>
        </w:rPr>
        <w:t>（一）供餐标准及方式</w:t>
      </w:r>
    </w:p>
    <w:p>
      <w:pPr>
        <w:spacing w:line="360" w:lineRule="auto"/>
        <w:ind w:firstLine="448" w:firstLineChars="200"/>
        <w:jc w:val="left"/>
        <w:rPr>
          <w:rFonts w:cs="宋体"/>
          <w:bCs/>
          <w:sz w:val="24"/>
          <w:szCs w:val="24"/>
        </w:rPr>
      </w:pPr>
      <w:r>
        <w:rPr>
          <w:rFonts w:hint="eastAsia" w:cs="宋体"/>
          <w:bCs/>
          <w:sz w:val="24"/>
          <w:szCs w:val="24"/>
        </w:rPr>
        <w:t>1、餐费标准：</w:t>
      </w:r>
    </w:p>
    <w:p>
      <w:pPr>
        <w:spacing w:line="360" w:lineRule="auto"/>
        <w:ind w:firstLine="448" w:firstLineChars="200"/>
        <w:jc w:val="left"/>
        <w:rPr>
          <w:rFonts w:cs="宋体"/>
          <w:bCs/>
          <w:sz w:val="24"/>
          <w:szCs w:val="24"/>
        </w:rPr>
      </w:pPr>
      <w:r>
        <w:rPr>
          <w:rFonts w:hint="eastAsia" w:cs="宋体"/>
          <w:bCs/>
          <w:sz w:val="24"/>
          <w:szCs w:val="24"/>
        </w:rPr>
        <w:t>30元/人/天（早餐10元/人次，午餐20元/人次）。</w:t>
      </w:r>
    </w:p>
    <w:p>
      <w:pPr>
        <w:spacing w:line="360" w:lineRule="auto"/>
        <w:ind w:firstLine="448" w:firstLineChars="200"/>
        <w:jc w:val="left"/>
        <w:rPr>
          <w:rFonts w:cs="宋体"/>
          <w:bCs/>
          <w:sz w:val="24"/>
          <w:szCs w:val="24"/>
        </w:rPr>
      </w:pPr>
      <w:r>
        <w:rPr>
          <w:rFonts w:hint="eastAsia" w:cs="宋体"/>
          <w:bCs/>
          <w:sz w:val="24"/>
          <w:szCs w:val="24"/>
        </w:rPr>
        <w:t>有公务招待时，桌餐餐费不得高于政府规定的标准，按就餐人数据实结算。</w:t>
      </w:r>
    </w:p>
    <w:p>
      <w:pPr>
        <w:spacing w:line="360" w:lineRule="auto"/>
        <w:ind w:firstLine="448" w:firstLineChars="200"/>
        <w:jc w:val="left"/>
        <w:rPr>
          <w:rFonts w:cs="宋体"/>
          <w:bCs/>
          <w:sz w:val="24"/>
          <w:szCs w:val="24"/>
        </w:rPr>
      </w:pPr>
      <w:r>
        <w:rPr>
          <w:rFonts w:hint="eastAsia" w:cs="宋体"/>
          <w:bCs/>
          <w:sz w:val="24"/>
          <w:szCs w:val="24"/>
        </w:rPr>
        <w:t>注：上述餐费标准仅为食材采购的包干价（中标供应商在食材上应保证零利润）；低值易耗、清洁用品、厨房设备设施、场地、餐厨具、能源费用、餐桌椅由采购单位提供。</w:t>
      </w:r>
    </w:p>
    <w:p>
      <w:pPr>
        <w:spacing w:line="360" w:lineRule="auto"/>
        <w:ind w:firstLine="448" w:firstLineChars="200"/>
        <w:jc w:val="left"/>
        <w:rPr>
          <w:rFonts w:cs="宋体"/>
          <w:bCs/>
          <w:sz w:val="24"/>
          <w:szCs w:val="24"/>
        </w:rPr>
      </w:pPr>
      <w:r>
        <w:rPr>
          <w:rFonts w:hint="eastAsia" w:cs="宋体"/>
          <w:bCs/>
          <w:sz w:val="24"/>
          <w:szCs w:val="24"/>
        </w:rPr>
        <w:t>本项目每月餐费费用的12%（采购比例以上级部门政策要求为准）用于脱贫地区农副产品采购，由采购方指导中标人按照规定时间和要求定向进行采购，采购的食材必须在本项目内使用。</w:t>
      </w:r>
    </w:p>
    <w:p>
      <w:pPr>
        <w:spacing w:line="360" w:lineRule="auto"/>
        <w:ind w:firstLine="448" w:firstLineChars="200"/>
        <w:jc w:val="left"/>
        <w:rPr>
          <w:rFonts w:cs="宋体"/>
          <w:bCs/>
          <w:sz w:val="24"/>
          <w:szCs w:val="24"/>
        </w:rPr>
      </w:pPr>
      <w:r>
        <w:rPr>
          <w:rFonts w:hint="eastAsia" w:cs="宋体"/>
          <w:bCs/>
          <w:sz w:val="24"/>
          <w:szCs w:val="24"/>
        </w:rPr>
        <w:t>2、供餐方式：</w:t>
      </w:r>
    </w:p>
    <w:p>
      <w:pPr>
        <w:spacing w:line="360" w:lineRule="auto"/>
        <w:ind w:firstLine="448" w:firstLineChars="200"/>
        <w:jc w:val="left"/>
        <w:rPr>
          <w:rFonts w:cs="宋体"/>
          <w:bCs/>
          <w:sz w:val="24"/>
          <w:szCs w:val="24"/>
        </w:rPr>
      </w:pPr>
      <w:r>
        <w:rPr>
          <w:rFonts w:hint="eastAsia" w:cs="宋体"/>
          <w:bCs/>
          <w:sz w:val="24"/>
          <w:szCs w:val="24"/>
        </w:rPr>
        <w:t>常规供餐采取自助餐，接待供餐按采购人需求采取自助或桌餐形式。出餐要满足回民的就餐要求，要有明显的清真标识。</w:t>
      </w:r>
    </w:p>
    <w:p>
      <w:pPr>
        <w:spacing w:line="360" w:lineRule="auto"/>
        <w:ind w:firstLine="448" w:firstLineChars="200"/>
        <w:jc w:val="left"/>
        <w:rPr>
          <w:rFonts w:cs="宋体"/>
          <w:bCs/>
          <w:sz w:val="24"/>
          <w:szCs w:val="24"/>
        </w:rPr>
      </w:pPr>
      <w:r>
        <w:rPr>
          <w:rFonts w:hint="eastAsia" w:cs="宋体"/>
          <w:bCs/>
          <w:sz w:val="24"/>
          <w:szCs w:val="24"/>
        </w:rPr>
        <w:t>早餐：</w:t>
      </w:r>
    </w:p>
    <w:p>
      <w:pPr>
        <w:spacing w:line="360" w:lineRule="auto"/>
        <w:ind w:firstLine="448" w:firstLineChars="200"/>
        <w:jc w:val="left"/>
        <w:rPr>
          <w:rFonts w:cs="宋体"/>
          <w:bCs/>
          <w:sz w:val="24"/>
          <w:szCs w:val="24"/>
        </w:rPr>
      </w:pPr>
      <w:r>
        <w:rPr>
          <w:rFonts w:hint="eastAsia" w:cs="宋体"/>
          <w:bCs/>
          <w:sz w:val="24"/>
          <w:szCs w:val="24"/>
        </w:rPr>
        <w:t>每日早餐供应4种凉拌菜或素小炒、4种以上咸菜或自制腌渍小菜、4种以上花色面食、2种粥类、豆浆、牛奶、鸡蛋（含茶鸡蛋、煎蛋、炒鸡蛋）1种、肉类（火腿、酱货）1种、炸制食品（炸素丸子、炸茄夹、炸藕夹、炸鸡米花、炸鸡排、炸鸡柳等）1种。</w:t>
      </w:r>
    </w:p>
    <w:p>
      <w:pPr>
        <w:spacing w:line="360" w:lineRule="auto"/>
        <w:ind w:firstLine="448" w:firstLineChars="200"/>
        <w:jc w:val="left"/>
        <w:rPr>
          <w:rFonts w:cs="宋体"/>
          <w:bCs/>
          <w:sz w:val="24"/>
          <w:szCs w:val="24"/>
        </w:rPr>
      </w:pPr>
      <w:r>
        <w:rPr>
          <w:rFonts w:hint="eastAsia" w:cs="宋体"/>
          <w:bCs/>
          <w:sz w:val="24"/>
          <w:szCs w:val="24"/>
        </w:rPr>
        <w:t>小吃明档每天安排一种以上小吃。固定特色小吃4种，一个自然周每天各安排1种：锅巴菜、骨汤云吞、老豆腐、煎饼果子等。非固定小吃1种，每月安排1次：羊汤、鸭血粉丝汤、炒肝、胡辣汤、拉面、肉蛋堡、鸡蛋灌饼等。</w:t>
      </w:r>
    </w:p>
    <w:p>
      <w:pPr>
        <w:spacing w:line="360" w:lineRule="auto"/>
        <w:ind w:firstLine="448" w:firstLineChars="200"/>
        <w:jc w:val="left"/>
        <w:rPr>
          <w:rFonts w:cs="宋体"/>
          <w:bCs/>
          <w:sz w:val="24"/>
          <w:szCs w:val="24"/>
        </w:rPr>
      </w:pPr>
      <w:r>
        <w:rPr>
          <w:rFonts w:hint="eastAsia" w:cs="宋体"/>
          <w:bCs/>
          <w:sz w:val="24"/>
          <w:szCs w:val="24"/>
        </w:rPr>
        <w:t>中点和西点每天轮换供应（一周内不得重样），每天各1个品种：油条、油酥（芝麻、夹馅）烧饼、发面饼、大饼、牛肉馅烧饼（或烧饼夹牛肉）、肉夹馍、烧饼里脊、手抓饼、曲奇、蛋糕、瑞士卷、马蹄酥、核桃酥、面包片、切糕、驴打滚等。</w:t>
      </w:r>
    </w:p>
    <w:p>
      <w:pPr>
        <w:spacing w:line="360" w:lineRule="auto"/>
        <w:ind w:firstLine="448" w:firstLineChars="200"/>
        <w:jc w:val="left"/>
        <w:rPr>
          <w:rFonts w:cs="宋体"/>
          <w:bCs/>
          <w:sz w:val="24"/>
          <w:szCs w:val="24"/>
        </w:rPr>
      </w:pPr>
      <w:r>
        <w:rPr>
          <w:rFonts w:hint="eastAsia" w:cs="宋体"/>
          <w:bCs/>
          <w:sz w:val="24"/>
          <w:szCs w:val="24"/>
        </w:rPr>
        <w:t>以上食品应立足自制，减少外购。</w:t>
      </w:r>
    </w:p>
    <w:p>
      <w:pPr>
        <w:spacing w:line="360" w:lineRule="auto"/>
        <w:ind w:firstLine="448" w:firstLineChars="200"/>
        <w:jc w:val="left"/>
        <w:rPr>
          <w:rFonts w:cs="宋体"/>
          <w:bCs/>
          <w:sz w:val="24"/>
          <w:szCs w:val="24"/>
        </w:rPr>
      </w:pPr>
      <w:r>
        <w:rPr>
          <w:rFonts w:hint="eastAsia" w:cs="宋体"/>
          <w:bCs/>
          <w:sz w:val="24"/>
          <w:szCs w:val="24"/>
        </w:rPr>
        <w:t xml:space="preserve">午餐： </w:t>
      </w:r>
    </w:p>
    <w:p>
      <w:pPr>
        <w:spacing w:line="360" w:lineRule="auto"/>
        <w:ind w:firstLine="448" w:firstLineChars="200"/>
        <w:jc w:val="left"/>
        <w:rPr>
          <w:rFonts w:cs="宋体"/>
          <w:bCs/>
          <w:sz w:val="24"/>
          <w:szCs w:val="24"/>
        </w:rPr>
      </w:pPr>
      <w:r>
        <w:rPr>
          <w:rFonts w:hint="eastAsia" w:cs="宋体"/>
          <w:bCs/>
          <w:sz w:val="24"/>
          <w:szCs w:val="24"/>
        </w:rPr>
        <w:t>每日午餐热菜不少于5种，其中主荤菜1种（牛、羊肉类、鱼类每周至少各安排一次）、次荤菜2种（猪肉一种、回民餐一种）、素菜2种（根茎类、菌类、豆制品或叶菜等）。</w:t>
      </w:r>
    </w:p>
    <w:p>
      <w:pPr>
        <w:spacing w:line="360" w:lineRule="auto"/>
        <w:ind w:firstLine="448" w:firstLineChars="200"/>
        <w:jc w:val="left"/>
        <w:rPr>
          <w:rFonts w:cs="宋体"/>
          <w:bCs/>
          <w:sz w:val="24"/>
          <w:szCs w:val="24"/>
        </w:rPr>
      </w:pPr>
      <w:r>
        <w:rPr>
          <w:rFonts w:hint="eastAsia" w:cs="宋体"/>
          <w:bCs/>
          <w:sz w:val="24"/>
          <w:szCs w:val="24"/>
        </w:rPr>
        <w:t>每日午餐安排不少于2种特色小吃或西餐单品。如：凉皮、凉面、锅贴、素盒子、烧麦、蒸饺、香河肉饼、水煎包、回头、烧麦、水饺、捞面、牛肉面、油泼面、羊肉泡膜、卤肉饭、铁板烧、炒面、炒饼、披萨、寿司等。每个自然月内至少安排一次以上的品种有饺子、拉面、包子。</w:t>
      </w:r>
    </w:p>
    <w:p>
      <w:pPr>
        <w:spacing w:line="360" w:lineRule="auto"/>
        <w:ind w:firstLine="448" w:firstLineChars="200"/>
        <w:jc w:val="left"/>
        <w:rPr>
          <w:rFonts w:cs="宋体"/>
          <w:bCs/>
          <w:sz w:val="24"/>
          <w:szCs w:val="24"/>
        </w:rPr>
      </w:pPr>
      <w:r>
        <w:rPr>
          <w:rFonts w:hint="eastAsia" w:cs="宋体"/>
          <w:bCs/>
          <w:sz w:val="24"/>
          <w:szCs w:val="24"/>
        </w:rPr>
        <w:t>热菜和特色小吃必须保证足够的供应量。</w:t>
      </w:r>
    </w:p>
    <w:p>
      <w:pPr>
        <w:spacing w:line="360" w:lineRule="auto"/>
        <w:ind w:firstLine="448" w:firstLineChars="200"/>
        <w:jc w:val="left"/>
        <w:rPr>
          <w:rFonts w:cs="宋体"/>
          <w:bCs/>
          <w:sz w:val="24"/>
          <w:szCs w:val="24"/>
        </w:rPr>
      </w:pPr>
      <w:r>
        <w:rPr>
          <w:rFonts w:hint="eastAsia" w:cs="宋体"/>
          <w:bCs/>
          <w:sz w:val="24"/>
          <w:szCs w:val="24"/>
        </w:rPr>
        <w:t>每日午餐安排杂粮不少于1种。如：蒸山药、蒸芋头、蒸胡萝卜、蒸红薯、蒸南瓜、煮玉米、煮毛豆、煮花生等。</w:t>
      </w:r>
    </w:p>
    <w:p>
      <w:pPr>
        <w:spacing w:line="360" w:lineRule="auto"/>
        <w:ind w:firstLine="448" w:firstLineChars="200"/>
        <w:jc w:val="left"/>
        <w:rPr>
          <w:rFonts w:cs="宋体"/>
          <w:bCs/>
          <w:sz w:val="24"/>
          <w:szCs w:val="24"/>
        </w:rPr>
      </w:pPr>
      <w:r>
        <w:rPr>
          <w:rFonts w:hint="eastAsia" w:cs="宋体"/>
          <w:bCs/>
          <w:sz w:val="24"/>
          <w:szCs w:val="24"/>
        </w:rPr>
        <w:t>中国传统节日应制做与节日相匹配的特色食品（如：月饼、粽子、汤圆、焖子、春饼等）。</w:t>
      </w:r>
    </w:p>
    <w:p>
      <w:pPr>
        <w:spacing w:line="360" w:lineRule="auto"/>
        <w:ind w:firstLine="448" w:firstLineChars="200"/>
        <w:jc w:val="left"/>
        <w:rPr>
          <w:rFonts w:cs="宋体"/>
          <w:bCs/>
          <w:sz w:val="24"/>
          <w:szCs w:val="24"/>
        </w:rPr>
      </w:pPr>
      <w:r>
        <w:rPr>
          <w:rFonts w:hint="eastAsia" w:cs="宋体"/>
          <w:bCs/>
          <w:sz w:val="24"/>
          <w:szCs w:val="24"/>
        </w:rPr>
        <w:t>每日午餐安排1种以上水果、2种汤羹、1种酸奶或鲜奶。</w:t>
      </w:r>
    </w:p>
    <w:p>
      <w:pPr>
        <w:spacing w:line="360" w:lineRule="auto"/>
        <w:ind w:firstLine="448" w:firstLineChars="200"/>
        <w:jc w:val="left"/>
        <w:rPr>
          <w:rFonts w:cs="宋体"/>
          <w:bCs/>
          <w:sz w:val="24"/>
          <w:szCs w:val="24"/>
        </w:rPr>
      </w:pPr>
      <w:r>
        <w:rPr>
          <w:rFonts w:hint="eastAsia" w:cs="宋体"/>
          <w:bCs/>
          <w:sz w:val="24"/>
          <w:szCs w:val="24"/>
        </w:rPr>
        <w:t>日常所有面食全部自制，不得外购。</w:t>
      </w:r>
    </w:p>
    <w:p>
      <w:pPr>
        <w:spacing w:line="360" w:lineRule="auto"/>
        <w:ind w:firstLine="448" w:firstLineChars="200"/>
        <w:jc w:val="left"/>
        <w:rPr>
          <w:rFonts w:cs="宋体"/>
          <w:bCs/>
          <w:sz w:val="24"/>
          <w:szCs w:val="24"/>
        </w:rPr>
      </w:pPr>
      <w:r>
        <w:rPr>
          <w:rFonts w:hint="eastAsia" w:cs="宋体"/>
          <w:bCs/>
          <w:sz w:val="24"/>
          <w:szCs w:val="24"/>
        </w:rPr>
        <w:t>早餐、午餐如安排其它花样品种须经采购人食堂管理人员同意后方可调整。</w:t>
      </w:r>
    </w:p>
    <w:p>
      <w:pPr>
        <w:spacing w:line="360" w:lineRule="auto"/>
        <w:ind w:firstLine="448" w:firstLineChars="200"/>
        <w:jc w:val="left"/>
        <w:rPr>
          <w:rFonts w:cs="宋体"/>
          <w:bCs/>
          <w:sz w:val="24"/>
          <w:szCs w:val="24"/>
        </w:rPr>
      </w:pPr>
      <w:r>
        <w:rPr>
          <w:rFonts w:hint="eastAsia" w:cs="宋体"/>
          <w:bCs/>
          <w:sz w:val="24"/>
          <w:szCs w:val="24"/>
        </w:rPr>
        <w:t>食谱每周更新一次，每日菜品主辅料80%以上不重样；每周不出现重复菜品；同一个月内菜品70%不重样。口味应融合南北及西部地区风味，重点体现天津特色，品种丰富多样。食谱安排应充分考虑回族等少数民族就餐要求。重大节日应适当增加菜品数量和质量（如：春节、五一、十一、中秋节等）。每周食谱需提前报送食堂管理人员审核。</w:t>
      </w:r>
    </w:p>
    <w:p>
      <w:pPr>
        <w:spacing w:line="360" w:lineRule="auto"/>
        <w:ind w:firstLine="448" w:firstLineChars="200"/>
        <w:jc w:val="left"/>
        <w:rPr>
          <w:rFonts w:cs="宋体"/>
          <w:bCs/>
          <w:sz w:val="24"/>
          <w:szCs w:val="24"/>
        </w:rPr>
      </w:pPr>
      <w:r>
        <w:rPr>
          <w:rFonts w:hint="eastAsia" w:cs="宋体"/>
          <w:bCs/>
          <w:sz w:val="24"/>
          <w:szCs w:val="24"/>
        </w:rPr>
        <w:t>采购人如有加班需求中标人须无条件配合，并按要求准时供应，加班餐标及员工加班费用均涵盖在日常管理费中，甲方不再向乙方单独支付加班费用。</w:t>
      </w:r>
    </w:p>
    <w:p>
      <w:pPr>
        <w:spacing w:line="360" w:lineRule="auto"/>
        <w:ind w:firstLine="448" w:firstLineChars="200"/>
        <w:jc w:val="left"/>
        <w:rPr>
          <w:rFonts w:cs="宋体"/>
          <w:bCs/>
          <w:sz w:val="24"/>
          <w:szCs w:val="24"/>
        </w:rPr>
      </w:pPr>
      <w:r>
        <w:rPr>
          <w:rFonts w:hint="eastAsia" w:cs="宋体"/>
          <w:bCs/>
          <w:sz w:val="24"/>
          <w:szCs w:val="24"/>
        </w:rPr>
        <w:t>建设路办公区值班人员及两个办公区保安晚餐须按时按标准存放在指定位置。</w:t>
      </w:r>
    </w:p>
    <w:p>
      <w:pPr>
        <w:spacing w:line="360" w:lineRule="auto"/>
        <w:ind w:firstLine="448" w:firstLineChars="200"/>
        <w:jc w:val="left"/>
        <w:rPr>
          <w:rFonts w:cs="宋体"/>
          <w:bCs/>
          <w:sz w:val="24"/>
          <w:szCs w:val="24"/>
        </w:rPr>
      </w:pPr>
      <w:r>
        <w:rPr>
          <w:rFonts w:hint="eastAsia" w:cs="宋体"/>
          <w:bCs/>
          <w:sz w:val="24"/>
          <w:szCs w:val="24"/>
        </w:rPr>
        <w:t>3、用餐时间：</w:t>
      </w:r>
    </w:p>
    <w:p>
      <w:pPr>
        <w:spacing w:line="360" w:lineRule="auto"/>
        <w:ind w:firstLine="448" w:firstLineChars="200"/>
        <w:jc w:val="left"/>
        <w:rPr>
          <w:rFonts w:cs="宋体"/>
          <w:bCs/>
          <w:sz w:val="24"/>
          <w:szCs w:val="24"/>
        </w:rPr>
      </w:pPr>
      <w:r>
        <w:rPr>
          <w:rFonts w:hint="eastAsia" w:cs="宋体"/>
          <w:bCs/>
          <w:sz w:val="24"/>
          <w:szCs w:val="24"/>
        </w:rPr>
        <w:t>早餐：7:30-8:30，午餐：12:00-13:00</w:t>
      </w:r>
    </w:p>
    <w:p>
      <w:pPr>
        <w:spacing w:line="360" w:lineRule="auto"/>
        <w:ind w:firstLine="448" w:firstLineChars="200"/>
        <w:jc w:val="left"/>
        <w:rPr>
          <w:rFonts w:cs="宋体"/>
          <w:bCs/>
          <w:sz w:val="24"/>
          <w:szCs w:val="24"/>
        </w:rPr>
      </w:pPr>
      <w:r>
        <w:rPr>
          <w:rFonts w:hint="eastAsia" w:cs="宋体"/>
          <w:bCs/>
          <w:sz w:val="24"/>
          <w:szCs w:val="24"/>
        </w:rPr>
        <w:t>因中标人原因造成误饭、断供问题，由中标人承担全部责任，采购人有权对中标人进行处罚（处罚标准不超过当餐费用总和的三倍）。</w:t>
      </w:r>
    </w:p>
    <w:p>
      <w:pPr>
        <w:spacing w:line="360" w:lineRule="auto"/>
        <w:ind w:firstLine="448" w:firstLineChars="200"/>
        <w:jc w:val="left"/>
        <w:rPr>
          <w:rFonts w:cs="宋体"/>
          <w:bCs/>
          <w:sz w:val="24"/>
          <w:szCs w:val="24"/>
        </w:rPr>
      </w:pPr>
      <w:r>
        <w:rPr>
          <w:rFonts w:hint="eastAsia" w:cs="宋体"/>
          <w:bCs/>
          <w:sz w:val="24"/>
          <w:szCs w:val="24"/>
        </w:rPr>
        <w:t>（二）食品安全（卫生）标准</w:t>
      </w:r>
    </w:p>
    <w:p>
      <w:pPr>
        <w:spacing w:line="360" w:lineRule="auto"/>
        <w:ind w:firstLine="448" w:firstLineChars="200"/>
        <w:jc w:val="left"/>
        <w:rPr>
          <w:rFonts w:cs="宋体"/>
          <w:bCs/>
          <w:sz w:val="24"/>
          <w:szCs w:val="24"/>
        </w:rPr>
      </w:pPr>
      <w:r>
        <w:rPr>
          <w:rFonts w:hint="eastAsia" w:cs="宋体"/>
          <w:bCs/>
          <w:sz w:val="24"/>
          <w:szCs w:val="24"/>
        </w:rPr>
        <w:t>1、食品采购及原料验收</w:t>
      </w:r>
    </w:p>
    <w:p>
      <w:pPr>
        <w:spacing w:line="360" w:lineRule="auto"/>
        <w:ind w:firstLine="448" w:firstLineChars="200"/>
        <w:jc w:val="left"/>
        <w:rPr>
          <w:rFonts w:cs="宋体"/>
          <w:bCs/>
          <w:sz w:val="24"/>
          <w:szCs w:val="24"/>
        </w:rPr>
      </w:pPr>
      <w:r>
        <w:rPr>
          <w:rFonts w:hint="eastAsia" w:cs="宋体"/>
          <w:bCs/>
          <w:sz w:val="24"/>
          <w:szCs w:val="24"/>
        </w:rPr>
        <w:t>中标人要做好索票、索证工作，按照采购人的要求对采购的食品及原料在产品质量及食品安全等方面进行认真检查，对进货名称、数量、感官检查等项目做好采购和验收记录，并妥善保存，以备查考。</w:t>
      </w:r>
    </w:p>
    <w:p>
      <w:pPr>
        <w:spacing w:line="360" w:lineRule="auto"/>
        <w:ind w:firstLine="448" w:firstLineChars="200"/>
        <w:jc w:val="left"/>
        <w:rPr>
          <w:rFonts w:cs="宋体"/>
          <w:bCs/>
          <w:sz w:val="24"/>
          <w:szCs w:val="24"/>
        </w:rPr>
      </w:pPr>
      <w:r>
        <w:rPr>
          <w:rFonts w:hint="eastAsia" w:cs="宋体"/>
          <w:bCs/>
          <w:sz w:val="24"/>
          <w:szCs w:val="24"/>
        </w:rPr>
        <w:t>肉类：查验有无防疫部门检验检疫合格证明、酮体有无检验印章。</w:t>
      </w:r>
    </w:p>
    <w:p>
      <w:pPr>
        <w:spacing w:line="360" w:lineRule="auto"/>
        <w:ind w:firstLine="448" w:firstLineChars="200"/>
        <w:jc w:val="left"/>
        <w:rPr>
          <w:rFonts w:cs="宋体"/>
          <w:bCs/>
          <w:sz w:val="24"/>
          <w:szCs w:val="24"/>
        </w:rPr>
      </w:pPr>
      <w:r>
        <w:rPr>
          <w:rFonts w:hint="eastAsia" w:cs="宋体"/>
          <w:bCs/>
          <w:sz w:val="24"/>
          <w:szCs w:val="24"/>
        </w:rPr>
        <w:t>定型包装食品：核对包装标识是否按规定标明品名、产地、厂名、生产日期、批号或者代号、规格、配方或者主要成分、保质期限、食用或使用方法等；标明具有保健功能的食品，是否有卫生部或国家食品药品监督管理局签发的保健食品批准证书，标签上是否有保健食品批号和标志；食品添加剂标识是否有“食品添加剂”字样；进口食品是否有进口食品卫生监督检验机构和国家进出口商品检验部门的卫生检验证明，是否有中文标识。</w:t>
      </w:r>
    </w:p>
    <w:p>
      <w:pPr>
        <w:spacing w:line="360" w:lineRule="auto"/>
        <w:ind w:firstLine="448" w:firstLineChars="200"/>
        <w:jc w:val="left"/>
        <w:rPr>
          <w:rFonts w:cs="宋体"/>
          <w:bCs/>
          <w:sz w:val="24"/>
          <w:szCs w:val="24"/>
        </w:rPr>
      </w:pPr>
      <w:r>
        <w:rPr>
          <w:rFonts w:hint="eastAsia" w:cs="宋体"/>
          <w:bCs/>
          <w:sz w:val="24"/>
          <w:szCs w:val="24"/>
        </w:rPr>
        <w:t>散装食品：检查标签是否按规定标明食品名称、配料表、生产者和地址、生产日期、保质期、保存条件、食用方法等。</w:t>
      </w:r>
    </w:p>
    <w:p>
      <w:pPr>
        <w:spacing w:line="360" w:lineRule="auto"/>
        <w:ind w:firstLine="448" w:firstLineChars="200"/>
        <w:jc w:val="left"/>
        <w:rPr>
          <w:rFonts w:cs="宋体"/>
          <w:bCs/>
          <w:sz w:val="24"/>
          <w:szCs w:val="24"/>
        </w:rPr>
      </w:pPr>
      <w:r>
        <w:rPr>
          <w:rFonts w:hint="eastAsia" w:cs="宋体"/>
          <w:bCs/>
          <w:sz w:val="24"/>
          <w:szCs w:val="24"/>
        </w:rPr>
        <w:t>农副产品等非定型包装食品及原料：检查有无腐烂变质、霉变、生虫、污秽不洁、混有异物或感观性状异常。</w:t>
      </w:r>
    </w:p>
    <w:p>
      <w:pPr>
        <w:spacing w:line="360" w:lineRule="auto"/>
        <w:ind w:firstLine="448" w:firstLineChars="200"/>
        <w:jc w:val="left"/>
        <w:rPr>
          <w:rFonts w:cs="宋体"/>
          <w:bCs/>
          <w:sz w:val="24"/>
          <w:szCs w:val="24"/>
        </w:rPr>
      </w:pPr>
      <w:r>
        <w:rPr>
          <w:rFonts w:hint="eastAsia" w:cs="宋体"/>
          <w:bCs/>
          <w:sz w:val="24"/>
          <w:szCs w:val="24"/>
        </w:rPr>
        <w:t>不得使用转基因食品及原料。</w:t>
      </w:r>
    </w:p>
    <w:p>
      <w:pPr>
        <w:spacing w:line="360" w:lineRule="auto"/>
        <w:ind w:firstLine="448" w:firstLineChars="200"/>
        <w:jc w:val="left"/>
        <w:rPr>
          <w:rFonts w:cs="宋体"/>
          <w:bCs/>
          <w:sz w:val="24"/>
          <w:szCs w:val="24"/>
        </w:rPr>
      </w:pPr>
      <w:r>
        <w:rPr>
          <w:rFonts w:hint="eastAsia" w:cs="宋体"/>
          <w:bCs/>
          <w:sz w:val="24"/>
          <w:szCs w:val="24"/>
        </w:rPr>
        <w:t>如发现上述问题，采购人有权没收和妥善处理相关物资，并视情节轻重，处以该批次物资采购金额1-3倍的罚款（从当月食品采购费中扣除）。</w:t>
      </w:r>
    </w:p>
    <w:p>
      <w:pPr>
        <w:spacing w:line="360" w:lineRule="auto"/>
        <w:ind w:firstLine="448" w:firstLineChars="200"/>
        <w:jc w:val="left"/>
        <w:rPr>
          <w:rFonts w:cs="宋体"/>
          <w:bCs/>
          <w:sz w:val="24"/>
          <w:szCs w:val="24"/>
        </w:rPr>
      </w:pPr>
      <w:r>
        <w:rPr>
          <w:rFonts w:hint="eastAsia" w:cs="宋体"/>
          <w:bCs/>
          <w:sz w:val="24"/>
          <w:szCs w:val="24"/>
        </w:rPr>
        <w:t>2、食品及原料存放</w:t>
      </w:r>
    </w:p>
    <w:p>
      <w:pPr>
        <w:spacing w:line="360" w:lineRule="auto"/>
        <w:ind w:firstLine="448" w:firstLineChars="200"/>
        <w:jc w:val="left"/>
        <w:rPr>
          <w:rFonts w:cs="宋体"/>
          <w:bCs/>
          <w:sz w:val="24"/>
          <w:szCs w:val="24"/>
        </w:rPr>
      </w:pPr>
      <w:r>
        <w:rPr>
          <w:rFonts w:hint="eastAsia" w:cs="宋体"/>
          <w:bCs/>
          <w:sz w:val="24"/>
          <w:szCs w:val="24"/>
        </w:rPr>
        <w:t>主副食品分库存放，非食品及个人生活用品不得进入食品库房，严禁在食品库内存放杀虫剂、洗涤剂、消毒剂等有毒、有害物品。</w:t>
      </w:r>
    </w:p>
    <w:p>
      <w:pPr>
        <w:spacing w:line="360" w:lineRule="auto"/>
        <w:ind w:firstLine="448" w:firstLineChars="200"/>
        <w:jc w:val="left"/>
        <w:rPr>
          <w:rFonts w:cs="宋体"/>
          <w:bCs/>
          <w:sz w:val="24"/>
          <w:szCs w:val="24"/>
        </w:rPr>
      </w:pPr>
      <w:r>
        <w:rPr>
          <w:rFonts w:hint="eastAsia" w:cs="宋体"/>
          <w:bCs/>
          <w:sz w:val="24"/>
          <w:szCs w:val="24"/>
        </w:rPr>
        <w:t>做到库房环境无蝇、无虫、无鼠，库存食品及原料无过期、变质，定期清扫、消毒、通风，保持干燥、卫生。</w:t>
      </w:r>
    </w:p>
    <w:p>
      <w:pPr>
        <w:spacing w:line="360" w:lineRule="auto"/>
        <w:ind w:firstLine="448" w:firstLineChars="200"/>
        <w:jc w:val="left"/>
        <w:rPr>
          <w:rFonts w:cs="宋体"/>
          <w:bCs/>
          <w:sz w:val="24"/>
          <w:szCs w:val="24"/>
        </w:rPr>
      </w:pPr>
      <w:r>
        <w:rPr>
          <w:rFonts w:hint="eastAsia" w:cs="宋体"/>
          <w:bCs/>
          <w:sz w:val="24"/>
          <w:szCs w:val="24"/>
        </w:rPr>
        <w:t>服务过程中，所有消毒用材料、餐巾纸等，均由采购人承担。每周末向采购人提供下周菜品清单并公示。</w:t>
      </w:r>
    </w:p>
    <w:p>
      <w:pPr>
        <w:spacing w:line="360" w:lineRule="auto"/>
        <w:ind w:firstLine="448" w:firstLineChars="200"/>
        <w:jc w:val="left"/>
        <w:rPr>
          <w:rFonts w:cs="宋体"/>
          <w:bCs/>
          <w:sz w:val="24"/>
          <w:szCs w:val="24"/>
        </w:rPr>
      </w:pPr>
      <w:r>
        <w:rPr>
          <w:rFonts w:hint="eastAsia" w:cs="宋体"/>
          <w:bCs/>
          <w:sz w:val="24"/>
          <w:szCs w:val="24"/>
        </w:rPr>
        <w:t>按原料、半成品、成品的性质将食品分类分架存放，有明显标志，有一定间距，隔墙离地10厘米以上（离地平台或层架）。</w:t>
      </w:r>
    </w:p>
    <w:p>
      <w:pPr>
        <w:spacing w:line="360" w:lineRule="auto"/>
        <w:ind w:firstLine="448" w:firstLineChars="200"/>
        <w:jc w:val="left"/>
        <w:rPr>
          <w:rFonts w:cs="宋体"/>
          <w:bCs/>
          <w:sz w:val="24"/>
          <w:szCs w:val="24"/>
        </w:rPr>
      </w:pPr>
      <w:r>
        <w:rPr>
          <w:rFonts w:hint="eastAsia" w:cs="宋体"/>
          <w:bCs/>
          <w:sz w:val="24"/>
          <w:szCs w:val="24"/>
        </w:rPr>
        <w:t>肉类、水产类、禽蛋等易腐食品应分别冷藏、冷冻贮存。用于保存食品的冷藏设备，及时除霜，定期消毒，并贴有明显标识。生食品、熟食品、半成品分柜存放，杜绝生熟混放。</w:t>
      </w:r>
    </w:p>
    <w:p>
      <w:pPr>
        <w:spacing w:line="360" w:lineRule="auto"/>
        <w:ind w:firstLine="448" w:firstLineChars="200"/>
        <w:jc w:val="left"/>
        <w:rPr>
          <w:rFonts w:cs="宋体"/>
          <w:bCs/>
          <w:sz w:val="24"/>
          <w:szCs w:val="24"/>
        </w:rPr>
      </w:pPr>
      <w:r>
        <w:rPr>
          <w:rFonts w:hint="eastAsia" w:cs="宋体"/>
          <w:bCs/>
          <w:sz w:val="24"/>
          <w:szCs w:val="24"/>
        </w:rPr>
        <w:t>严格执行冷藏冷冻设备检查维修制度，定期进行设备检修，保证冷藏设施正常运转，温度显示状态良好。</w:t>
      </w:r>
    </w:p>
    <w:p>
      <w:pPr>
        <w:spacing w:line="360" w:lineRule="auto"/>
        <w:ind w:firstLine="448" w:firstLineChars="200"/>
        <w:jc w:val="left"/>
        <w:rPr>
          <w:rFonts w:cs="宋体"/>
          <w:bCs/>
          <w:sz w:val="24"/>
          <w:szCs w:val="24"/>
        </w:rPr>
      </w:pPr>
      <w:r>
        <w:rPr>
          <w:rFonts w:hint="eastAsia" w:cs="宋体"/>
          <w:bCs/>
          <w:sz w:val="24"/>
          <w:szCs w:val="24"/>
        </w:rPr>
        <w:t>严格执行出入库登记及食品卫生质量检查验收制度：</w:t>
      </w:r>
    </w:p>
    <w:p>
      <w:pPr>
        <w:spacing w:line="360" w:lineRule="auto"/>
        <w:ind w:firstLine="448" w:firstLineChars="200"/>
        <w:jc w:val="left"/>
        <w:rPr>
          <w:rFonts w:cs="宋体"/>
          <w:bCs/>
          <w:sz w:val="24"/>
          <w:szCs w:val="24"/>
        </w:rPr>
      </w:pPr>
      <w:r>
        <w:rPr>
          <w:rFonts w:hint="eastAsia" w:cs="宋体"/>
          <w:bCs/>
          <w:sz w:val="24"/>
          <w:szCs w:val="24"/>
        </w:rPr>
        <w:t>入库前，首先对所购食品进行检查，对不符合食品卫生要求者，不签收，不入库。验收记录应妥善保存，以备查考。</w:t>
      </w:r>
    </w:p>
    <w:p>
      <w:pPr>
        <w:spacing w:line="360" w:lineRule="auto"/>
        <w:ind w:firstLine="448" w:firstLineChars="200"/>
        <w:jc w:val="left"/>
        <w:rPr>
          <w:rFonts w:cs="宋体"/>
          <w:bCs/>
          <w:sz w:val="24"/>
          <w:szCs w:val="24"/>
        </w:rPr>
      </w:pPr>
      <w:r>
        <w:rPr>
          <w:rFonts w:hint="eastAsia" w:cs="宋体"/>
          <w:bCs/>
          <w:sz w:val="24"/>
          <w:szCs w:val="24"/>
        </w:rPr>
        <w:t>出库前，做好数量、质量、发货登记，做到先进先出，易坏先用。并按标签标示的贮存条件保存食品。</w:t>
      </w:r>
    </w:p>
    <w:p>
      <w:pPr>
        <w:spacing w:line="360" w:lineRule="auto"/>
        <w:ind w:firstLine="448" w:firstLineChars="200"/>
        <w:jc w:val="left"/>
        <w:rPr>
          <w:rFonts w:cs="宋体"/>
          <w:bCs/>
          <w:sz w:val="24"/>
          <w:szCs w:val="24"/>
        </w:rPr>
      </w:pPr>
      <w:r>
        <w:rPr>
          <w:rFonts w:hint="eastAsia" w:cs="宋体"/>
          <w:bCs/>
          <w:sz w:val="24"/>
          <w:szCs w:val="24"/>
        </w:rPr>
        <w:t>定型包装食品按类别、品种上架存放，货架上贴挂标签，注明品名、供货单位、生产厂家、生产日期、保质期、进货日期等。</w:t>
      </w:r>
    </w:p>
    <w:p>
      <w:pPr>
        <w:spacing w:line="360" w:lineRule="auto"/>
        <w:ind w:firstLine="448" w:firstLineChars="200"/>
        <w:jc w:val="left"/>
        <w:rPr>
          <w:rFonts w:cs="宋体"/>
          <w:bCs/>
          <w:sz w:val="24"/>
          <w:szCs w:val="24"/>
        </w:rPr>
      </w:pPr>
      <w:r>
        <w:rPr>
          <w:rFonts w:hint="eastAsia" w:cs="宋体"/>
          <w:bCs/>
          <w:sz w:val="24"/>
          <w:szCs w:val="24"/>
        </w:rPr>
        <w:t>定期检查库存食品质量，发现超过保质期、腐败变质、发霉、生虫或其他感官异常食品及原料时应及时处理，不得与其他食品混放。</w:t>
      </w:r>
    </w:p>
    <w:p>
      <w:pPr>
        <w:spacing w:line="360" w:lineRule="auto"/>
        <w:ind w:firstLine="448" w:firstLineChars="200"/>
        <w:jc w:val="left"/>
        <w:rPr>
          <w:rFonts w:cs="宋体"/>
          <w:bCs/>
          <w:sz w:val="24"/>
          <w:szCs w:val="24"/>
        </w:rPr>
      </w:pPr>
      <w:r>
        <w:rPr>
          <w:rFonts w:hint="eastAsia" w:cs="宋体"/>
          <w:bCs/>
          <w:sz w:val="24"/>
          <w:szCs w:val="24"/>
        </w:rPr>
        <w:t>3、食品加工</w:t>
      </w:r>
    </w:p>
    <w:p>
      <w:pPr>
        <w:spacing w:line="360" w:lineRule="auto"/>
        <w:ind w:firstLine="448" w:firstLineChars="200"/>
        <w:jc w:val="left"/>
        <w:rPr>
          <w:rFonts w:cs="宋体"/>
          <w:bCs/>
          <w:sz w:val="24"/>
          <w:szCs w:val="24"/>
        </w:rPr>
      </w:pPr>
      <w:r>
        <w:rPr>
          <w:rFonts w:hint="eastAsia" w:cs="宋体"/>
          <w:bCs/>
          <w:sz w:val="24"/>
          <w:szCs w:val="24"/>
        </w:rPr>
        <w:t>切配：</w:t>
      </w:r>
    </w:p>
    <w:p>
      <w:pPr>
        <w:spacing w:line="360" w:lineRule="auto"/>
        <w:ind w:firstLine="448" w:firstLineChars="200"/>
        <w:jc w:val="left"/>
        <w:rPr>
          <w:rFonts w:cs="宋体"/>
          <w:bCs/>
          <w:sz w:val="24"/>
          <w:szCs w:val="24"/>
        </w:rPr>
      </w:pPr>
      <w:r>
        <w:rPr>
          <w:rFonts w:hint="eastAsia" w:cs="宋体"/>
          <w:bCs/>
          <w:sz w:val="24"/>
          <w:szCs w:val="24"/>
        </w:rPr>
        <w:t>检查物料质量→清洗→检查及清洗工具→查看菜式切配要求→切配→归类摆放→下餐物料妥善处理（冷藏、苫盖等），具体细节如下：</w:t>
      </w:r>
    </w:p>
    <w:p>
      <w:pPr>
        <w:spacing w:line="360" w:lineRule="auto"/>
        <w:ind w:firstLine="448" w:firstLineChars="200"/>
        <w:jc w:val="left"/>
        <w:rPr>
          <w:rFonts w:cs="宋体"/>
          <w:bCs/>
          <w:sz w:val="24"/>
          <w:szCs w:val="24"/>
        </w:rPr>
      </w:pPr>
      <w:r>
        <w:rPr>
          <w:rFonts w:hint="eastAsia" w:cs="宋体"/>
          <w:bCs/>
          <w:sz w:val="24"/>
          <w:szCs w:val="24"/>
        </w:rPr>
        <w:t>厨工在切配物料前，首先对物料检查，不切配病死、毒死、死因不明腐败变质的禽、畜、肉及鱼类，不切配变质有异味的蔬菜瓜果。</w:t>
      </w:r>
    </w:p>
    <w:p>
      <w:pPr>
        <w:spacing w:line="360" w:lineRule="auto"/>
        <w:ind w:firstLine="448" w:firstLineChars="200"/>
        <w:jc w:val="left"/>
        <w:rPr>
          <w:rFonts w:cs="宋体"/>
          <w:bCs/>
          <w:sz w:val="24"/>
          <w:szCs w:val="24"/>
        </w:rPr>
      </w:pPr>
      <w:r>
        <w:rPr>
          <w:rFonts w:hint="eastAsia" w:cs="宋体"/>
          <w:bCs/>
          <w:sz w:val="24"/>
          <w:szCs w:val="24"/>
        </w:rPr>
        <w:t>在切配过程中，肉类，菜类不得落地，万一不小心落地，必须清洗干净才能使用，盛肉、菜的篮筐不能直接接地，必须放于垫板上。</w:t>
      </w:r>
    </w:p>
    <w:p>
      <w:pPr>
        <w:spacing w:line="360" w:lineRule="auto"/>
        <w:ind w:firstLine="448" w:firstLineChars="200"/>
        <w:jc w:val="left"/>
        <w:rPr>
          <w:rFonts w:cs="宋体"/>
          <w:bCs/>
          <w:sz w:val="24"/>
          <w:szCs w:val="24"/>
        </w:rPr>
      </w:pPr>
      <w:r>
        <w:rPr>
          <w:rFonts w:hint="eastAsia" w:cs="宋体"/>
          <w:bCs/>
          <w:sz w:val="24"/>
          <w:szCs w:val="24"/>
        </w:rPr>
        <w:t>瓜果、菜类在切配加工前经过“一拣、二洁、三浸泡”浸泡时间不得少于30分钟，确保无虫、无泥沙杂物、无黄叶。</w:t>
      </w:r>
    </w:p>
    <w:p>
      <w:pPr>
        <w:spacing w:line="360" w:lineRule="auto"/>
        <w:ind w:firstLine="448" w:firstLineChars="200"/>
        <w:jc w:val="left"/>
        <w:rPr>
          <w:rFonts w:cs="宋体"/>
          <w:bCs/>
          <w:sz w:val="24"/>
          <w:szCs w:val="24"/>
        </w:rPr>
      </w:pPr>
      <w:r>
        <w:rPr>
          <w:rFonts w:hint="eastAsia" w:cs="宋体"/>
          <w:bCs/>
          <w:sz w:val="24"/>
          <w:szCs w:val="24"/>
        </w:rPr>
        <w:t>切配用的刀、砧板、案台在使用后应及时清理、消毒，刀具、砧板要按照生熟分开放置于规定位置。</w:t>
      </w:r>
    </w:p>
    <w:p>
      <w:pPr>
        <w:spacing w:line="360" w:lineRule="auto"/>
        <w:ind w:firstLine="448" w:firstLineChars="200"/>
        <w:jc w:val="left"/>
        <w:rPr>
          <w:rFonts w:cs="宋体"/>
          <w:bCs/>
          <w:sz w:val="24"/>
          <w:szCs w:val="24"/>
        </w:rPr>
      </w:pPr>
      <w:r>
        <w:rPr>
          <w:rFonts w:hint="eastAsia" w:cs="宋体"/>
          <w:bCs/>
          <w:sz w:val="24"/>
          <w:szCs w:val="24"/>
        </w:rPr>
        <w:t>上岗前穿戴卫生防护用具</w:t>
      </w:r>
    </w:p>
    <w:p>
      <w:pPr>
        <w:spacing w:line="360" w:lineRule="auto"/>
        <w:ind w:firstLine="448" w:firstLineChars="200"/>
        <w:jc w:val="left"/>
        <w:rPr>
          <w:rFonts w:cs="宋体"/>
          <w:bCs/>
          <w:sz w:val="24"/>
          <w:szCs w:val="24"/>
        </w:rPr>
      </w:pPr>
      <w:r>
        <w:rPr>
          <w:rFonts w:hint="eastAsia" w:cs="宋体"/>
          <w:bCs/>
          <w:sz w:val="24"/>
          <w:szCs w:val="24"/>
        </w:rPr>
        <w:t>面点：</w:t>
      </w:r>
    </w:p>
    <w:p>
      <w:pPr>
        <w:spacing w:line="360" w:lineRule="auto"/>
        <w:ind w:firstLine="448" w:firstLineChars="200"/>
        <w:jc w:val="left"/>
        <w:rPr>
          <w:rFonts w:cs="宋体"/>
          <w:bCs/>
          <w:sz w:val="24"/>
          <w:szCs w:val="24"/>
        </w:rPr>
      </w:pPr>
      <w:r>
        <w:rPr>
          <w:rFonts w:hint="eastAsia" w:cs="宋体"/>
          <w:bCs/>
          <w:sz w:val="24"/>
          <w:szCs w:val="24"/>
        </w:rPr>
        <w:t xml:space="preserve">加工前要对待加工使用的食品原料质量感官检查，发现生虫、霉变、 有异味、污秽不洁等不符合卫生要求的情况，不能加工。 </w:t>
      </w:r>
    </w:p>
    <w:p>
      <w:pPr>
        <w:spacing w:line="360" w:lineRule="auto"/>
        <w:ind w:firstLine="448" w:firstLineChars="200"/>
        <w:jc w:val="left"/>
        <w:rPr>
          <w:rFonts w:cs="宋体"/>
          <w:bCs/>
          <w:sz w:val="24"/>
          <w:szCs w:val="24"/>
        </w:rPr>
      </w:pPr>
      <w:r>
        <w:rPr>
          <w:rFonts w:hint="eastAsia" w:cs="宋体"/>
          <w:bCs/>
          <w:sz w:val="24"/>
          <w:szCs w:val="24"/>
        </w:rPr>
        <w:t xml:space="preserve">做馅用的肉、蛋、水产品、蔬菜等原料要按照粗加工卫生制度的要求加工。蔬菜要彻底浸泡清洗。易造成农药残留的蔬菜（如韭菜）应浸泡30分钟以上，然后冲洗干净在加工制作。 </w:t>
      </w:r>
    </w:p>
    <w:p>
      <w:pPr>
        <w:spacing w:line="360" w:lineRule="auto"/>
        <w:ind w:firstLine="448" w:firstLineChars="200"/>
        <w:jc w:val="left"/>
        <w:rPr>
          <w:rFonts w:cs="宋体"/>
          <w:bCs/>
          <w:sz w:val="24"/>
          <w:szCs w:val="24"/>
        </w:rPr>
      </w:pPr>
      <w:r>
        <w:rPr>
          <w:rFonts w:hint="eastAsia" w:cs="宋体"/>
          <w:bCs/>
          <w:sz w:val="24"/>
          <w:szCs w:val="24"/>
        </w:rPr>
        <w:t xml:space="preserve">各种工具、用具、容器生熟分开使用，用后清洗干净，定位存放。各种熟食、面点、改刀要在专用的熟食板上进行，不得在面案上直接改刀。 </w:t>
      </w:r>
    </w:p>
    <w:p>
      <w:pPr>
        <w:spacing w:line="360" w:lineRule="auto"/>
        <w:ind w:firstLine="448" w:firstLineChars="200"/>
        <w:jc w:val="left"/>
        <w:rPr>
          <w:rFonts w:cs="宋体"/>
          <w:bCs/>
          <w:sz w:val="24"/>
          <w:szCs w:val="24"/>
        </w:rPr>
      </w:pPr>
      <w:r>
        <w:rPr>
          <w:rFonts w:hint="eastAsia" w:cs="宋体"/>
          <w:bCs/>
          <w:sz w:val="24"/>
          <w:szCs w:val="24"/>
        </w:rPr>
        <w:t>当餐后用完的面点，应妥善保存，糕点存放在专用柜内，含水分较多的带馅糕点，要冷藏，注意生熟分开保存。</w:t>
      </w:r>
    </w:p>
    <w:p>
      <w:pPr>
        <w:spacing w:line="360" w:lineRule="auto"/>
        <w:ind w:firstLine="448" w:firstLineChars="200"/>
        <w:jc w:val="left"/>
        <w:rPr>
          <w:rFonts w:cs="宋体"/>
          <w:bCs/>
          <w:sz w:val="24"/>
          <w:szCs w:val="24"/>
        </w:rPr>
      </w:pPr>
      <w:r>
        <w:rPr>
          <w:rFonts w:hint="eastAsia" w:cs="宋体"/>
          <w:bCs/>
          <w:sz w:val="24"/>
          <w:szCs w:val="24"/>
        </w:rPr>
        <w:t xml:space="preserve">使用的食品添加剂必须符合国家卫生标准，应严格按照标识上标注的使用范围、使用量和使用方法使用食品添加剂，禁止超范围、超剂量滥用食品添加剂。使用完后，由专人专柜保存。 </w:t>
      </w:r>
    </w:p>
    <w:p>
      <w:pPr>
        <w:spacing w:line="360" w:lineRule="auto"/>
        <w:ind w:firstLine="448" w:firstLineChars="200"/>
        <w:jc w:val="left"/>
        <w:rPr>
          <w:rFonts w:cs="宋体"/>
          <w:bCs/>
          <w:sz w:val="24"/>
          <w:szCs w:val="24"/>
        </w:rPr>
      </w:pPr>
      <w:r>
        <w:rPr>
          <w:rFonts w:hint="eastAsia" w:cs="宋体"/>
          <w:bCs/>
          <w:sz w:val="24"/>
          <w:szCs w:val="24"/>
        </w:rPr>
        <w:t xml:space="preserve">各种食品加工用具、设备如：面板、面案、容器、和面机、面条机等，用后及时清洗干净，定期消毒。各种用品如盖布、笼布、抹布等要洗净、晒干备用。 </w:t>
      </w:r>
    </w:p>
    <w:p>
      <w:pPr>
        <w:spacing w:line="360" w:lineRule="auto"/>
        <w:ind w:firstLine="448" w:firstLineChars="200"/>
        <w:jc w:val="left"/>
        <w:rPr>
          <w:rFonts w:cs="宋体"/>
          <w:bCs/>
          <w:sz w:val="24"/>
          <w:szCs w:val="24"/>
        </w:rPr>
      </w:pPr>
      <w:r>
        <w:rPr>
          <w:rFonts w:hint="eastAsia" w:cs="宋体"/>
          <w:bCs/>
          <w:sz w:val="24"/>
          <w:szCs w:val="24"/>
        </w:rPr>
        <w:t xml:space="preserve">加工结束后及时清理面点加工场所，做到地面无污物、残渣，用具、设备清洁。各种容器、用具、刀具等清洗干净后定位存放。 </w:t>
      </w:r>
    </w:p>
    <w:p>
      <w:pPr>
        <w:spacing w:line="360" w:lineRule="auto"/>
        <w:ind w:firstLine="448" w:firstLineChars="200"/>
        <w:jc w:val="left"/>
        <w:rPr>
          <w:rFonts w:cs="宋体"/>
          <w:bCs/>
          <w:sz w:val="24"/>
          <w:szCs w:val="24"/>
        </w:rPr>
      </w:pPr>
      <w:r>
        <w:rPr>
          <w:rFonts w:hint="eastAsia" w:cs="宋体"/>
          <w:bCs/>
          <w:sz w:val="24"/>
          <w:szCs w:val="24"/>
        </w:rPr>
        <w:t>蒸饭：</w:t>
      </w:r>
    </w:p>
    <w:p>
      <w:pPr>
        <w:spacing w:line="360" w:lineRule="auto"/>
        <w:ind w:firstLine="448" w:firstLineChars="200"/>
        <w:jc w:val="left"/>
        <w:rPr>
          <w:rFonts w:cs="宋体"/>
          <w:bCs/>
          <w:sz w:val="24"/>
          <w:szCs w:val="24"/>
        </w:rPr>
      </w:pPr>
      <w:r>
        <w:rPr>
          <w:rFonts w:hint="eastAsia" w:cs="宋体"/>
          <w:bCs/>
          <w:sz w:val="24"/>
          <w:szCs w:val="24"/>
        </w:rPr>
        <w:t>淘米前需要对米质进行外观检查，通过看、摸、尝、闻等方式对米质进行检查，发现有异常不得使用，淘米时必须淘洗干净，做到无虫、沙、无稻谷杂物。</w:t>
      </w:r>
    </w:p>
    <w:p>
      <w:pPr>
        <w:spacing w:line="360" w:lineRule="auto"/>
        <w:ind w:firstLine="448" w:firstLineChars="200"/>
        <w:jc w:val="left"/>
        <w:rPr>
          <w:rFonts w:cs="宋体"/>
          <w:bCs/>
          <w:sz w:val="24"/>
          <w:szCs w:val="24"/>
        </w:rPr>
      </w:pPr>
      <w:r>
        <w:rPr>
          <w:rFonts w:hint="eastAsia" w:cs="宋体"/>
          <w:bCs/>
          <w:sz w:val="24"/>
          <w:szCs w:val="24"/>
        </w:rPr>
        <w:t>淘米用具每天进行清洗，保持卫生、干净，并经常放置阳光下晾晒、消毒。</w:t>
      </w:r>
    </w:p>
    <w:p>
      <w:pPr>
        <w:spacing w:line="360" w:lineRule="auto"/>
        <w:ind w:firstLine="448" w:firstLineChars="200"/>
        <w:jc w:val="left"/>
        <w:rPr>
          <w:rFonts w:cs="宋体"/>
          <w:bCs/>
          <w:sz w:val="24"/>
          <w:szCs w:val="24"/>
        </w:rPr>
      </w:pPr>
      <w:r>
        <w:rPr>
          <w:rFonts w:hint="eastAsia" w:cs="宋体"/>
          <w:bCs/>
          <w:sz w:val="24"/>
          <w:szCs w:val="24"/>
        </w:rPr>
        <w:t>粮食不得随意放置，需离地存放于干燥地点，以免变质。</w:t>
      </w:r>
    </w:p>
    <w:p>
      <w:pPr>
        <w:spacing w:line="360" w:lineRule="auto"/>
        <w:ind w:firstLine="448" w:firstLineChars="200"/>
        <w:jc w:val="left"/>
        <w:rPr>
          <w:rFonts w:cs="宋体"/>
          <w:bCs/>
          <w:sz w:val="24"/>
          <w:szCs w:val="24"/>
        </w:rPr>
      </w:pPr>
      <w:r>
        <w:rPr>
          <w:rFonts w:hint="eastAsia" w:cs="宋体"/>
          <w:bCs/>
          <w:sz w:val="24"/>
          <w:szCs w:val="24"/>
        </w:rPr>
        <w:t>蒸饭盘每餐饭后及时清理，不得残留上餐只剩余饭粒。</w:t>
      </w:r>
    </w:p>
    <w:p>
      <w:pPr>
        <w:spacing w:line="360" w:lineRule="auto"/>
        <w:ind w:firstLine="448" w:firstLineChars="200"/>
        <w:jc w:val="left"/>
        <w:rPr>
          <w:rFonts w:cs="宋体"/>
          <w:bCs/>
          <w:sz w:val="24"/>
          <w:szCs w:val="24"/>
        </w:rPr>
      </w:pPr>
      <w:r>
        <w:rPr>
          <w:rFonts w:hint="eastAsia" w:cs="宋体"/>
          <w:bCs/>
          <w:sz w:val="24"/>
          <w:szCs w:val="24"/>
        </w:rPr>
        <w:t>每天对蒸箱进行清理、换水。对变质的米饭，必须倒掉处理，决不能再次使用。</w:t>
      </w:r>
    </w:p>
    <w:p>
      <w:pPr>
        <w:spacing w:line="360" w:lineRule="auto"/>
        <w:ind w:firstLine="448" w:firstLineChars="200"/>
        <w:jc w:val="left"/>
        <w:rPr>
          <w:rFonts w:cs="宋体"/>
          <w:bCs/>
          <w:sz w:val="24"/>
          <w:szCs w:val="24"/>
        </w:rPr>
      </w:pPr>
      <w:r>
        <w:rPr>
          <w:rFonts w:hint="eastAsia" w:cs="宋体"/>
          <w:bCs/>
          <w:sz w:val="24"/>
          <w:szCs w:val="24"/>
        </w:rPr>
        <w:t>每餐需对米饭进行品质检查，确认无任何不良后，方可出柜。检查方法：闻气味、看颜色、尝生熟。</w:t>
      </w:r>
    </w:p>
    <w:p>
      <w:pPr>
        <w:spacing w:line="360" w:lineRule="auto"/>
        <w:ind w:firstLine="448" w:firstLineChars="200"/>
        <w:jc w:val="left"/>
        <w:rPr>
          <w:rFonts w:cs="宋体"/>
          <w:bCs/>
          <w:sz w:val="24"/>
          <w:szCs w:val="24"/>
        </w:rPr>
      </w:pPr>
      <w:r>
        <w:rPr>
          <w:rFonts w:hint="eastAsia" w:cs="宋体"/>
          <w:bCs/>
          <w:sz w:val="24"/>
          <w:szCs w:val="24"/>
        </w:rPr>
        <w:t>蒸饭用具按规定摆放，不得乱扔、乱摆，并清洗自己工作区域。</w:t>
      </w:r>
    </w:p>
    <w:p>
      <w:pPr>
        <w:spacing w:line="360" w:lineRule="auto"/>
        <w:ind w:firstLine="448" w:firstLineChars="200"/>
        <w:jc w:val="left"/>
        <w:rPr>
          <w:rFonts w:cs="宋体"/>
          <w:bCs/>
          <w:sz w:val="24"/>
          <w:szCs w:val="24"/>
        </w:rPr>
      </w:pPr>
      <w:r>
        <w:rPr>
          <w:rFonts w:hint="eastAsia" w:cs="宋体"/>
          <w:bCs/>
          <w:sz w:val="24"/>
          <w:szCs w:val="24"/>
        </w:rPr>
        <w:t>上岗前穿戴卫生防护用具。</w:t>
      </w:r>
    </w:p>
    <w:p>
      <w:pPr>
        <w:spacing w:line="360" w:lineRule="auto"/>
        <w:ind w:firstLine="448" w:firstLineChars="200"/>
        <w:jc w:val="left"/>
        <w:rPr>
          <w:rFonts w:cs="宋体"/>
          <w:bCs/>
          <w:sz w:val="24"/>
          <w:szCs w:val="24"/>
        </w:rPr>
      </w:pPr>
      <w:r>
        <w:rPr>
          <w:rFonts w:hint="eastAsia" w:cs="宋体"/>
          <w:bCs/>
          <w:sz w:val="24"/>
          <w:szCs w:val="24"/>
        </w:rPr>
        <w:t>大灶：</w:t>
      </w:r>
    </w:p>
    <w:p>
      <w:pPr>
        <w:spacing w:line="360" w:lineRule="auto"/>
        <w:ind w:firstLine="448" w:firstLineChars="200"/>
        <w:jc w:val="left"/>
        <w:rPr>
          <w:rFonts w:cs="宋体"/>
          <w:bCs/>
          <w:sz w:val="24"/>
          <w:szCs w:val="24"/>
        </w:rPr>
      </w:pPr>
      <w:r>
        <w:rPr>
          <w:rFonts w:hint="eastAsia" w:cs="宋体"/>
          <w:bCs/>
          <w:sz w:val="24"/>
          <w:szCs w:val="24"/>
        </w:rPr>
        <w:t>厨师应严格按照餐单及加工、出品程序进行操作做到：</w:t>
      </w:r>
    </w:p>
    <w:p>
      <w:pPr>
        <w:spacing w:line="360" w:lineRule="auto"/>
        <w:ind w:firstLine="448" w:firstLineChars="200"/>
        <w:jc w:val="left"/>
        <w:rPr>
          <w:rFonts w:cs="宋体"/>
          <w:bCs/>
          <w:sz w:val="24"/>
          <w:szCs w:val="24"/>
        </w:rPr>
      </w:pPr>
      <w:r>
        <w:rPr>
          <w:rFonts w:hint="eastAsia" w:cs="宋体"/>
          <w:bCs/>
          <w:sz w:val="24"/>
          <w:szCs w:val="24"/>
        </w:rPr>
        <w:t>严格检查物料质量及洁净程度，把瑕疵处理在下锅之前。</w:t>
      </w:r>
    </w:p>
    <w:p>
      <w:pPr>
        <w:spacing w:line="360" w:lineRule="auto"/>
        <w:ind w:firstLine="448" w:firstLineChars="200"/>
        <w:jc w:val="left"/>
        <w:rPr>
          <w:rFonts w:cs="宋体"/>
          <w:bCs/>
          <w:sz w:val="24"/>
          <w:szCs w:val="24"/>
        </w:rPr>
      </w:pPr>
      <w:r>
        <w:rPr>
          <w:rFonts w:hint="eastAsia" w:cs="宋体"/>
          <w:bCs/>
          <w:sz w:val="24"/>
          <w:szCs w:val="24"/>
        </w:rPr>
        <w:t>加工彻底，遇口感与卫生发生矛盾时以卫生为主。</w:t>
      </w:r>
    </w:p>
    <w:p>
      <w:pPr>
        <w:spacing w:line="360" w:lineRule="auto"/>
        <w:ind w:firstLine="448" w:firstLineChars="200"/>
        <w:jc w:val="left"/>
        <w:rPr>
          <w:rFonts w:cs="宋体"/>
          <w:bCs/>
          <w:sz w:val="24"/>
          <w:szCs w:val="24"/>
        </w:rPr>
      </w:pPr>
      <w:r>
        <w:rPr>
          <w:rFonts w:hint="eastAsia" w:cs="宋体"/>
          <w:bCs/>
          <w:sz w:val="24"/>
          <w:szCs w:val="24"/>
        </w:rPr>
        <w:t>严格生熟分离，成品不得直接放置于地面。</w:t>
      </w:r>
    </w:p>
    <w:p>
      <w:pPr>
        <w:spacing w:line="360" w:lineRule="auto"/>
        <w:ind w:firstLine="448" w:firstLineChars="200"/>
        <w:jc w:val="left"/>
        <w:rPr>
          <w:rFonts w:cs="宋体"/>
          <w:bCs/>
          <w:sz w:val="24"/>
          <w:szCs w:val="24"/>
        </w:rPr>
      </w:pPr>
      <w:r>
        <w:rPr>
          <w:rFonts w:hint="eastAsia" w:cs="宋体"/>
          <w:bCs/>
          <w:sz w:val="24"/>
          <w:szCs w:val="24"/>
        </w:rPr>
        <w:t>上岗前穿戴卫生防护用具。.</w:t>
      </w:r>
    </w:p>
    <w:p>
      <w:pPr>
        <w:spacing w:line="360" w:lineRule="auto"/>
        <w:ind w:firstLine="448" w:firstLineChars="200"/>
        <w:jc w:val="left"/>
        <w:rPr>
          <w:rFonts w:cs="宋体"/>
          <w:bCs/>
          <w:sz w:val="24"/>
          <w:szCs w:val="24"/>
        </w:rPr>
      </w:pPr>
      <w:r>
        <w:rPr>
          <w:rFonts w:hint="eastAsia" w:cs="宋体"/>
          <w:bCs/>
          <w:sz w:val="24"/>
          <w:szCs w:val="24"/>
        </w:rPr>
        <w:t>出餐：</w:t>
      </w:r>
    </w:p>
    <w:p>
      <w:pPr>
        <w:spacing w:line="360" w:lineRule="auto"/>
        <w:ind w:firstLine="448" w:firstLineChars="200"/>
        <w:jc w:val="left"/>
        <w:rPr>
          <w:rFonts w:cs="宋体"/>
          <w:bCs/>
          <w:sz w:val="24"/>
          <w:szCs w:val="24"/>
        </w:rPr>
      </w:pPr>
      <w:r>
        <w:rPr>
          <w:rFonts w:hint="eastAsia" w:cs="宋体"/>
          <w:bCs/>
          <w:sz w:val="24"/>
          <w:szCs w:val="24"/>
        </w:rPr>
        <w:t xml:space="preserve">传菜时手指不得接触食品，分餐使用专用工具，且工具不接触用餐人餐具。 </w:t>
      </w:r>
    </w:p>
    <w:p>
      <w:pPr>
        <w:spacing w:line="360" w:lineRule="auto"/>
        <w:ind w:firstLine="448" w:firstLineChars="200"/>
        <w:jc w:val="left"/>
        <w:rPr>
          <w:rFonts w:cs="宋体"/>
          <w:bCs/>
          <w:sz w:val="24"/>
          <w:szCs w:val="24"/>
        </w:rPr>
      </w:pPr>
      <w:r>
        <w:rPr>
          <w:rFonts w:hint="eastAsia" w:cs="宋体"/>
          <w:bCs/>
          <w:sz w:val="24"/>
          <w:szCs w:val="24"/>
        </w:rPr>
        <w:t>水果清洗消毒后装盘，需切开的水果洗净消毒后在冷荤间内分切装盘。</w:t>
      </w:r>
    </w:p>
    <w:p>
      <w:pPr>
        <w:spacing w:line="360" w:lineRule="auto"/>
        <w:ind w:firstLine="448" w:firstLineChars="200"/>
        <w:jc w:val="left"/>
        <w:rPr>
          <w:rFonts w:cs="宋体"/>
          <w:bCs/>
          <w:sz w:val="24"/>
          <w:szCs w:val="24"/>
        </w:rPr>
      </w:pPr>
      <w:r>
        <w:rPr>
          <w:rFonts w:hint="eastAsia" w:cs="宋体"/>
          <w:bCs/>
          <w:sz w:val="24"/>
          <w:szCs w:val="24"/>
        </w:rPr>
        <w:t xml:space="preserve">就餐人员自取的调料，应当符合相应的食品卫生标准和要求。并做到及时更换，防止过期、霉变。 </w:t>
      </w:r>
    </w:p>
    <w:p>
      <w:pPr>
        <w:spacing w:line="360" w:lineRule="auto"/>
        <w:ind w:firstLine="448" w:firstLineChars="200"/>
        <w:jc w:val="left"/>
        <w:rPr>
          <w:rFonts w:cs="宋体"/>
          <w:bCs/>
          <w:sz w:val="24"/>
          <w:szCs w:val="24"/>
        </w:rPr>
      </w:pPr>
      <w:r>
        <w:rPr>
          <w:rFonts w:hint="eastAsia" w:cs="宋体"/>
          <w:bCs/>
          <w:sz w:val="24"/>
          <w:szCs w:val="24"/>
        </w:rPr>
        <w:t xml:space="preserve">开餐期间发现或被就餐人员告知所提供的食品确有感官性状异常或可疑变质时，应立即撤换该食品，并向行政总厨和采购人食堂管理人员报告。 </w:t>
      </w:r>
    </w:p>
    <w:p>
      <w:pPr>
        <w:spacing w:line="360" w:lineRule="auto"/>
        <w:ind w:firstLine="448" w:firstLineChars="200"/>
        <w:jc w:val="left"/>
        <w:rPr>
          <w:rFonts w:cs="宋体"/>
          <w:bCs/>
          <w:sz w:val="24"/>
          <w:szCs w:val="24"/>
        </w:rPr>
      </w:pPr>
      <w:r>
        <w:rPr>
          <w:rFonts w:hint="eastAsia" w:cs="宋体"/>
          <w:bCs/>
          <w:sz w:val="24"/>
          <w:szCs w:val="24"/>
        </w:rPr>
        <w:t>备餐柜内不得放与开餐无关的物品及个人用品。工作结束后及时做好台面、地面等的清扫整理工作。</w:t>
      </w:r>
    </w:p>
    <w:p>
      <w:pPr>
        <w:spacing w:line="360" w:lineRule="auto"/>
        <w:ind w:firstLine="448" w:firstLineChars="200"/>
        <w:jc w:val="left"/>
        <w:rPr>
          <w:rFonts w:cs="宋体"/>
          <w:bCs/>
          <w:sz w:val="24"/>
          <w:szCs w:val="24"/>
        </w:rPr>
      </w:pPr>
      <w:r>
        <w:rPr>
          <w:rFonts w:hint="eastAsia" w:cs="宋体"/>
          <w:bCs/>
          <w:sz w:val="24"/>
          <w:szCs w:val="24"/>
        </w:rPr>
        <w:t>上岗时穿戴全部卫生防护用具。</w:t>
      </w:r>
    </w:p>
    <w:p>
      <w:pPr>
        <w:spacing w:line="360" w:lineRule="auto"/>
        <w:ind w:firstLine="448" w:firstLineChars="200"/>
        <w:jc w:val="left"/>
        <w:rPr>
          <w:rFonts w:cs="宋体"/>
          <w:bCs/>
          <w:sz w:val="24"/>
          <w:szCs w:val="24"/>
        </w:rPr>
      </w:pPr>
      <w:r>
        <w:rPr>
          <w:rFonts w:hint="eastAsia" w:cs="宋体"/>
          <w:bCs/>
          <w:sz w:val="24"/>
          <w:szCs w:val="24"/>
        </w:rPr>
        <w:t>餐后：</w:t>
      </w:r>
    </w:p>
    <w:p>
      <w:pPr>
        <w:spacing w:line="360" w:lineRule="auto"/>
        <w:ind w:firstLine="448" w:firstLineChars="200"/>
        <w:jc w:val="left"/>
        <w:rPr>
          <w:rFonts w:cs="宋体"/>
          <w:bCs/>
          <w:sz w:val="24"/>
          <w:szCs w:val="24"/>
        </w:rPr>
      </w:pPr>
      <w:r>
        <w:rPr>
          <w:rFonts w:hint="eastAsia" w:cs="宋体"/>
          <w:bCs/>
          <w:sz w:val="24"/>
          <w:szCs w:val="24"/>
        </w:rPr>
        <w:t>剩余物料的处理</w:t>
      </w:r>
    </w:p>
    <w:p>
      <w:pPr>
        <w:spacing w:line="360" w:lineRule="auto"/>
        <w:ind w:firstLine="448" w:firstLineChars="200"/>
        <w:jc w:val="left"/>
        <w:rPr>
          <w:rFonts w:cs="宋体"/>
          <w:bCs/>
          <w:sz w:val="24"/>
          <w:szCs w:val="24"/>
        </w:rPr>
      </w:pPr>
      <w:r>
        <w:rPr>
          <w:rFonts w:hint="eastAsia" w:cs="宋体"/>
          <w:bCs/>
          <w:sz w:val="24"/>
          <w:szCs w:val="24"/>
        </w:rPr>
        <w:t>过水：供餐结束后剩余未炒制的菜类、瓜果类要及时过水来确保新鲜度的延长。</w:t>
      </w:r>
    </w:p>
    <w:p>
      <w:pPr>
        <w:spacing w:line="360" w:lineRule="auto"/>
        <w:ind w:firstLine="448" w:firstLineChars="200"/>
        <w:jc w:val="left"/>
        <w:rPr>
          <w:rFonts w:cs="宋体"/>
          <w:bCs/>
          <w:sz w:val="24"/>
          <w:szCs w:val="24"/>
        </w:rPr>
      </w:pPr>
      <w:r>
        <w:rPr>
          <w:rFonts w:hint="eastAsia" w:cs="宋体"/>
          <w:bCs/>
          <w:sz w:val="24"/>
          <w:szCs w:val="24"/>
        </w:rPr>
        <w:t>冷藏：肉类、蔬菜类食物应根据卫生标准与厨房条件进行分类冷藏。</w:t>
      </w:r>
    </w:p>
    <w:p>
      <w:pPr>
        <w:spacing w:line="360" w:lineRule="auto"/>
        <w:ind w:firstLine="448" w:firstLineChars="200"/>
        <w:jc w:val="left"/>
        <w:rPr>
          <w:rFonts w:cs="宋体"/>
          <w:bCs/>
          <w:sz w:val="24"/>
          <w:szCs w:val="24"/>
        </w:rPr>
      </w:pPr>
      <w:r>
        <w:rPr>
          <w:rFonts w:hint="eastAsia" w:cs="宋体"/>
          <w:bCs/>
          <w:sz w:val="24"/>
          <w:szCs w:val="24"/>
        </w:rPr>
        <w:t>盖罩：对于剩余配料、油类及可非冷藏的菜类，应在下班前加盖纱布或网罩，避免被污染。</w:t>
      </w:r>
    </w:p>
    <w:p>
      <w:pPr>
        <w:spacing w:line="360" w:lineRule="auto"/>
        <w:ind w:firstLine="448" w:firstLineChars="200"/>
        <w:jc w:val="left"/>
        <w:rPr>
          <w:rFonts w:cs="宋体"/>
          <w:bCs/>
          <w:sz w:val="24"/>
          <w:szCs w:val="24"/>
        </w:rPr>
      </w:pPr>
      <w:r>
        <w:rPr>
          <w:rFonts w:hint="eastAsia" w:cs="宋体"/>
          <w:bCs/>
          <w:sz w:val="24"/>
          <w:szCs w:val="24"/>
        </w:rPr>
        <w:t>倒弃：对于因存储不当造成异变的蔬菜、肉类应按厨余垃圾处理、严禁食用。</w:t>
      </w:r>
    </w:p>
    <w:p>
      <w:pPr>
        <w:spacing w:line="360" w:lineRule="auto"/>
        <w:ind w:firstLine="448" w:firstLineChars="200"/>
        <w:jc w:val="left"/>
        <w:rPr>
          <w:rFonts w:cs="宋体"/>
          <w:bCs/>
          <w:sz w:val="24"/>
          <w:szCs w:val="24"/>
        </w:rPr>
      </w:pPr>
      <w:r>
        <w:rPr>
          <w:rFonts w:hint="eastAsia" w:cs="宋体"/>
          <w:bCs/>
          <w:sz w:val="24"/>
          <w:szCs w:val="24"/>
        </w:rPr>
        <w:t>隔离：切实做好三隔离工作即：“生与熟隔离、食品与杂物隔离、成品与半成品隔离”，避免交叉污染。</w:t>
      </w:r>
    </w:p>
    <w:p>
      <w:pPr>
        <w:spacing w:line="360" w:lineRule="auto"/>
        <w:ind w:firstLine="448" w:firstLineChars="200"/>
        <w:jc w:val="left"/>
        <w:rPr>
          <w:rFonts w:cs="宋体"/>
          <w:bCs/>
          <w:sz w:val="24"/>
          <w:szCs w:val="24"/>
        </w:rPr>
      </w:pPr>
      <w:r>
        <w:rPr>
          <w:rFonts w:hint="eastAsia" w:cs="宋体"/>
          <w:bCs/>
          <w:sz w:val="24"/>
          <w:szCs w:val="24"/>
        </w:rPr>
        <w:t>食品留样：</w:t>
      </w:r>
    </w:p>
    <w:p>
      <w:pPr>
        <w:spacing w:line="360" w:lineRule="auto"/>
        <w:ind w:firstLine="448" w:firstLineChars="200"/>
        <w:jc w:val="left"/>
        <w:rPr>
          <w:rFonts w:cs="宋体"/>
          <w:bCs/>
          <w:sz w:val="24"/>
          <w:szCs w:val="24"/>
        </w:rPr>
      </w:pPr>
      <w:r>
        <w:rPr>
          <w:rFonts w:hint="eastAsia" w:cs="宋体"/>
          <w:bCs/>
          <w:sz w:val="24"/>
          <w:szCs w:val="24"/>
        </w:rPr>
        <w:t xml:space="preserve">为确保就餐人员人身安全，预防食物中毒事故的发生，以及食物相关事故发生后及时查明事故原因进而采取有效的救治措施，故实行食品留验制度。 </w:t>
      </w:r>
    </w:p>
    <w:p>
      <w:pPr>
        <w:spacing w:line="360" w:lineRule="auto"/>
        <w:ind w:firstLine="448" w:firstLineChars="200"/>
        <w:jc w:val="left"/>
        <w:rPr>
          <w:rFonts w:cs="宋体"/>
          <w:bCs/>
          <w:sz w:val="24"/>
          <w:szCs w:val="24"/>
        </w:rPr>
      </w:pPr>
      <w:r>
        <w:rPr>
          <w:rFonts w:hint="eastAsia" w:cs="宋体"/>
          <w:bCs/>
          <w:sz w:val="24"/>
          <w:szCs w:val="24"/>
        </w:rPr>
        <w:t>留样的采集和保管由专人负责，配备经消毒的或一次性专用的取样工、用具以及专用冷藏箱。</w:t>
      </w:r>
    </w:p>
    <w:p>
      <w:pPr>
        <w:spacing w:line="360" w:lineRule="auto"/>
        <w:ind w:firstLine="448" w:firstLineChars="200"/>
        <w:jc w:val="left"/>
        <w:rPr>
          <w:rFonts w:cs="宋体"/>
          <w:bCs/>
          <w:sz w:val="24"/>
          <w:szCs w:val="24"/>
        </w:rPr>
      </w:pPr>
      <w:r>
        <w:rPr>
          <w:rFonts w:hint="eastAsia" w:cs="宋体"/>
          <w:bCs/>
          <w:sz w:val="24"/>
          <w:szCs w:val="24"/>
        </w:rPr>
        <w:t xml:space="preserve">取样应在实际操作过程中进行。不得特殊制作。不同品种分别留样．防止样品间污染； </w:t>
      </w:r>
    </w:p>
    <w:p>
      <w:pPr>
        <w:spacing w:line="360" w:lineRule="auto"/>
        <w:ind w:firstLine="448" w:firstLineChars="200"/>
        <w:jc w:val="left"/>
        <w:rPr>
          <w:rFonts w:cs="宋体"/>
          <w:bCs/>
          <w:sz w:val="24"/>
          <w:szCs w:val="24"/>
        </w:rPr>
      </w:pPr>
      <w:r>
        <w:rPr>
          <w:rFonts w:hint="eastAsia" w:cs="宋体"/>
          <w:bCs/>
          <w:sz w:val="24"/>
          <w:szCs w:val="24"/>
        </w:rPr>
        <w:t xml:space="preserve">留样样品采集完成后应及时密闭存放于冷藏条件下并保存48小时以上．不得冷冻保存。 </w:t>
      </w:r>
    </w:p>
    <w:p>
      <w:pPr>
        <w:spacing w:line="360" w:lineRule="auto"/>
        <w:ind w:firstLine="448" w:firstLineChars="200"/>
        <w:jc w:val="left"/>
        <w:rPr>
          <w:rFonts w:cs="宋体"/>
          <w:bCs/>
          <w:sz w:val="24"/>
          <w:szCs w:val="24"/>
        </w:rPr>
      </w:pPr>
      <w:r>
        <w:rPr>
          <w:rFonts w:hint="eastAsia" w:cs="宋体"/>
          <w:bCs/>
          <w:sz w:val="24"/>
          <w:szCs w:val="24"/>
        </w:rPr>
        <w:t xml:space="preserve">原则上留样食品应包括所有加工制作的食品成品，并做好留样记录和样品标记，每份样品必须标注品名、加工时间、加工人员、留样时间(xx月xx日xx时)。其它情况则可根据需要由卫生监督机构或采购人单位自行决定留样品种。 </w:t>
      </w:r>
    </w:p>
    <w:p>
      <w:pPr>
        <w:spacing w:line="360" w:lineRule="auto"/>
        <w:ind w:firstLine="448" w:firstLineChars="200"/>
        <w:jc w:val="left"/>
        <w:rPr>
          <w:rFonts w:cs="宋体"/>
          <w:bCs/>
          <w:sz w:val="24"/>
          <w:szCs w:val="24"/>
        </w:rPr>
      </w:pPr>
      <w:r>
        <w:rPr>
          <w:rFonts w:hint="eastAsia" w:cs="宋体"/>
          <w:bCs/>
          <w:sz w:val="24"/>
          <w:szCs w:val="24"/>
        </w:rPr>
        <w:t>一旦发生食物中毒或疑似食物中毒事故，应及时提供留样样品，配合卫生监督机构进行调查处理工作，不得有留样样品而不提供或提供不真实的留样样品，影响或干扰事故的调查处理工作。</w:t>
      </w:r>
    </w:p>
    <w:p>
      <w:pPr>
        <w:spacing w:line="360" w:lineRule="auto"/>
        <w:ind w:firstLine="448" w:firstLineChars="200"/>
        <w:jc w:val="left"/>
        <w:rPr>
          <w:rFonts w:cs="宋体"/>
          <w:bCs/>
          <w:sz w:val="24"/>
          <w:szCs w:val="24"/>
        </w:rPr>
      </w:pPr>
      <w:r>
        <w:rPr>
          <w:rFonts w:hint="eastAsia" w:cs="宋体"/>
          <w:bCs/>
          <w:sz w:val="24"/>
          <w:szCs w:val="24"/>
        </w:rPr>
        <w:t>因中标人供应食物不洁或霉变引发的细菌性食物中毒和食源性疾病等所发生的治疗费用由中标人全部承担并按自愿接受采购人处罚。如发生食品安全事故 ，按相关的法律法规处理。</w:t>
      </w:r>
    </w:p>
    <w:p>
      <w:pPr>
        <w:spacing w:line="360" w:lineRule="auto"/>
        <w:ind w:firstLine="448" w:firstLineChars="200"/>
        <w:jc w:val="left"/>
        <w:rPr>
          <w:rFonts w:cs="宋体"/>
          <w:bCs/>
          <w:sz w:val="24"/>
          <w:szCs w:val="24"/>
        </w:rPr>
      </w:pPr>
      <w:r>
        <w:rPr>
          <w:rFonts w:hint="eastAsia" w:cs="宋体"/>
          <w:bCs/>
          <w:sz w:val="24"/>
          <w:szCs w:val="24"/>
        </w:rPr>
        <w:t>（三）餐具卫生标准</w:t>
      </w:r>
    </w:p>
    <w:p>
      <w:pPr>
        <w:spacing w:line="360" w:lineRule="auto"/>
        <w:ind w:firstLine="448" w:firstLineChars="200"/>
        <w:jc w:val="left"/>
        <w:rPr>
          <w:rFonts w:cs="宋体"/>
          <w:bCs/>
          <w:sz w:val="24"/>
          <w:szCs w:val="24"/>
        </w:rPr>
      </w:pPr>
      <w:r>
        <w:rPr>
          <w:rFonts w:hint="eastAsia" w:cs="宋体"/>
          <w:bCs/>
          <w:sz w:val="24"/>
          <w:szCs w:val="24"/>
        </w:rPr>
        <w:t xml:space="preserve">洗、消人员严格按照程序和方法操作，即：物理消毒：除残渣→碱水（或洗洁精）刷→净水冲→热力消（洗碗机）→保洁。化学消毒：除残渣→碱水（或洗洁精）刷→净水冲→消毒药物浸泡→净水冲→保洁的顺序操作。 </w:t>
      </w:r>
    </w:p>
    <w:p>
      <w:pPr>
        <w:spacing w:line="360" w:lineRule="auto"/>
        <w:ind w:firstLine="448" w:firstLineChars="200"/>
        <w:jc w:val="left"/>
        <w:rPr>
          <w:rFonts w:cs="宋体"/>
          <w:bCs/>
          <w:sz w:val="24"/>
          <w:szCs w:val="24"/>
        </w:rPr>
      </w:pPr>
      <w:r>
        <w:rPr>
          <w:rFonts w:hint="eastAsia" w:cs="宋体"/>
          <w:bCs/>
          <w:sz w:val="24"/>
          <w:szCs w:val="24"/>
        </w:rPr>
        <w:t xml:space="preserve">餐具做到当餐回收，当餐清洗消毒，不得隔顿、隔夜。 </w:t>
      </w:r>
    </w:p>
    <w:p>
      <w:pPr>
        <w:spacing w:line="360" w:lineRule="auto"/>
        <w:ind w:firstLine="448" w:firstLineChars="200"/>
        <w:jc w:val="left"/>
        <w:rPr>
          <w:rFonts w:cs="宋体"/>
          <w:bCs/>
          <w:sz w:val="24"/>
          <w:szCs w:val="24"/>
        </w:rPr>
      </w:pPr>
      <w:r>
        <w:rPr>
          <w:rFonts w:hint="eastAsia" w:cs="宋体"/>
          <w:bCs/>
          <w:sz w:val="24"/>
          <w:szCs w:val="24"/>
        </w:rPr>
        <w:t xml:space="preserve">洗消餐饮用具的洗洁精、消毒剂必须符合国家有关产品和卫生标准。 </w:t>
      </w:r>
    </w:p>
    <w:p>
      <w:pPr>
        <w:spacing w:line="360" w:lineRule="auto"/>
        <w:ind w:firstLine="448" w:firstLineChars="200"/>
        <w:jc w:val="left"/>
        <w:rPr>
          <w:rFonts w:cs="宋体"/>
          <w:bCs/>
          <w:sz w:val="24"/>
          <w:szCs w:val="24"/>
        </w:rPr>
      </w:pPr>
      <w:r>
        <w:rPr>
          <w:rFonts w:hint="eastAsia" w:cs="宋体"/>
          <w:bCs/>
          <w:sz w:val="24"/>
          <w:szCs w:val="24"/>
        </w:rPr>
        <w:t>餐饮用具消毒前必须清洗干净，消毒后的餐具表面光洁、无油渍、无水渍无异味、无泡沫、无不溶性附着物，应符合《食（饮）具消毒卫生标准》。</w:t>
      </w:r>
    </w:p>
    <w:p>
      <w:pPr>
        <w:spacing w:line="360" w:lineRule="auto"/>
        <w:ind w:firstLine="448" w:firstLineChars="200"/>
        <w:jc w:val="left"/>
        <w:rPr>
          <w:rFonts w:cs="宋体"/>
          <w:bCs/>
          <w:sz w:val="24"/>
          <w:szCs w:val="24"/>
        </w:rPr>
      </w:pPr>
      <w:r>
        <w:rPr>
          <w:rFonts w:hint="eastAsia" w:cs="宋体"/>
          <w:bCs/>
          <w:sz w:val="24"/>
          <w:szCs w:val="24"/>
        </w:rPr>
        <w:t>消毒后的餐饮用具及时放入保洁柜密闭保存备用。盛放消毒餐具的保洁柜要有明显标记，并经常擦洗消毒，已消毒和未消毒的餐饮用具要分开存放。</w:t>
      </w:r>
    </w:p>
    <w:p>
      <w:pPr>
        <w:spacing w:line="360" w:lineRule="auto"/>
        <w:ind w:firstLine="448" w:firstLineChars="200"/>
        <w:jc w:val="left"/>
        <w:rPr>
          <w:rFonts w:cs="宋体"/>
          <w:bCs/>
          <w:sz w:val="24"/>
          <w:szCs w:val="24"/>
        </w:rPr>
      </w:pPr>
      <w:r>
        <w:rPr>
          <w:rFonts w:hint="eastAsia" w:cs="宋体"/>
          <w:bCs/>
          <w:sz w:val="24"/>
          <w:szCs w:val="24"/>
        </w:rPr>
        <w:t xml:space="preserve">洗刷餐饮用具的水池专用，不得在清洗餐饮用具的水池内清洗食品原料及其他用品、用具。 </w:t>
      </w:r>
    </w:p>
    <w:p>
      <w:pPr>
        <w:spacing w:line="360" w:lineRule="auto"/>
        <w:ind w:firstLine="448" w:firstLineChars="200"/>
        <w:jc w:val="left"/>
        <w:rPr>
          <w:rFonts w:cs="宋体"/>
          <w:bCs/>
          <w:sz w:val="24"/>
          <w:szCs w:val="24"/>
        </w:rPr>
      </w:pPr>
      <w:r>
        <w:rPr>
          <w:rFonts w:hint="eastAsia" w:cs="宋体"/>
          <w:bCs/>
          <w:sz w:val="24"/>
          <w:szCs w:val="24"/>
        </w:rPr>
        <w:t xml:space="preserve">洗刷消毒结束，及时清理地面、水池卫生，及时处理泔水桶，做到地面无积水、油污，池内无残渣油渍、泔水桶内外清洁。 </w:t>
      </w:r>
    </w:p>
    <w:p>
      <w:pPr>
        <w:spacing w:line="360" w:lineRule="auto"/>
        <w:ind w:firstLine="448" w:firstLineChars="200"/>
        <w:jc w:val="left"/>
        <w:rPr>
          <w:rFonts w:cs="宋体"/>
          <w:bCs/>
          <w:sz w:val="24"/>
          <w:szCs w:val="24"/>
        </w:rPr>
      </w:pPr>
      <w:r>
        <w:rPr>
          <w:rFonts w:hint="eastAsia" w:cs="宋体"/>
          <w:bCs/>
          <w:sz w:val="24"/>
          <w:szCs w:val="24"/>
        </w:rPr>
        <w:t xml:space="preserve">定期清扫洗消间室内环境及设备卫生，不留死角，保持清洁。 </w:t>
      </w:r>
    </w:p>
    <w:p>
      <w:pPr>
        <w:spacing w:line="360" w:lineRule="auto"/>
        <w:ind w:firstLine="448" w:firstLineChars="200"/>
        <w:jc w:val="left"/>
        <w:rPr>
          <w:rFonts w:cs="宋体"/>
          <w:bCs/>
          <w:sz w:val="24"/>
          <w:szCs w:val="24"/>
        </w:rPr>
      </w:pPr>
      <w:r>
        <w:rPr>
          <w:rFonts w:hint="eastAsia" w:cs="宋体"/>
          <w:bCs/>
          <w:sz w:val="24"/>
          <w:szCs w:val="24"/>
        </w:rPr>
        <w:t>认真做好每餐消毒记录。</w:t>
      </w:r>
    </w:p>
    <w:p>
      <w:pPr>
        <w:spacing w:line="360" w:lineRule="auto"/>
        <w:ind w:firstLine="448" w:firstLineChars="200"/>
        <w:jc w:val="left"/>
        <w:rPr>
          <w:rFonts w:cs="宋体"/>
          <w:bCs/>
          <w:sz w:val="24"/>
          <w:szCs w:val="24"/>
        </w:rPr>
      </w:pPr>
      <w:r>
        <w:rPr>
          <w:rFonts w:hint="eastAsia" w:cs="宋体"/>
          <w:bCs/>
          <w:sz w:val="24"/>
          <w:szCs w:val="24"/>
        </w:rPr>
        <w:t>（四）公共卫生标准</w:t>
      </w:r>
    </w:p>
    <w:p>
      <w:pPr>
        <w:spacing w:line="360" w:lineRule="auto"/>
        <w:ind w:firstLine="448" w:firstLineChars="200"/>
        <w:jc w:val="left"/>
        <w:rPr>
          <w:rFonts w:cs="宋体"/>
          <w:bCs/>
          <w:sz w:val="24"/>
          <w:szCs w:val="24"/>
        </w:rPr>
      </w:pPr>
      <w:r>
        <w:rPr>
          <w:rFonts w:hint="eastAsia" w:cs="宋体"/>
          <w:bCs/>
          <w:sz w:val="24"/>
          <w:szCs w:val="24"/>
        </w:rPr>
        <w:t xml:space="preserve">为预防传染病的传播和由于食品污染引起的食源性疾病及食物中毒的发生，保证广大就餐人员和员工的身体健康，根据《食品卫生法》、《餐饮业食品卫生管理办法》有关规定，制定本标准。 </w:t>
      </w:r>
    </w:p>
    <w:p>
      <w:pPr>
        <w:spacing w:line="360" w:lineRule="auto"/>
        <w:ind w:firstLine="448" w:firstLineChars="200"/>
        <w:jc w:val="left"/>
        <w:rPr>
          <w:rFonts w:cs="宋体"/>
          <w:bCs/>
          <w:sz w:val="24"/>
          <w:szCs w:val="24"/>
        </w:rPr>
      </w:pPr>
      <w:r>
        <w:rPr>
          <w:rFonts w:hint="eastAsia" w:cs="宋体"/>
          <w:bCs/>
          <w:sz w:val="24"/>
          <w:szCs w:val="24"/>
        </w:rPr>
        <w:t xml:space="preserve">凡在本项目服务的员工均应遵守本制度。 </w:t>
      </w:r>
    </w:p>
    <w:p>
      <w:pPr>
        <w:spacing w:line="360" w:lineRule="auto"/>
        <w:ind w:firstLine="448" w:firstLineChars="200"/>
        <w:jc w:val="left"/>
        <w:rPr>
          <w:rFonts w:cs="宋体"/>
          <w:bCs/>
          <w:sz w:val="24"/>
          <w:szCs w:val="24"/>
        </w:rPr>
      </w:pPr>
      <w:r>
        <w:rPr>
          <w:rFonts w:hint="eastAsia" w:cs="宋体"/>
          <w:bCs/>
          <w:sz w:val="24"/>
          <w:szCs w:val="24"/>
        </w:rPr>
        <w:t xml:space="preserve">所有项目员工（包括临时工）必须先到指定的卫生机构（疾病预防控制中心）或医疗机构进行健康检查，取得健康证明后方可从事食堂工作，并将健康证复印件上交采购人。 </w:t>
      </w:r>
    </w:p>
    <w:p>
      <w:pPr>
        <w:spacing w:line="360" w:lineRule="auto"/>
        <w:ind w:firstLine="448" w:firstLineChars="200"/>
        <w:jc w:val="left"/>
        <w:rPr>
          <w:rFonts w:cs="宋体"/>
          <w:bCs/>
          <w:sz w:val="24"/>
          <w:szCs w:val="24"/>
        </w:rPr>
      </w:pPr>
      <w:r>
        <w:rPr>
          <w:rFonts w:hint="eastAsia" w:cs="宋体"/>
          <w:bCs/>
          <w:sz w:val="24"/>
          <w:szCs w:val="24"/>
        </w:rPr>
        <w:t>项目经理对在本项目服务的工作人员进行登记造册，要随时掌握员工的健康状况。组织员工每年定期到指定卫生机构进行健康检查。</w:t>
      </w:r>
    </w:p>
    <w:p>
      <w:pPr>
        <w:spacing w:line="360" w:lineRule="auto"/>
        <w:ind w:firstLine="448" w:firstLineChars="200"/>
        <w:jc w:val="left"/>
        <w:rPr>
          <w:rFonts w:cs="宋体"/>
          <w:bCs/>
          <w:sz w:val="24"/>
          <w:szCs w:val="24"/>
        </w:rPr>
      </w:pPr>
      <w:r>
        <w:rPr>
          <w:rFonts w:hint="eastAsia" w:cs="宋体"/>
          <w:bCs/>
          <w:sz w:val="24"/>
          <w:szCs w:val="24"/>
        </w:rPr>
        <w:t xml:space="preserve">员工健康证明中标人要在餐厅显著位置进行公示，并提供复印件供采购人查验。 </w:t>
      </w:r>
    </w:p>
    <w:p>
      <w:pPr>
        <w:spacing w:line="360" w:lineRule="auto"/>
        <w:ind w:firstLine="448" w:firstLineChars="200"/>
        <w:jc w:val="left"/>
        <w:rPr>
          <w:rFonts w:cs="宋体"/>
          <w:bCs/>
          <w:sz w:val="24"/>
          <w:szCs w:val="24"/>
        </w:rPr>
      </w:pPr>
      <w:r>
        <w:rPr>
          <w:rFonts w:hint="eastAsia" w:cs="宋体"/>
          <w:bCs/>
          <w:sz w:val="24"/>
          <w:szCs w:val="24"/>
        </w:rPr>
        <w:t>凡发现未经健康检查上岗工作或患有《食品卫生法》第二十六条中所列疾病而未及时调离的，采购人有权对中标人进行从重处罚或中止合同，并报卫生监管部门依法对中标人进行处罚。</w:t>
      </w:r>
    </w:p>
    <w:p>
      <w:pPr>
        <w:spacing w:line="360" w:lineRule="auto"/>
        <w:ind w:firstLine="448" w:firstLineChars="200"/>
        <w:jc w:val="left"/>
        <w:rPr>
          <w:rFonts w:cs="宋体"/>
          <w:bCs/>
          <w:sz w:val="24"/>
          <w:szCs w:val="24"/>
        </w:rPr>
      </w:pPr>
      <w:r>
        <w:rPr>
          <w:rFonts w:hint="eastAsia" w:cs="宋体"/>
          <w:bCs/>
          <w:sz w:val="24"/>
          <w:szCs w:val="24"/>
        </w:rPr>
        <w:t>环境：</w:t>
      </w:r>
    </w:p>
    <w:p>
      <w:pPr>
        <w:spacing w:line="360" w:lineRule="auto"/>
        <w:ind w:firstLine="448" w:firstLineChars="200"/>
        <w:jc w:val="left"/>
        <w:rPr>
          <w:rFonts w:cs="宋体"/>
          <w:bCs/>
          <w:sz w:val="24"/>
          <w:szCs w:val="24"/>
        </w:rPr>
      </w:pPr>
      <w:r>
        <w:rPr>
          <w:rFonts w:hint="eastAsia" w:cs="宋体"/>
          <w:bCs/>
          <w:sz w:val="24"/>
          <w:szCs w:val="24"/>
        </w:rPr>
        <w:t>保持餐厅环境整洁。纱窗、门帘、灭蝇灯等三防设施运转正常。鼠、蝇、蟑螂、蚊子密度不得超过国家有关标准。保证供用餐者使用的洗手设施运转正常。</w:t>
      </w:r>
    </w:p>
    <w:p>
      <w:pPr>
        <w:spacing w:line="360" w:lineRule="auto"/>
        <w:ind w:firstLine="448" w:firstLineChars="200"/>
        <w:jc w:val="left"/>
        <w:rPr>
          <w:rFonts w:cs="宋体"/>
          <w:bCs/>
          <w:sz w:val="24"/>
          <w:szCs w:val="24"/>
        </w:rPr>
      </w:pPr>
      <w:r>
        <w:rPr>
          <w:rFonts w:hint="eastAsia" w:cs="宋体"/>
          <w:bCs/>
          <w:sz w:val="24"/>
          <w:szCs w:val="24"/>
        </w:rPr>
        <w:t xml:space="preserve">自助餐台、餐具等每餐必清。餐具摆放超过当次就餐时间尚未使用的应收回并重新洗消保洁。 </w:t>
      </w:r>
    </w:p>
    <w:p>
      <w:pPr>
        <w:spacing w:line="360" w:lineRule="auto"/>
        <w:ind w:firstLine="448" w:firstLineChars="200"/>
        <w:jc w:val="left"/>
        <w:rPr>
          <w:rFonts w:cs="宋体"/>
          <w:bCs/>
          <w:sz w:val="24"/>
          <w:szCs w:val="24"/>
        </w:rPr>
      </w:pPr>
      <w:r>
        <w:rPr>
          <w:rFonts w:hint="eastAsia" w:cs="宋体"/>
          <w:bCs/>
          <w:sz w:val="24"/>
          <w:szCs w:val="24"/>
        </w:rPr>
        <w:t>员工全部就餐完毕方可打扫餐厅卫生；标准程序为：去污、清洁、消毒，做到窗明几净，无卫生死角。</w:t>
      </w:r>
    </w:p>
    <w:p>
      <w:pPr>
        <w:spacing w:line="360" w:lineRule="auto"/>
        <w:ind w:firstLine="448" w:firstLineChars="200"/>
        <w:jc w:val="left"/>
        <w:rPr>
          <w:rFonts w:cs="宋体"/>
          <w:bCs/>
          <w:sz w:val="24"/>
          <w:szCs w:val="24"/>
        </w:rPr>
      </w:pPr>
      <w:r>
        <w:rPr>
          <w:rFonts w:hint="eastAsia" w:cs="宋体"/>
          <w:bCs/>
          <w:sz w:val="24"/>
          <w:szCs w:val="24"/>
        </w:rPr>
        <w:t>（五）服务标准</w:t>
      </w:r>
    </w:p>
    <w:p>
      <w:pPr>
        <w:spacing w:line="360" w:lineRule="auto"/>
        <w:ind w:firstLine="448" w:firstLineChars="200"/>
        <w:jc w:val="left"/>
        <w:rPr>
          <w:rFonts w:cs="宋体"/>
          <w:bCs/>
          <w:sz w:val="24"/>
          <w:szCs w:val="24"/>
        </w:rPr>
      </w:pPr>
      <w:r>
        <w:rPr>
          <w:rFonts w:hint="eastAsia" w:cs="宋体"/>
          <w:bCs/>
          <w:sz w:val="24"/>
          <w:szCs w:val="24"/>
        </w:rPr>
        <w:t>上岗工作人员应统一着装。中标人应对所有工作人员进行基本的礼仪培训，服务礼貌、得体、大方。</w:t>
      </w:r>
    </w:p>
    <w:p>
      <w:pPr>
        <w:spacing w:line="360" w:lineRule="auto"/>
        <w:ind w:firstLine="448" w:firstLineChars="200"/>
        <w:jc w:val="left"/>
        <w:rPr>
          <w:rFonts w:cs="宋体"/>
          <w:bCs/>
          <w:sz w:val="24"/>
          <w:szCs w:val="24"/>
        </w:rPr>
      </w:pPr>
      <w:r>
        <w:rPr>
          <w:rFonts w:hint="eastAsia" w:cs="宋体"/>
          <w:bCs/>
          <w:sz w:val="24"/>
          <w:szCs w:val="24"/>
        </w:rPr>
        <w:t>就餐人员提出的合理需求，工作人员要立即响应并尽最大努力满足其要求。</w:t>
      </w:r>
    </w:p>
    <w:p>
      <w:pPr>
        <w:spacing w:line="360" w:lineRule="auto"/>
        <w:ind w:firstLine="448" w:firstLineChars="200"/>
        <w:jc w:val="left"/>
        <w:rPr>
          <w:rFonts w:cs="宋体"/>
          <w:bCs/>
          <w:sz w:val="24"/>
          <w:szCs w:val="24"/>
        </w:rPr>
      </w:pPr>
      <w:r>
        <w:rPr>
          <w:rFonts w:hint="eastAsia" w:cs="宋体"/>
          <w:bCs/>
          <w:sz w:val="24"/>
          <w:szCs w:val="24"/>
        </w:rPr>
        <w:t>工作人员对就餐人员提出的不合理要求应委婉的解释清楚，不可与就餐人员发生争吵或过激行为。</w:t>
      </w:r>
    </w:p>
    <w:p>
      <w:pPr>
        <w:spacing w:line="360" w:lineRule="auto"/>
        <w:ind w:firstLine="448" w:firstLineChars="200"/>
        <w:jc w:val="left"/>
        <w:rPr>
          <w:rFonts w:cs="宋体"/>
          <w:bCs/>
          <w:sz w:val="24"/>
          <w:szCs w:val="24"/>
        </w:rPr>
      </w:pPr>
      <w:r>
        <w:rPr>
          <w:rFonts w:hint="eastAsia" w:cs="宋体"/>
          <w:bCs/>
          <w:sz w:val="24"/>
          <w:szCs w:val="24"/>
        </w:rPr>
        <w:t>（六）消防安全标准</w:t>
      </w:r>
    </w:p>
    <w:p>
      <w:pPr>
        <w:spacing w:line="360" w:lineRule="auto"/>
        <w:ind w:firstLine="448" w:firstLineChars="200"/>
        <w:jc w:val="left"/>
        <w:rPr>
          <w:rFonts w:cs="宋体"/>
          <w:bCs/>
          <w:sz w:val="24"/>
          <w:szCs w:val="24"/>
        </w:rPr>
      </w:pPr>
      <w:r>
        <w:rPr>
          <w:rFonts w:hint="eastAsia" w:cs="宋体"/>
          <w:bCs/>
          <w:sz w:val="24"/>
          <w:szCs w:val="24"/>
        </w:rPr>
        <w:t>餐厅、厨房因其高温、明火且人员集中，是重点消防安全责任部门，为确保人员及财产安全，特制定消防安全管理制度。</w:t>
      </w:r>
    </w:p>
    <w:p>
      <w:pPr>
        <w:spacing w:line="360" w:lineRule="auto"/>
        <w:ind w:firstLine="448" w:firstLineChars="200"/>
        <w:jc w:val="left"/>
        <w:rPr>
          <w:rFonts w:cs="宋体"/>
          <w:bCs/>
          <w:sz w:val="24"/>
          <w:szCs w:val="24"/>
        </w:rPr>
      </w:pPr>
      <w:r>
        <w:rPr>
          <w:rFonts w:hint="eastAsia" w:cs="宋体"/>
          <w:bCs/>
          <w:sz w:val="24"/>
          <w:szCs w:val="24"/>
        </w:rPr>
        <w:t>确保安全出口和疏散通道畅通无阻，安全疏散标志完好。</w:t>
      </w:r>
    </w:p>
    <w:p>
      <w:pPr>
        <w:spacing w:line="360" w:lineRule="auto"/>
        <w:ind w:firstLine="448" w:firstLineChars="200"/>
        <w:jc w:val="left"/>
        <w:rPr>
          <w:rFonts w:cs="宋体"/>
          <w:bCs/>
          <w:sz w:val="24"/>
          <w:szCs w:val="24"/>
        </w:rPr>
      </w:pPr>
      <w:r>
        <w:rPr>
          <w:rFonts w:hint="eastAsia" w:cs="宋体"/>
          <w:bCs/>
          <w:sz w:val="24"/>
          <w:szCs w:val="24"/>
        </w:rPr>
        <w:t>所有工作人员都要参加单位定期组织的消防培训，了解本单位消防器材性能及摆放数量、位置，做到“四懂四会”，四懂：懂火灾危险性，懂预防火灾措施，懂扑救火灾方法，懂逃生自救方法。四会：会报警，会使用消防器材，会扑救初起火灾，会组织引导人员疏散。</w:t>
      </w:r>
    </w:p>
    <w:p>
      <w:pPr>
        <w:spacing w:line="360" w:lineRule="auto"/>
        <w:ind w:firstLine="448" w:firstLineChars="200"/>
        <w:jc w:val="left"/>
        <w:rPr>
          <w:rFonts w:cs="宋体"/>
          <w:bCs/>
          <w:sz w:val="24"/>
          <w:szCs w:val="24"/>
        </w:rPr>
      </w:pPr>
      <w:r>
        <w:rPr>
          <w:rFonts w:hint="eastAsia" w:cs="宋体"/>
          <w:bCs/>
          <w:sz w:val="24"/>
          <w:szCs w:val="24"/>
        </w:rPr>
        <w:t>所属区域电气设备使用时应严格遵守操作规程，使用前必须熟悉操作方法，出现故障及时报修处理。</w:t>
      </w:r>
    </w:p>
    <w:p>
      <w:pPr>
        <w:spacing w:line="360" w:lineRule="auto"/>
        <w:ind w:firstLine="448" w:firstLineChars="200"/>
        <w:jc w:val="left"/>
        <w:rPr>
          <w:rFonts w:cs="宋体"/>
          <w:bCs/>
          <w:sz w:val="24"/>
          <w:szCs w:val="24"/>
        </w:rPr>
      </w:pPr>
      <w:r>
        <w:rPr>
          <w:rFonts w:hint="eastAsia" w:cs="宋体"/>
          <w:bCs/>
          <w:sz w:val="24"/>
          <w:szCs w:val="24"/>
        </w:rPr>
        <w:t>不得随意布置电源线路和安装、使用大功率用电设备。</w:t>
      </w:r>
    </w:p>
    <w:p>
      <w:pPr>
        <w:spacing w:line="360" w:lineRule="auto"/>
        <w:ind w:firstLine="448" w:firstLineChars="200"/>
        <w:jc w:val="left"/>
        <w:rPr>
          <w:rFonts w:cs="宋体"/>
          <w:bCs/>
          <w:sz w:val="24"/>
          <w:szCs w:val="24"/>
        </w:rPr>
      </w:pPr>
      <w:r>
        <w:rPr>
          <w:rFonts w:hint="eastAsia" w:cs="宋体"/>
          <w:bCs/>
          <w:sz w:val="24"/>
          <w:szCs w:val="24"/>
        </w:rPr>
        <w:t>保障安全出口、疏散通道畅通，对安全出口指示灯、应急照明等及时检查修理，确保正常运转。</w:t>
      </w:r>
    </w:p>
    <w:p>
      <w:pPr>
        <w:spacing w:line="360" w:lineRule="auto"/>
        <w:ind w:firstLine="448" w:firstLineChars="200"/>
        <w:jc w:val="left"/>
        <w:rPr>
          <w:rFonts w:cs="宋体"/>
          <w:bCs/>
          <w:sz w:val="24"/>
          <w:szCs w:val="24"/>
        </w:rPr>
      </w:pPr>
      <w:r>
        <w:rPr>
          <w:rFonts w:hint="eastAsia" w:cs="宋体"/>
          <w:bCs/>
          <w:sz w:val="24"/>
          <w:szCs w:val="24"/>
        </w:rPr>
        <w:t>改、装设施、设备前应上报相关部门批准，未经批准不得擅自动工，以免引发火险事故。</w:t>
      </w:r>
    </w:p>
    <w:p>
      <w:pPr>
        <w:spacing w:line="360" w:lineRule="auto"/>
        <w:ind w:firstLine="448" w:firstLineChars="200"/>
        <w:jc w:val="left"/>
        <w:rPr>
          <w:rFonts w:cs="宋体"/>
          <w:bCs/>
          <w:sz w:val="24"/>
          <w:szCs w:val="24"/>
        </w:rPr>
      </w:pPr>
      <w:r>
        <w:rPr>
          <w:rFonts w:hint="eastAsia" w:cs="宋体"/>
          <w:bCs/>
          <w:sz w:val="24"/>
          <w:szCs w:val="24"/>
        </w:rPr>
        <w:t>中标人为各项目配备专职消防检查人员，定期检查督导消防设施设备及人员消防安全意识，组织现场消防演练，保证组织措施落实到位。</w:t>
      </w:r>
    </w:p>
    <w:p>
      <w:pPr>
        <w:spacing w:line="360" w:lineRule="auto"/>
        <w:ind w:firstLine="448" w:firstLineChars="200"/>
        <w:jc w:val="left"/>
        <w:rPr>
          <w:rFonts w:cs="宋体"/>
          <w:bCs/>
          <w:sz w:val="24"/>
          <w:szCs w:val="24"/>
        </w:rPr>
      </w:pPr>
      <w:r>
        <w:rPr>
          <w:rFonts w:hint="eastAsia" w:cs="宋体"/>
          <w:bCs/>
          <w:sz w:val="24"/>
          <w:szCs w:val="24"/>
        </w:rPr>
        <w:t>（七）设施设备使用保养标准</w:t>
      </w:r>
    </w:p>
    <w:p>
      <w:pPr>
        <w:spacing w:line="360" w:lineRule="auto"/>
        <w:ind w:firstLine="448" w:firstLineChars="200"/>
        <w:jc w:val="left"/>
        <w:rPr>
          <w:rFonts w:cs="宋体"/>
          <w:bCs/>
          <w:sz w:val="24"/>
          <w:szCs w:val="24"/>
        </w:rPr>
      </w:pPr>
      <w:r>
        <w:rPr>
          <w:rFonts w:hint="eastAsia" w:cs="宋体"/>
          <w:bCs/>
          <w:sz w:val="24"/>
          <w:szCs w:val="24"/>
        </w:rPr>
        <w:t>豆浆机：</w:t>
      </w:r>
    </w:p>
    <w:p>
      <w:pPr>
        <w:spacing w:line="360" w:lineRule="auto"/>
        <w:ind w:firstLine="448" w:firstLineChars="200"/>
        <w:jc w:val="left"/>
        <w:rPr>
          <w:rFonts w:cs="宋体"/>
          <w:bCs/>
          <w:sz w:val="24"/>
          <w:szCs w:val="24"/>
        </w:rPr>
      </w:pPr>
      <w:r>
        <w:rPr>
          <w:rFonts w:hint="eastAsia" w:cs="宋体"/>
          <w:bCs/>
          <w:sz w:val="24"/>
          <w:szCs w:val="24"/>
        </w:rPr>
        <w:t>使用：根据标注容量不能超负荷使用</w:t>
      </w:r>
    </w:p>
    <w:p>
      <w:pPr>
        <w:spacing w:line="360" w:lineRule="auto"/>
        <w:ind w:firstLine="448" w:firstLineChars="200"/>
        <w:jc w:val="left"/>
        <w:rPr>
          <w:rFonts w:cs="宋体"/>
          <w:bCs/>
          <w:sz w:val="24"/>
          <w:szCs w:val="24"/>
        </w:rPr>
      </w:pPr>
      <w:r>
        <w:rPr>
          <w:rFonts w:hint="eastAsia" w:cs="宋体"/>
          <w:bCs/>
          <w:sz w:val="24"/>
          <w:szCs w:val="24"/>
        </w:rPr>
        <w:t>维护：每日下班前断电后对设备进行清扫，可用潮湿布擦，不得用水冲洗主机，定期注油。</w:t>
      </w:r>
    </w:p>
    <w:p>
      <w:pPr>
        <w:spacing w:line="360" w:lineRule="auto"/>
        <w:ind w:firstLine="448" w:firstLineChars="200"/>
        <w:jc w:val="left"/>
        <w:rPr>
          <w:rFonts w:cs="宋体"/>
          <w:bCs/>
          <w:sz w:val="24"/>
          <w:szCs w:val="24"/>
        </w:rPr>
      </w:pPr>
      <w:r>
        <w:rPr>
          <w:rFonts w:hint="eastAsia" w:cs="宋体"/>
          <w:bCs/>
          <w:sz w:val="24"/>
          <w:szCs w:val="24"/>
        </w:rPr>
        <w:t>保养：开机前进行检查有无杂物。</w:t>
      </w:r>
    </w:p>
    <w:p>
      <w:pPr>
        <w:spacing w:line="360" w:lineRule="auto"/>
        <w:ind w:firstLine="448" w:firstLineChars="200"/>
        <w:jc w:val="left"/>
        <w:rPr>
          <w:rFonts w:cs="宋体"/>
          <w:bCs/>
          <w:sz w:val="24"/>
          <w:szCs w:val="24"/>
        </w:rPr>
      </w:pPr>
      <w:r>
        <w:rPr>
          <w:rFonts w:hint="eastAsia" w:cs="宋体"/>
          <w:bCs/>
          <w:sz w:val="24"/>
          <w:szCs w:val="24"/>
        </w:rPr>
        <w:t>冷藏柜、冰柜：</w:t>
      </w:r>
    </w:p>
    <w:p>
      <w:pPr>
        <w:spacing w:line="360" w:lineRule="auto"/>
        <w:ind w:firstLine="448" w:firstLineChars="200"/>
        <w:jc w:val="left"/>
        <w:rPr>
          <w:rFonts w:cs="宋体"/>
          <w:bCs/>
          <w:sz w:val="24"/>
          <w:szCs w:val="24"/>
        </w:rPr>
      </w:pPr>
      <w:r>
        <w:rPr>
          <w:rFonts w:hint="eastAsia" w:cs="宋体"/>
          <w:bCs/>
          <w:sz w:val="24"/>
          <w:szCs w:val="24"/>
        </w:rPr>
        <w:t>维护：每周清洗、保持外观清洁，电源切断后3分钟以后才能启动，箱内物品存放期间必须留出室内间隙，以保证箱内冷气能正常循环。</w:t>
      </w:r>
    </w:p>
    <w:p>
      <w:pPr>
        <w:spacing w:line="360" w:lineRule="auto"/>
        <w:ind w:firstLine="448" w:firstLineChars="200"/>
        <w:jc w:val="left"/>
        <w:rPr>
          <w:rFonts w:cs="宋体"/>
          <w:bCs/>
          <w:sz w:val="24"/>
          <w:szCs w:val="24"/>
        </w:rPr>
      </w:pPr>
      <w:r>
        <w:rPr>
          <w:rFonts w:hint="eastAsia" w:cs="宋体"/>
          <w:bCs/>
          <w:sz w:val="24"/>
          <w:szCs w:val="24"/>
        </w:rPr>
        <w:t>灶台：</w:t>
      </w:r>
    </w:p>
    <w:p>
      <w:pPr>
        <w:spacing w:line="360" w:lineRule="auto"/>
        <w:ind w:firstLine="448" w:firstLineChars="200"/>
        <w:jc w:val="left"/>
        <w:rPr>
          <w:rFonts w:cs="宋体"/>
          <w:bCs/>
          <w:sz w:val="24"/>
          <w:szCs w:val="24"/>
        </w:rPr>
      </w:pPr>
      <w:r>
        <w:rPr>
          <w:rFonts w:hint="eastAsia" w:cs="宋体"/>
          <w:bCs/>
          <w:sz w:val="24"/>
          <w:szCs w:val="24"/>
        </w:rPr>
        <w:t>维护：每月检查绝缘程度，遇到炉火意外熄灭，应关闭燃气阀，火种阀排除残气从新点火。清洗炉台时，切勿用水冲洗电源开关及风机，以免受潮而降低绝缘性能并损坏风机。</w:t>
      </w:r>
    </w:p>
    <w:p>
      <w:pPr>
        <w:spacing w:line="360" w:lineRule="auto"/>
        <w:ind w:firstLine="448" w:firstLineChars="200"/>
        <w:jc w:val="left"/>
        <w:rPr>
          <w:rFonts w:cs="宋体"/>
          <w:bCs/>
          <w:sz w:val="24"/>
          <w:szCs w:val="24"/>
        </w:rPr>
      </w:pPr>
      <w:r>
        <w:rPr>
          <w:rFonts w:hint="eastAsia" w:cs="宋体"/>
          <w:bCs/>
          <w:sz w:val="24"/>
          <w:szCs w:val="24"/>
        </w:rPr>
        <w:t>保养：每天使用完毕，关闭所有燃气管道阀门。</w:t>
      </w:r>
    </w:p>
    <w:p>
      <w:pPr>
        <w:spacing w:line="360" w:lineRule="auto"/>
        <w:ind w:firstLine="448" w:firstLineChars="200"/>
        <w:jc w:val="left"/>
        <w:rPr>
          <w:rFonts w:cs="宋体"/>
          <w:bCs/>
          <w:sz w:val="24"/>
          <w:szCs w:val="24"/>
        </w:rPr>
      </w:pPr>
      <w:r>
        <w:rPr>
          <w:rFonts w:hint="eastAsia" w:cs="宋体"/>
          <w:bCs/>
          <w:sz w:val="24"/>
          <w:szCs w:val="24"/>
        </w:rPr>
        <w:t>摇摆水</w:t>
      </w:r>
      <w:r>
        <w:rPr>
          <w:rFonts w:hint="eastAsia" w:cs="宋体"/>
          <w:bCs/>
          <w:sz w:val="24"/>
          <w:szCs w:val="24"/>
          <w:lang w:val="en-US" w:eastAsia="zh-CN"/>
        </w:rPr>
        <w:t>龙</w:t>
      </w:r>
      <w:r>
        <w:rPr>
          <w:rFonts w:hint="eastAsia" w:cs="宋体"/>
          <w:bCs/>
          <w:sz w:val="24"/>
          <w:szCs w:val="24"/>
        </w:rPr>
        <w:t>头：</w:t>
      </w:r>
    </w:p>
    <w:p>
      <w:pPr>
        <w:spacing w:line="360" w:lineRule="auto"/>
        <w:ind w:firstLine="448" w:firstLineChars="200"/>
        <w:jc w:val="left"/>
        <w:rPr>
          <w:rFonts w:cs="宋体"/>
          <w:bCs/>
          <w:sz w:val="24"/>
          <w:szCs w:val="24"/>
        </w:rPr>
      </w:pPr>
      <w:r>
        <w:rPr>
          <w:rFonts w:hint="eastAsia" w:cs="宋体"/>
          <w:bCs/>
          <w:sz w:val="24"/>
          <w:szCs w:val="24"/>
        </w:rPr>
        <w:t>维护：定期检查有没有跑、漏、滴</w:t>
      </w:r>
    </w:p>
    <w:p>
      <w:pPr>
        <w:spacing w:line="360" w:lineRule="auto"/>
        <w:ind w:firstLine="448" w:firstLineChars="200"/>
        <w:jc w:val="left"/>
        <w:rPr>
          <w:rFonts w:cs="宋体"/>
          <w:bCs/>
          <w:sz w:val="24"/>
          <w:szCs w:val="24"/>
        </w:rPr>
      </w:pPr>
      <w:r>
        <w:rPr>
          <w:rFonts w:hint="eastAsia" w:cs="宋体"/>
          <w:bCs/>
          <w:sz w:val="24"/>
          <w:szCs w:val="24"/>
        </w:rPr>
        <w:t>保养：不得用铁器重器敲打。</w:t>
      </w:r>
    </w:p>
    <w:p>
      <w:pPr>
        <w:spacing w:line="360" w:lineRule="auto"/>
        <w:ind w:firstLine="448" w:firstLineChars="200"/>
        <w:jc w:val="left"/>
        <w:rPr>
          <w:rFonts w:cs="宋体"/>
          <w:bCs/>
          <w:sz w:val="24"/>
          <w:szCs w:val="24"/>
        </w:rPr>
      </w:pPr>
      <w:r>
        <w:rPr>
          <w:rFonts w:hint="eastAsia" w:cs="宋体"/>
          <w:bCs/>
          <w:sz w:val="24"/>
          <w:szCs w:val="24"/>
        </w:rPr>
        <w:t>和面机、搅拌机、压面机：</w:t>
      </w:r>
    </w:p>
    <w:p>
      <w:pPr>
        <w:spacing w:line="360" w:lineRule="auto"/>
        <w:ind w:firstLine="448" w:firstLineChars="200"/>
        <w:jc w:val="left"/>
        <w:rPr>
          <w:rFonts w:cs="宋体"/>
          <w:bCs/>
          <w:sz w:val="24"/>
          <w:szCs w:val="24"/>
        </w:rPr>
      </w:pPr>
      <w:r>
        <w:rPr>
          <w:rFonts w:hint="eastAsia" w:cs="宋体"/>
          <w:bCs/>
          <w:sz w:val="24"/>
          <w:szCs w:val="24"/>
        </w:rPr>
        <w:t>维护：每日下班前对设备进行清扫，可用潮湿布擦，不得用水冲洗主机，根据其容量不能超负荷使用。</w:t>
      </w:r>
    </w:p>
    <w:p>
      <w:pPr>
        <w:spacing w:line="360" w:lineRule="auto"/>
        <w:ind w:firstLine="448" w:firstLineChars="200"/>
        <w:jc w:val="left"/>
        <w:rPr>
          <w:rFonts w:cs="宋体"/>
          <w:bCs/>
          <w:sz w:val="24"/>
          <w:szCs w:val="24"/>
        </w:rPr>
      </w:pPr>
      <w:r>
        <w:rPr>
          <w:rFonts w:hint="eastAsia" w:cs="宋体"/>
          <w:bCs/>
          <w:sz w:val="24"/>
          <w:szCs w:val="24"/>
        </w:rPr>
        <w:t>保养：开机前进行检查有无杂物。注油，运转正常后方可使用。</w:t>
      </w:r>
    </w:p>
    <w:p>
      <w:pPr>
        <w:spacing w:line="360" w:lineRule="auto"/>
        <w:ind w:firstLine="448" w:firstLineChars="200"/>
        <w:jc w:val="left"/>
        <w:rPr>
          <w:rFonts w:cs="宋体"/>
          <w:bCs/>
          <w:sz w:val="24"/>
          <w:szCs w:val="24"/>
        </w:rPr>
      </w:pPr>
      <w:r>
        <w:rPr>
          <w:rFonts w:hint="eastAsia" w:cs="宋体"/>
          <w:bCs/>
          <w:sz w:val="24"/>
          <w:szCs w:val="24"/>
        </w:rPr>
        <w:t>电饼铛、电烤箱、蒸箱、醒发箱：</w:t>
      </w:r>
    </w:p>
    <w:p>
      <w:pPr>
        <w:spacing w:line="360" w:lineRule="auto"/>
        <w:ind w:firstLine="448" w:firstLineChars="200"/>
        <w:jc w:val="left"/>
        <w:rPr>
          <w:rFonts w:cs="宋体"/>
          <w:bCs/>
          <w:sz w:val="24"/>
          <w:szCs w:val="24"/>
        </w:rPr>
      </w:pPr>
      <w:r>
        <w:rPr>
          <w:rFonts w:hint="eastAsia" w:cs="宋体"/>
          <w:bCs/>
          <w:sz w:val="24"/>
          <w:szCs w:val="24"/>
        </w:rPr>
        <w:t>维护：每天清扫，严格遵照说明书上的要求。</w:t>
      </w:r>
    </w:p>
    <w:p>
      <w:pPr>
        <w:spacing w:line="360" w:lineRule="auto"/>
        <w:ind w:firstLine="448" w:firstLineChars="200"/>
        <w:jc w:val="left"/>
        <w:rPr>
          <w:rFonts w:cs="宋体"/>
          <w:bCs/>
          <w:sz w:val="24"/>
          <w:szCs w:val="24"/>
        </w:rPr>
      </w:pPr>
      <w:r>
        <w:rPr>
          <w:rFonts w:hint="eastAsia" w:cs="宋体"/>
          <w:bCs/>
          <w:sz w:val="24"/>
          <w:szCs w:val="24"/>
        </w:rPr>
        <w:t>保养：开机前进行检查，无异味，方可正常使用。</w:t>
      </w:r>
    </w:p>
    <w:p>
      <w:pPr>
        <w:spacing w:line="360" w:lineRule="auto"/>
        <w:ind w:firstLine="448" w:firstLineChars="200"/>
        <w:jc w:val="left"/>
        <w:rPr>
          <w:rFonts w:cs="宋体"/>
          <w:bCs/>
          <w:sz w:val="24"/>
          <w:szCs w:val="24"/>
        </w:rPr>
      </w:pPr>
      <w:r>
        <w:rPr>
          <w:rFonts w:hint="eastAsia" w:cs="宋体"/>
          <w:bCs/>
          <w:sz w:val="24"/>
          <w:szCs w:val="24"/>
        </w:rPr>
        <w:t>洗碗机：</w:t>
      </w:r>
    </w:p>
    <w:p>
      <w:pPr>
        <w:spacing w:line="360" w:lineRule="auto"/>
        <w:ind w:firstLine="448" w:firstLineChars="200"/>
        <w:jc w:val="left"/>
        <w:rPr>
          <w:rFonts w:cs="宋体"/>
          <w:bCs/>
          <w:sz w:val="24"/>
          <w:szCs w:val="24"/>
        </w:rPr>
      </w:pPr>
      <w:r>
        <w:rPr>
          <w:rFonts w:hint="eastAsia" w:cs="宋体"/>
          <w:bCs/>
          <w:sz w:val="24"/>
          <w:szCs w:val="24"/>
        </w:rPr>
        <w:t>维护：认真学习洗碗机的使用说明，每天下班前换水、清洗、擦拭设备，为下一班准备好洗涤剂，干燥剂。</w:t>
      </w:r>
    </w:p>
    <w:p>
      <w:pPr>
        <w:spacing w:line="360" w:lineRule="auto"/>
        <w:ind w:firstLine="448" w:firstLineChars="200"/>
        <w:jc w:val="left"/>
        <w:rPr>
          <w:rFonts w:cs="宋体"/>
          <w:bCs/>
          <w:sz w:val="24"/>
          <w:szCs w:val="24"/>
        </w:rPr>
      </w:pPr>
      <w:r>
        <w:rPr>
          <w:rFonts w:hint="eastAsia" w:cs="宋体"/>
          <w:bCs/>
          <w:sz w:val="24"/>
          <w:szCs w:val="24"/>
        </w:rPr>
        <w:t>保养：定期清理水垢，检查洗碗温度。</w:t>
      </w:r>
    </w:p>
    <w:p>
      <w:pPr>
        <w:spacing w:line="360" w:lineRule="auto"/>
        <w:ind w:firstLine="448" w:firstLineChars="200"/>
        <w:jc w:val="left"/>
        <w:rPr>
          <w:rFonts w:cs="宋体"/>
          <w:bCs/>
          <w:sz w:val="24"/>
          <w:szCs w:val="24"/>
        </w:rPr>
      </w:pPr>
      <w:r>
        <w:rPr>
          <w:rFonts w:hint="eastAsia" w:cs="宋体"/>
          <w:bCs/>
          <w:sz w:val="24"/>
          <w:szCs w:val="24"/>
        </w:rPr>
        <w:t>四、应急服务要求</w:t>
      </w:r>
    </w:p>
    <w:p>
      <w:pPr>
        <w:spacing w:line="360" w:lineRule="auto"/>
        <w:ind w:firstLine="448" w:firstLineChars="200"/>
        <w:jc w:val="left"/>
        <w:rPr>
          <w:rFonts w:cs="宋体"/>
          <w:bCs/>
          <w:sz w:val="24"/>
          <w:szCs w:val="24"/>
        </w:rPr>
      </w:pPr>
      <w:r>
        <w:rPr>
          <w:rFonts w:hint="eastAsia" w:cs="宋体"/>
          <w:bCs/>
          <w:sz w:val="24"/>
          <w:szCs w:val="24"/>
        </w:rPr>
        <w:t>要求提供中标供应商必须建立和完善突发事件的应急处理机制和预案，防患未然，当出现不可预知的紧急情况时，保证食堂餐饮服务正常运转的措施，遇有突发性情况时，要求服务人员及时准确应对，把采购人的损失降到最低，同时体现餐饮服务的高水平、高质量。</w:t>
      </w:r>
    </w:p>
    <w:p>
      <w:pPr>
        <w:spacing w:line="360" w:lineRule="auto"/>
        <w:ind w:firstLine="448" w:firstLineChars="200"/>
        <w:jc w:val="left"/>
        <w:rPr>
          <w:rFonts w:cs="宋体"/>
          <w:bCs/>
          <w:sz w:val="24"/>
          <w:szCs w:val="24"/>
        </w:rPr>
      </w:pPr>
      <w:r>
        <w:rPr>
          <w:rFonts w:hint="eastAsia" w:cs="宋体"/>
          <w:bCs/>
          <w:sz w:val="24"/>
          <w:szCs w:val="24"/>
        </w:rPr>
        <w:t>五、人员保密要求</w:t>
      </w:r>
    </w:p>
    <w:p>
      <w:pPr>
        <w:spacing w:line="360" w:lineRule="auto"/>
        <w:ind w:firstLine="448" w:firstLineChars="200"/>
        <w:jc w:val="left"/>
        <w:rPr>
          <w:rFonts w:cs="宋体"/>
          <w:bCs/>
          <w:sz w:val="24"/>
          <w:szCs w:val="24"/>
        </w:rPr>
      </w:pPr>
      <w:r>
        <w:rPr>
          <w:rFonts w:hint="eastAsia" w:cs="宋体"/>
          <w:bCs/>
          <w:sz w:val="24"/>
          <w:szCs w:val="24"/>
        </w:rPr>
        <w:t>1.上岗前的保密管理</w:t>
      </w:r>
    </w:p>
    <w:p>
      <w:pPr>
        <w:spacing w:line="360" w:lineRule="auto"/>
        <w:ind w:firstLine="448" w:firstLineChars="200"/>
        <w:jc w:val="left"/>
        <w:rPr>
          <w:rFonts w:cs="宋体"/>
          <w:bCs/>
          <w:sz w:val="24"/>
          <w:szCs w:val="24"/>
        </w:rPr>
      </w:pPr>
      <w:r>
        <w:rPr>
          <w:rFonts w:hint="eastAsia" w:cs="宋体"/>
          <w:bCs/>
          <w:sz w:val="24"/>
          <w:szCs w:val="24"/>
        </w:rPr>
        <w:t>一是进行政治审查。中标人录用工作人员前必须对所录用人员进行政治审查，主要包括：姓名、年龄、籍贯、家庭住址、本人简历、家庭主要成员基本情况、户口所在地公安派出所审查意见和乡（镇）或街道办事处审查意见。二是签订保密协议书。餐饮公司在人员上岗前，应组织所有录用人员签订保密协议书。三是上岗前保密培训。由中标人组织，负责对所有从业人员集中进行岗前保密培训。</w:t>
      </w:r>
    </w:p>
    <w:p>
      <w:pPr>
        <w:spacing w:line="360" w:lineRule="auto"/>
        <w:ind w:firstLine="448" w:firstLineChars="200"/>
        <w:jc w:val="left"/>
        <w:rPr>
          <w:rFonts w:cs="宋体"/>
          <w:bCs/>
          <w:sz w:val="24"/>
          <w:szCs w:val="24"/>
        </w:rPr>
      </w:pPr>
      <w:r>
        <w:rPr>
          <w:rFonts w:hint="eastAsia" w:cs="宋体"/>
          <w:bCs/>
          <w:sz w:val="24"/>
          <w:szCs w:val="24"/>
        </w:rPr>
        <w:t>2.在岗的保密管理</w:t>
      </w:r>
    </w:p>
    <w:p>
      <w:pPr>
        <w:spacing w:line="360" w:lineRule="auto"/>
        <w:ind w:firstLine="448" w:firstLineChars="200"/>
        <w:jc w:val="left"/>
        <w:rPr>
          <w:rFonts w:cs="宋体"/>
          <w:bCs/>
          <w:sz w:val="24"/>
          <w:szCs w:val="24"/>
        </w:rPr>
      </w:pPr>
      <w:r>
        <w:rPr>
          <w:rFonts w:hint="eastAsia" w:cs="宋体"/>
          <w:bCs/>
          <w:sz w:val="24"/>
          <w:szCs w:val="24"/>
        </w:rPr>
        <w:t>一是制定保密制度。中标人必须针对重要服务岗位，制定相应的保密工作制度，制度必须包括责任、义务和奖惩等方面。二是建立信息档案。中标人应建立从业人员信息档案，对各类别人员分类管理。并在人员职位、岗位变动时，及时做好档案变更记录。三是开展保密教育。中标人应每个季度或半年对从业人员，进行保密宣传教育。</w:t>
      </w:r>
    </w:p>
    <w:p>
      <w:pPr>
        <w:spacing w:line="360" w:lineRule="auto"/>
        <w:ind w:firstLine="448" w:firstLineChars="200"/>
        <w:jc w:val="left"/>
        <w:rPr>
          <w:rFonts w:cs="宋体"/>
          <w:bCs/>
          <w:sz w:val="24"/>
          <w:szCs w:val="24"/>
        </w:rPr>
      </w:pPr>
      <w:r>
        <w:rPr>
          <w:rFonts w:hint="eastAsia" w:cs="宋体"/>
          <w:bCs/>
          <w:sz w:val="24"/>
          <w:szCs w:val="24"/>
        </w:rPr>
        <w:t>3.离岗的保密管理</w:t>
      </w:r>
    </w:p>
    <w:p>
      <w:pPr>
        <w:spacing w:line="360" w:lineRule="auto"/>
        <w:ind w:firstLine="448" w:firstLineChars="200"/>
        <w:jc w:val="left"/>
        <w:rPr>
          <w:rFonts w:cs="宋体"/>
          <w:bCs/>
          <w:sz w:val="24"/>
          <w:szCs w:val="24"/>
        </w:rPr>
      </w:pPr>
      <w:r>
        <w:rPr>
          <w:rFonts w:hint="eastAsia" w:cs="宋体"/>
          <w:bCs/>
          <w:sz w:val="24"/>
          <w:szCs w:val="24"/>
        </w:rPr>
        <w:t>中标人在从业人员解聘、辞职前应与从业人员签订离岗保密承诺书，并对其离岗后提出保密要求。</w:t>
      </w:r>
    </w:p>
    <w:p>
      <w:pPr>
        <w:spacing w:line="360" w:lineRule="auto"/>
        <w:ind w:firstLine="448" w:firstLineChars="200"/>
        <w:jc w:val="left"/>
        <w:rPr>
          <w:rFonts w:cs="宋体"/>
          <w:bCs/>
          <w:sz w:val="24"/>
          <w:szCs w:val="24"/>
        </w:rPr>
      </w:pPr>
      <w:r>
        <w:rPr>
          <w:rFonts w:hint="eastAsia" w:cs="宋体"/>
          <w:bCs/>
          <w:sz w:val="24"/>
          <w:szCs w:val="24"/>
        </w:rPr>
        <w:t>六、人员稳定性要求</w:t>
      </w:r>
    </w:p>
    <w:p>
      <w:pPr>
        <w:spacing w:line="360" w:lineRule="auto"/>
        <w:ind w:firstLine="448" w:firstLineChars="200"/>
        <w:jc w:val="left"/>
        <w:rPr>
          <w:rFonts w:cs="宋体"/>
          <w:bCs/>
          <w:sz w:val="24"/>
          <w:szCs w:val="24"/>
        </w:rPr>
      </w:pPr>
      <w:r>
        <w:rPr>
          <w:rFonts w:hint="eastAsia" w:cs="宋体"/>
          <w:bCs/>
          <w:sz w:val="24"/>
          <w:szCs w:val="24"/>
        </w:rPr>
        <w:t>在整个服务期内，人员更换率不得超过10%，更换人员不得低于采购需求，且应经采购人同意。</w:t>
      </w:r>
    </w:p>
    <w:p>
      <w:pPr>
        <w:spacing w:line="360" w:lineRule="auto"/>
        <w:ind w:firstLine="448" w:firstLineChars="200"/>
        <w:jc w:val="left"/>
        <w:rPr>
          <w:rFonts w:cs="宋体"/>
          <w:bCs/>
          <w:sz w:val="24"/>
          <w:szCs w:val="24"/>
        </w:rPr>
      </w:pPr>
      <w:r>
        <w:rPr>
          <w:rFonts w:hint="eastAsia" w:cs="宋体"/>
          <w:bCs/>
          <w:sz w:val="24"/>
          <w:szCs w:val="24"/>
        </w:rPr>
        <w:t>七、进驻和接管要求</w:t>
      </w:r>
    </w:p>
    <w:p>
      <w:pPr>
        <w:spacing w:line="360" w:lineRule="auto"/>
        <w:ind w:firstLine="448" w:firstLineChars="200"/>
        <w:jc w:val="left"/>
        <w:rPr>
          <w:rFonts w:cs="宋体"/>
          <w:bCs/>
          <w:sz w:val="24"/>
          <w:szCs w:val="24"/>
        </w:rPr>
      </w:pPr>
      <w:r>
        <w:rPr>
          <w:rFonts w:hint="eastAsia" w:cs="宋体"/>
          <w:bCs/>
          <w:sz w:val="24"/>
          <w:szCs w:val="24"/>
        </w:rPr>
        <w:t>为保证本项目日常工作稳定有序持续进行，要求中标供应商以科学严谨的态度制定完善的餐饮服务管理进驻、接管方案，指派相关管理及技术人员负责全面接管工作，确保餐饮服务按时顺利交接，平稳过渡。</w:t>
      </w:r>
    </w:p>
    <w:p>
      <w:pPr>
        <w:spacing w:line="360" w:lineRule="auto"/>
        <w:ind w:firstLine="448" w:firstLineChars="200"/>
        <w:jc w:val="left"/>
        <w:rPr>
          <w:rFonts w:cs="宋体"/>
          <w:bCs/>
          <w:sz w:val="24"/>
          <w:szCs w:val="24"/>
        </w:rPr>
      </w:pPr>
      <w:r>
        <w:rPr>
          <w:rFonts w:hint="eastAsia" w:cs="宋体"/>
          <w:bCs/>
          <w:sz w:val="24"/>
          <w:szCs w:val="24"/>
        </w:rPr>
        <w:t>投标人需承诺：在规定时间内配齐所需人员、工具、设备等，并保证按照项目需求中要求配备全体服务人员并按时进场服务。进驻、接管保留相关记录，做到餐饮服务</w:t>
      </w:r>
      <w:bookmarkStart w:id="6" w:name="_GoBack"/>
      <w:bookmarkEnd w:id="6"/>
      <w:r>
        <w:rPr>
          <w:rFonts w:hint="eastAsia" w:cs="宋体"/>
          <w:bCs/>
          <w:sz w:val="24"/>
          <w:szCs w:val="24"/>
        </w:rPr>
        <w:t>平稳过渡，对我单位工作无不良影响。</w:t>
      </w:r>
    </w:p>
    <w:p>
      <w:pPr>
        <w:spacing w:line="360" w:lineRule="auto"/>
        <w:ind w:firstLine="448" w:firstLineChars="200"/>
        <w:jc w:val="left"/>
        <w:rPr>
          <w:rFonts w:cs="宋体"/>
          <w:bCs/>
          <w:sz w:val="24"/>
          <w:szCs w:val="24"/>
        </w:rPr>
      </w:pPr>
      <w:r>
        <w:rPr>
          <w:rFonts w:hint="eastAsia" w:cs="宋体"/>
          <w:bCs/>
          <w:sz w:val="24"/>
          <w:szCs w:val="24"/>
        </w:rPr>
        <w:t>八、费用分割</w:t>
      </w:r>
    </w:p>
    <w:p>
      <w:pPr>
        <w:widowControl/>
        <w:ind w:firstLine="448" w:firstLineChars="200"/>
        <w:jc w:val="left"/>
        <w:rPr>
          <w:sz w:val="24"/>
        </w:rPr>
      </w:pPr>
      <w:r>
        <w:rPr>
          <w:rFonts w:hint="eastAsia"/>
          <w:sz w:val="24"/>
        </w:rPr>
        <w:t>1. 全部服务人员统一着装上岗，服装费由中标供应商承担。</w:t>
      </w:r>
    </w:p>
    <w:p>
      <w:pPr>
        <w:widowControl/>
        <w:ind w:firstLine="448" w:firstLineChars="200"/>
        <w:jc w:val="left"/>
        <w:rPr>
          <w:sz w:val="24"/>
        </w:rPr>
      </w:pPr>
      <w:r>
        <w:rPr>
          <w:rFonts w:hint="eastAsia"/>
          <w:sz w:val="24"/>
        </w:rPr>
        <w:t>2. 食堂所需的厨房设备、餐具用具、水费、能源费、低值易耗、清洁用品、厨房设备设施、场地、餐厨具、能源费用、餐桌椅等均由采购人提供。</w:t>
      </w:r>
    </w:p>
    <w:p>
      <w:pPr>
        <w:widowControl/>
        <w:ind w:firstLine="448" w:firstLineChars="200"/>
        <w:jc w:val="left"/>
        <w:rPr>
          <w:sz w:val="24"/>
        </w:rPr>
      </w:pPr>
      <w:r>
        <w:rPr>
          <w:rFonts w:hint="eastAsia"/>
          <w:sz w:val="24"/>
        </w:rPr>
        <w:t>3. 食堂所需食材由中标供应商承担，服务期内报价不低于</w:t>
      </w:r>
      <w:r>
        <w:rPr>
          <w:sz w:val="24"/>
        </w:rPr>
        <w:t>2648640</w:t>
      </w:r>
      <w:r>
        <w:rPr>
          <w:rFonts w:hint="eastAsia"/>
          <w:sz w:val="24"/>
        </w:rPr>
        <w:t>元，根据实际就餐人数及餐标进行结算。</w:t>
      </w:r>
    </w:p>
    <w:p>
      <w:pPr>
        <w:widowControl/>
        <w:ind w:firstLine="448" w:firstLineChars="200"/>
        <w:jc w:val="left"/>
        <w:rPr>
          <w:sz w:val="24"/>
        </w:rPr>
      </w:pPr>
      <w:r>
        <w:rPr>
          <w:rFonts w:hint="eastAsia"/>
          <w:sz w:val="24"/>
        </w:rPr>
        <w:t>九、服务过程中，对中标供应商评价考核验收标准</w:t>
      </w:r>
    </w:p>
    <w:tbl>
      <w:tblPr>
        <w:tblStyle w:val="55"/>
        <w:tblW w:w="5000" w:type="pct"/>
        <w:jc w:val="center"/>
        <w:tblCellSpacing w:w="0" w:type="dxa"/>
        <w:tblLayout w:type="autofit"/>
        <w:tblCellMar>
          <w:top w:w="15" w:type="dxa"/>
          <w:left w:w="15" w:type="dxa"/>
          <w:bottom w:w="15" w:type="dxa"/>
          <w:right w:w="15" w:type="dxa"/>
        </w:tblCellMar>
      </w:tblPr>
      <w:tblGrid>
        <w:gridCol w:w="1469"/>
        <w:gridCol w:w="1450"/>
        <w:gridCol w:w="5669"/>
      </w:tblGrid>
      <w:tr>
        <w:tblPrEx>
          <w:tblCellMar>
            <w:top w:w="15" w:type="dxa"/>
            <w:left w:w="15" w:type="dxa"/>
            <w:bottom w:w="15" w:type="dxa"/>
            <w:right w:w="15" w:type="dxa"/>
          </w:tblCellMar>
        </w:tblPrEx>
        <w:trPr>
          <w:trHeight w:val="221" w:hRule="atLeast"/>
          <w:tblCellSpacing w:w="0" w:type="dxa"/>
          <w:jc w:val="center"/>
        </w:trPr>
        <w:tc>
          <w:tcPr>
            <w:tcW w:w="146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jc w:val="center"/>
              <w:rPr>
                <w:color w:val="000000"/>
              </w:rPr>
            </w:pPr>
            <w:r>
              <w:rPr>
                <w:color w:val="000000"/>
                <w:sz w:val="21"/>
                <w:szCs w:val="21"/>
              </w:rPr>
              <w:t>考核项目</w:t>
            </w:r>
          </w:p>
        </w:tc>
        <w:tc>
          <w:tcPr>
            <w:tcW w:w="145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jc w:val="center"/>
              <w:rPr>
                <w:color w:val="000000"/>
              </w:rPr>
            </w:pPr>
            <w:r>
              <w:rPr>
                <w:color w:val="000000"/>
                <w:sz w:val="21"/>
                <w:szCs w:val="21"/>
              </w:rPr>
              <w:t>考核标准</w:t>
            </w:r>
          </w:p>
        </w:tc>
        <w:tc>
          <w:tcPr>
            <w:tcW w:w="566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jc w:val="center"/>
              <w:rPr>
                <w:color w:val="000000"/>
              </w:rPr>
            </w:pPr>
            <w:r>
              <w:rPr>
                <w:color w:val="000000"/>
                <w:sz w:val="21"/>
                <w:szCs w:val="21"/>
              </w:rPr>
              <w:t>扣分规则</w:t>
            </w:r>
          </w:p>
        </w:tc>
      </w:tr>
      <w:tr>
        <w:tblPrEx>
          <w:tblCellMar>
            <w:top w:w="15" w:type="dxa"/>
            <w:left w:w="15" w:type="dxa"/>
            <w:bottom w:w="15" w:type="dxa"/>
            <w:right w:w="15" w:type="dxa"/>
          </w:tblCellMar>
        </w:tblPrEx>
        <w:trPr>
          <w:trHeight w:val="70"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员工出勤率</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满分20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缺勤每人每天扣1</w:t>
            </w:r>
            <w:r>
              <w:rPr>
                <w:rFonts w:ascii="宋体" w:hAnsi="宋体" w:eastAsia="宋体" w:cs="宋体"/>
                <w:color w:val="000000"/>
                <w:sz w:val="21"/>
                <w:szCs w:val="21"/>
                <w:lang w:eastAsia="zh-CN"/>
              </w:rPr>
              <w:t>分，此项分数扣完为止。</w:t>
            </w:r>
          </w:p>
        </w:tc>
      </w:tr>
      <w:tr>
        <w:tblPrEx>
          <w:tblCellMar>
            <w:top w:w="15" w:type="dxa"/>
            <w:left w:w="15" w:type="dxa"/>
            <w:bottom w:w="15" w:type="dxa"/>
            <w:right w:w="15" w:type="dxa"/>
          </w:tblCellMar>
        </w:tblPrEx>
        <w:trPr>
          <w:trHeight w:val="70"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安全生产</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满分20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出现1</w:t>
            </w:r>
            <w:r>
              <w:rPr>
                <w:rFonts w:ascii="宋体" w:hAnsi="宋体" w:eastAsia="宋体" w:cs="宋体"/>
                <w:color w:val="000000"/>
                <w:sz w:val="21"/>
                <w:szCs w:val="21"/>
                <w:lang w:eastAsia="zh-CN"/>
              </w:rPr>
              <w:t>次安全事故扣</w:t>
            </w:r>
            <w:r>
              <w:rPr>
                <w:color w:val="000000"/>
                <w:sz w:val="21"/>
                <w:szCs w:val="21"/>
                <w:lang w:eastAsia="zh-CN"/>
              </w:rPr>
              <w:t>20</w:t>
            </w:r>
            <w:r>
              <w:rPr>
                <w:rFonts w:ascii="宋体" w:hAnsi="宋体" w:eastAsia="宋体" w:cs="宋体"/>
                <w:color w:val="000000"/>
                <w:sz w:val="21"/>
                <w:szCs w:val="21"/>
                <w:lang w:eastAsia="zh-CN"/>
              </w:rPr>
              <w:t>分。</w:t>
            </w:r>
          </w:p>
        </w:tc>
      </w:tr>
      <w:tr>
        <w:tblPrEx>
          <w:tblCellMar>
            <w:top w:w="15" w:type="dxa"/>
            <w:left w:w="15" w:type="dxa"/>
            <w:bottom w:w="15" w:type="dxa"/>
            <w:right w:w="15" w:type="dxa"/>
          </w:tblCellMar>
        </w:tblPrEx>
        <w:trPr>
          <w:trHeight w:val="70"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卫生合格率</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满分20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发现一次卫生问题扣2</w:t>
            </w:r>
            <w:r>
              <w:rPr>
                <w:rFonts w:ascii="宋体" w:hAnsi="宋体" w:eastAsia="宋体" w:cs="宋体"/>
                <w:color w:val="000000"/>
                <w:sz w:val="21"/>
                <w:szCs w:val="21"/>
                <w:lang w:eastAsia="zh-CN"/>
              </w:rPr>
              <w:t>分，此项分数扣完为止。</w:t>
            </w:r>
          </w:p>
        </w:tc>
      </w:tr>
      <w:tr>
        <w:tblPrEx>
          <w:tblCellMar>
            <w:top w:w="15" w:type="dxa"/>
            <w:left w:w="15" w:type="dxa"/>
            <w:bottom w:w="15" w:type="dxa"/>
            <w:right w:w="15" w:type="dxa"/>
          </w:tblCellMar>
        </w:tblPrEx>
        <w:trPr>
          <w:trHeight w:val="70"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餐厅满意率</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满分为10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干部满意率达到95%</w:t>
            </w:r>
            <w:r>
              <w:rPr>
                <w:rFonts w:ascii="宋体" w:hAnsi="宋体" w:eastAsia="宋体" w:cs="宋体"/>
                <w:color w:val="000000"/>
                <w:sz w:val="21"/>
                <w:szCs w:val="21"/>
                <w:lang w:eastAsia="zh-CN"/>
              </w:rPr>
              <w:t>为</w:t>
            </w:r>
            <w:r>
              <w:rPr>
                <w:color w:val="000000"/>
                <w:sz w:val="21"/>
                <w:szCs w:val="21"/>
                <w:lang w:eastAsia="zh-CN"/>
              </w:rPr>
              <w:t>10</w:t>
            </w:r>
            <w:r>
              <w:rPr>
                <w:rFonts w:ascii="宋体" w:hAnsi="宋体" w:eastAsia="宋体" w:cs="宋体"/>
                <w:color w:val="000000"/>
                <w:sz w:val="21"/>
                <w:szCs w:val="21"/>
                <w:lang w:eastAsia="zh-CN"/>
              </w:rPr>
              <w:t>分，干部满意</w:t>
            </w:r>
            <w:r>
              <w:rPr>
                <w:color w:val="000000"/>
                <w:sz w:val="21"/>
                <w:szCs w:val="21"/>
                <w:lang w:eastAsia="zh-CN"/>
              </w:rPr>
              <w:t>90%-95%</w:t>
            </w:r>
            <w:r>
              <w:rPr>
                <w:rFonts w:ascii="宋体" w:hAnsi="宋体" w:eastAsia="宋体" w:cs="宋体"/>
                <w:color w:val="000000"/>
                <w:sz w:val="21"/>
                <w:szCs w:val="21"/>
                <w:lang w:eastAsia="zh-CN"/>
              </w:rPr>
              <w:t>为</w:t>
            </w:r>
            <w:r>
              <w:rPr>
                <w:color w:val="000000"/>
                <w:sz w:val="21"/>
                <w:szCs w:val="21"/>
                <w:lang w:eastAsia="zh-CN"/>
              </w:rPr>
              <w:t>5</w:t>
            </w:r>
            <w:r>
              <w:rPr>
                <w:rFonts w:ascii="宋体" w:hAnsi="宋体" w:eastAsia="宋体" w:cs="宋体"/>
                <w:color w:val="000000"/>
                <w:sz w:val="21"/>
                <w:szCs w:val="21"/>
                <w:lang w:eastAsia="zh-CN"/>
              </w:rPr>
              <w:t>分，干部满意率</w:t>
            </w:r>
            <w:r>
              <w:rPr>
                <w:color w:val="000000"/>
                <w:sz w:val="21"/>
                <w:szCs w:val="21"/>
                <w:lang w:eastAsia="zh-CN"/>
              </w:rPr>
              <w:t>85%-90%</w:t>
            </w:r>
            <w:r>
              <w:rPr>
                <w:rFonts w:ascii="宋体" w:hAnsi="宋体" w:eastAsia="宋体" w:cs="宋体"/>
                <w:color w:val="000000"/>
                <w:sz w:val="21"/>
                <w:szCs w:val="21"/>
                <w:lang w:eastAsia="zh-CN"/>
              </w:rPr>
              <w:t>为</w:t>
            </w:r>
            <w:r>
              <w:rPr>
                <w:color w:val="000000"/>
                <w:sz w:val="21"/>
                <w:szCs w:val="21"/>
                <w:lang w:eastAsia="zh-CN"/>
              </w:rPr>
              <w:t>2</w:t>
            </w:r>
            <w:r>
              <w:rPr>
                <w:rFonts w:ascii="宋体" w:hAnsi="宋体" w:eastAsia="宋体" w:cs="宋体"/>
                <w:color w:val="000000"/>
                <w:sz w:val="21"/>
                <w:szCs w:val="21"/>
                <w:lang w:eastAsia="zh-CN"/>
              </w:rPr>
              <w:t>分</w:t>
            </w:r>
            <w:r>
              <w:rPr>
                <w:color w:val="000000"/>
                <w:sz w:val="21"/>
                <w:szCs w:val="21"/>
                <w:lang w:eastAsia="zh-CN"/>
              </w:rPr>
              <w:t>.</w:t>
            </w:r>
            <w:r>
              <w:rPr>
                <w:rFonts w:ascii="宋体" w:hAnsi="宋体" w:eastAsia="宋体" w:cs="宋体"/>
                <w:color w:val="000000"/>
                <w:sz w:val="21"/>
                <w:szCs w:val="21"/>
                <w:lang w:eastAsia="zh-CN"/>
              </w:rPr>
              <w:t>干部满意率</w:t>
            </w:r>
            <w:r>
              <w:rPr>
                <w:color w:val="000000"/>
                <w:sz w:val="21"/>
                <w:szCs w:val="21"/>
                <w:lang w:eastAsia="zh-CN"/>
              </w:rPr>
              <w:t>85%</w:t>
            </w:r>
            <w:r>
              <w:rPr>
                <w:rFonts w:ascii="宋体" w:hAnsi="宋体" w:eastAsia="宋体" w:cs="宋体"/>
                <w:color w:val="000000"/>
                <w:sz w:val="21"/>
                <w:szCs w:val="21"/>
                <w:lang w:eastAsia="zh-CN"/>
              </w:rPr>
              <w:t>以下为</w:t>
            </w:r>
            <w:r>
              <w:rPr>
                <w:color w:val="000000"/>
                <w:sz w:val="21"/>
                <w:szCs w:val="21"/>
                <w:lang w:eastAsia="zh-CN"/>
              </w:rPr>
              <w:t>0</w:t>
            </w:r>
            <w:r>
              <w:rPr>
                <w:rFonts w:ascii="宋体" w:hAnsi="宋体" w:eastAsia="宋体" w:cs="宋体"/>
                <w:color w:val="000000"/>
                <w:sz w:val="21"/>
                <w:szCs w:val="21"/>
                <w:lang w:eastAsia="zh-CN"/>
              </w:rPr>
              <w:t>分。</w:t>
            </w:r>
          </w:p>
        </w:tc>
      </w:tr>
      <w:tr>
        <w:tblPrEx>
          <w:tblCellMar>
            <w:top w:w="15" w:type="dxa"/>
            <w:left w:w="15" w:type="dxa"/>
            <w:bottom w:w="15" w:type="dxa"/>
            <w:right w:w="15" w:type="dxa"/>
          </w:tblCellMar>
        </w:tblPrEx>
        <w:trPr>
          <w:trHeight w:val="70"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厨房管理</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满分为20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按照《食品安全法》，发现一项不合格扣除5</w:t>
            </w:r>
            <w:r>
              <w:rPr>
                <w:rFonts w:ascii="宋体" w:hAnsi="宋体" w:eastAsia="宋体" w:cs="宋体"/>
                <w:color w:val="000000"/>
                <w:sz w:val="21"/>
                <w:szCs w:val="21"/>
                <w:lang w:eastAsia="zh-CN"/>
              </w:rPr>
              <w:t>分，此项分数扣完为止。</w:t>
            </w:r>
          </w:p>
        </w:tc>
      </w:tr>
      <w:tr>
        <w:tblPrEx>
          <w:tblCellMar>
            <w:top w:w="15" w:type="dxa"/>
            <w:left w:w="15" w:type="dxa"/>
            <w:bottom w:w="15" w:type="dxa"/>
            <w:right w:w="15" w:type="dxa"/>
          </w:tblCellMar>
        </w:tblPrEx>
        <w:trPr>
          <w:trHeight w:val="425" w:hRule="atLeast"/>
          <w:tblCellSpacing w:w="0" w:type="dxa"/>
          <w:jc w:val="center"/>
        </w:trPr>
        <w:tc>
          <w:tcPr>
            <w:tcW w:w="146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rPr>
                <w:color w:val="000000"/>
              </w:rPr>
            </w:pPr>
            <w:r>
              <w:rPr>
                <w:color w:val="000000"/>
                <w:sz w:val="21"/>
                <w:szCs w:val="21"/>
              </w:rPr>
              <w:t>服务质量</w:t>
            </w:r>
          </w:p>
        </w:tc>
        <w:tc>
          <w:tcPr>
            <w:tcW w:w="1450"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rPr>
            </w:pPr>
            <w:r>
              <w:rPr>
                <w:color w:val="000000"/>
                <w:sz w:val="21"/>
                <w:szCs w:val="21"/>
              </w:rPr>
              <w:t>满分为10</w:t>
            </w:r>
            <w:r>
              <w:rPr>
                <w:rFonts w:ascii="宋体" w:hAnsi="宋体" w:eastAsia="宋体" w:cs="宋体"/>
                <w:color w:val="000000"/>
                <w:sz w:val="21"/>
                <w:szCs w:val="21"/>
              </w:rPr>
              <w:t>分</w:t>
            </w:r>
          </w:p>
        </w:tc>
        <w:tc>
          <w:tcPr>
            <w:tcW w:w="5669" w:type="dxa"/>
            <w:tcBorders>
              <w:bottom w:val="single" w:color="000000" w:sz="8" w:space="0"/>
              <w:right w:val="single" w:color="000000" w:sz="8" w:space="0"/>
            </w:tcBorders>
            <w:tcMar>
              <w:top w:w="0" w:type="dxa"/>
              <w:left w:w="108" w:type="dxa"/>
              <w:bottom w:w="0" w:type="dxa"/>
              <w:right w:w="118" w:type="dxa"/>
            </w:tcMar>
            <w:vAlign w:val="center"/>
          </w:tcPr>
          <w:p>
            <w:pPr>
              <w:pStyle w:val="54"/>
              <w:rPr>
                <w:color w:val="000000"/>
                <w:lang w:eastAsia="zh-CN"/>
              </w:rPr>
            </w:pPr>
            <w:r>
              <w:rPr>
                <w:color w:val="000000"/>
                <w:sz w:val="21"/>
                <w:szCs w:val="21"/>
                <w:lang w:eastAsia="zh-CN"/>
              </w:rPr>
              <w:t>一次服务不达标、客人不满意扣除2</w:t>
            </w:r>
            <w:r>
              <w:rPr>
                <w:rFonts w:ascii="宋体" w:hAnsi="宋体" w:eastAsia="宋体" w:cs="宋体"/>
                <w:color w:val="000000"/>
                <w:sz w:val="21"/>
                <w:szCs w:val="21"/>
                <w:lang w:eastAsia="zh-CN"/>
              </w:rPr>
              <w:t>分，此项分数扣完为止。</w:t>
            </w:r>
          </w:p>
        </w:tc>
      </w:tr>
    </w:tbl>
    <w:p>
      <w:pPr>
        <w:widowControl/>
        <w:ind w:firstLine="448" w:firstLineChars="200"/>
        <w:jc w:val="left"/>
        <w:rPr>
          <w:sz w:val="24"/>
        </w:rPr>
      </w:pPr>
      <w:r>
        <w:rPr>
          <w:rFonts w:hint="eastAsia"/>
          <w:sz w:val="24"/>
        </w:rPr>
        <w:t>（一）项目按月进行考核。</w:t>
      </w:r>
    </w:p>
    <w:p>
      <w:pPr>
        <w:widowControl/>
        <w:ind w:firstLine="448" w:firstLineChars="200"/>
        <w:jc w:val="left"/>
        <w:rPr>
          <w:sz w:val="24"/>
        </w:rPr>
      </w:pPr>
      <w:r>
        <w:rPr>
          <w:rFonts w:hint="eastAsia"/>
          <w:sz w:val="24"/>
        </w:rPr>
        <w:t>（二）项目考核满分为100分。</w:t>
      </w:r>
    </w:p>
    <w:p>
      <w:pPr>
        <w:widowControl/>
        <w:ind w:firstLine="448" w:firstLineChars="200"/>
        <w:jc w:val="left"/>
        <w:rPr>
          <w:sz w:val="24"/>
        </w:rPr>
      </w:pPr>
      <w:r>
        <w:rPr>
          <w:rFonts w:hint="eastAsia"/>
          <w:sz w:val="24"/>
        </w:rPr>
        <w:t>（三）每月考核分数95分以上，提醒乙方应加强管理。</w:t>
      </w:r>
    </w:p>
    <w:p>
      <w:pPr>
        <w:widowControl/>
        <w:ind w:firstLine="448" w:firstLineChars="200"/>
        <w:jc w:val="left"/>
        <w:rPr>
          <w:sz w:val="24"/>
        </w:rPr>
      </w:pPr>
      <w:r>
        <w:rPr>
          <w:rFonts w:hint="eastAsia"/>
          <w:sz w:val="24"/>
        </w:rPr>
        <w:t>（四）每月考核90分至95分，对乙方进行口头警告，并要求乙方加强管理监督。</w:t>
      </w:r>
    </w:p>
    <w:p>
      <w:pPr>
        <w:widowControl/>
        <w:ind w:firstLine="448" w:firstLineChars="200"/>
        <w:jc w:val="left"/>
        <w:rPr>
          <w:sz w:val="24"/>
        </w:rPr>
      </w:pPr>
      <w:r>
        <w:rPr>
          <w:rFonts w:hint="eastAsia"/>
          <w:sz w:val="24"/>
        </w:rPr>
        <w:t>（五）每月考核85分至90分，对乙方进行警告，要求乙方及时整改。</w:t>
      </w:r>
    </w:p>
    <w:p>
      <w:pPr>
        <w:widowControl/>
        <w:ind w:firstLine="448" w:firstLineChars="200"/>
        <w:jc w:val="left"/>
        <w:rPr>
          <w:sz w:val="24"/>
        </w:rPr>
      </w:pPr>
      <w:r>
        <w:rPr>
          <w:rFonts w:hint="eastAsia"/>
          <w:sz w:val="24"/>
        </w:rPr>
        <w:t>（六）每月考核80分至85分，按扣分项扣除一定比例服务费，要求立即整改。</w:t>
      </w:r>
    </w:p>
    <w:p>
      <w:pPr>
        <w:widowControl/>
        <w:ind w:firstLine="448" w:firstLineChars="200"/>
        <w:jc w:val="left"/>
        <w:rPr>
          <w:sz w:val="24"/>
        </w:rPr>
      </w:pPr>
      <w:r>
        <w:rPr>
          <w:rFonts w:hint="eastAsia"/>
          <w:sz w:val="24"/>
        </w:rPr>
        <w:t>（七）每月考核不足80分，扣除20%服务费，要求立即整改，必要时更换项目经理。</w:t>
      </w:r>
    </w:p>
    <w:p>
      <w:pPr>
        <w:widowControl/>
        <w:ind w:firstLine="448" w:firstLineChars="200"/>
        <w:jc w:val="left"/>
        <w:rPr>
          <w:sz w:val="24"/>
        </w:rPr>
      </w:pPr>
      <w:r>
        <w:rPr>
          <w:rFonts w:hint="eastAsia"/>
          <w:sz w:val="24"/>
        </w:rPr>
        <w:t>（八）按照采购合同的约定和现行国家标准、行业标准或企业标准对每一服务环节、安全标准的履约情况进行考核与验收。必要时，招标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widowControl/>
        <w:ind w:firstLine="448" w:firstLineChars="200"/>
        <w:jc w:val="left"/>
        <w:rPr>
          <w:sz w:val="24"/>
        </w:rPr>
      </w:pPr>
    </w:p>
    <w:p>
      <w:pPr>
        <w:widowControl/>
        <w:ind w:firstLine="448" w:firstLineChars="200"/>
        <w:jc w:val="left"/>
        <w:rPr>
          <w:sz w:val="24"/>
        </w:rPr>
      </w:pPr>
    </w:p>
    <w:p>
      <w:pPr>
        <w:widowControl/>
        <w:ind w:firstLine="448" w:firstLineChars="200"/>
        <w:jc w:val="left"/>
        <w:rPr>
          <w:sz w:val="24"/>
        </w:rPr>
      </w:pPr>
    </w:p>
    <w:p>
      <w:pPr>
        <w:widowControl/>
        <w:ind w:firstLine="448" w:firstLineChars="200"/>
        <w:jc w:val="left"/>
        <w:rPr>
          <w:sz w:val="24"/>
        </w:rPr>
      </w:pPr>
      <w:r>
        <w:rPr>
          <w:rFonts w:hint="eastAsia"/>
          <w:sz w:val="24"/>
        </w:rPr>
        <w:t>加注“★”号条款为实质性条款，不得出现负偏离，发生负偏离即做无效标处理。</w:t>
      </w:r>
    </w:p>
    <w:p>
      <w:pPr>
        <w:widowControl/>
        <w:jc w:val="left"/>
        <w:rPr>
          <w:sz w:val="24"/>
        </w:rPr>
      </w:pPr>
      <w:r>
        <w:rPr>
          <w:sz w:val="24"/>
        </w:rPr>
        <w:br w:type="page"/>
      </w:r>
    </w:p>
    <w:p>
      <w:pPr>
        <w:pStyle w:val="16"/>
        <w:rPr>
          <w:rFonts w:ascii="Times New Roman" w:hAnsi="Times New Roman"/>
        </w:rPr>
      </w:pPr>
      <w:r>
        <w:rPr>
          <w:rFonts w:ascii="Times New Roman" w:hAnsi="Times New Roman"/>
        </w:rPr>
        <w:t>第三部分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根据《中华人民共和国政府采购法》、《中华人民共和国政府采购法实施条例》《中华人民共和国招标投标法》等有关法律、法规和规章的规定，本采购项目已具备招标条件。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2.3 “服务”系指招标文件规定的投标人为完成采购项目所需承担的全部义务。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符合《中华人民共和国政府采购法》第二十二条供应商参加政府采购活动应当具备的条件及其他有关法律、法规关于供应商的有关规定，有能力提供招标采购服务的供应商。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5.1 投标人所提供的服务应当没有侵犯任何第三方的知识产权、技术秘密等合法权利。</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5.2 投标人提供的服务应当符合招标文件的要求，并且其质量完全符合国家标准、行业标准或地方标准。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系统软件、通用软件必须是具有在中国境内的合法使用权或版权的正版软件，涉及第三方提出侵权或知识产权的起诉及支付版税等费用由投标人承担所有责任及费用。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针对询问或质疑的答复内容需要修改采购文件的，其修改内容应当以中国政府采购网发布的更正公告为准。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加注“★”号条款为实质性条款，不得出现负偏离，发生负偏离即做无效标处理。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答疑会和踏勘现场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采购人、采购代理机构组织踏勘现场的，所有投标人按《投标邀请函》规定的时间、地点参加踏勘现场活动。投标人如不参加，其风险由投标人自行承担，采购人、采购代理机构不承担任何责任。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采购人、采购代理机构在答疑会或踏勘现场中口头介绍的情况，除经“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除在招标文件中另有规定，投标文件所使用的计量单位均应使用中华人民共和国法定计量单位。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投标人可对本招标文件“招标项目要求”所列的所有服务进行投标，也可只对其中一包或几包的服务投标；若无特殊说明，每一包的内容不得分项投标，原则上按照整包确定中标供应商。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按照《招标项目要求》要求执行。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投标文件应按《招标项目要求》和《投标文件格式》如实编写，未尽事宜可自行补充。投标文件内容不完整、格式不符合导致投标文件被误读、漏读或者查找不到相关内容的，投标人自行承担由此产生的风险。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 若有修改须于规定时间内重新提交电子投标文件。投标文件因模糊不清或表达不清所引起的后果由投标人自负。</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实质上没有响应招标文件要求的投标文件，将被拒绝。投标人不得通过修改或撤回不符合要求的重大偏离而使其投标成为响应性的投标。如出现下列情况之一的，其投标将被拒绝或中标无效：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（4）不能满足招标文件中任何一条实质性要求或加注“★”号条款出现负偏离或经评标委员会认定未实质性响应招标文件要求的或投标内容不符合相关强制性规定的；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若《招标项目要求》规定须提交履约保证金的，中标供应商须按照规定要求提交履约保证金。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widowControl/>
        <w:jc w:val="left"/>
        <w:rPr>
          <w:b/>
          <w:bCs/>
          <w:kern w:val="28"/>
          <w:sz w:val="32"/>
          <w:szCs w:val="32"/>
          <w:lang w:val="zh-CN"/>
        </w:rPr>
      </w:pPr>
      <w:r>
        <w:br w:type="page"/>
      </w:r>
    </w:p>
    <w:p>
      <w:pPr>
        <w:pStyle w:val="1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bCs/>
          <w:sz w:val="24"/>
          <w:szCs w:val="24"/>
        </w:rPr>
      </w:pPr>
      <w:r>
        <w:rPr>
          <w:b/>
          <w:bCs/>
          <w:sz w:val="24"/>
          <w:szCs w:val="24"/>
        </w:rPr>
        <w:t>合同一般条款</w:t>
      </w:r>
    </w:p>
    <w:p>
      <w:pPr>
        <w:snapToGrid w:val="0"/>
        <w:spacing w:line="360" w:lineRule="auto"/>
        <w:ind w:firstLine="448" w:firstLineChars="200"/>
        <w:rPr>
          <w:rFonts w:eastAsiaTheme="minorEastAsia"/>
          <w:b/>
          <w:bCs/>
          <w:sz w:val="24"/>
          <w:szCs w:val="24"/>
        </w:rPr>
      </w:pPr>
    </w:p>
    <w:p>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spacing w:line="480" w:lineRule="exact"/>
        <w:ind w:firstLine="448" w:firstLineChars="200"/>
        <w:rPr>
          <w:rFonts w:eastAsiaTheme="minorEastAsia"/>
          <w:sz w:val="24"/>
          <w:szCs w:val="24"/>
        </w:rPr>
      </w:pPr>
      <w:r>
        <w:rPr>
          <w:rFonts w:hint="eastAsia" w:eastAsiaTheme="minorEastAsia"/>
          <w:sz w:val="24"/>
          <w:szCs w:val="24"/>
        </w:rPr>
        <w:t>一、项目名称：</w:t>
      </w:r>
    </w:p>
    <w:p>
      <w:pPr>
        <w:spacing w:line="480" w:lineRule="exact"/>
        <w:ind w:firstLine="448" w:firstLineChars="200"/>
        <w:rPr>
          <w:rFonts w:eastAsiaTheme="minorEastAsia"/>
          <w:sz w:val="24"/>
          <w:szCs w:val="24"/>
        </w:rPr>
      </w:pPr>
      <w:r>
        <w:rPr>
          <w:rFonts w:hint="eastAsia" w:eastAsiaTheme="minorEastAsia"/>
          <w:sz w:val="24"/>
          <w:szCs w:val="24"/>
        </w:rPr>
        <w:t>二、项目地点：</w:t>
      </w:r>
    </w:p>
    <w:p>
      <w:pPr>
        <w:spacing w:line="480" w:lineRule="exact"/>
        <w:ind w:firstLine="448" w:firstLineChars="200"/>
        <w:rPr>
          <w:rFonts w:eastAsiaTheme="minorEastAsia"/>
          <w:sz w:val="24"/>
          <w:szCs w:val="24"/>
        </w:rPr>
      </w:pPr>
      <w:r>
        <w:rPr>
          <w:rFonts w:hint="eastAsia" w:eastAsiaTheme="minorEastAsia"/>
          <w:sz w:val="24"/>
          <w:szCs w:val="24"/>
        </w:rPr>
        <w:t>三、承包范围：</w:t>
      </w:r>
    </w:p>
    <w:p>
      <w:pPr>
        <w:spacing w:line="480" w:lineRule="exact"/>
        <w:ind w:firstLine="448" w:firstLineChars="200"/>
        <w:rPr>
          <w:rFonts w:eastAsiaTheme="minorEastAsia"/>
          <w:sz w:val="24"/>
          <w:szCs w:val="24"/>
        </w:rPr>
      </w:pPr>
      <w:r>
        <w:rPr>
          <w:rFonts w:hint="eastAsia" w:eastAsiaTheme="minorEastAsia"/>
          <w:sz w:val="24"/>
          <w:szCs w:val="24"/>
        </w:rPr>
        <w:t>四、合同价款：</w:t>
      </w:r>
    </w:p>
    <w:p>
      <w:pPr>
        <w:spacing w:line="480" w:lineRule="exact"/>
        <w:ind w:firstLine="448" w:firstLineChars="200"/>
        <w:rPr>
          <w:rFonts w:eastAsiaTheme="minorEastAsia"/>
          <w:sz w:val="24"/>
          <w:szCs w:val="24"/>
        </w:rPr>
      </w:pPr>
      <w:r>
        <w:rPr>
          <w:rFonts w:hint="eastAsia" w:eastAsiaTheme="minorEastAsia"/>
          <w:sz w:val="24"/>
          <w:szCs w:val="24"/>
        </w:rPr>
        <w:t>乙方投入餐饮管理人员共 名，甲方每月支付乙方服务费共计人民币 元/月整（￥ 元/月）。</w:t>
      </w:r>
    </w:p>
    <w:p>
      <w:pPr>
        <w:spacing w:line="480" w:lineRule="exact"/>
        <w:ind w:firstLine="448" w:firstLineChars="200"/>
        <w:rPr>
          <w:rFonts w:eastAsiaTheme="minorEastAsia"/>
          <w:sz w:val="24"/>
          <w:szCs w:val="24"/>
        </w:rPr>
      </w:pPr>
      <w:r>
        <w:rPr>
          <w:rFonts w:hint="eastAsia" w:eastAsiaTheme="minorEastAsia"/>
          <w:sz w:val="24"/>
          <w:szCs w:val="24"/>
        </w:rPr>
        <w:t xml:space="preserve">五、乙方承诺： </w:t>
      </w:r>
    </w:p>
    <w:p>
      <w:pPr>
        <w:spacing w:line="480" w:lineRule="exact"/>
        <w:ind w:firstLine="448" w:firstLineChars="200"/>
        <w:rPr>
          <w:rFonts w:eastAsiaTheme="minorEastAsia"/>
          <w:sz w:val="24"/>
          <w:szCs w:val="24"/>
        </w:rPr>
      </w:pPr>
      <w:r>
        <w:rPr>
          <w:rFonts w:hint="eastAsia" w:eastAsiaTheme="minorEastAsia"/>
          <w:sz w:val="24"/>
          <w:szCs w:val="24"/>
        </w:rPr>
        <w:t>按招标文件要求及投标文件承诺尽职尽责的餐饮服务，创造洁净、优美、舒适的环境；维护甲方的良好形象。</w:t>
      </w:r>
    </w:p>
    <w:p>
      <w:pPr>
        <w:spacing w:line="480" w:lineRule="exact"/>
        <w:ind w:firstLine="448" w:firstLineChars="200"/>
        <w:rPr>
          <w:rFonts w:eastAsiaTheme="minorEastAsia"/>
          <w:sz w:val="24"/>
          <w:szCs w:val="24"/>
        </w:rPr>
      </w:pPr>
      <w:r>
        <w:rPr>
          <w:rFonts w:hint="eastAsia" w:eastAsiaTheme="minorEastAsia"/>
          <w:sz w:val="24"/>
          <w:szCs w:val="24"/>
        </w:rPr>
        <w:t xml:space="preserve">六、甲方责任： </w:t>
      </w:r>
    </w:p>
    <w:p>
      <w:pPr>
        <w:spacing w:line="480" w:lineRule="exact"/>
        <w:ind w:firstLine="448" w:firstLineChars="200"/>
        <w:rPr>
          <w:rFonts w:eastAsiaTheme="minorEastAsia"/>
          <w:sz w:val="24"/>
          <w:szCs w:val="24"/>
        </w:rPr>
      </w:pPr>
      <w:r>
        <w:rPr>
          <w:rFonts w:hint="eastAsia" w:eastAsiaTheme="minorEastAsia"/>
          <w:sz w:val="24"/>
          <w:szCs w:val="24"/>
        </w:rPr>
        <w:t xml:space="preserve">1、甲方负责对乙方进行检查监督，若乙方餐饮服务工作达不到合同要求，甲方有权进行处罚。 </w:t>
      </w:r>
    </w:p>
    <w:p>
      <w:pPr>
        <w:spacing w:line="480" w:lineRule="exact"/>
        <w:ind w:firstLine="448" w:firstLineChars="200"/>
        <w:rPr>
          <w:rFonts w:eastAsiaTheme="minorEastAsia"/>
          <w:sz w:val="24"/>
          <w:szCs w:val="24"/>
        </w:rPr>
      </w:pPr>
      <w:r>
        <w:rPr>
          <w:rFonts w:hint="eastAsia" w:eastAsiaTheme="minorEastAsia"/>
          <w:sz w:val="24"/>
          <w:szCs w:val="24"/>
        </w:rPr>
        <w:t>2、甲方为乙方免费提供的设备、工具、耗材及其他条件如下：</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3、甲方及其员工应尊重乙方工作人员及其劳动成果，不得鄙视或讥讽餐饮服务人员，并教育甲方人员自觉维护餐饮服务环境卫生与秩序。 </w:t>
      </w:r>
    </w:p>
    <w:p>
      <w:pPr>
        <w:spacing w:line="480" w:lineRule="exact"/>
        <w:ind w:firstLine="448" w:firstLineChars="200"/>
        <w:rPr>
          <w:rFonts w:eastAsiaTheme="minorEastAsia"/>
          <w:sz w:val="24"/>
          <w:szCs w:val="24"/>
        </w:rPr>
      </w:pPr>
      <w:r>
        <w:rPr>
          <w:rFonts w:hint="eastAsia" w:eastAsiaTheme="minorEastAsia"/>
          <w:sz w:val="24"/>
          <w:szCs w:val="24"/>
        </w:rPr>
        <w:t xml:space="preserve">七、乙方责任： </w:t>
      </w:r>
    </w:p>
    <w:p>
      <w:pPr>
        <w:spacing w:line="480" w:lineRule="exact"/>
        <w:ind w:firstLine="448" w:firstLineChars="200"/>
        <w:rPr>
          <w:rFonts w:eastAsiaTheme="minorEastAsia"/>
          <w:sz w:val="24"/>
          <w:szCs w:val="24"/>
        </w:rPr>
      </w:pPr>
      <w:r>
        <w:rPr>
          <w:rFonts w:hint="eastAsia" w:eastAsiaTheme="minorEastAsia"/>
          <w:sz w:val="24"/>
          <w:szCs w:val="24"/>
        </w:rPr>
        <w:t xml:space="preserve">1、乙方须确保合同执行有效，向甲方提供熟练服务人员，并遵守甲方、乙方的规章制度，保持甲方良好的环境，爱护甲方的财物，注意言行举止以维护甲方的良好形象。 </w:t>
      </w:r>
    </w:p>
    <w:p>
      <w:pPr>
        <w:spacing w:line="480" w:lineRule="exact"/>
        <w:ind w:firstLine="448" w:firstLineChars="200"/>
        <w:rPr>
          <w:rFonts w:eastAsiaTheme="minorEastAsia"/>
          <w:sz w:val="24"/>
          <w:szCs w:val="24"/>
        </w:rPr>
      </w:pPr>
      <w:r>
        <w:rPr>
          <w:rFonts w:hint="eastAsia" w:eastAsiaTheme="minorEastAsia"/>
          <w:sz w:val="24"/>
          <w:szCs w:val="24"/>
        </w:rPr>
        <w:t xml:space="preserve">2、乙方派驻甲方工作的员工完全满足招标文件各项要求。 </w:t>
      </w:r>
    </w:p>
    <w:p>
      <w:pPr>
        <w:spacing w:line="480" w:lineRule="exact"/>
        <w:ind w:firstLine="448" w:firstLineChars="200"/>
        <w:rPr>
          <w:rFonts w:eastAsiaTheme="minorEastAsia"/>
          <w:sz w:val="24"/>
          <w:szCs w:val="24"/>
        </w:rPr>
      </w:pPr>
      <w:r>
        <w:rPr>
          <w:rFonts w:hint="eastAsia" w:eastAsiaTheme="minorEastAsia"/>
          <w:sz w:val="24"/>
          <w:szCs w:val="24"/>
        </w:rPr>
        <w:t xml:space="preserve">4、乙方负责购买员工之保险和支付工资、劳保福利、住房公积金等一切待遇，维护甲方一切公共设施，损坏东西照价赔偿，决不允许有挪用或偷窃行为。 </w:t>
      </w:r>
    </w:p>
    <w:p>
      <w:pPr>
        <w:spacing w:line="480" w:lineRule="exact"/>
        <w:ind w:firstLine="448" w:firstLineChars="200"/>
        <w:rPr>
          <w:rFonts w:eastAsiaTheme="minorEastAsia"/>
          <w:sz w:val="24"/>
          <w:szCs w:val="24"/>
        </w:rPr>
      </w:pPr>
      <w:r>
        <w:rPr>
          <w:rFonts w:hint="eastAsia" w:eastAsiaTheme="minorEastAsia"/>
          <w:sz w:val="24"/>
          <w:szCs w:val="24"/>
        </w:rPr>
        <w:t xml:space="preserve">5、所有派驻员工，乙方提供统一工作服并佩戴乙方公司的企业牌。 </w:t>
      </w:r>
    </w:p>
    <w:p>
      <w:pPr>
        <w:spacing w:line="480" w:lineRule="exact"/>
        <w:ind w:firstLine="448" w:firstLineChars="200"/>
        <w:rPr>
          <w:rFonts w:eastAsiaTheme="minorEastAsia"/>
          <w:sz w:val="24"/>
          <w:szCs w:val="24"/>
        </w:rPr>
      </w:pPr>
      <w:r>
        <w:rPr>
          <w:rFonts w:hint="eastAsia" w:eastAsiaTheme="minorEastAsia"/>
          <w:sz w:val="24"/>
          <w:szCs w:val="24"/>
        </w:rPr>
        <w:t xml:space="preserve">6、如甲方要求乙方撤换不合适的服务人员，乙方无条件接受。 </w:t>
      </w:r>
    </w:p>
    <w:p>
      <w:pPr>
        <w:spacing w:line="480" w:lineRule="exact"/>
        <w:ind w:firstLine="448" w:firstLineChars="200"/>
        <w:rPr>
          <w:rFonts w:eastAsiaTheme="minorEastAsia"/>
          <w:sz w:val="24"/>
          <w:szCs w:val="24"/>
        </w:rPr>
      </w:pPr>
      <w:r>
        <w:rPr>
          <w:rFonts w:hint="eastAsia" w:eastAsiaTheme="minorEastAsia"/>
          <w:sz w:val="24"/>
          <w:szCs w:val="24"/>
        </w:rPr>
        <w:t>八、服务验收考核标准：</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九、付款方式： </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十、合同服务期限： </w:t>
      </w:r>
    </w:p>
    <w:p>
      <w:pPr>
        <w:spacing w:line="480" w:lineRule="exact"/>
        <w:ind w:firstLine="448" w:firstLineChars="200"/>
        <w:rPr>
          <w:rFonts w:eastAsiaTheme="minorEastAsia"/>
          <w:sz w:val="24"/>
          <w:szCs w:val="24"/>
        </w:rPr>
      </w:pPr>
      <w:r>
        <w:rPr>
          <w:rFonts w:hint="eastAsia" w:eastAsiaTheme="minorEastAsia"/>
          <w:sz w:val="24"/>
          <w:szCs w:val="24"/>
        </w:rPr>
        <w:t>本合同自 年 月 日起生效至 年 月 日止，签订合同之日起  日乙方服务人员进场服务。</w:t>
      </w:r>
    </w:p>
    <w:p>
      <w:pPr>
        <w:spacing w:line="480" w:lineRule="exact"/>
        <w:ind w:firstLine="448" w:firstLineChars="200"/>
        <w:rPr>
          <w:rFonts w:eastAsiaTheme="minorEastAsia"/>
          <w:sz w:val="24"/>
          <w:szCs w:val="24"/>
        </w:rPr>
      </w:pPr>
      <w:r>
        <w:rPr>
          <w:rFonts w:hint="eastAsia" w:eastAsiaTheme="minorEastAsia"/>
          <w:sz w:val="24"/>
          <w:szCs w:val="24"/>
        </w:rPr>
        <w:t>十一、其他事项</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十二、</w:t>
      </w:r>
      <w:r>
        <w:rPr>
          <w:rFonts w:eastAsiaTheme="minorEastAsia"/>
          <w:sz w:val="24"/>
          <w:szCs w:val="24"/>
        </w:rPr>
        <w:t>合同生效</w:t>
      </w:r>
    </w:p>
    <w:p>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pPr>
        <w:spacing w:line="480" w:lineRule="exact"/>
        <w:ind w:firstLine="448" w:firstLineChars="200"/>
        <w:rPr>
          <w:rFonts w:eastAsiaTheme="minorEastAsia"/>
          <w:sz w:val="24"/>
          <w:szCs w:val="24"/>
        </w:rPr>
      </w:pPr>
    </w:p>
    <w:p>
      <w:pPr>
        <w:tabs>
          <w:tab w:val="left" w:pos="360"/>
        </w:tabs>
        <w:spacing w:line="516" w:lineRule="exact"/>
        <w:ind w:firstLine="448" w:firstLineChars="200"/>
        <w:rPr>
          <w:rFonts w:eastAsiaTheme="minorEastAsia"/>
          <w:color w:val="000000"/>
          <w:sz w:val="24"/>
          <w:szCs w:val="24"/>
        </w:rPr>
      </w:pPr>
      <w:r>
        <w:rPr>
          <w:rFonts w:eastAsiaTheme="minorEastAsia"/>
          <w:sz w:val="24"/>
          <w:szCs w:val="24"/>
        </w:rPr>
        <w:t>采购人-甲方（公章）</w:t>
      </w:r>
      <w:r>
        <w:rPr>
          <w:rFonts w:eastAsiaTheme="minorEastAsia"/>
          <w:color w:val="000000"/>
          <w:sz w:val="24"/>
          <w:szCs w:val="24"/>
        </w:rPr>
        <w:t xml:space="preserve">：           </w:t>
      </w:r>
      <w:r>
        <w:rPr>
          <w:rFonts w:eastAsiaTheme="minorEastAsia"/>
          <w:sz w:val="24"/>
          <w:szCs w:val="24"/>
        </w:rPr>
        <w:t>供应商-乙方（公章）</w:t>
      </w:r>
      <w:r>
        <w:rPr>
          <w:rFonts w:eastAsiaTheme="minorEastAsia"/>
          <w:color w:val="000000"/>
          <w:sz w:val="24"/>
          <w:szCs w:val="24"/>
        </w:rPr>
        <w:t>：</w:t>
      </w:r>
    </w:p>
    <w:p>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地址：                         地址：</w:t>
      </w:r>
    </w:p>
    <w:p>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法定代表人：                   法定代表人：</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委托代理人：                   委托代理人：</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电话：                         电话：</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时间：         年        月         日</w:t>
      </w:r>
    </w:p>
    <w:p>
      <w:pPr>
        <w:tabs>
          <w:tab w:val="left" w:pos="360"/>
        </w:tabs>
        <w:spacing w:line="516" w:lineRule="exact"/>
        <w:ind w:firstLine="448" w:firstLineChars="200"/>
        <w:rPr>
          <w:rFonts w:eastAsiaTheme="minorEastAsia"/>
          <w:color w:val="000000"/>
          <w:sz w:val="24"/>
          <w:szCs w:val="24"/>
        </w:rPr>
      </w:pPr>
    </w:p>
    <w:p>
      <w:pPr>
        <w:tabs>
          <w:tab w:val="left" w:pos="360"/>
        </w:tabs>
        <w:spacing w:line="516" w:lineRule="exact"/>
        <w:ind w:firstLine="448" w:firstLineChars="200"/>
        <w:rPr>
          <w:rFonts w:eastAsiaTheme="minorEastAsia"/>
          <w:color w:val="000000"/>
          <w:sz w:val="24"/>
          <w:szCs w:val="24"/>
        </w:rPr>
      </w:pPr>
    </w:p>
    <w:p>
      <w:pPr>
        <w:widowControl/>
        <w:jc w:val="left"/>
        <w:rPr>
          <w:rFonts w:eastAsiaTheme="minorEastAsia"/>
          <w:color w:val="000000"/>
          <w:sz w:val="24"/>
          <w:szCs w:val="24"/>
        </w:rPr>
      </w:pPr>
      <w:r>
        <w:rPr>
          <w:rFonts w:eastAsiaTheme="minorEastAsia"/>
          <w:color w:val="000000"/>
          <w:sz w:val="24"/>
          <w:szCs w:val="24"/>
        </w:rPr>
        <w:br w:type="page"/>
      </w:r>
    </w:p>
    <w:p>
      <w:pPr>
        <w:jc w:val="center"/>
        <w:rPr>
          <w:sz w:val="24"/>
          <w:szCs w:val="24"/>
        </w:rPr>
      </w:pPr>
    </w:p>
    <w:p>
      <w:pPr>
        <w:jc w:val="center"/>
        <w:rPr>
          <w:b/>
          <w:bCs/>
          <w:sz w:val="24"/>
          <w:szCs w:val="24"/>
        </w:rPr>
      </w:pPr>
      <w:r>
        <w:rPr>
          <w:b/>
          <w:bCs/>
          <w:sz w:val="24"/>
          <w:szCs w:val="24"/>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合同特殊条款是合同一般条款的补充和修改。如果两者之间有抵触，应以特殊条款为准。</w:t>
      </w:r>
    </w:p>
    <w:p>
      <w:pPr>
        <w:tabs>
          <w:tab w:val="left" w:pos="360"/>
        </w:tabs>
        <w:spacing w:line="516" w:lineRule="exact"/>
        <w:ind w:firstLine="448" w:firstLineChars="200"/>
        <w:rPr>
          <w:rFonts w:eastAsiaTheme="minorEastAsia"/>
          <w:color w:val="000000"/>
          <w:sz w:val="24"/>
          <w:szCs w:val="24"/>
        </w:rPr>
      </w:pPr>
      <w:r>
        <w:rPr>
          <w:color w:val="000000"/>
          <w:sz w:val="24"/>
          <w:szCs w:val="24"/>
        </w:rPr>
        <w:t>合同特殊条款由甲、乙双方根据采购项目的具体情况协商拟订。</w:t>
      </w:r>
    </w:p>
    <w:p>
      <w:pPr>
        <w:autoSpaceDN w:val="0"/>
        <w:spacing w:line="360" w:lineRule="auto"/>
        <w:rPr>
          <w:b/>
          <w:bCs/>
        </w:rPr>
      </w:pPr>
    </w:p>
    <w:p>
      <w:pPr>
        <w:autoSpaceDN w:val="0"/>
        <w:spacing w:line="360" w:lineRule="auto"/>
        <w:rPr>
          <w:b/>
          <w:bCs/>
        </w:rPr>
      </w:pPr>
    </w:p>
    <w:p>
      <w:pPr>
        <w:widowControl/>
        <w:jc w:val="left"/>
        <w:rPr>
          <w:b/>
          <w:bCs/>
        </w:rPr>
      </w:pPr>
      <w:r>
        <w:rPr>
          <w:b/>
          <w:bCs/>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投标包号：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kern w:val="0"/>
          <w:sz w:val="34"/>
          <w:szCs w:val="34"/>
        </w:rPr>
      </w:pPr>
      <w:r>
        <w:rPr>
          <w:rFonts w:hint="eastAsia"/>
          <w:b/>
          <w:kern w:val="0"/>
          <w:sz w:val="34"/>
          <w:szCs w:val="34"/>
        </w:rPr>
        <w:t>投标代表人姓名：</w:t>
      </w:r>
    </w:p>
    <w:p>
      <w:pPr>
        <w:tabs>
          <w:tab w:val="left" w:pos="1260"/>
          <w:tab w:val="center" w:pos="4156"/>
        </w:tabs>
        <w:autoSpaceDE w:val="0"/>
        <w:autoSpaceDN w:val="0"/>
        <w:adjustRightInd w:val="0"/>
        <w:spacing w:line="360" w:lineRule="auto"/>
        <w:ind w:firstLine="648" w:firstLineChars="200"/>
        <w:outlineLvl w:val="0"/>
        <w:rPr>
          <w:b/>
          <w:sz w:val="34"/>
          <w:szCs w:val="34"/>
        </w:rPr>
      </w:pPr>
    </w:p>
    <w:p>
      <w:pPr>
        <w:tabs>
          <w:tab w:val="left" w:pos="1260"/>
          <w:tab w:val="center" w:pos="4156"/>
        </w:tabs>
        <w:autoSpaceDE w:val="0"/>
        <w:autoSpaceDN w:val="0"/>
        <w:adjustRightInd w:val="0"/>
        <w:spacing w:line="360" w:lineRule="auto"/>
        <w:ind w:firstLine="648" w:firstLineChars="200"/>
        <w:outlineLvl w:val="0"/>
        <w:rPr>
          <w:b/>
          <w:sz w:val="34"/>
          <w:szCs w:val="34"/>
        </w:rPr>
      </w:pPr>
    </w:p>
    <w:p>
      <w:pPr>
        <w:tabs>
          <w:tab w:val="left" w:pos="1260"/>
          <w:tab w:val="center" w:pos="4156"/>
        </w:tabs>
        <w:autoSpaceDE w:val="0"/>
        <w:autoSpaceDN w:val="0"/>
        <w:adjustRightInd w:val="0"/>
        <w:spacing w:line="360" w:lineRule="auto"/>
        <w:ind w:firstLine="648" w:firstLineChars="200"/>
        <w:outlineLvl w:val="0"/>
        <w:rPr>
          <w:b/>
          <w:sz w:val="34"/>
          <w:szCs w:val="34"/>
        </w:rPr>
      </w:pPr>
    </w:p>
    <w:p>
      <w:pPr>
        <w:tabs>
          <w:tab w:val="left" w:pos="1260"/>
          <w:tab w:val="center" w:pos="4156"/>
        </w:tabs>
        <w:autoSpaceDE w:val="0"/>
        <w:autoSpaceDN w:val="0"/>
        <w:adjustRightInd w:val="0"/>
        <w:spacing w:line="360" w:lineRule="auto"/>
        <w:ind w:firstLine="648" w:firstLineChars="200"/>
        <w:outlineLvl w:val="0"/>
        <w:rPr>
          <w:b/>
          <w:bCs/>
          <w:color w:val="000000"/>
          <w:sz w:val="24"/>
          <w:lang w:val="zh-CN"/>
        </w:rPr>
      </w:pPr>
      <w:r>
        <w:rPr>
          <w:b/>
          <w:sz w:val="34"/>
          <w:szCs w:val="34"/>
        </w:rPr>
        <w:t>投标日期：   年   月   日</w:t>
      </w:r>
    </w:p>
    <w:p>
      <w:pPr>
        <w:widowControl/>
        <w:jc w:val="left"/>
        <w:rPr>
          <w:b/>
          <w:sz w:val="24"/>
        </w:rPr>
      </w:pPr>
      <w:r>
        <w:rPr>
          <w:b/>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（投标人自行编制）</w:t>
      </w: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b/>
          <w:sz w:val="24"/>
        </w:rPr>
      </w:pPr>
    </w:p>
    <w:p>
      <w:pPr>
        <w:widowControl/>
        <w:jc w:val="left"/>
        <w:rPr>
          <w:sz w:val="24"/>
        </w:rPr>
      </w:pPr>
      <w:r>
        <w:rPr>
          <w:b/>
          <w:sz w:val="24"/>
        </w:rPr>
        <w:br w:type="page"/>
      </w:r>
      <w:r>
        <w:rPr>
          <w:b/>
          <w:sz w:val="24"/>
        </w:rPr>
        <w:t>附件1</w:t>
      </w:r>
      <w:r>
        <w:rPr>
          <w:sz w:val="24"/>
        </w:rPr>
        <w:t xml:space="preserve">                        </w:t>
      </w:r>
    </w:p>
    <w:p>
      <w:pPr>
        <w:tabs>
          <w:tab w:val="left" w:pos="360"/>
        </w:tabs>
        <w:spacing w:line="560" w:lineRule="exact"/>
        <w:jc w:val="center"/>
        <w:rPr>
          <w:b/>
          <w:sz w:val="24"/>
        </w:rPr>
      </w:pPr>
      <w:r>
        <w:rPr>
          <w:b/>
          <w:sz w:val="24"/>
        </w:rPr>
        <w:t>投标书</w:t>
      </w:r>
    </w:p>
    <w:p>
      <w:pPr>
        <w:spacing w:line="560" w:lineRule="exact"/>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）的投标邀请，投标人代表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（投标单位名称、地址）提交网上应答及上传加盖电子签章的投标文件。</w:t>
      </w:r>
    </w:p>
    <w:p>
      <w:pPr>
        <w:spacing w:line="360" w:lineRule="auto"/>
        <w:ind w:firstLine="448" w:firstLineChars="200"/>
        <w:rPr>
          <w:sz w:val="24"/>
        </w:rPr>
      </w:pPr>
      <w:r>
        <w:rPr>
          <w:sz w:val="24"/>
        </w:rPr>
        <w:t>据此函，投标人代表宣布同意如下：</w:t>
      </w:r>
    </w:p>
    <w:p>
      <w:pPr>
        <w:spacing w:line="360" w:lineRule="auto"/>
        <w:ind w:firstLine="448" w:firstLineChars="200"/>
        <w:rPr>
          <w:sz w:val="24"/>
        </w:rPr>
      </w:pPr>
      <w:r>
        <w:rPr>
          <w:sz w:val="24"/>
        </w:rPr>
        <w:t>1. 所附投标报价表中规定的应提供服务的投标总价为：</w:t>
      </w:r>
    </w:p>
    <w:p>
      <w:pPr>
        <w:spacing w:line="360" w:lineRule="auto"/>
        <w:ind w:firstLine="448" w:firstLineChars="200"/>
        <w:rPr>
          <w:sz w:val="24"/>
        </w:rPr>
      </w:pPr>
      <w:r>
        <w:rPr>
          <w:sz w:val="24"/>
        </w:rPr>
        <w:t>第</w:t>
      </w:r>
      <w:r>
        <w:rPr>
          <w:rFonts w:hint="eastAsia"/>
          <w:sz w:val="24"/>
        </w:rPr>
        <w:t>一</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w:t>
      </w:r>
      <w:r>
        <w:rPr>
          <w:rFonts w:hint="eastAsia"/>
          <w:sz w:val="24"/>
        </w:rPr>
        <w:t>采购人、采购代理机构</w:t>
      </w:r>
      <w:r>
        <w:rPr>
          <w:sz w:val="24"/>
        </w:rPr>
        <w:t>的检查验证。在整个招标过程中，我公司若有违规行为，我公司完全接受贵中心依照相关法律法规和招标文件的规定给予处罚。</w:t>
      </w:r>
    </w:p>
    <w:p>
      <w:pPr>
        <w:spacing w:line="360" w:lineRule="auto"/>
        <w:ind w:firstLine="448" w:firstLineChars="200"/>
        <w:jc w:val="left"/>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560" w:lineRule="exact"/>
        <w:rPr>
          <w:sz w:val="24"/>
        </w:rPr>
      </w:pPr>
    </w:p>
    <w:p>
      <w:pPr>
        <w:spacing w:line="560" w:lineRule="exact"/>
        <w:rPr>
          <w:sz w:val="24"/>
        </w:rPr>
      </w:pPr>
    </w:p>
    <w:p>
      <w:pPr>
        <w:spacing w:line="560" w:lineRule="exact"/>
        <w:rPr>
          <w:sz w:val="24"/>
        </w:rPr>
      </w:pPr>
    </w:p>
    <w:p>
      <w:pPr>
        <w:widowControl/>
        <w:jc w:val="left"/>
        <w:rPr>
          <w:b/>
          <w:sz w:val="24"/>
        </w:rPr>
      </w:pPr>
      <w:r>
        <w:rPr>
          <w:b/>
          <w:sz w:val="24"/>
        </w:rPr>
        <w:br w:type="page"/>
      </w:r>
    </w:p>
    <w:p>
      <w:pPr>
        <w:spacing w:line="460" w:lineRule="exact"/>
        <w:rPr>
          <w:b/>
          <w:sz w:val="24"/>
        </w:rPr>
      </w:pPr>
      <w:r>
        <w:rPr>
          <w:b/>
          <w:sz w:val="24"/>
        </w:rPr>
        <w:t>附件2</w:t>
      </w: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spacing w:line="460" w:lineRule="exact"/>
        <w:rPr>
          <w:b/>
          <w:sz w:val="24"/>
        </w:rPr>
      </w:pPr>
    </w:p>
    <w:p>
      <w:pPr>
        <w:widowControl/>
        <w:jc w:val="left"/>
        <w:rPr>
          <w:b/>
          <w:sz w:val="24"/>
        </w:rPr>
      </w:pPr>
      <w:r>
        <w:rPr>
          <w:b/>
          <w:sz w:val="24"/>
        </w:rPr>
        <w:br w:type="page"/>
      </w:r>
    </w:p>
    <w:p>
      <w:pPr>
        <w:spacing w:line="460" w:lineRule="exact"/>
        <w:rPr>
          <w:b/>
          <w:sz w:val="24"/>
        </w:rPr>
      </w:pPr>
      <w:r>
        <w:rPr>
          <w:rFonts w:hint="eastAsia"/>
          <w:b/>
          <w:bCs/>
          <w:sz w:val="24"/>
        </w:rPr>
        <w:t>附件2-1：招标文件第一部分供应商资格要求的证件</w:t>
      </w:r>
    </w:p>
    <w:p>
      <w:pPr>
        <w:ind w:right="84" w:firstLine="420"/>
        <w:rPr>
          <w:b/>
          <w:sz w:val="24"/>
        </w:rPr>
      </w:pPr>
    </w:p>
    <w:p>
      <w:pPr>
        <w:widowControl/>
        <w:jc w:val="left"/>
        <w:rPr>
          <w:b/>
          <w:sz w:val="24"/>
        </w:rPr>
      </w:pPr>
      <w:r>
        <w:rPr>
          <w:b/>
          <w:sz w:val="24"/>
        </w:rPr>
        <w:br w:type="page"/>
      </w:r>
    </w:p>
    <w:p>
      <w:pPr>
        <w:ind w:right="84"/>
        <w:rPr>
          <w:b/>
          <w:sz w:val="24"/>
        </w:rPr>
      </w:pPr>
      <w:r>
        <w:rPr>
          <w:rFonts w:hint="eastAsia"/>
          <w:b/>
          <w:sz w:val="24"/>
        </w:rPr>
        <w:t>附件3：</w:t>
      </w:r>
    </w:p>
    <w:p>
      <w:pPr>
        <w:ind w:right="84" w:firstLine="420"/>
        <w:jc w:val="center"/>
        <w:rPr>
          <w:b/>
          <w:sz w:val="24"/>
        </w:rPr>
      </w:pPr>
      <w:r>
        <w:rPr>
          <w:b/>
          <w:sz w:val="24"/>
        </w:rPr>
        <w:t>开标一览表</w:t>
      </w:r>
    </w:p>
    <w:p>
      <w:pPr>
        <w:spacing w:line="460" w:lineRule="exact"/>
        <w:ind w:left="192"/>
        <w:rPr>
          <w:sz w:val="24"/>
        </w:rPr>
      </w:pPr>
      <w:r>
        <w:rPr>
          <w:sz w:val="24"/>
        </w:rPr>
        <w:t>项目名称：</w:t>
      </w:r>
      <w:r>
        <w:rPr>
          <w:sz w:val="24"/>
          <w:u w:val="single"/>
        </w:rPr>
        <w:t xml:space="preserve">                    </w:t>
      </w:r>
      <w:r>
        <w:rPr>
          <w:sz w:val="24"/>
        </w:rPr>
        <w:t xml:space="preserve">                  </w:t>
      </w:r>
    </w:p>
    <w:p>
      <w:pPr>
        <w:spacing w:line="460" w:lineRule="exact"/>
        <w:ind w:left="192"/>
        <w:rPr>
          <w:sz w:val="24"/>
        </w:rPr>
      </w:pPr>
      <w:r>
        <w:rPr>
          <w:sz w:val="24"/>
        </w:rPr>
        <w:t>项目编号：</w:t>
      </w:r>
      <w:r>
        <w:rPr>
          <w:sz w:val="24"/>
          <w:u w:val="single"/>
        </w:rPr>
        <w:t xml:space="preserve">                    </w:t>
      </w:r>
      <w:r>
        <w:rPr>
          <w:sz w:val="24"/>
        </w:rPr>
        <w:t xml:space="preserve">                  </w:t>
      </w:r>
    </w:p>
    <w:p>
      <w:pPr>
        <w:spacing w:line="460" w:lineRule="exact"/>
        <w:rPr>
          <w:sz w:val="24"/>
        </w:rPr>
      </w:pPr>
      <w:r>
        <w:rPr>
          <w:sz w:val="24"/>
        </w:rPr>
        <w:t xml:space="preserve">                                                       单位：元</w:t>
      </w:r>
    </w:p>
    <w:tbl>
      <w:tblPr>
        <w:tblStyle w:val="22"/>
        <w:tblW w:w="54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2887"/>
        <w:gridCol w:w="1372"/>
        <w:gridCol w:w="2052"/>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vAlign w:val="center"/>
          </w:tcPr>
          <w:p>
            <w:pPr>
              <w:spacing w:line="460" w:lineRule="exact"/>
              <w:jc w:val="center"/>
              <w:rPr>
                <w:sz w:val="24"/>
              </w:rPr>
            </w:pPr>
            <w:r>
              <w:rPr>
                <w:sz w:val="24"/>
              </w:rPr>
              <w:t>包号</w:t>
            </w:r>
          </w:p>
        </w:tc>
        <w:tc>
          <w:tcPr>
            <w:tcW w:w="1563" w:type="pct"/>
            <w:vAlign w:val="center"/>
          </w:tcPr>
          <w:p>
            <w:pPr>
              <w:spacing w:line="460" w:lineRule="exact"/>
              <w:jc w:val="center"/>
              <w:rPr>
                <w:sz w:val="24"/>
              </w:rPr>
            </w:pPr>
            <w:r>
              <w:rPr>
                <w:sz w:val="24"/>
              </w:rPr>
              <w:t>服务名称</w:t>
            </w:r>
          </w:p>
        </w:tc>
        <w:tc>
          <w:tcPr>
            <w:tcW w:w="743" w:type="pct"/>
            <w:vAlign w:val="center"/>
          </w:tcPr>
          <w:p>
            <w:pPr>
              <w:spacing w:line="460" w:lineRule="exact"/>
              <w:jc w:val="center"/>
              <w:rPr>
                <w:sz w:val="24"/>
              </w:rPr>
            </w:pPr>
            <w:r>
              <w:rPr>
                <w:sz w:val="24"/>
              </w:rPr>
              <w:t>数量</w:t>
            </w:r>
          </w:p>
        </w:tc>
        <w:tc>
          <w:tcPr>
            <w:tcW w:w="1111" w:type="pct"/>
            <w:vAlign w:val="center"/>
          </w:tcPr>
          <w:p>
            <w:pPr>
              <w:spacing w:line="460" w:lineRule="exact"/>
              <w:jc w:val="center"/>
              <w:rPr>
                <w:sz w:val="24"/>
              </w:rPr>
            </w:pPr>
            <w:r>
              <w:rPr>
                <w:sz w:val="24"/>
              </w:rPr>
              <w:t>投标总价</w:t>
            </w:r>
          </w:p>
        </w:tc>
        <w:tc>
          <w:tcPr>
            <w:tcW w:w="908"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vAlign w:val="center"/>
          </w:tcPr>
          <w:p>
            <w:pPr>
              <w:spacing w:line="460" w:lineRule="exact"/>
              <w:jc w:val="center"/>
              <w:rPr>
                <w:sz w:val="24"/>
              </w:rPr>
            </w:pPr>
            <w:r>
              <w:rPr>
                <w:rFonts w:hint="eastAsia"/>
                <w:sz w:val="24"/>
              </w:rPr>
              <w:t>1</w:t>
            </w:r>
          </w:p>
        </w:tc>
        <w:tc>
          <w:tcPr>
            <w:tcW w:w="1563" w:type="pct"/>
            <w:vAlign w:val="center"/>
          </w:tcPr>
          <w:p>
            <w:pPr>
              <w:spacing w:line="460" w:lineRule="exact"/>
              <w:jc w:val="center"/>
              <w:rPr>
                <w:sz w:val="24"/>
              </w:rPr>
            </w:pPr>
            <w:r>
              <w:rPr>
                <w:rFonts w:hint="eastAsia"/>
                <w:sz w:val="24"/>
              </w:rPr>
              <w:t>国家税务总局天津市税务局第三税务分局食堂餐饮服务</w:t>
            </w:r>
          </w:p>
        </w:tc>
        <w:tc>
          <w:tcPr>
            <w:tcW w:w="743" w:type="pct"/>
            <w:vAlign w:val="center"/>
          </w:tcPr>
          <w:p>
            <w:pPr>
              <w:spacing w:line="460" w:lineRule="exact"/>
              <w:jc w:val="center"/>
              <w:rPr>
                <w:sz w:val="24"/>
              </w:rPr>
            </w:pPr>
            <w:r>
              <w:rPr>
                <w:rFonts w:hint="eastAsia"/>
                <w:sz w:val="24"/>
              </w:rPr>
              <w:t>1项</w:t>
            </w:r>
          </w:p>
        </w:tc>
        <w:tc>
          <w:tcPr>
            <w:tcW w:w="1111" w:type="pct"/>
            <w:vAlign w:val="center"/>
          </w:tcPr>
          <w:p>
            <w:pPr>
              <w:spacing w:line="460" w:lineRule="exact"/>
              <w:jc w:val="center"/>
              <w:rPr>
                <w:sz w:val="24"/>
              </w:rPr>
            </w:pPr>
          </w:p>
        </w:tc>
        <w:tc>
          <w:tcPr>
            <w:tcW w:w="908" w:type="pct"/>
            <w:vAlign w:val="center"/>
          </w:tcPr>
          <w:p>
            <w:pPr>
              <w:spacing w:line="460" w:lineRule="exact"/>
              <w:jc w:val="center"/>
              <w:rPr>
                <w:sz w:val="24"/>
              </w:rPr>
            </w:pPr>
            <w:r>
              <w:rPr>
                <w:sz w:val="24"/>
              </w:rPr>
              <w:t>服务期两年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pct"/>
          </w:tcPr>
          <w:p>
            <w:pPr>
              <w:spacing w:line="460" w:lineRule="exact"/>
              <w:rPr>
                <w:sz w:val="24"/>
              </w:rPr>
            </w:pPr>
          </w:p>
        </w:tc>
        <w:tc>
          <w:tcPr>
            <w:tcW w:w="1563" w:type="pct"/>
          </w:tcPr>
          <w:p>
            <w:pPr>
              <w:spacing w:line="460" w:lineRule="exact"/>
              <w:rPr>
                <w:sz w:val="24"/>
              </w:rPr>
            </w:pPr>
          </w:p>
        </w:tc>
        <w:tc>
          <w:tcPr>
            <w:tcW w:w="743" w:type="pct"/>
          </w:tcPr>
          <w:p>
            <w:pPr>
              <w:spacing w:line="460" w:lineRule="exact"/>
              <w:rPr>
                <w:sz w:val="24"/>
              </w:rPr>
            </w:pPr>
          </w:p>
        </w:tc>
        <w:tc>
          <w:tcPr>
            <w:tcW w:w="1111" w:type="pct"/>
          </w:tcPr>
          <w:p>
            <w:pPr>
              <w:spacing w:line="460" w:lineRule="exact"/>
              <w:rPr>
                <w:sz w:val="24"/>
              </w:rPr>
            </w:pPr>
          </w:p>
        </w:tc>
        <w:tc>
          <w:tcPr>
            <w:tcW w:w="908" w:type="pct"/>
          </w:tcPr>
          <w:p>
            <w:pPr>
              <w:spacing w:line="460" w:lineRule="exact"/>
              <w:rPr>
                <w:sz w:val="24"/>
              </w:rPr>
            </w:pPr>
          </w:p>
        </w:tc>
      </w:tr>
    </w:tbl>
    <w:p>
      <w:pPr>
        <w:spacing w:line="360" w:lineRule="auto"/>
        <w:ind w:right="84" w:firstLine="420"/>
        <w:rPr>
          <w:b/>
          <w:position w:val="-40"/>
          <w:sz w:val="24"/>
        </w:rPr>
      </w:pPr>
    </w:p>
    <w:p>
      <w:pPr>
        <w:spacing w:line="460" w:lineRule="exact"/>
        <w:ind w:left="192"/>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spacing w:line="360" w:lineRule="auto"/>
        <w:ind w:right="84" w:firstLine="420"/>
        <w:rPr>
          <w:position w:val="-40"/>
          <w:sz w:val="24"/>
        </w:rPr>
      </w:pPr>
      <w:r>
        <w:rPr>
          <w:position w:val="-40"/>
          <w:sz w:val="24"/>
        </w:rPr>
        <w:t xml:space="preserve"> </w:t>
      </w:r>
    </w:p>
    <w:p>
      <w:pPr>
        <w:spacing w:line="360" w:lineRule="auto"/>
        <w:ind w:right="84" w:firstLine="420"/>
        <w:rPr>
          <w:position w:val="-40"/>
          <w:sz w:val="24"/>
        </w:rPr>
      </w:pPr>
    </w:p>
    <w:p>
      <w:pPr>
        <w:spacing w:line="360" w:lineRule="auto"/>
        <w:ind w:right="84" w:firstLine="420"/>
        <w:rPr>
          <w:position w:val="-40"/>
          <w:sz w:val="24"/>
        </w:rPr>
      </w:pPr>
      <w:r>
        <w:rPr>
          <w:position w:val="-40"/>
          <w:sz w:val="24"/>
        </w:rPr>
        <w:t xml:space="preserve"> </w:t>
      </w:r>
    </w:p>
    <w:p>
      <w:pPr>
        <w:spacing w:line="360" w:lineRule="auto"/>
        <w:ind w:right="84" w:firstLine="420"/>
        <w:rPr>
          <w:position w:val="-40"/>
          <w:sz w:val="24"/>
        </w:rPr>
      </w:pPr>
    </w:p>
    <w:p>
      <w:pPr>
        <w:widowControl/>
        <w:jc w:val="left"/>
        <w:rPr>
          <w:b/>
          <w:sz w:val="24"/>
        </w:rPr>
      </w:pPr>
      <w:r>
        <w:rPr>
          <w:b/>
          <w:sz w:val="24"/>
        </w:rPr>
        <w:br w:type="page"/>
      </w:r>
    </w:p>
    <w:p>
      <w:pPr>
        <w:spacing w:line="460" w:lineRule="exact"/>
        <w:rPr>
          <w:b/>
          <w:sz w:val="24"/>
        </w:rPr>
      </w:pPr>
      <w:r>
        <w:rPr>
          <w:b/>
          <w:sz w:val="24"/>
        </w:rPr>
        <w:t>附件</w:t>
      </w:r>
      <w:r>
        <w:rPr>
          <w:rFonts w:hint="eastAsia"/>
          <w:b/>
          <w:sz w:val="24"/>
        </w:rPr>
        <w:t>4</w:t>
      </w:r>
    </w:p>
    <w:p>
      <w:pPr>
        <w:tabs>
          <w:tab w:val="left" w:pos="3780"/>
          <w:tab w:val="left" w:pos="3960"/>
        </w:tabs>
        <w:spacing w:line="460" w:lineRule="exact"/>
        <w:jc w:val="center"/>
        <w:rPr>
          <w:b/>
          <w:sz w:val="24"/>
        </w:rPr>
      </w:pPr>
      <w:r>
        <w:rPr>
          <w:b/>
          <w:sz w:val="24"/>
        </w:rPr>
        <w:t>开标分项一览表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3396"/>
        <w:gridCol w:w="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szCs w:val="21"/>
              </w:rPr>
              <w:t>序号</w:t>
            </w:r>
          </w:p>
        </w:tc>
        <w:tc>
          <w:tcPr>
            <w:tcW w:w="2122" w:type="pct"/>
            <w:vAlign w:val="center"/>
          </w:tcPr>
          <w:p>
            <w:pPr>
              <w:jc w:val="center"/>
              <w:rPr>
                <w:szCs w:val="21"/>
              </w:rPr>
            </w:pPr>
            <w:r>
              <w:rPr>
                <w:szCs w:val="21"/>
              </w:rPr>
              <w:t>价格分项组成</w:t>
            </w:r>
          </w:p>
        </w:tc>
        <w:tc>
          <w:tcPr>
            <w:tcW w:w="2218" w:type="pct"/>
            <w:vAlign w:val="center"/>
          </w:tcPr>
          <w:p>
            <w:pPr>
              <w:jc w:val="center"/>
              <w:rPr>
                <w:szCs w:val="21"/>
              </w:rPr>
            </w:pPr>
            <w:r>
              <w:rPr>
                <w:szCs w:val="21"/>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pPr>
              <w:jc w:val="center"/>
              <w:rPr>
                <w:szCs w:val="21"/>
              </w:rPr>
            </w:pPr>
            <w:r>
              <w:rPr>
                <w:szCs w:val="21"/>
              </w:rPr>
              <w:t>1</w:t>
            </w:r>
          </w:p>
        </w:tc>
        <w:tc>
          <w:tcPr>
            <w:tcW w:w="2122" w:type="pct"/>
            <w:vMerge w:val="restart"/>
            <w:vAlign w:val="center"/>
          </w:tcPr>
          <w:p>
            <w:pPr>
              <w:jc w:val="center"/>
              <w:rPr>
                <w:szCs w:val="21"/>
              </w:rPr>
            </w:pPr>
            <w:r>
              <w:rPr>
                <w:szCs w:val="21"/>
              </w:rPr>
              <w:t>人员费用</w:t>
            </w:r>
          </w:p>
        </w:tc>
        <w:tc>
          <w:tcPr>
            <w:tcW w:w="2218" w:type="pct"/>
            <w:vAlign w:val="center"/>
          </w:tcPr>
          <w:p>
            <w:pPr>
              <w:jc w:val="left"/>
              <w:rPr>
                <w:szCs w:val="21"/>
              </w:rPr>
            </w:pPr>
            <w:r>
              <w:rPr>
                <w:szCs w:val="21"/>
              </w:rPr>
              <w:t>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社会保险：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szCs w:val="21"/>
              </w:rPr>
              <w:t>福利</w:t>
            </w:r>
            <w:r>
              <w:rPr>
                <w:rFonts w:hint="eastAsia"/>
                <w:szCs w:val="21"/>
              </w:rPr>
              <w:t>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加班费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2</w:t>
            </w:r>
          </w:p>
        </w:tc>
        <w:tc>
          <w:tcPr>
            <w:tcW w:w="2122" w:type="pct"/>
            <w:vAlign w:val="center"/>
          </w:tcPr>
          <w:p>
            <w:pPr>
              <w:jc w:val="center"/>
              <w:rPr>
                <w:szCs w:val="21"/>
              </w:rPr>
            </w:pPr>
            <w:r>
              <w:rPr>
                <w:rFonts w:hint="eastAsia"/>
                <w:szCs w:val="21"/>
              </w:rPr>
              <w:t>服装费用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3</w:t>
            </w:r>
          </w:p>
        </w:tc>
        <w:tc>
          <w:tcPr>
            <w:tcW w:w="2122" w:type="pct"/>
            <w:vAlign w:val="center"/>
          </w:tcPr>
          <w:p>
            <w:pPr>
              <w:jc w:val="center"/>
              <w:rPr>
                <w:szCs w:val="21"/>
              </w:rPr>
            </w:pPr>
            <w:r>
              <w:rPr>
                <w:rFonts w:hint="eastAsia"/>
                <w:szCs w:val="21"/>
              </w:rPr>
              <w:t>食材费用</w:t>
            </w:r>
          </w:p>
        </w:tc>
        <w:tc>
          <w:tcPr>
            <w:tcW w:w="2218" w:type="pct"/>
            <w:vAlign w:val="center"/>
          </w:tcPr>
          <w:p>
            <w:pPr>
              <w:jc w:val="center"/>
              <w:rPr>
                <w:szCs w:val="21"/>
              </w:rPr>
            </w:pPr>
            <w:r>
              <w:rPr>
                <w:szCs w:val="21"/>
              </w:rPr>
              <w:t>2648640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4</w:t>
            </w:r>
          </w:p>
        </w:tc>
        <w:tc>
          <w:tcPr>
            <w:tcW w:w="2122" w:type="pct"/>
            <w:vAlign w:val="center"/>
          </w:tcPr>
          <w:p>
            <w:pPr>
              <w:jc w:val="center"/>
              <w:rPr>
                <w:szCs w:val="21"/>
              </w:rPr>
            </w:pPr>
            <w:r>
              <w:rPr>
                <w:szCs w:val="21"/>
              </w:rPr>
              <w:t>办公费用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5</w:t>
            </w:r>
          </w:p>
        </w:tc>
        <w:tc>
          <w:tcPr>
            <w:tcW w:w="2122" w:type="pct"/>
            <w:vAlign w:val="center"/>
          </w:tcPr>
          <w:p>
            <w:pPr>
              <w:jc w:val="center"/>
              <w:rPr>
                <w:szCs w:val="21"/>
              </w:rPr>
            </w:pPr>
            <w:r>
              <w:rPr>
                <w:szCs w:val="21"/>
              </w:rPr>
              <w:t>利润</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6</w:t>
            </w:r>
          </w:p>
        </w:tc>
        <w:tc>
          <w:tcPr>
            <w:tcW w:w="2122" w:type="pct"/>
            <w:vAlign w:val="center"/>
          </w:tcPr>
          <w:p>
            <w:pPr>
              <w:jc w:val="center"/>
              <w:rPr>
                <w:szCs w:val="21"/>
              </w:rPr>
            </w:pPr>
            <w:r>
              <w:rPr>
                <w:szCs w:val="21"/>
              </w:rPr>
              <w:t>税金</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pPr>
              <w:jc w:val="center"/>
              <w:rPr>
                <w:szCs w:val="21"/>
              </w:rPr>
            </w:pPr>
            <w:r>
              <w:rPr>
                <w:rFonts w:hint="eastAsia"/>
                <w:szCs w:val="21"/>
              </w:rPr>
              <w:t>7</w:t>
            </w:r>
          </w:p>
        </w:tc>
        <w:tc>
          <w:tcPr>
            <w:tcW w:w="2122" w:type="pct"/>
            <w:vAlign w:val="center"/>
          </w:tcPr>
          <w:p>
            <w:pPr>
              <w:jc w:val="center"/>
              <w:rPr>
                <w:szCs w:val="21"/>
              </w:rPr>
            </w:pPr>
            <w:r>
              <w:rPr>
                <w:szCs w:val="21"/>
              </w:rPr>
              <w:t>其他需要列明的费用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2" w:type="pct"/>
            <w:gridSpan w:val="2"/>
            <w:vAlign w:val="center"/>
          </w:tcPr>
          <w:p>
            <w:pPr>
              <w:jc w:val="center"/>
              <w:rPr>
                <w:szCs w:val="21"/>
              </w:rPr>
            </w:pPr>
            <w:r>
              <w:rPr>
                <w:szCs w:val="21"/>
              </w:rPr>
              <w:t>合计</w:t>
            </w:r>
          </w:p>
        </w:tc>
        <w:tc>
          <w:tcPr>
            <w:tcW w:w="2218" w:type="pct"/>
            <w:vAlign w:val="center"/>
          </w:tcPr>
          <w:p>
            <w:pPr>
              <w:jc w:val="left"/>
              <w:rPr>
                <w:szCs w:val="21"/>
              </w:rPr>
            </w:pPr>
          </w:p>
        </w:tc>
      </w:tr>
    </w:tbl>
    <w:p>
      <w:pPr>
        <w:spacing w:line="360" w:lineRule="auto"/>
        <w:rPr>
          <w:kern w:val="0"/>
          <w:sz w:val="24"/>
          <w:szCs w:val="24"/>
        </w:rPr>
      </w:pPr>
      <w:r>
        <w:rPr>
          <w:kern w:val="0"/>
          <w:sz w:val="24"/>
          <w:szCs w:val="24"/>
        </w:rPr>
        <w:t>注：1. 上述合计价格应为服务期的最终优惠价格。</w:t>
      </w:r>
    </w:p>
    <w:p>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pPr>
        <w:spacing w:line="360" w:lineRule="auto"/>
        <w:ind w:firstLine="448" w:firstLineChars="200"/>
        <w:rPr>
          <w:kern w:val="0"/>
          <w:sz w:val="24"/>
          <w:szCs w:val="24"/>
        </w:rPr>
      </w:pPr>
      <w:r>
        <w:rPr>
          <w:kern w:val="0"/>
          <w:sz w:val="24"/>
          <w:szCs w:val="24"/>
        </w:rPr>
        <w:t>4. 上述表格中列明的条目，在本项目中如不涉及</w:t>
      </w:r>
      <w:r>
        <w:rPr>
          <w:rFonts w:hint="eastAsia"/>
          <w:kern w:val="0"/>
          <w:sz w:val="24"/>
          <w:szCs w:val="24"/>
        </w:rPr>
        <w:t>或由采购人承担</w:t>
      </w:r>
      <w:r>
        <w:rPr>
          <w:kern w:val="0"/>
          <w:sz w:val="24"/>
          <w:szCs w:val="24"/>
        </w:rPr>
        <w:t>，请填写“不涉及”。</w:t>
      </w:r>
    </w:p>
    <w:p>
      <w:pPr>
        <w:spacing w:line="360" w:lineRule="auto"/>
        <w:ind w:firstLine="448" w:firstLineChars="200"/>
        <w:rPr>
          <w:kern w:val="0"/>
          <w:sz w:val="24"/>
          <w:szCs w:val="24"/>
        </w:rPr>
      </w:pPr>
      <w:r>
        <w:rPr>
          <w:sz w:val="24"/>
          <w:szCs w:val="24"/>
        </w:rPr>
        <w:t xml:space="preserve">5. </w:t>
      </w:r>
      <w:r>
        <w:rPr>
          <w:kern w:val="0"/>
          <w:sz w:val="24"/>
          <w:szCs w:val="24"/>
        </w:rPr>
        <w:t>上述报价不得出现0报价。</w:t>
      </w:r>
    </w:p>
    <w:p>
      <w:pPr>
        <w:spacing w:line="360" w:lineRule="auto"/>
        <w:ind w:firstLine="448" w:firstLineChars="200"/>
        <w:rPr>
          <w:kern w:val="0"/>
          <w:sz w:val="24"/>
          <w:szCs w:val="24"/>
        </w:rPr>
      </w:pPr>
      <w:r>
        <w:rPr>
          <w:rFonts w:hint="eastAsia"/>
          <w:kern w:val="0"/>
          <w:sz w:val="24"/>
          <w:szCs w:val="24"/>
        </w:rPr>
        <w:t>6. 投标报价在不超采购预算的前提下，其合理性由评标委员会在评分中予以考虑。</w:t>
      </w:r>
    </w:p>
    <w:p>
      <w:pPr>
        <w:spacing w:line="360" w:lineRule="auto"/>
        <w:ind w:right="85" w:firstLine="448" w:firstLineChars="200"/>
        <w:rPr>
          <w:sz w:val="24"/>
        </w:rPr>
      </w:pPr>
      <w:r>
        <w:rPr>
          <w:sz w:val="24"/>
        </w:rPr>
        <w:t>投标人名称：</w:t>
      </w:r>
      <w:r>
        <w:rPr>
          <w:rFonts w:hint="eastAsia"/>
          <w:sz w:val="24"/>
        </w:rPr>
        <w:t xml:space="preserve">                                         </w:t>
      </w:r>
    </w:p>
    <w:p>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pPr>
        <w:spacing w:line="460" w:lineRule="exact"/>
        <w:rPr>
          <w:b/>
          <w:sz w:val="24"/>
        </w:rPr>
      </w:pPr>
      <w:r>
        <w:rPr>
          <w:b/>
          <w:sz w:val="24"/>
        </w:rPr>
        <w:t>附件</w:t>
      </w:r>
      <w:r>
        <w:rPr>
          <w:rFonts w:hint="eastAsia"/>
          <w:b/>
          <w:sz w:val="24"/>
        </w:rPr>
        <w:t>5</w:t>
      </w:r>
    </w:p>
    <w:p>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10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571"/>
        <w:gridCol w:w="1116"/>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r>
              <w:rPr>
                <w:rFonts w:hint="eastAsia"/>
                <w:sz w:val="24"/>
                <w:szCs w:val="24"/>
              </w:rPr>
              <w:t>序号</w:t>
            </w:r>
          </w:p>
        </w:tc>
        <w:tc>
          <w:tcPr>
            <w:tcW w:w="1356" w:type="dxa"/>
            <w:vAlign w:val="center"/>
          </w:tcPr>
          <w:p>
            <w:pPr>
              <w:jc w:val="center"/>
              <w:rPr>
                <w:sz w:val="24"/>
                <w:szCs w:val="24"/>
              </w:rPr>
            </w:pPr>
            <w:r>
              <w:rPr>
                <w:sz w:val="24"/>
                <w:szCs w:val="24"/>
              </w:rPr>
              <w:t>具体岗位</w:t>
            </w:r>
          </w:p>
        </w:tc>
        <w:tc>
          <w:tcPr>
            <w:tcW w:w="1512" w:type="dxa"/>
            <w:vAlign w:val="center"/>
          </w:tcPr>
          <w:p>
            <w:pPr>
              <w:jc w:val="center"/>
              <w:rPr>
                <w:sz w:val="24"/>
                <w:szCs w:val="24"/>
              </w:rPr>
            </w:pPr>
            <w:r>
              <w:rPr>
                <w:sz w:val="24"/>
                <w:szCs w:val="24"/>
              </w:rPr>
              <w:t>人数（人）</w:t>
            </w:r>
          </w:p>
        </w:tc>
        <w:tc>
          <w:tcPr>
            <w:tcW w:w="1416" w:type="dxa"/>
            <w:vAlign w:val="center"/>
          </w:tcPr>
          <w:p>
            <w:pPr>
              <w:jc w:val="center"/>
              <w:rPr>
                <w:sz w:val="24"/>
                <w:szCs w:val="24"/>
              </w:rPr>
            </w:pPr>
            <w:r>
              <w:rPr>
                <w:sz w:val="24"/>
                <w:szCs w:val="24"/>
              </w:rPr>
              <w:t>月工资/人</w:t>
            </w:r>
          </w:p>
        </w:tc>
        <w:tc>
          <w:tcPr>
            <w:tcW w:w="1296" w:type="dxa"/>
            <w:vAlign w:val="center"/>
          </w:tcPr>
          <w:p>
            <w:pPr>
              <w:jc w:val="center"/>
              <w:rPr>
                <w:sz w:val="24"/>
                <w:szCs w:val="24"/>
              </w:rPr>
            </w:pPr>
            <w:r>
              <w:rPr>
                <w:sz w:val="24"/>
                <w:szCs w:val="24"/>
              </w:rPr>
              <w:t>月保险/人</w:t>
            </w:r>
          </w:p>
        </w:tc>
        <w:tc>
          <w:tcPr>
            <w:tcW w:w="1571" w:type="dxa"/>
            <w:vAlign w:val="center"/>
          </w:tcPr>
          <w:p>
            <w:pPr>
              <w:jc w:val="center"/>
              <w:rPr>
                <w:sz w:val="24"/>
                <w:szCs w:val="24"/>
              </w:rPr>
            </w:pPr>
            <w:r>
              <w:rPr>
                <w:rFonts w:hint="eastAsia"/>
                <w:sz w:val="24"/>
                <w:szCs w:val="24"/>
              </w:rPr>
              <w:t>月公积金/人</w:t>
            </w:r>
          </w:p>
        </w:tc>
        <w:tc>
          <w:tcPr>
            <w:tcW w:w="1116" w:type="dxa"/>
            <w:vAlign w:val="center"/>
          </w:tcPr>
          <w:p>
            <w:pPr>
              <w:jc w:val="center"/>
              <w:rPr>
                <w:sz w:val="24"/>
                <w:szCs w:val="24"/>
              </w:rPr>
            </w:pPr>
            <w:r>
              <w:rPr>
                <w:sz w:val="24"/>
                <w:szCs w:val="24"/>
              </w:rPr>
              <w:t>月小计</w:t>
            </w:r>
          </w:p>
        </w:tc>
        <w:tc>
          <w:tcPr>
            <w:tcW w:w="1289" w:type="dxa"/>
            <w:vAlign w:val="center"/>
          </w:tcPr>
          <w:p>
            <w:pPr>
              <w:jc w:val="center"/>
              <w:rPr>
                <w:sz w:val="24"/>
                <w:szCs w:val="24"/>
              </w:rPr>
            </w:pPr>
            <w:r>
              <w:rPr>
                <w:rFonts w:hint="eastAsia"/>
                <w:sz w:val="24"/>
                <w:szCs w:val="24"/>
              </w:rPr>
              <w:t>两年小计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571" w:type="dxa"/>
            <w:vAlign w:val="center"/>
          </w:tcPr>
          <w:p>
            <w:pPr>
              <w:jc w:val="center"/>
              <w:rPr>
                <w:sz w:val="24"/>
                <w:szCs w:val="24"/>
              </w:rPr>
            </w:pPr>
          </w:p>
        </w:tc>
        <w:tc>
          <w:tcPr>
            <w:tcW w:w="1116" w:type="dxa"/>
            <w:vAlign w:val="center"/>
          </w:tcPr>
          <w:p>
            <w:pPr>
              <w:jc w:val="center"/>
              <w:rPr>
                <w:sz w:val="24"/>
                <w:szCs w:val="24"/>
              </w:rPr>
            </w:pPr>
          </w:p>
        </w:tc>
        <w:tc>
          <w:tcPr>
            <w:tcW w:w="128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571" w:type="dxa"/>
            <w:vAlign w:val="center"/>
          </w:tcPr>
          <w:p>
            <w:pPr>
              <w:jc w:val="center"/>
              <w:rPr>
                <w:sz w:val="24"/>
                <w:szCs w:val="24"/>
              </w:rPr>
            </w:pPr>
          </w:p>
        </w:tc>
        <w:tc>
          <w:tcPr>
            <w:tcW w:w="1116" w:type="dxa"/>
            <w:vAlign w:val="center"/>
          </w:tcPr>
          <w:p>
            <w:pPr>
              <w:jc w:val="center"/>
              <w:rPr>
                <w:sz w:val="24"/>
                <w:szCs w:val="24"/>
              </w:rPr>
            </w:pPr>
          </w:p>
        </w:tc>
        <w:tc>
          <w:tcPr>
            <w:tcW w:w="128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571" w:type="dxa"/>
            <w:vAlign w:val="center"/>
          </w:tcPr>
          <w:p>
            <w:pPr>
              <w:jc w:val="center"/>
              <w:rPr>
                <w:sz w:val="24"/>
                <w:szCs w:val="24"/>
              </w:rPr>
            </w:pPr>
          </w:p>
        </w:tc>
        <w:tc>
          <w:tcPr>
            <w:tcW w:w="1116" w:type="dxa"/>
            <w:vAlign w:val="center"/>
          </w:tcPr>
          <w:p>
            <w:pPr>
              <w:jc w:val="center"/>
              <w:rPr>
                <w:sz w:val="24"/>
                <w:szCs w:val="24"/>
              </w:rPr>
            </w:pPr>
          </w:p>
        </w:tc>
        <w:tc>
          <w:tcPr>
            <w:tcW w:w="128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571" w:type="dxa"/>
            <w:vAlign w:val="center"/>
          </w:tcPr>
          <w:p>
            <w:pPr>
              <w:jc w:val="center"/>
              <w:rPr>
                <w:sz w:val="24"/>
                <w:szCs w:val="24"/>
              </w:rPr>
            </w:pPr>
          </w:p>
        </w:tc>
        <w:tc>
          <w:tcPr>
            <w:tcW w:w="1116" w:type="dxa"/>
            <w:vAlign w:val="center"/>
          </w:tcPr>
          <w:p>
            <w:pPr>
              <w:jc w:val="center"/>
              <w:rPr>
                <w:sz w:val="24"/>
                <w:szCs w:val="24"/>
              </w:rPr>
            </w:pPr>
          </w:p>
        </w:tc>
        <w:tc>
          <w:tcPr>
            <w:tcW w:w="128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027" w:type="dxa"/>
            <w:gridSpan w:val="6"/>
            <w:vAlign w:val="center"/>
          </w:tcPr>
          <w:p>
            <w:pPr>
              <w:jc w:val="center"/>
              <w:rPr>
                <w:sz w:val="24"/>
                <w:szCs w:val="24"/>
              </w:rPr>
            </w:pPr>
            <w:r>
              <w:rPr>
                <w:rFonts w:hint="eastAsia"/>
                <w:sz w:val="24"/>
                <w:szCs w:val="24"/>
              </w:rPr>
              <w:t>人员费用合计</w:t>
            </w:r>
          </w:p>
        </w:tc>
        <w:tc>
          <w:tcPr>
            <w:tcW w:w="1116" w:type="dxa"/>
            <w:vAlign w:val="center"/>
          </w:tcPr>
          <w:p>
            <w:pPr>
              <w:jc w:val="center"/>
              <w:rPr>
                <w:sz w:val="24"/>
                <w:szCs w:val="24"/>
              </w:rPr>
            </w:pPr>
          </w:p>
        </w:tc>
        <w:tc>
          <w:tcPr>
            <w:tcW w:w="1289" w:type="dxa"/>
            <w:vAlign w:val="center"/>
          </w:tcPr>
          <w:p>
            <w:pPr>
              <w:jc w:val="center"/>
              <w:rPr>
                <w:sz w:val="24"/>
                <w:szCs w:val="24"/>
              </w:rPr>
            </w:pPr>
          </w:p>
        </w:tc>
      </w:tr>
    </w:tbl>
    <w:p>
      <w:pPr>
        <w:autoSpaceDE w:val="0"/>
        <w:autoSpaceDN w:val="0"/>
        <w:adjustRightInd w:val="0"/>
        <w:spacing w:line="360" w:lineRule="auto"/>
        <w:rPr>
          <w:rFonts w:ascii="宋体"/>
          <w:b/>
          <w:color w:val="000000"/>
          <w:sz w:val="24"/>
        </w:rPr>
      </w:pPr>
      <w:r>
        <w:rPr>
          <w:rFonts w:hint="eastAsia" w:ascii="宋体"/>
          <w:b/>
          <w:color w:val="000000"/>
          <w:sz w:val="24"/>
        </w:rPr>
        <w:t>备注：</w:t>
      </w:r>
      <w:r>
        <w:rPr>
          <w:rFonts w:ascii="宋体"/>
          <w:b/>
          <w:color w:val="000000"/>
          <w:sz w:val="24"/>
        </w:rPr>
        <w:t xml:space="preserve"> </w:t>
      </w:r>
    </w:p>
    <w:p>
      <w:pPr>
        <w:autoSpaceDE w:val="0"/>
        <w:autoSpaceDN w:val="0"/>
        <w:adjustRightInd w:val="0"/>
        <w:spacing w:line="360" w:lineRule="auto"/>
        <w:ind w:firstLine="448" w:firstLineChars="200"/>
        <w:rPr>
          <w:b/>
          <w:color w:val="000000"/>
          <w:sz w:val="24"/>
        </w:rPr>
      </w:pPr>
      <w:r>
        <w:rPr>
          <w:b/>
          <w:color w:val="000000"/>
          <w:sz w:val="24"/>
        </w:rPr>
        <w:t>1、上表中工资是指在扣除劳动者个人负担的社会保险费、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pPr>
        <w:autoSpaceDE w:val="0"/>
        <w:autoSpaceDN w:val="0"/>
        <w:adjustRightInd w:val="0"/>
        <w:spacing w:line="360" w:lineRule="auto"/>
        <w:ind w:firstLine="448" w:firstLineChars="200"/>
        <w:rPr>
          <w:b/>
          <w:color w:val="000000"/>
          <w:sz w:val="24"/>
        </w:rPr>
      </w:pPr>
      <w:r>
        <w:rPr>
          <w:b/>
          <w:color w:val="000000"/>
          <w:sz w:val="24"/>
        </w:rPr>
        <w:t>2、 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pPr>
        <w:autoSpaceDE w:val="0"/>
        <w:autoSpaceDN w:val="0"/>
        <w:adjustRightInd w:val="0"/>
        <w:spacing w:line="360" w:lineRule="auto"/>
        <w:ind w:firstLine="448" w:firstLineChars="200"/>
        <w:rPr>
          <w:b/>
          <w:color w:val="000000"/>
          <w:sz w:val="24"/>
        </w:rPr>
      </w:pPr>
      <w:r>
        <w:rPr>
          <w:rFonts w:hint="eastAsia"/>
          <w:b/>
          <w:color w:val="000000"/>
          <w:sz w:val="24"/>
        </w:rPr>
        <w:t>3</w:t>
      </w:r>
      <w:r>
        <w:rPr>
          <w:b/>
          <w:color w:val="000000"/>
          <w:sz w:val="24"/>
        </w:rPr>
        <w:t>、上表中的月小计=人数*（月工资/人+月保险/人</w:t>
      </w:r>
      <w:r>
        <w:rPr>
          <w:rFonts w:hint="eastAsia"/>
          <w:b/>
          <w:color w:val="000000"/>
          <w:sz w:val="24"/>
        </w:rPr>
        <w:t>+月公积金/人</w:t>
      </w:r>
      <w:r>
        <w:rPr>
          <w:b/>
          <w:color w:val="000000"/>
          <w:sz w:val="24"/>
        </w:rPr>
        <w:t>），</w:t>
      </w:r>
      <w:r>
        <w:rPr>
          <w:rFonts w:hint="eastAsia"/>
          <w:b/>
          <w:color w:val="000000"/>
          <w:sz w:val="24"/>
        </w:rPr>
        <w:t>两年小计</w:t>
      </w:r>
      <w:r>
        <w:rPr>
          <w:b/>
          <w:color w:val="000000"/>
          <w:sz w:val="24"/>
        </w:rPr>
        <w:t>=月小计*</w:t>
      </w:r>
      <w:r>
        <w:rPr>
          <w:rFonts w:hint="eastAsia"/>
          <w:b/>
          <w:color w:val="000000"/>
          <w:sz w:val="24"/>
        </w:rPr>
        <w:t>24</w:t>
      </w:r>
    </w:p>
    <w:p>
      <w:pPr>
        <w:spacing w:line="460" w:lineRule="exact"/>
        <w:rPr>
          <w:sz w:val="24"/>
          <w:szCs w:val="24"/>
        </w:rPr>
      </w:pPr>
    </w:p>
    <w:p>
      <w:pPr>
        <w:spacing w:line="360" w:lineRule="auto"/>
        <w:ind w:right="84" w:firstLine="224" w:firstLineChars="100"/>
        <w:rPr>
          <w:sz w:val="24"/>
        </w:rPr>
      </w:pPr>
      <w:r>
        <w:rPr>
          <w:sz w:val="24"/>
        </w:rPr>
        <w:t>投标人名称：</w:t>
      </w:r>
    </w:p>
    <w:p>
      <w:pPr>
        <w:spacing w:line="360" w:lineRule="auto"/>
        <w:ind w:right="84" w:firstLine="224" w:firstLineChars="100"/>
        <w:rPr>
          <w:b/>
          <w:sz w:val="24"/>
        </w:rPr>
      </w:pPr>
      <w:r>
        <w:rPr>
          <w:sz w:val="24"/>
        </w:rPr>
        <w:t xml:space="preserve">日期：  </w:t>
      </w:r>
      <w:r>
        <w:rPr>
          <w:b/>
          <w:sz w:val="24"/>
        </w:rPr>
        <w:br w:type="page"/>
      </w:r>
    </w:p>
    <w:p>
      <w:pPr>
        <w:spacing w:line="560" w:lineRule="exact"/>
        <w:rPr>
          <w:b/>
          <w:sz w:val="24"/>
        </w:rPr>
      </w:pPr>
      <w:r>
        <w:rPr>
          <w:b/>
          <w:sz w:val="24"/>
        </w:rPr>
        <w:t>附件</w:t>
      </w:r>
      <w:r>
        <w:rPr>
          <w:rFonts w:hint="eastAsia"/>
          <w:b/>
          <w:sz w:val="24"/>
        </w:rPr>
        <w:t>6</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Layout w:type="autofit"/>
        <w:tblCellMar>
          <w:top w:w="0" w:type="dxa"/>
          <w:left w:w="108" w:type="dxa"/>
          <w:bottom w:w="0" w:type="dxa"/>
          <w:right w:w="108" w:type="dxa"/>
        </w:tblCellMar>
      </w:tblPr>
      <w:tblGrid>
        <w:gridCol w:w="1705"/>
        <w:gridCol w:w="2231"/>
        <w:gridCol w:w="2551"/>
        <w:gridCol w:w="1135"/>
        <w:gridCol w:w="1133"/>
      </w:tblGrid>
      <w:tr>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招标要求</w:t>
            </w:r>
          </w:p>
        </w:tc>
        <w:tc>
          <w:tcPr>
            <w:tcW w:w="1457" w:type="pct"/>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备注</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kern w:val="0"/>
                <w:szCs w:val="21"/>
              </w:rPr>
            </w:pPr>
            <w:r>
              <w:rPr>
                <w:kern w:val="0"/>
                <w:szCs w:val="21"/>
              </w:rPr>
              <w:t>（一）报价要求</w:t>
            </w:r>
          </w:p>
        </w:tc>
      </w:tr>
      <w:tr>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kern w:val="0"/>
                <w:szCs w:val="21"/>
              </w:rPr>
            </w:pPr>
            <w:r>
              <w:rPr>
                <w:kern w:val="0"/>
                <w:szCs w:val="21"/>
              </w:rPr>
              <w:t>（二）时间、地点要求</w:t>
            </w:r>
          </w:p>
        </w:tc>
      </w:tr>
      <w:tr>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kern w:val="0"/>
                <w:szCs w:val="21"/>
              </w:rPr>
            </w:pPr>
            <w:r>
              <w:rPr>
                <w:kern w:val="0"/>
                <w:szCs w:val="21"/>
              </w:rPr>
              <w:t>（三）付款方式</w:t>
            </w:r>
          </w:p>
        </w:tc>
      </w:tr>
      <w:tr>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kern w:val="0"/>
                <w:szCs w:val="21"/>
              </w:rPr>
            </w:pPr>
            <w:r>
              <w:rPr>
                <w:kern w:val="0"/>
                <w:szCs w:val="21"/>
              </w:rPr>
              <w:t>（四）投标保证金和履约保证金</w:t>
            </w:r>
          </w:p>
        </w:tc>
      </w:tr>
      <w:tr>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kern w:val="0"/>
                <w:szCs w:val="21"/>
              </w:rPr>
            </w:pPr>
            <w:r>
              <w:rPr>
                <w:kern w:val="0"/>
                <w:szCs w:val="21"/>
              </w:rPr>
              <w:t>　</w:t>
            </w:r>
          </w:p>
        </w:tc>
      </w:tr>
    </w:tbl>
    <w:p>
      <w:pPr>
        <w:spacing w:line="620" w:lineRule="exact"/>
        <w:rPr>
          <w:sz w:val="24"/>
        </w:rPr>
      </w:pPr>
      <w:r>
        <w:rPr>
          <w:sz w:val="24"/>
        </w:rPr>
        <w:t>注：</w:t>
      </w:r>
    </w:p>
    <w:p>
      <w:pPr>
        <w:spacing w:line="360" w:lineRule="auto"/>
        <w:rPr>
          <w:sz w:val="24"/>
        </w:rPr>
      </w:pPr>
      <w:r>
        <w:rPr>
          <w:sz w:val="24"/>
        </w:rPr>
        <w:t>1. 不如实填写偏离情况的投标文件将视为虚假材料。</w:t>
      </w:r>
    </w:p>
    <w:p>
      <w:pPr>
        <w:spacing w:line="360" w:lineRule="auto"/>
        <w:rPr>
          <w:sz w:val="24"/>
        </w:rPr>
      </w:pPr>
      <w:r>
        <w:rPr>
          <w:sz w:val="24"/>
        </w:rPr>
        <w:t>2. 招标要求指招标文件中规定的具体要求，投标应答指投标文件的具体内容。</w:t>
      </w:r>
    </w:p>
    <w:p>
      <w:pPr>
        <w:spacing w:line="360" w:lineRule="auto"/>
        <w:rPr>
          <w:sz w:val="24"/>
        </w:rPr>
      </w:pPr>
      <w:r>
        <w:rPr>
          <w:sz w:val="24"/>
        </w:rPr>
        <w:t>3. 偏离说明指招标要求与投标应答之间的不同之处。</w:t>
      </w:r>
    </w:p>
    <w:p>
      <w:pPr>
        <w:autoSpaceDE w:val="0"/>
        <w:autoSpaceDN w:val="0"/>
        <w:adjustRightInd w:val="0"/>
        <w:spacing w:line="560" w:lineRule="exact"/>
        <w:jc w:val="left"/>
        <w:rPr>
          <w:kern w:val="0"/>
          <w:sz w:val="24"/>
        </w:rPr>
      </w:pPr>
    </w:p>
    <w:p>
      <w:pPr>
        <w:autoSpaceDE w:val="0"/>
        <w:autoSpaceDN w:val="0"/>
        <w:adjustRightInd w:val="0"/>
        <w:spacing w:line="560" w:lineRule="exact"/>
        <w:jc w:val="left"/>
        <w:rPr>
          <w:kern w:val="0"/>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autoSpaceDE w:val="0"/>
        <w:autoSpaceDN w:val="0"/>
        <w:adjustRightInd w:val="0"/>
        <w:spacing w:line="560" w:lineRule="exact"/>
        <w:jc w:val="left"/>
        <w:rPr>
          <w:kern w:val="0"/>
          <w:sz w:val="24"/>
          <w:u w:val="single"/>
        </w:rPr>
      </w:pPr>
    </w:p>
    <w:p>
      <w:pPr>
        <w:autoSpaceDE w:val="0"/>
        <w:autoSpaceDN w:val="0"/>
        <w:adjustRightInd w:val="0"/>
        <w:spacing w:line="560" w:lineRule="exact"/>
        <w:jc w:val="left"/>
        <w:rPr>
          <w:kern w:val="0"/>
          <w:sz w:val="24"/>
          <w:u w:val="single"/>
        </w:rPr>
      </w:pPr>
    </w:p>
    <w:p>
      <w:pPr>
        <w:autoSpaceDE w:val="0"/>
        <w:autoSpaceDN w:val="0"/>
        <w:adjustRightInd w:val="0"/>
        <w:spacing w:line="560" w:lineRule="exact"/>
        <w:jc w:val="left"/>
        <w:rPr>
          <w:kern w:val="0"/>
          <w:sz w:val="24"/>
          <w:u w:val="single"/>
        </w:rPr>
      </w:pPr>
    </w:p>
    <w:p>
      <w:pPr>
        <w:widowControl/>
        <w:jc w:val="left"/>
        <w:rPr>
          <w:b/>
          <w:sz w:val="24"/>
        </w:rPr>
      </w:pPr>
      <w:r>
        <w:rPr>
          <w:b/>
          <w:sz w:val="24"/>
        </w:rPr>
        <w:br w:type="page"/>
      </w:r>
    </w:p>
    <w:p>
      <w:pPr>
        <w:spacing w:line="620" w:lineRule="exact"/>
        <w:rPr>
          <w:b/>
          <w:sz w:val="24"/>
        </w:rPr>
      </w:pPr>
      <w:r>
        <w:rPr>
          <w:b/>
          <w:sz w:val="24"/>
        </w:rPr>
        <w:t>附件</w:t>
      </w:r>
      <w:r>
        <w:rPr>
          <w:rFonts w:hint="eastAsia"/>
          <w:b/>
          <w:sz w:val="24"/>
        </w:rPr>
        <w:t>7</w:t>
      </w:r>
    </w:p>
    <w:p>
      <w:pPr>
        <w:autoSpaceDN w:val="0"/>
        <w:spacing w:line="360" w:lineRule="auto"/>
        <w:jc w:val="center"/>
        <w:rPr>
          <w:b/>
          <w:bCs/>
          <w:sz w:val="24"/>
        </w:rPr>
      </w:pPr>
      <w:r>
        <w:rPr>
          <w:b/>
          <w:bCs/>
          <w:sz w:val="24"/>
        </w:rPr>
        <w:t>技术要求点对点应答表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tbl>
      <w:tblPr>
        <w:tblStyle w:val="22"/>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4630"/>
        <w:gridCol w:w="2438"/>
        <w:gridCol w:w="1289"/>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3" w:type="dxa"/>
            <w:shd w:val="clear" w:color="auto" w:fill="auto"/>
            <w:vAlign w:val="center"/>
          </w:tcPr>
          <w:p>
            <w:pPr>
              <w:widowControl/>
              <w:snapToGrid w:val="0"/>
              <w:jc w:val="center"/>
              <w:rPr>
                <w:kern w:val="0"/>
                <w:sz w:val="24"/>
                <w:szCs w:val="21"/>
              </w:rPr>
            </w:pPr>
            <w:r>
              <w:rPr>
                <w:kern w:val="0"/>
                <w:sz w:val="24"/>
                <w:szCs w:val="21"/>
              </w:rPr>
              <w:t>序号</w:t>
            </w:r>
          </w:p>
        </w:tc>
        <w:tc>
          <w:tcPr>
            <w:tcW w:w="4630" w:type="dxa"/>
            <w:shd w:val="clear" w:color="auto" w:fill="auto"/>
            <w:vAlign w:val="center"/>
          </w:tcPr>
          <w:p>
            <w:pPr>
              <w:widowControl/>
              <w:snapToGrid w:val="0"/>
              <w:jc w:val="center"/>
              <w:rPr>
                <w:kern w:val="0"/>
                <w:sz w:val="24"/>
                <w:szCs w:val="21"/>
              </w:rPr>
            </w:pPr>
            <w:r>
              <w:rPr>
                <w:kern w:val="0"/>
                <w:sz w:val="24"/>
                <w:szCs w:val="21"/>
              </w:rPr>
              <w:t>招标要求</w:t>
            </w:r>
          </w:p>
        </w:tc>
        <w:tc>
          <w:tcPr>
            <w:tcW w:w="2438" w:type="dxa"/>
            <w:shd w:val="clear" w:color="auto" w:fill="auto"/>
            <w:vAlign w:val="center"/>
          </w:tcPr>
          <w:p>
            <w:pPr>
              <w:widowControl/>
              <w:snapToGrid w:val="0"/>
              <w:jc w:val="center"/>
              <w:rPr>
                <w:kern w:val="0"/>
                <w:sz w:val="24"/>
                <w:szCs w:val="21"/>
              </w:rPr>
            </w:pPr>
            <w:r>
              <w:rPr>
                <w:kern w:val="0"/>
                <w:sz w:val="24"/>
                <w:szCs w:val="21"/>
              </w:rPr>
              <w:t>投标应答</w:t>
            </w:r>
          </w:p>
        </w:tc>
        <w:tc>
          <w:tcPr>
            <w:tcW w:w="1289" w:type="dxa"/>
            <w:shd w:val="clear" w:color="auto" w:fill="auto"/>
            <w:vAlign w:val="center"/>
          </w:tcPr>
          <w:p>
            <w:pPr>
              <w:widowControl/>
              <w:snapToGrid w:val="0"/>
              <w:jc w:val="center"/>
              <w:rPr>
                <w:kern w:val="0"/>
                <w:sz w:val="24"/>
                <w:szCs w:val="21"/>
              </w:rPr>
            </w:pPr>
            <w:r>
              <w:rPr>
                <w:kern w:val="0"/>
                <w:sz w:val="24"/>
                <w:szCs w:val="21"/>
              </w:rPr>
              <w:t>偏离说明</w:t>
            </w:r>
          </w:p>
        </w:tc>
        <w:tc>
          <w:tcPr>
            <w:tcW w:w="843" w:type="dxa"/>
            <w:shd w:val="clear" w:color="auto" w:fill="auto"/>
            <w:vAlign w:val="center"/>
          </w:tcPr>
          <w:p>
            <w:pPr>
              <w:widowControl/>
              <w:snapToGrid w:val="0"/>
              <w:jc w:val="center"/>
              <w:rPr>
                <w:kern w:val="0"/>
                <w:sz w:val="24"/>
                <w:szCs w:val="21"/>
              </w:rPr>
            </w:pPr>
            <w:r>
              <w:rPr>
                <w:kern w:val="0"/>
                <w:sz w:val="24"/>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r>
              <w:rPr>
                <w:kern w:val="0"/>
                <w:sz w:val="24"/>
                <w:szCs w:val="21"/>
              </w:rPr>
              <w:t>1</w:t>
            </w:r>
          </w:p>
        </w:tc>
        <w:tc>
          <w:tcPr>
            <w:tcW w:w="4630" w:type="dxa"/>
            <w:shd w:val="clear" w:color="auto" w:fill="auto"/>
            <w:vAlign w:val="center"/>
          </w:tcPr>
          <w:p>
            <w:pPr>
              <w:widowControl/>
              <w:snapToGrid w:val="0"/>
              <w:jc w:val="left"/>
              <w:rPr>
                <w:kern w:val="0"/>
                <w:sz w:val="24"/>
                <w:szCs w:val="21"/>
              </w:rPr>
            </w:pPr>
            <w:r>
              <w:rPr>
                <w:kern w:val="0"/>
                <w:sz w:val="24"/>
                <w:szCs w:val="21"/>
              </w:rPr>
              <w:t>（一）</w:t>
            </w:r>
            <w:r>
              <w:rPr>
                <w:sz w:val="24"/>
              </w:rPr>
              <w:t>投标人须承诺所提供的服务、人员</w:t>
            </w:r>
            <w:r>
              <w:rPr>
                <w:rFonts w:hint="eastAsia"/>
                <w:sz w:val="24"/>
              </w:rPr>
              <w:t>、</w:t>
            </w:r>
            <w:r>
              <w:rPr>
                <w:sz w:val="24"/>
              </w:rPr>
              <w:t>设备</w:t>
            </w:r>
            <w:r>
              <w:rPr>
                <w:rFonts w:hint="eastAsia"/>
                <w:sz w:val="24"/>
              </w:rPr>
              <w:t>及耗材等均</w:t>
            </w:r>
            <w:r>
              <w:rPr>
                <w:sz w:val="24"/>
              </w:rPr>
              <w:t>符合相关强制性规定。</w:t>
            </w: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r>
              <w:rPr>
                <w:kern w:val="0"/>
                <w:sz w:val="24"/>
                <w:szCs w:val="21"/>
              </w:rPr>
              <w:t>2</w:t>
            </w:r>
          </w:p>
        </w:tc>
        <w:tc>
          <w:tcPr>
            <w:tcW w:w="4630" w:type="dxa"/>
            <w:shd w:val="clear" w:color="auto" w:fill="auto"/>
            <w:vAlign w:val="center"/>
          </w:tcPr>
          <w:p>
            <w:pPr>
              <w:widowControl/>
              <w:snapToGrid w:val="0"/>
              <w:jc w:val="left"/>
              <w:rPr>
                <w:kern w:val="0"/>
                <w:sz w:val="24"/>
                <w:szCs w:val="21"/>
              </w:rPr>
            </w:pPr>
            <w:r>
              <w:rPr>
                <w:sz w:val="24"/>
              </w:rPr>
              <w:t>（二）投标人须承诺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r>
              <w:rPr>
                <w:kern w:val="0"/>
                <w:sz w:val="24"/>
                <w:szCs w:val="21"/>
              </w:rPr>
              <w:t>3</w:t>
            </w:r>
          </w:p>
        </w:tc>
        <w:tc>
          <w:tcPr>
            <w:tcW w:w="4630" w:type="dxa"/>
            <w:shd w:val="clear" w:color="auto" w:fill="auto"/>
            <w:vAlign w:val="center"/>
          </w:tcPr>
          <w:p>
            <w:pPr>
              <w:widowControl/>
              <w:snapToGrid w:val="0"/>
              <w:jc w:val="left"/>
              <w:rPr>
                <w:kern w:val="0"/>
                <w:sz w:val="24"/>
                <w:szCs w:val="21"/>
              </w:rPr>
            </w:pPr>
            <w:r>
              <w:rPr>
                <w:sz w:val="24"/>
              </w:rPr>
              <w:t>（三）投标人须承诺</w:t>
            </w:r>
            <w:r>
              <w:rPr>
                <w:rFonts w:hint="eastAsia"/>
                <w:color w:val="000000"/>
                <w:sz w:val="24"/>
              </w:rPr>
              <w:t>相应专业</w:t>
            </w:r>
            <w:r>
              <w:rPr>
                <w:color w:val="000000"/>
                <w:sz w:val="24"/>
              </w:rPr>
              <w:t>人员须具备国家相关部门颁发的在有效期内的资质证书，项目实施过程中保证持证上岗。</w:t>
            </w: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3" w:type="dxa"/>
            <w:gridSpan w:val="5"/>
            <w:shd w:val="clear" w:color="auto" w:fill="auto"/>
            <w:vAlign w:val="center"/>
          </w:tcPr>
          <w:p>
            <w:pPr>
              <w:widowControl/>
              <w:snapToGrid w:val="0"/>
              <w:ind w:firstLine="224" w:firstLineChars="100"/>
              <w:rPr>
                <w:kern w:val="0"/>
                <w:sz w:val="24"/>
                <w:szCs w:val="21"/>
              </w:rPr>
            </w:pPr>
            <w:r>
              <w:rPr>
                <w:rFonts w:hint="eastAsia"/>
                <w:kern w:val="0"/>
                <w:sz w:val="24"/>
                <w:szCs w:val="21"/>
              </w:rPr>
              <w:t>4</w:t>
            </w:r>
            <w:r>
              <w:rPr>
                <w:kern w:val="0"/>
                <w:sz w:val="24"/>
                <w:szCs w:val="21"/>
              </w:rPr>
              <w:t>. 项目需求书要求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r>
              <w:rPr>
                <w:kern w:val="0"/>
                <w:sz w:val="24"/>
                <w:szCs w:val="21"/>
              </w:rPr>
              <w:t>序号</w:t>
            </w:r>
          </w:p>
        </w:tc>
        <w:tc>
          <w:tcPr>
            <w:tcW w:w="4630" w:type="dxa"/>
            <w:shd w:val="clear" w:color="auto" w:fill="auto"/>
            <w:vAlign w:val="center"/>
          </w:tcPr>
          <w:p>
            <w:pPr>
              <w:widowControl/>
              <w:snapToGrid w:val="0"/>
              <w:jc w:val="center"/>
              <w:rPr>
                <w:kern w:val="0"/>
                <w:sz w:val="24"/>
                <w:szCs w:val="21"/>
              </w:rPr>
            </w:pPr>
            <w:r>
              <w:rPr>
                <w:kern w:val="0"/>
                <w:sz w:val="24"/>
                <w:szCs w:val="21"/>
              </w:rPr>
              <w:t>招标要求</w:t>
            </w:r>
          </w:p>
        </w:tc>
        <w:tc>
          <w:tcPr>
            <w:tcW w:w="2438" w:type="dxa"/>
            <w:shd w:val="clear" w:color="auto" w:fill="auto"/>
            <w:vAlign w:val="center"/>
          </w:tcPr>
          <w:p>
            <w:pPr>
              <w:widowControl/>
              <w:snapToGrid w:val="0"/>
              <w:jc w:val="center"/>
              <w:rPr>
                <w:kern w:val="0"/>
                <w:sz w:val="24"/>
                <w:szCs w:val="21"/>
              </w:rPr>
            </w:pPr>
            <w:r>
              <w:rPr>
                <w:kern w:val="0"/>
                <w:sz w:val="24"/>
                <w:szCs w:val="21"/>
              </w:rPr>
              <w:t>投标应答</w:t>
            </w:r>
          </w:p>
        </w:tc>
        <w:tc>
          <w:tcPr>
            <w:tcW w:w="1289" w:type="dxa"/>
            <w:shd w:val="clear" w:color="auto" w:fill="auto"/>
            <w:vAlign w:val="center"/>
          </w:tcPr>
          <w:p>
            <w:pPr>
              <w:widowControl/>
              <w:snapToGrid w:val="0"/>
              <w:jc w:val="center"/>
              <w:rPr>
                <w:kern w:val="0"/>
                <w:sz w:val="24"/>
                <w:szCs w:val="21"/>
              </w:rPr>
            </w:pPr>
            <w:r>
              <w:rPr>
                <w:kern w:val="0"/>
                <w:sz w:val="24"/>
                <w:szCs w:val="21"/>
              </w:rPr>
              <w:t>偏离说明</w:t>
            </w:r>
          </w:p>
        </w:tc>
        <w:tc>
          <w:tcPr>
            <w:tcW w:w="843" w:type="dxa"/>
            <w:shd w:val="clear" w:color="auto" w:fill="auto"/>
            <w:vAlign w:val="center"/>
          </w:tcPr>
          <w:p>
            <w:pPr>
              <w:widowControl/>
              <w:snapToGrid w:val="0"/>
              <w:jc w:val="center"/>
              <w:rPr>
                <w:kern w:val="0"/>
                <w:sz w:val="24"/>
                <w:szCs w:val="21"/>
              </w:rPr>
            </w:pPr>
            <w:r>
              <w:rPr>
                <w:kern w:val="0"/>
                <w:sz w:val="24"/>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p>
        </w:tc>
        <w:tc>
          <w:tcPr>
            <w:tcW w:w="4630" w:type="dxa"/>
            <w:shd w:val="clear" w:color="auto" w:fill="auto"/>
            <w:vAlign w:val="center"/>
          </w:tcPr>
          <w:p>
            <w:pPr>
              <w:widowControl/>
              <w:snapToGrid w:val="0"/>
              <w:jc w:val="center"/>
              <w:rPr>
                <w:kern w:val="0"/>
                <w:sz w:val="24"/>
                <w:szCs w:val="21"/>
              </w:rPr>
            </w:pP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p>
        </w:tc>
        <w:tc>
          <w:tcPr>
            <w:tcW w:w="4630" w:type="dxa"/>
            <w:shd w:val="clear" w:color="auto" w:fill="auto"/>
            <w:vAlign w:val="center"/>
          </w:tcPr>
          <w:p>
            <w:pPr>
              <w:widowControl/>
              <w:snapToGrid w:val="0"/>
              <w:jc w:val="center"/>
              <w:rPr>
                <w:kern w:val="0"/>
                <w:sz w:val="24"/>
                <w:szCs w:val="21"/>
              </w:rPr>
            </w:pP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p>
        </w:tc>
        <w:tc>
          <w:tcPr>
            <w:tcW w:w="4630" w:type="dxa"/>
            <w:shd w:val="clear" w:color="auto" w:fill="auto"/>
            <w:vAlign w:val="center"/>
          </w:tcPr>
          <w:p>
            <w:pPr>
              <w:widowControl/>
              <w:snapToGrid w:val="0"/>
              <w:jc w:val="center"/>
              <w:rPr>
                <w:kern w:val="0"/>
                <w:sz w:val="24"/>
                <w:szCs w:val="21"/>
              </w:rPr>
            </w:pP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kern w:val="0"/>
                <w:sz w:val="24"/>
                <w:szCs w:val="21"/>
              </w:rPr>
            </w:pPr>
          </w:p>
        </w:tc>
        <w:tc>
          <w:tcPr>
            <w:tcW w:w="4630" w:type="dxa"/>
            <w:shd w:val="clear" w:color="auto" w:fill="auto"/>
            <w:vAlign w:val="center"/>
          </w:tcPr>
          <w:p>
            <w:pPr>
              <w:widowControl/>
              <w:snapToGrid w:val="0"/>
              <w:jc w:val="center"/>
              <w:rPr>
                <w:kern w:val="0"/>
                <w:sz w:val="24"/>
                <w:szCs w:val="21"/>
              </w:rPr>
            </w:pPr>
          </w:p>
        </w:tc>
        <w:tc>
          <w:tcPr>
            <w:tcW w:w="2438" w:type="dxa"/>
            <w:shd w:val="clear" w:color="auto" w:fill="auto"/>
            <w:vAlign w:val="center"/>
          </w:tcPr>
          <w:p>
            <w:pPr>
              <w:widowControl/>
              <w:snapToGrid w:val="0"/>
              <w:jc w:val="center"/>
              <w:rPr>
                <w:kern w:val="0"/>
                <w:sz w:val="24"/>
                <w:szCs w:val="21"/>
              </w:rPr>
            </w:pPr>
          </w:p>
        </w:tc>
        <w:tc>
          <w:tcPr>
            <w:tcW w:w="1289" w:type="dxa"/>
            <w:shd w:val="clear" w:color="auto" w:fill="auto"/>
            <w:vAlign w:val="center"/>
          </w:tcPr>
          <w:p>
            <w:pPr>
              <w:widowControl/>
              <w:snapToGrid w:val="0"/>
              <w:jc w:val="center"/>
              <w:rPr>
                <w:kern w:val="0"/>
                <w:sz w:val="24"/>
                <w:szCs w:val="21"/>
              </w:rPr>
            </w:pPr>
          </w:p>
        </w:tc>
        <w:tc>
          <w:tcPr>
            <w:tcW w:w="843" w:type="dxa"/>
            <w:shd w:val="clear" w:color="auto" w:fill="auto"/>
            <w:vAlign w:val="center"/>
          </w:tcPr>
          <w:p>
            <w:pPr>
              <w:widowControl/>
              <w:snapToGrid w:val="0"/>
              <w:jc w:val="center"/>
              <w:rPr>
                <w:kern w:val="0"/>
                <w:sz w:val="24"/>
                <w:szCs w:val="21"/>
              </w:rPr>
            </w:pPr>
          </w:p>
        </w:tc>
      </w:tr>
    </w:tbl>
    <w:p>
      <w:pPr>
        <w:spacing w:line="620" w:lineRule="exact"/>
        <w:rPr>
          <w:sz w:val="24"/>
        </w:rPr>
      </w:pPr>
      <w:r>
        <w:rPr>
          <w:sz w:val="24"/>
        </w:rPr>
        <w:t>注：</w:t>
      </w:r>
    </w:p>
    <w:p>
      <w:pPr>
        <w:spacing w:line="360" w:lineRule="auto"/>
        <w:rPr>
          <w:sz w:val="24"/>
        </w:rPr>
      </w:pPr>
      <w:r>
        <w:rPr>
          <w:sz w:val="24"/>
        </w:rPr>
        <w:t>1. 不如实填写偏离情况的投标文件将视为虚假材料。</w:t>
      </w:r>
    </w:p>
    <w:p>
      <w:pPr>
        <w:spacing w:line="360" w:lineRule="auto"/>
        <w:rPr>
          <w:sz w:val="24"/>
        </w:rPr>
      </w:pPr>
      <w:r>
        <w:rPr>
          <w:sz w:val="24"/>
        </w:rPr>
        <w:t>2. 招标要求指招标文件中规定的具体要求，投标应答指投标文件的具体内容。</w:t>
      </w:r>
    </w:p>
    <w:p>
      <w:pPr>
        <w:spacing w:line="360" w:lineRule="auto"/>
        <w:rPr>
          <w:sz w:val="24"/>
        </w:rPr>
      </w:pPr>
      <w:r>
        <w:rPr>
          <w:sz w:val="24"/>
        </w:rPr>
        <w:t>3. 偏离说明指招标要求与投标应答之间的不同之处。</w:t>
      </w:r>
    </w:p>
    <w:p>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招标文件要求。投标人自行承担由此造成的一切后果。</w:t>
      </w: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r>
        <w:rPr>
          <w:sz w:val="24"/>
        </w:rPr>
        <w:t>日期：</w:t>
      </w:r>
    </w:p>
    <w:p>
      <w:pPr>
        <w:widowControl/>
        <w:jc w:val="left"/>
        <w:rPr>
          <w:b/>
          <w:sz w:val="24"/>
        </w:rPr>
      </w:pPr>
      <w:r>
        <w:rPr>
          <w:b/>
          <w:sz w:val="24"/>
        </w:rPr>
        <w:br w:type="page"/>
      </w:r>
    </w:p>
    <w:p>
      <w:pPr>
        <w:widowControl/>
        <w:jc w:val="left"/>
        <w:rPr>
          <w:b/>
          <w:sz w:val="24"/>
        </w:rPr>
      </w:pPr>
      <w:r>
        <w:rPr>
          <w:rFonts w:hint="eastAsia"/>
          <w:b/>
          <w:sz w:val="24"/>
        </w:rPr>
        <w:t>附件8</w:t>
      </w:r>
    </w:p>
    <w:p>
      <w:pPr>
        <w:widowControl/>
        <w:jc w:val="left"/>
        <w:rPr>
          <w:sz w:val="24"/>
        </w:rPr>
      </w:pPr>
    </w:p>
    <w:p>
      <w:pPr>
        <w:widowControl/>
        <w:jc w:val="center"/>
        <w:rPr>
          <w:b/>
          <w:sz w:val="24"/>
        </w:rPr>
      </w:pPr>
      <w:r>
        <w:rPr>
          <w:rFonts w:hint="eastAsia"/>
          <w:b/>
          <w:sz w:val="24"/>
        </w:rPr>
        <w:t>项目人员及岗位安排</w:t>
      </w:r>
    </w:p>
    <w:p>
      <w:pPr>
        <w:widowControl/>
        <w:jc w:val="lef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widowControl/>
        <w:jc w:val="left"/>
        <w:rPr>
          <w:sz w:val="24"/>
        </w:rPr>
      </w:pPr>
    </w:p>
    <w:p>
      <w:pPr>
        <w:widowControl/>
        <w:jc w:val="left"/>
        <w:rPr>
          <w:sz w:val="24"/>
        </w:rPr>
      </w:pPr>
    </w:p>
    <w:tbl>
      <w:tblPr>
        <w:tblStyle w:val="23"/>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b/>
                <w:szCs w:val="21"/>
              </w:rPr>
            </w:pPr>
            <w:r>
              <w:rPr>
                <w:b/>
                <w:szCs w:val="21"/>
              </w:rPr>
              <w:t>序号</w:t>
            </w:r>
          </w:p>
        </w:tc>
        <w:tc>
          <w:tcPr>
            <w:tcW w:w="682" w:type="pct"/>
            <w:vAlign w:val="center"/>
          </w:tcPr>
          <w:p>
            <w:pPr>
              <w:spacing w:line="360" w:lineRule="auto"/>
              <w:jc w:val="center"/>
              <w:rPr>
                <w:b/>
                <w:szCs w:val="21"/>
              </w:rPr>
            </w:pPr>
            <w:r>
              <w:rPr>
                <w:b/>
                <w:szCs w:val="21"/>
              </w:rPr>
              <w:t>岗位名称</w:t>
            </w:r>
          </w:p>
        </w:tc>
        <w:tc>
          <w:tcPr>
            <w:tcW w:w="682" w:type="pct"/>
            <w:vAlign w:val="center"/>
          </w:tcPr>
          <w:p>
            <w:pPr>
              <w:spacing w:line="360" w:lineRule="auto"/>
              <w:jc w:val="center"/>
              <w:rPr>
                <w:b/>
                <w:szCs w:val="21"/>
              </w:rPr>
            </w:pPr>
            <w:r>
              <w:rPr>
                <w:rFonts w:hint="eastAsia"/>
                <w:b/>
                <w:szCs w:val="21"/>
              </w:rPr>
              <w:t>投入</w:t>
            </w:r>
            <w:r>
              <w:rPr>
                <w:b/>
                <w:szCs w:val="21"/>
              </w:rPr>
              <w:t>人数</w:t>
            </w:r>
          </w:p>
        </w:tc>
        <w:tc>
          <w:tcPr>
            <w:tcW w:w="1113" w:type="pct"/>
            <w:vAlign w:val="center"/>
          </w:tcPr>
          <w:p>
            <w:pPr>
              <w:spacing w:line="360" w:lineRule="auto"/>
              <w:jc w:val="center"/>
              <w:rPr>
                <w:b/>
                <w:szCs w:val="21"/>
              </w:rPr>
            </w:pPr>
            <w:r>
              <w:rPr>
                <w:rFonts w:hint="eastAsia"/>
                <w:b/>
                <w:szCs w:val="21"/>
              </w:rPr>
              <w:t>人员情况简介</w:t>
            </w:r>
          </w:p>
        </w:tc>
        <w:tc>
          <w:tcPr>
            <w:tcW w:w="652" w:type="pct"/>
            <w:vAlign w:val="center"/>
          </w:tcPr>
          <w:p>
            <w:pPr>
              <w:spacing w:line="360" w:lineRule="auto"/>
              <w:jc w:val="center"/>
              <w:rPr>
                <w:b/>
                <w:szCs w:val="21"/>
              </w:rPr>
            </w:pPr>
            <w:r>
              <w:rPr>
                <w:rFonts w:hint="eastAsia"/>
                <w:b/>
                <w:szCs w:val="21"/>
              </w:rPr>
              <w:t>是否退休</w:t>
            </w:r>
          </w:p>
        </w:tc>
        <w:tc>
          <w:tcPr>
            <w:tcW w:w="723" w:type="pct"/>
            <w:vAlign w:val="center"/>
          </w:tcPr>
          <w:p>
            <w:pPr>
              <w:spacing w:line="360" w:lineRule="auto"/>
              <w:jc w:val="center"/>
              <w:rPr>
                <w:b/>
                <w:szCs w:val="21"/>
              </w:rPr>
            </w:pPr>
            <w:r>
              <w:rPr>
                <w:b/>
                <w:szCs w:val="21"/>
              </w:rPr>
              <w:t>工作时间</w:t>
            </w:r>
          </w:p>
        </w:tc>
        <w:tc>
          <w:tcPr>
            <w:tcW w:w="723" w:type="pct"/>
            <w:vAlign w:val="center"/>
          </w:tcPr>
          <w:p>
            <w:pPr>
              <w:spacing w:line="360" w:lineRule="auto"/>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3"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gridSpan w:val="2"/>
            <w:vAlign w:val="center"/>
          </w:tcPr>
          <w:p>
            <w:pPr>
              <w:spacing w:line="360" w:lineRule="auto"/>
              <w:jc w:val="center"/>
              <w:rPr>
                <w:szCs w:val="21"/>
              </w:rPr>
            </w:pPr>
            <w:r>
              <w:rPr>
                <w:rFonts w:hint="eastAsia"/>
                <w:szCs w:val="21"/>
              </w:rPr>
              <w:t>合计人数</w:t>
            </w:r>
          </w:p>
        </w:tc>
        <w:tc>
          <w:tcPr>
            <w:tcW w:w="3892" w:type="pct"/>
            <w:gridSpan w:val="5"/>
            <w:vAlign w:val="center"/>
          </w:tcPr>
          <w:p>
            <w:pPr>
              <w:spacing w:line="360" w:lineRule="auto"/>
              <w:jc w:val="center"/>
              <w:rPr>
                <w:szCs w:val="21"/>
              </w:rPr>
            </w:pPr>
          </w:p>
        </w:tc>
      </w:tr>
    </w:tbl>
    <w:p>
      <w:pPr>
        <w:widowControl/>
        <w:ind w:firstLine="448" w:firstLineChars="200"/>
        <w:jc w:val="left"/>
        <w:rPr>
          <w:sz w:val="24"/>
        </w:rPr>
      </w:pPr>
      <w:r>
        <w:rPr>
          <w:rFonts w:hint="eastAsia"/>
          <w:sz w:val="24"/>
        </w:rPr>
        <w:t>我公司承诺上述人员身体健康，一旦我公司获得中标，承诺上述人员投入本项目服务，非经采购人同意，不随意更换人员。</w:t>
      </w:r>
    </w:p>
    <w:p>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pPr>
        <w:widowControl/>
        <w:jc w:val="left"/>
        <w:rPr>
          <w:sz w:val="24"/>
        </w:rPr>
      </w:pPr>
    </w:p>
    <w:p>
      <w:pPr>
        <w:widowControl/>
        <w:jc w:val="left"/>
        <w:rPr>
          <w:sz w:val="24"/>
        </w:rPr>
      </w:pPr>
    </w:p>
    <w:p>
      <w:pPr>
        <w:widowControl/>
        <w:jc w:val="left"/>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sz w:val="24"/>
        </w:rPr>
      </w:pPr>
      <w:r>
        <w:rPr>
          <w:sz w:val="24"/>
        </w:rPr>
        <w:t>日期：</w:t>
      </w:r>
    </w:p>
    <w:p>
      <w:pPr>
        <w:widowControl/>
        <w:jc w:val="left"/>
        <w:rPr>
          <w:sz w:val="24"/>
        </w:rPr>
      </w:pPr>
    </w:p>
    <w:p>
      <w:pPr>
        <w:spacing w:line="360" w:lineRule="auto"/>
        <w:ind w:right="84" w:firstLine="224" w:firstLineChars="100"/>
        <w:rPr>
          <w:position w:val="-40"/>
          <w:sz w:val="24"/>
        </w:rPr>
      </w:pPr>
      <w:r>
        <w:rPr>
          <w:b/>
          <w:sz w:val="24"/>
        </w:rPr>
        <w:br w:type="page"/>
      </w:r>
    </w:p>
    <w:p>
      <w:pPr>
        <w:spacing w:line="620" w:lineRule="exact"/>
        <w:rPr>
          <w:b/>
          <w:sz w:val="24"/>
        </w:rPr>
      </w:pPr>
      <w:r>
        <w:rPr>
          <w:b/>
          <w:sz w:val="24"/>
        </w:rPr>
        <w:t>附件</w:t>
      </w:r>
      <w:r>
        <w:rPr>
          <w:rFonts w:hint="eastAsia"/>
          <w:b/>
          <w:sz w:val="24"/>
        </w:rPr>
        <w:t>9</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1239"/>
        <w:gridCol w:w="2131"/>
        <w:gridCol w:w="1379"/>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实施地点</w:t>
            </w: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460" w:lineRule="exact"/>
        <w:rPr>
          <w:b/>
          <w:sz w:val="24"/>
        </w:rPr>
      </w:pPr>
    </w:p>
    <w:p>
      <w:pPr>
        <w:spacing w:line="460" w:lineRule="exact"/>
        <w:rPr>
          <w:b/>
          <w:sz w:val="24"/>
        </w:rPr>
      </w:pPr>
    </w:p>
    <w:p>
      <w:pPr>
        <w:spacing w:line="460" w:lineRule="exact"/>
        <w:rPr>
          <w:b/>
          <w:sz w:val="24"/>
        </w:rPr>
      </w:pPr>
    </w:p>
    <w:p>
      <w:pPr>
        <w:spacing w:line="460" w:lineRule="exact"/>
        <w:rPr>
          <w:b/>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日期：</w:t>
      </w:r>
      <w:r>
        <w:rPr>
          <w:b/>
          <w:sz w:val="24"/>
        </w:rPr>
        <w:br w:type="page"/>
      </w:r>
    </w:p>
    <w:p>
      <w:pPr>
        <w:spacing w:line="460" w:lineRule="exact"/>
        <w:rPr>
          <w:b/>
          <w:sz w:val="24"/>
        </w:rPr>
      </w:pPr>
      <w:r>
        <w:rPr>
          <w:b/>
          <w:sz w:val="24"/>
        </w:rPr>
        <w:t>附件</w:t>
      </w:r>
      <w:r>
        <w:rPr>
          <w:rFonts w:hint="eastAsia"/>
          <w:b/>
          <w:sz w:val="24"/>
        </w:rPr>
        <w:t>10</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napToGrid w:val="0"/>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napToGrid w:val="0"/>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napToGrid w:val="0"/>
        <w:spacing w:line="360" w:lineRule="auto"/>
        <w:ind w:firstLine="448" w:firstLineChars="200"/>
        <w:rPr>
          <w:sz w:val="24"/>
          <w:szCs w:val="21"/>
        </w:rPr>
      </w:pPr>
      <w:r>
        <w:rPr>
          <w:sz w:val="24"/>
          <w:szCs w:val="21"/>
        </w:rPr>
        <w:t>本授权书至投标有效期结束前始终有效。</w:t>
      </w:r>
    </w:p>
    <w:p>
      <w:pPr>
        <w:snapToGrid w:val="0"/>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360" w:lineRule="auto"/>
        <w:ind w:firstLine="448" w:firstLineChars="200"/>
        <w:rPr>
          <w:sz w:val="24"/>
        </w:rPr>
      </w:pPr>
    </w:p>
    <w:p>
      <w:pPr>
        <w:spacing w:line="360" w:lineRule="auto"/>
        <w:ind w:firstLine="4704" w:firstLineChars="2100"/>
        <w:rPr>
          <w:sz w:val="24"/>
        </w:rPr>
      </w:pPr>
      <w:r>
        <w:rPr>
          <w:sz w:val="24"/>
        </w:rPr>
        <w:t xml:space="preserve">     年   月   日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spacing w:line="360" w:lineRule="auto"/>
        <w:ind w:firstLine="4704" w:firstLineChars="2100"/>
        <w:rPr>
          <w:sz w:val="24"/>
        </w:rPr>
      </w:pPr>
    </w:p>
    <w:p>
      <w:pPr>
        <w:spacing w:line="460" w:lineRule="exact"/>
        <w:ind w:right="444"/>
        <w:rPr>
          <w:b/>
          <w:sz w:val="24"/>
        </w:rPr>
      </w:pPr>
      <w:r>
        <w:rPr>
          <w:b/>
          <w:sz w:val="24"/>
        </w:rPr>
        <w:br w:type="page"/>
      </w:r>
      <w:r>
        <w:rPr>
          <w:b/>
          <w:sz w:val="24"/>
        </w:rPr>
        <w:t>附件</w:t>
      </w:r>
      <w:r>
        <w:rPr>
          <w:rFonts w:hint="eastAsia"/>
          <w:b/>
          <w:sz w:val="24"/>
        </w:rPr>
        <w:t>11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本公司郑重声明，根据《政府采购促进中小企业发展管理办法》（财库﹝2020﹞46号）的规定，本公司参加</w:t>
      </w:r>
      <w:r>
        <w:rPr>
          <w:sz w:val="24"/>
          <w:szCs w:val="24"/>
          <w:u w:val="single"/>
        </w:rPr>
        <w:t xml:space="preserve">  </w:t>
      </w:r>
      <w:r>
        <w:rPr>
          <w:rFonts w:hint="eastAsia"/>
          <w:sz w:val="24"/>
          <w:szCs w:val="24"/>
          <w:u w:val="single"/>
        </w:rPr>
        <w:t xml:space="preserve">国家税务总局天津市税务局第三税务分局食堂餐饮服务项目 </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rFonts w:hint="eastAsia"/>
          <w:sz w:val="24"/>
          <w:szCs w:val="24"/>
          <w:u w:val="single"/>
        </w:rPr>
        <w:t xml:space="preserve">国家税务总局天津市税务局第三税务分局食堂餐饮服务 </w:t>
      </w:r>
      <w:r>
        <w:rPr>
          <w:sz w:val="24"/>
          <w:szCs w:val="24"/>
        </w:rPr>
        <w:t>，属于</w:t>
      </w:r>
      <w:r>
        <w:rPr>
          <w:sz w:val="24"/>
          <w:szCs w:val="24"/>
          <w:u w:val="single"/>
        </w:rPr>
        <w:t xml:space="preserve"> </w:t>
      </w:r>
      <w:r>
        <w:rPr>
          <w:rFonts w:hint="eastAsia"/>
          <w:sz w:val="24"/>
          <w:szCs w:val="24"/>
          <w:u w:val="single"/>
        </w:rPr>
        <w:t>餐饮</w:t>
      </w:r>
      <w:r>
        <w:rPr>
          <w:sz w:val="24"/>
          <w:szCs w:val="24"/>
          <w:u w:val="single"/>
        </w:rPr>
        <w:t xml:space="preserve">  </w:t>
      </w:r>
      <w:r>
        <w:rPr>
          <w:sz w:val="24"/>
          <w:szCs w:val="24"/>
        </w:rPr>
        <w:t>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right="84" w:firstLine="224" w:firstLineChars="100"/>
        <w:rPr>
          <w:b/>
          <w:sz w:val="24"/>
          <w:szCs w:val="24"/>
        </w:rPr>
      </w:pPr>
      <w:r>
        <w:rPr>
          <w:b/>
          <w:sz w:val="24"/>
          <w:szCs w:val="24"/>
        </w:rPr>
        <w:t>1.标的名称须按照采购文件中明确的标的名称进行填写；所属行业须按照采购文件中明确的所属行业进行填写，否则不享受中小企业扶持政策。</w:t>
      </w:r>
    </w:p>
    <w:p>
      <w:pPr>
        <w:spacing w:line="360" w:lineRule="auto"/>
        <w:ind w:right="84" w:firstLine="224"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pPr>
        <w:spacing w:line="360" w:lineRule="auto"/>
        <w:ind w:right="84" w:firstLine="224" w:firstLineChars="100"/>
        <w:rPr>
          <w:b/>
          <w:sz w:val="24"/>
        </w:rPr>
      </w:pPr>
      <w:r>
        <w:rPr>
          <w:b/>
          <w:sz w:val="24"/>
          <w:szCs w:val="24"/>
        </w:rPr>
        <w:t>3.中标（成交）供应商享受中小企业扶持政策的，将随中标（成交）结果同时公告其《中小企业声明函》，接受社会监督。</w:t>
      </w:r>
      <w:r>
        <w:rPr>
          <w:b/>
          <w:sz w:val="24"/>
        </w:rPr>
        <w:br w:type="page"/>
      </w:r>
    </w:p>
    <w:p>
      <w:pPr>
        <w:autoSpaceDN w:val="0"/>
        <w:spacing w:line="360" w:lineRule="auto"/>
        <w:rPr>
          <w:b/>
          <w:sz w:val="24"/>
        </w:rPr>
      </w:pPr>
      <w:r>
        <w:rPr>
          <w:rFonts w:hint="eastAsia"/>
          <w:b/>
          <w:sz w:val="24"/>
        </w:rPr>
        <w:t>附件12</w:t>
      </w:r>
    </w:p>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widowControl/>
        <w:jc w:val="left"/>
        <w:rPr>
          <w:b/>
          <w:sz w:val="24"/>
        </w:rPr>
      </w:pPr>
      <w:r>
        <w:rPr>
          <w:b/>
          <w:sz w:val="24"/>
        </w:rPr>
        <w:br w:type="page"/>
      </w:r>
    </w:p>
    <w:p>
      <w:pPr>
        <w:spacing w:line="560" w:lineRule="exact"/>
        <w:jc w:val="left"/>
        <w:rPr>
          <w:b/>
          <w:sz w:val="24"/>
        </w:rPr>
      </w:pPr>
      <w:r>
        <w:rPr>
          <w:b/>
          <w:sz w:val="24"/>
        </w:rPr>
        <w:t>附件1</w:t>
      </w:r>
      <w:r>
        <w:rPr>
          <w:rFonts w:hint="eastAsia"/>
          <w:b/>
          <w:sz w:val="24"/>
        </w:rPr>
        <w:t>3</w:t>
      </w:r>
    </w:p>
    <w:p>
      <w:pPr>
        <w:spacing w:line="560" w:lineRule="exact"/>
        <w:jc w:val="center"/>
        <w:rPr>
          <w:b/>
          <w:sz w:val="24"/>
        </w:rPr>
      </w:pPr>
      <w:r>
        <w:rPr>
          <w:b/>
          <w:sz w:val="24"/>
        </w:rPr>
        <w:t>管理大纲</w:t>
      </w:r>
    </w:p>
    <w:p>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pPr>
        <w:spacing w:line="560" w:lineRule="exact"/>
        <w:ind w:firstLine="672" w:firstLineChars="300"/>
        <w:jc w:val="left"/>
        <w:rPr>
          <w:sz w:val="24"/>
        </w:rPr>
      </w:pPr>
      <w:r>
        <w:rPr>
          <w:sz w:val="24"/>
        </w:rPr>
        <w:t>投标人将专项服务委托专业公司承担的，应当进行说明。</w:t>
      </w:r>
    </w:p>
    <w:p>
      <w:pPr>
        <w:spacing w:line="560" w:lineRule="exact"/>
        <w:ind w:firstLine="672" w:firstLineChars="300"/>
        <w:jc w:val="left"/>
        <w:rPr>
          <w:sz w:val="24"/>
        </w:rPr>
      </w:pPr>
      <w:r>
        <w:rPr>
          <w:sz w:val="24"/>
        </w:rPr>
        <w:t>投标人认为必需的其他内容。</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360" w:lineRule="auto"/>
        <w:ind w:right="84"/>
        <w:rPr>
          <w:sz w:val="24"/>
        </w:rPr>
      </w:pPr>
      <w:r>
        <w:rPr>
          <w:sz w:val="24"/>
        </w:rPr>
        <w:t>投标人名称：</w:t>
      </w:r>
    </w:p>
    <w:p>
      <w:pPr>
        <w:spacing w:line="360" w:lineRule="auto"/>
        <w:ind w:right="84" w:firstLine="224" w:firstLineChars="100"/>
        <w:rPr>
          <w:sz w:val="24"/>
        </w:rPr>
      </w:pPr>
    </w:p>
    <w:p>
      <w:pPr>
        <w:spacing w:line="360" w:lineRule="auto"/>
        <w:ind w:right="84"/>
        <w:rPr>
          <w:position w:val="-40"/>
          <w:sz w:val="24"/>
        </w:rPr>
      </w:pPr>
      <w:r>
        <w:rPr>
          <w:sz w:val="24"/>
        </w:rPr>
        <w:t xml:space="preserve">日期：  </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480" w:lineRule="auto"/>
        <w:rPr>
          <w:b/>
          <w:color w:val="000000"/>
          <w:sz w:val="24"/>
        </w:rPr>
      </w:pPr>
      <w:r>
        <w:rPr>
          <w:b/>
          <w:color w:val="000000"/>
          <w:sz w:val="24"/>
        </w:rPr>
        <w:t>附件1</w:t>
      </w:r>
      <w:r>
        <w:rPr>
          <w:rFonts w:hint="eastAsia"/>
          <w:b/>
          <w:color w:val="000000"/>
          <w:sz w:val="24"/>
        </w:rPr>
        <w:t>4</w:t>
      </w:r>
      <w:r>
        <w:rPr>
          <w:b/>
          <w:color w:val="000000"/>
          <w:sz w:val="24"/>
        </w:rPr>
        <w:t>-1</w:t>
      </w:r>
    </w:p>
    <w:p>
      <w:pPr>
        <w:spacing w:line="480" w:lineRule="auto"/>
        <w:jc w:val="center"/>
        <w:rPr>
          <w:b/>
          <w:sz w:val="30"/>
        </w:rPr>
      </w:pPr>
      <w:r>
        <w:rPr>
          <w:b/>
          <w:color w:val="000000"/>
          <w:sz w:val="24"/>
        </w:rPr>
        <w:t>项目负责人资格审查表</w:t>
      </w:r>
    </w:p>
    <w:tbl>
      <w:tblPr>
        <w:tblStyle w:val="22"/>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姓  名</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性  别</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年  龄</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职  称</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毕业学校</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毕业时间</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所学专业</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最高学历</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spacing w:val="-12"/>
                <w:position w:val="-36"/>
                <w:sz w:val="24"/>
              </w:rPr>
              <w:t xml:space="preserve">联系电话 </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46" w:type="dxa"/>
            <w:gridSpan w:val="3"/>
            <w:vAlign w:val="center"/>
          </w:tcPr>
          <w:p>
            <w:pPr>
              <w:spacing w:line="360" w:lineRule="auto"/>
              <w:ind w:right="84"/>
              <w:jc w:val="center"/>
              <w:rPr>
                <w:spacing w:val="-28"/>
                <w:position w:val="-36"/>
                <w:sz w:val="24"/>
              </w:rPr>
            </w:pPr>
            <w:r>
              <w:rPr>
                <w:position w:val="-36"/>
                <w:sz w:val="24"/>
              </w:rPr>
              <w:t>所获证书及编号</w:t>
            </w:r>
          </w:p>
        </w:tc>
        <w:tc>
          <w:tcPr>
            <w:tcW w:w="1951" w:type="dxa"/>
            <w:gridSpan w:val="3"/>
          </w:tcPr>
          <w:p>
            <w:pPr>
              <w:spacing w:line="360" w:lineRule="auto"/>
              <w:ind w:right="84"/>
              <w:jc w:val="center"/>
              <w:rPr>
                <w:position w:val="-36"/>
                <w:sz w:val="24"/>
              </w:rPr>
            </w:pPr>
          </w:p>
        </w:tc>
        <w:tc>
          <w:tcPr>
            <w:tcW w:w="3138" w:type="dxa"/>
            <w:gridSpan w:val="4"/>
          </w:tcPr>
          <w:p>
            <w:pPr>
              <w:spacing w:line="560" w:lineRule="exact"/>
              <w:jc w:val="center"/>
              <w:rPr>
                <w:sz w:val="24"/>
              </w:rPr>
            </w:pPr>
            <w:r>
              <w:rPr>
                <w:sz w:val="24"/>
              </w:rPr>
              <w:t>从事</w:t>
            </w:r>
            <w:r>
              <w:rPr>
                <w:rFonts w:hint="eastAsia"/>
                <w:sz w:val="24"/>
              </w:rPr>
              <w:t>餐饮</w:t>
            </w:r>
            <w:r>
              <w:rPr>
                <w:sz w:val="24"/>
              </w:rPr>
              <w:t>管理</w:t>
            </w:r>
          </w:p>
          <w:p>
            <w:pPr>
              <w:spacing w:line="360" w:lineRule="auto"/>
              <w:ind w:right="84"/>
              <w:jc w:val="center"/>
              <w:rPr>
                <w:position w:val="-36"/>
                <w:sz w:val="24"/>
              </w:rPr>
            </w:pPr>
            <w:r>
              <w:rPr>
                <w:sz w:val="24"/>
              </w:rPr>
              <w:t>工作年限</w:t>
            </w:r>
          </w:p>
        </w:tc>
        <w:tc>
          <w:tcPr>
            <w:tcW w:w="1472" w:type="dxa"/>
            <w:gridSpan w:val="2"/>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pPr>
              <w:spacing w:line="360" w:lineRule="auto"/>
              <w:ind w:right="84"/>
              <w:jc w:val="center"/>
              <w:rPr>
                <w:position w:val="-36"/>
                <w:sz w:val="24"/>
              </w:rPr>
            </w:pPr>
            <w:r>
              <w:rPr>
                <w:position w:val="-36"/>
                <w:sz w:val="24"/>
              </w:rPr>
              <w:t>近三年来的主要工作业绩及担任的主要工作经历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地  点</w:t>
            </w:r>
          </w:p>
        </w:tc>
        <w:tc>
          <w:tcPr>
            <w:tcW w:w="1445" w:type="dxa"/>
            <w:gridSpan w:val="2"/>
          </w:tcPr>
          <w:p>
            <w:pPr>
              <w:spacing w:line="360" w:lineRule="auto"/>
              <w:ind w:right="84"/>
              <w:jc w:val="center"/>
              <w:rPr>
                <w:position w:val="-36"/>
                <w:sz w:val="24"/>
              </w:rPr>
            </w:pPr>
            <w:r>
              <w:rPr>
                <w:position w:val="-36"/>
                <w:sz w:val="24"/>
              </w:rPr>
              <w:t>单  位</w:t>
            </w:r>
          </w:p>
        </w:tc>
        <w:tc>
          <w:tcPr>
            <w:tcW w:w="944" w:type="dxa"/>
            <w:gridSpan w:val="2"/>
          </w:tcPr>
          <w:p>
            <w:pPr>
              <w:spacing w:line="360" w:lineRule="auto"/>
              <w:ind w:right="84"/>
              <w:jc w:val="center"/>
              <w:rPr>
                <w:position w:val="-36"/>
                <w:sz w:val="24"/>
              </w:rPr>
            </w:pPr>
            <w:r>
              <w:rPr>
                <w:position w:val="-36"/>
                <w:sz w:val="24"/>
              </w:rPr>
              <w:t>职 务</w:t>
            </w:r>
          </w:p>
        </w:tc>
        <w:tc>
          <w:tcPr>
            <w:tcW w:w="4172" w:type="dxa"/>
            <w:gridSpan w:val="5"/>
          </w:tcPr>
          <w:p>
            <w:pPr>
              <w:spacing w:line="360" w:lineRule="auto"/>
              <w:ind w:right="84"/>
              <w:jc w:val="center"/>
              <w:rPr>
                <w:position w:val="-36"/>
                <w:sz w:val="24"/>
              </w:rPr>
            </w:pPr>
            <w:r>
              <w:rPr>
                <w:position w:val="-36"/>
                <w:sz w:val="24"/>
              </w:rPr>
              <w:t>主 要 工 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Pr>
          <w:p>
            <w:pPr>
              <w:spacing w:line="360" w:lineRule="auto"/>
              <w:ind w:right="84"/>
              <w:rPr>
                <w:position w:val="-36"/>
                <w:sz w:val="24"/>
              </w:rPr>
            </w:pPr>
          </w:p>
        </w:tc>
        <w:tc>
          <w:tcPr>
            <w:tcW w:w="1445" w:type="dxa"/>
            <w:gridSpan w:val="2"/>
          </w:tcPr>
          <w:p>
            <w:pPr>
              <w:spacing w:line="360" w:lineRule="auto"/>
              <w:ind w:right="84"/>
              <w:rPr>
                <w:position w:val="-36"/>
                <w:sz w:val="24"/>
              </w:rPr>
            </w:pPr>
          </w:p>
        </w:tc>
        <w:tc>
          <w:tcPr>
            <w:tcW w:w="944" w:type="dxa"/>
            <w:gridSpan w:val="2"/>
          </w:tcPr>
          <w:p>
            <w:pPr>
              <w:spacing w:line="360" w:lineRule="auto"/>
              <w:ind w:right="84"/>
              <w:rPr>
                <w:position w:val="-36"/>
                <w:sz w:val="24"/>
              </w:rPr>
            </w:pPr>
          </w:p>
        </w:tc>
        <w:tc>
          <w:tcPr>
            <w:tcW w:w="4172" w:type="dxa"/>
            <w:gridSpan w:val="5"/>
          </w:tcPr>
          <w:p>
            <w:pPr>
              <w:spacing w:line="360" w:lineRule="auto"/>
              <w:ind w:right="84"/>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907" w:type="dxa"/>
            <w:gridSpan w:val="12"/>
          </w:tcPr>
          <w:p>
            <w:pPr>
              <w:spacing w:line="360" w:lineRule="auto"/>
              <w:ind w:right="84"/>
              <w:jc w:val="center"/>
              <w:rPr>
                <w:position w:val="-36"/>
                <w:sz w:val="24"/>
              </w:rPr>
            </w:pPr>
            <w:r>
              <w:rPr>
                <w:position w:val="-36"/>
                <w:sz w:val="24"/>
              </w:rPr>
              <w:t>曾担任负责人的项目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委托单位</w:t>
            </w:r>
          </w:p>
        </w:tc>
        <w:tc>
          <w:tcPr>
            <w:tcW w:w="2389" w:type="dxa"/>
            <w:gridSpan w:val="4"/>
          </w:tcPr>
          <w:p>
            <w:pPr>
              <w:spacing w:line="360" w:lineRule="auto"/>
              <w:ind w:right="84"/>
              <w:jc w:val="center"/>
              <w:rPr>
                <w:position w:val="-36"/>
                <w:sz w:val="24"/>
              </w:rPr>
            </w:pPr>
            <w:r>
              <w:rPr>
                <w:position w:val="-36"/>
                <w:sz w:val="24"/>
              </w:rPr>
              <w:t>项目名称</w:t>
            </w:r>
          </w:p>
        </w:tc>
        <w:tc>
          <w:tcPr>
            <w:tcW w:w="1351" w:type="dxa"/>
          </w:tcPr>
          <w:p>
            <w:pPr>
              <w:spacing w:line="360" w:lineRule="auto"/>
              <w:ind w:right="84"/>
              <w:jc w:val="center"/>
              <w:rPr>
                <w:position w:val="-36"/>
                <w:sz w:val="24"/>
              </w:rPr>
            </w:pPr>
            <w:r>
              <w:rPr>
                <w:position w:val="-36"/>
                <w:sz w:val="24"/>
              </w:rPr>
              <w:t>项目规模</w:t>
            </w:r>
          </w:p>
        </w:tc>
        <w:tc>
          <w:tcPr>
            <w:tcW w:w="1349" w:type="dxa"/>
            <w:gridSpan w:val="2"/>
          </w:tcPr>
          <w:p>
            <w:pPr>
              <w:spacing w:line="360" w:lineRule="auto"/>
              <w:ind w:right="84"/>
              <w:jc w:val="center"/>
              <w:rPr>
                <w:position w:val="-36"/>
                <w:sz w:val="24"/>
              </w:rPr>
            </w:pPr>
            <w:r>
              <w:rPr>
                <w:position w:val="-36"/>
                <w:sz w:val="24"/>
              </w:rPr>
              <w:t>项目类型</w:t>
            </w:r>
          </w:p>
        </w:tc>
        <w:tc>
          <w:tcPr>
            <w:tcW w:w="1472" w:type="dxa"/>
            <w:gridSpan w:val="2"/>
          </w:tcPr>
          <w:p>
            <w:pPr>
              <w:spacing w:line="360" w:lineRule="auto"/>
              <w:ind w:right="84"/>
              <w:jc w:val="center"/>
              <w:rPr>
                <w:position w:val="-36"/>
                <w:sz w:val="24"/>
              </w:rPr>
            </w:pPr>
            <w:r>
              <w:rPr>
                <w:position w:val="-36"/>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jc w:val="center"/>
        </w:trPr>
        <w:tc>
          <w:tcPr>
            <w:tcW w:w="952" w:type="dxa"/>
            <w:tcBorders>
              <w:bottom w:val="single" w:color="auto" w:sz="4" w:space="0"/>
            </w:tcBorders>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Borders>
              <w:bottom w:val="single" w:color="auto" w:sz="4" w:space="0"/>
            </w:tcBorders>
          </w:tcPr>
          <w:p>
            <w:pPr>
              <w:spacing w:line="360" w:lineRule="auto"/>
              <w:ind w:right="84"/>
              <w:rPr>
                <w:position w:val="-36"/>
                <w:sz w:val="24"/>
              </w:rPr>
            </w:pPr>
          </w:p>
        </w:tc>
        <w:tc>
          <w:tcPr>
            <w:tcW w:w="2389" w:type="dxa"/>
            <w:gridSpan w:val="4"/>
            <w:tcBorders>
              <w:bottom w:val="single" w:color="auto" w:sz="4" w:space="0"/>
            </w:tcBorders>
          </w:tcPr>
          <w:p>
            <w:pPr>
              <w:spacing w:line="360" w:lineRule="auto"/>
              <w:ind w:right="84"/>
              <w:rPr>
                <w:position w:val="-36"/>
                <w:sz w:val="24"/>
              </w:rPr>
            </w:pPr>
          </w:p>
        </w:tc>
        <w:tc>
          <w:tcPr>
            <w:tcW w:w="1351" w:type="dxa"/>
            <w:tcBorders>
              <w:bottom w:val="single" w:color="auto" w:sz="4" w:space="0"/>
            </w:tcBorders>
          </w:tcPr>
          <w:p>
            <w:pPr>
              <w:spacing w:line="360" w:lineRule="auto"/>
              <w:ind w:right="84"/>
              <w:rPr>
                <w:position w:val="-36"/>
                <w:sz w:val="24"/>
              </w:rPr>
            </w:pPr>
          </w:p>
        </w:tc>
        <w:tc>
          <w:tcPr>
            <w:tcW w:w="1349" w:type="dxa"/>
            <w:gridSpan w:val="2"/>
            <w:tcBorders>
              <w:bottom w:val="single" w:color="auto" w:sz="4" w:space="0"/>
            </w:tcBorders>
          </w:tcPr>
          <w:p>
            <w:pPr>
              <w:spacing w:line="360" w:lineRule="auto"/>
              <w:ind w:right="84"/>
              <w:rPr>
                <w:position w:val="-36"/>
                <w:sz w:val="24"/>
              </w:rPr>
            </w:pPr>
          </w:p>
        </w:tc>
        <w:tc>
          <w:tcPr>
            <w:tcW w:w="1472" w:type="dxa"/>
            <w:gridSpan w:val="2"/>
            <w:tcBorders>
              <w:bottom w:val="single" w:color="auto" w:sz="4" w:space="0"/>
            </w:tcBorders>
          </w:tcPr>
          <w:p>
            <w:pPr>
              <w:spacing w:line="360" w:lineRule="auto"/>
              <w:ind w:right="84"/>
              <w:rPr>
                <w:position w:val="-36"/>
                <w:sz w:val="24"/>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4</w:t>
      </w:r>
      <w:r>
        <w:rPr>
          <w:b/>
          <w:sz w:val="24"/>
          <w:szCs w:val="24"/>
        </w:rPr>
        <w:t>-2</w:t>
      </w:r>
    </w:p>
    <w:p>
      <w:pPr>
        <w:spacing w:line="360" w:lineRule="auto"/>
        <w:ind w:right="84"/>
        <w:jc w:val="center"/>
        <w:rPr>
          <w:b/>
          <w:sz w:val="24"/>
          <w:szCs w:val="24"/>
        </w:rPr>
      </w:pPr>
      <w:r>
        <w:rPr>
          <w:b/>
          <w:position w:val="-40"/>
          <w:sz w:val="24"/>
          <w:szCs w:val="24"/>
        </w:rPr>
        <w:t>拟在本项目使用的主要设备一览表</w:t>
      </w:r>
    </w:p>
    <w:tbl>
      <w:tblPr>
        <w:tblStyle w:val="22"/>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spacing w:line="360" w:lineRule="auto"/>
              <w:ind w:right="84"/>
              <w:jc w:val="center"/>
              <w:rPr>
                <w:position w:val="-32"/>
                <w:sz w:val="24"/>
              </w:rPr>
            </w:pPr>
            <w:r>
              <w:rPr>
                <w:position w:val="-32"/>
                <w:sz w:val="24"/>
              </w:rPr>
              <w:t>序 号</w:t>
            </w:r>
          </w:p>
        </w:tc>
        <w:tc>
          <w:tcPr>
            <w:tcW w:w="2520" w:type="dxa"/>
            <w:vAlign w:val="center"/>
          </w:tcPr>
          <w:p>
            <w:pPr>
              <w:spacing w:line="360" w:lineRule="auto"/>
              <w:ind w:right="84"/>
              <w:jc w:val="center"/>
              <w:rPr>
                <w:position w:val="-32"/>
                <w:sz w:val="24"/>
              </w:rPr>
            </w:pPr>
            <w:r>
              <w:rPr>
                <w:position w:val="-32"/>
                <w:sz w:val="24"/>
              </w:rPr>
              <w:t>主要设备名称</w:t>
            </w:r>
          </w:p>
        </w:tc>
        <w:tc>
          <w:tcPr>
            <w:tcW w:w="1441" w:type="dxa"/>
            <w:vAlign w:val="center"/>
          </w:tcPr>
          <w:p>
            <w:pPr>
              <w:spacing w:line="360" w:lineRule="auto"/>
              <w:ind w:right="84"/>
              <w:jc w:val="center"/>
              <w:rPr>
                <w:position w:val="-32"/>
                <w:sz w:val="24"/>
              </w:rPr>
            </w:pPr>
            <w:r>
              <w:rPr>
                <w:position w:val="-32"/>
                <w:sz w:val="24"/>
              </w:rPr>
              <w:t>规格型号</w:t>
            </w:r>
          </w:p>
        </w:tc>
        <w:tc>
          <w:tcPr>
            <w:tcW w:w="1439" w:type="dxa"/>
            <w:vAlign w:val="center"/>
          </w:tcPr>
          <w:p>
            <w:pPr>
              <w:spacing w:line="360" w:lineRule="auto"/>
              <w:ind w:right="84"/>
              <w:jc w:val="center"/>
              <w:rPr>
                <w:position w:val="-32"/>
                <w:sz w:val="24"/>
              </w:rPr>
            </w:pPr>
            <w:r>
              <w:rPr>
                <w:position w:val="-32"/>
                <w:sz w:val="24"/>
              </w:rPr>
              <w:t>购入时间</w:t>
            </w:r>
          </w:p>
        </w:tc>
        <w:tc>
          <w:tcPr>
            <w:tcW w:w="900" w:type="dxa"/>
            <w:vAlign w:val="center"/>
          </w:tcPr>
          <w:p>
            <w:pPr>
              <w:spacing w:line="360" w:lineRule="auto"/>
              <w:ind w:right="84"/>
              <w:jc w:val="center"/>
              <w:rPr>
                <w:position w:val="-32"/>
                <w:sz w:val="24"/>
              </w:rPr>
            </w:pPr>
            <w:r>
              <w:rPr>
                <w:position w:val="-32"/>
                <w:sz w:val="24"/>
              </w:rPr>
              <w:t>数 量</w:t>
            </w:r>
          </w:p>
        </w:tc>
        <w:tc>
          <w:tcPr>
            <w:tcW w:w="1404" w:type="dxa"/>
            <w:vAlign w:val="center"/>
          </w:tcPr>
          <w:p>
            <w:pPr>
              <w:spacing w:line="360" w:lineRule="auto"/>
              <w:ind w:right="84"/>
              <w:jc w:val="center"/>
              <w:rPr>
                <w:position w:val="-32"/>
                <w:sz w:val="24"/>
              </w:rPr>
            </w:pPr>
            <w:r>
              <w:rPr>
                <w:position w:val="-32"/>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4</w:t>
      </w:r>
      <w:r>
        <w:rPr>
          <w:b/>
          <w:sz w:val="24"/>
          <w:szCs w:val="24"/>
        </w:rPr>
        <w:t>-3</w:t>
      </w:r>
    </w:p>
    <w:p>
      <w:pPr>
        <w:tabs>
          <w:tab w:val="left" w:pos="240"/>
        </w:tabs>
        <w:jc w:val="center"/>
        <w:rPr>
          <w:b/>
          <w:sz w:val="24"/>
          <w:szCs w:val="24"/>
        </w:rPr>
      </w:pPr>
      <w:r>
        <w:rPr>
          <w:b/>
          <w:sz w:val="24"/>
          <w:szCs w:val="24"/>
        </w:rPr>
        <w:t>采购人须向供应商提供的条件</w:t>
      </w:r>
    </w:p>
    <w:p>
      <w:pPr>
        <w:tabs>
          <w:tab w:val="left" w:pos="240"/>
        </w:tabs>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840" w:type="dxa"/>
            <w:tcBorders>
              <w:bottom w:val="single" w:color="auto" w:sz="4" w:space="0"/>
            </w:tcBorders>
          </w:tcPr>
          <w:p>
            <w:pPr>
              <w:tabs>
                <w:tab w:val="left" w:pos="240"/>
              </w:tabs>
              <w:jc w:val="center"/>
              <w:rPr>
                <w:position w:val="-50"/>
                <w:sz w:val="24"/>
              </w:rPr>
            </w:pPr>
            <w:r>
              <w:rPr>
                <w:position w:val="-50"/>
                <w:sz w:val="24"/>
              </w:rPr>
              <w:t>序 号</w:t>
            </w:r>
          </w:p>
        </w:tc>
        <w:tc>
          <w:tcPr>
            <w:tcW w:w="1890" w:type="dxa"/>
            <w:tcBorders>
              <w:bottom w:val="single" w:color="auto" w:sz="4" w:space="0"/>
            </w:tcBorders>
          </w:tcPr>
          <w:p>
            <w:pPr>
              <w:tabs>
                <w:tab w:val="left" w:pos="240"/>
              </w:tabs>
              <w:jc w:val="center"/>
              <w:rPr>
                <w:position w:val="-32"/>
                <w:sz w:val="24"/>
              </w:rPr>
            </w:pPr>
            <w:r>
              <w:rPr>
                <w:position w:val="-32"/>
                <w:sz w:val="24"/>
              </w:rPr>
              <w:t>设施或设备</w:t>
            </w:r>
          </w:p>
          <w:p>
            <w:pPr>
              <w:tabs>
                <w:tab w:val="left" w:pos="240"/>
              </w:tabs>
              <w:jc w:val="center"/>
              <w:rPr>
                <w:sz w:val="24"/>
              </w:rPr>
            </w:pPr>
            <w:r>
              <w:rPr>
                <w:position w:val="-32"/>
                <w:sz w:val="24"/>
              </w:rPr>
              <w:t>名  称</w:t>
            </w:r>
          </w:p>
        </w:tc>
        <w:tc>
          <w:tcPr>
            <w:tcW w:w="975" w:type="dxa"/>
            <w:tcBorders>
              <w:bottom w:val="single" w:color="auto" w:sz="4" w:space="0"/>
            </w:tcBorders>
          </w:tcPr>
          <w:p>
            <w:pPr>
              <w:tabs>
                <w:tab w:val="left" w:pos="240"/>
              </w:tabs>
              <w:jc w:val="center"/>
              <w:rPr>
                <w:position w:val="-50"/>
                <w:sz w:val="24"/>
              </w:rPr>
            </w:pPr>
            <w:r>
              <w:rPr>
                <w:position w:val="-50"/>
                <w:sz w:val="24"/>
              </w:rPr>
              <w:t>单 位</w:t>
            </w:r>
          </w:p>
        </w:tc>
        <w:tc>
          <w:tcPr>
            <w:tcW w:w="996" w:type="dxa"/>
            <w:tcBorders>
              <w:bottom w:val="single" w:color="auto" w:sz="4" w:space="0"/>
            </w:tcBorders>
          </w:tcPr>
          <w:p>
            <w:pPr>
              <w:tabs>
                <w:tab w:val="left" w:pos="240"/>
              </w:tabs>
              <w:jc w:val="center"/>
              <w:rPr>
                <w:position w:val="-50"/>
                <w:sz w:val="24"/>
              </w:rPr>
            </w:pPr>
            <w:r>
              <w:rPr>
                <w:position w:val="-50"/>
                <w:sz w:val="24"/>
              </w:rPr>
              <w:t>数 量</w:t>
            </w:r>
          </w:p>
        </w:tc>
        <w:tc>
          <w:tcPr>
            <w:tcW w:w="1494" w:type="dxa"/>
            <w:tcBorders>
              <w:bottom w:val="single" w:color="auto" w:sz="4" w:space="0"/>
            </w:tcBorders>
          </w:tcPr>
          <w:p>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pPr>
              <w:tabs>
                <w:tab w:val="left" w:pos="240"/>
              </w:tabs>
              <w:jc w:val="center"/>
              <w:rPr>
                <w:position w:val="-50"/>
                <w:sz w:val="24"/>
              </w:rPr>
            </w:pPr>
            <w:r>
              <w:rPr>
                <w:position w:val="-50"/>
                <w:sz w:val="24"/>
              </w:rPr>
              <w:t xml:space="preserve">如有偿提供的说明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840" w:type="dxa"/>
          </w:tcPr>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tc>
        <w:tc>
          <w:tcPr>
            <w:tcW w:w="1890" w:type="dxa"/>
          </w:tcPr>
          <w:p>
            <w:pPr>
              <w:tabs>
                <w:tab w:val="left" w:pos="240"/>
              </w:tabs>
            </w:pPr>
          </w:p>
        </w:tc>
        <w:tc>
          <w:tcPr>
            <w:tcW w:w="975" w:type="dxa"/>
          </w:tcPr>
          <w:p>
            <w:pPr>
              <w:tabs>
                <w:tab w:val="left" w:pos="240"/>
              </w:tabs>
            </w:pPr>
          </w:p>
        </w:tc>
        <w:tc>
          <w:tcPr>
            <w:tcW w:w="996" w:type="dxa"/>
          </w:tcPr>
          <w:p>
            <w:pPr>
              <w:tabs>
                <w:tab w:val="left" w:pos="240"/>
              </w:tabs>
            </w:pPr>
          </w:p>
        </w:tc>
        <w:tc>
          <w:tcPr>
            <w:tcW w:w="1494" w:type="dxa"/>
          </w:tcPr>
          <w:p>
            <w:pPr>
              <w:tabs>
                <w:tab w:val="left" w:pos="240"/>
              </w:tabs>
            </w:pPr>
          </w:p>
        </w:tc>
        <w:tc>
          <w:tcPr>
            <w:tcW w:w="2409" w:type="dxa"/>
          </w:tcPr>
          <w:p>
            <w:pPr>
              <w:tabs>
                <w:tab w:val="left" w:pos="240"/>
              </w:tab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04" w:type="dxa"/>
            <w:gridSpan w:val="6"/>
          </w:tcPr>
          <w:p>
            <w:pPr>
              <w:pStyle w:val="19"/>
            </w:pPr>
            <w:r>
              <w:t>备注：凡需采购人提供的设备、房屋、通讯及其他办公设施，应注明免费提供或不免费提供，如有偿提供，采购人承担多少，供应商承担多少，本表应详细列清。</w:t>
            </w:r>
          </w:p>
          <w:p>
            <w:pPr>
              <w:tabs>
                <w:tab w:val="left" w:pos="240"/>
              </w:tabs>
            </w:pPr>
          </w:p>
        </w:tc>
      </w:tr>
    </w:tbl>
    <w:p>
      <w:pPr>
        <w:tabs>
          <w:tab w:val="left" w:pos="240"/>
          <w:tab w:val="left" w:pos="7665"/>
        </w:tabs>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rPr>
      </w:pPr>
      <w:r>
        <w:rPr>
          <w:b/>
          <w:sz w:val="24"/>
        </w:rPr>
        <w:br w:type="page"/>
      </w:r>
    </w:p>
    <w:p>
      <w:pPr>
        <w:spacing w:line="560" w:lineRule="exact"/>
        <w:jc w:val="left"/>
        <w:rPr>
          <w:b/>
          <w:sz w:val="24"/>
        </w:rPr>
      </w:pPr>
      <w:r>
        <w:rPr>
          <w:b/>
          <w:sz w:val="24"/>
        </w:rPr>
        <w:t>附件1</w:t>
      </w:r>
      <w:r>
        <w:rPr>
          <w:rFonts w:hint="eastAsia"/>
          <w:b/>
          <w:sz w:val="24"/>
        </w:rPr>
        <w:t>5</w:t>
      </w:r>
      <w:r>
        <w:rPr>
          <w:b/>
          <w:sz w:val="24"/>
        </w:rPr>
        <w:t>：投标人认为需要提供的其他资料</w:t>
      </w:r>
    </w:p>
    <w:p>
      <w:pPr>
        <w:autoSpaceDE w:val="0"/>
        <w:autoSpaceDN w:val="0"/>
        <w:adjustRightInd w:val="0"/>
        <w:spacing w:line="560" w:lineRule="exact"/>
        <w:outlineLvl w:val="0"/>
        <w:rPr>
          <w:b/>
          <w:sz w:val="24"/>
        </w:rPr>
      </w:pPr>
    </w:p>
    <w:p>
      <w:pPr>
        <w:tabs>
          <w:tab w:val="left" w:pos="412"/>
          <w:tab w:val="left" w:pos="618"/>
        </w:tabs>
        <w:spacing w:line="520" w:lineRule="exact"/>
        <w:jc w:val="center"/>
        <w:rPr>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31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4C8"/>
    <w:rsid w:val="00001FD1"/>
    <w:rsid w:val="00005A05"/>
    <w:rsid w:val="00006243"/>
    <w:rsid w:val="00006501"/>
    <w:rsid w:val="00010DCF"/>
    <w:rsid w:val="000117B3"/>
    <w:rsid w:val="00011B73"/>
    <w:rsid w:val="000121AD"/>
    <w:rsid w:val="00013068"/>
    <w:rsid w:val="00013701"/>
    <w:rsid w:val="00013D55"/>
    <w:rsid w:val="000140B4"/>
    <w:rsid w:val="00017C2D"/>
    <w:rsid w:val="00020E27"/>
    <w:rsid w:val="00024BF1"/>
    <w:rsid w:val="000308AC"/>
    <w:rsid w:val="00030FDC"/>
    <w:rsid w:val="00032015"/>
    <w:rsid w:val="00032847"/>
    <w:rsid w:val="00033A5B"/>
    <w:rsid w:val="00033D18"/>
    <w:rsid w:val="000345BC"/>
    <w:rsid w:val="00034E45"/>
    <w:rsid w:val="00035055"/>
    <w:rsid w:val="00036A32"/>
    <w:rsid w:val="00040082"/>
    <w:rsid w:val="000403B6"/>
    <w:rsid w:val="0004130F"/>
    <w:rsid w:val="0004135F"/>
    <w:rsid w:val="00042F29"/>
    <w:rsid w:val="00042FFE"/>
    <w:rsid w:val="00043B7E"/>
    <w:rsid w:val="0004475D"/>
    <w:rsid w:val="00045D88"/>
    <w:rsid w:val="00046460"/>
    <w:rsid w:val="000469AD"/>
    <w:rsid w:val="00050365"/>
    <w:rsid w:val="00051D98"/>
    <w:rsid w:val="00052B54"/>
    <w:rsid w:val="0005352C"/>
    <w:rsid w:val="00056208"/>
    <w:rsid w:val="0005643C"/>
    <w:rsid w:val="00056ECA"/>
    <w:rsid w:val="00056EF3"/>
    <w:rsid w:val="00057491"/>
    <w:rsid w:val="000607D4"/>
    <w:rsid w:val="00060B6F"/>
    <w:rsid w:val="00061731"/>
    <w:rsid w:val="00062D77"/>
    <w:rsid w:val="0006487A"/>
    <w:rsid w:val="00065BDD"/>
    <w:rsid w:val="000661F1"/>
    <w:rsid w:val="0007081F"/>
    <w:rsid w:val="00072919"/>
    <w:rsid w:val="00073133"/>
    <w:rsid w:val="0007418A"/>
    <w:rsid w:val="00074D95"/>
    <w:rsid w:val="00074F44"/>
    <w:rsid w:val="00075452"/>
    <w:rsid w:val="000756A0"/>
    <w:rsid w:val="00075C85"/>
    <w:rsid w:val="00076BA5"/>
    <w:rsid w:val="0007747C"/>
    <w:rsid w:val="000820EA"/>
    <w:rsid w:val="000826F9"/>
    <w:rsid w:val="00083B4F"/>
    <w:rsid w:val="000842C1"/>
    <w:rsid w:val="00086439"/>
    <w:rsid w:val="00090D0B"/>
    <w:rsid w:val="00092093"/>
    <w:rsid w:val="00092400"/>
    <w:rsid w:val="00092E24"/>
    <w:rsid w:val="00093E5B"/>
    <w:rsid w:val="00094246"/>
    <w:rsid w:val="000976B5"/>
    <w:rsid w:val="000A1142"/>
    <w:rsid w:val="000A1807"/>
    <w:rsid w:val="000A1F05"/>
    <w:rsid w:val="000A536B"/>
    <w:rsid w:val="000A54B8"/>
    <w:rsid w:val="000A5CEA"/>
    <w:rsid w:val="000A62E5"/>
    <w:rsid w:val="000B068A"/>
    <w:rsid w:val="000B1CA7"/>
    <w:rsid w:val="000B2975"/>
    <w:rsid w:val="000B4BF2"/>
    <w:rsid w:val="000B520E"/>
    <w:rsid w:val="000C1B8E"/>
    <w:rsid w:val="000C3083"/>
    <w:rsid w:val="000C337F"/>
    <w:rsid w:val="000C37FE"/>
    <w:rsid w:val="000C389C"/>
    <w:rsid w:val="000C47FD"/>
    <w:rsid w:val="000C663F"/>
    <w:rsid w:val="000C6B01"/>
    <w:rsid w:val="000C6CA8"/>
    <w:rsid w:val="000C7508"/>
    <w:rsid w:val="000C7A3F"/>
    <w:rsid w:val="000D0E7D"/>
    <w:rsid w:val="000D26D7"/>
    <w:rsid w:val="000D2F5A"/>
    <w:rsid w:val="000D3B22"/>
    <w:rsid w:val="000D4EA3"/>
    <w:rsid w:val="000D514E"/>
    <w:rsid w:val="000D5DE9"/>
    <w:rsid w:val="000E1D6E"/>
    <w:rsid w:val="000E50F9"/>
    <w:rsid w:val="000E5380"/>
    <w:rsid w:val="000E660F"/>
    <w:rsid w:val="000E69C0"/>
    <w:rsid w:val="000E6A76"/>
    <w:rsid w:val="000E775B"/>
    <w:rsid w:val="000F0BA2"/>
    <w:rsid w:val="000F1202"/>
    <w:rsid w:val="000F1454"/>
    <w:rsid w:val="000F3219"/>
    <w:rsid w:val="000F48D9"/>
    <w:rsid w:val="000F4D4E"/>
    <w:rsid w:val="000F5A63"/>
    <w:rsid w:val="000F5C82"/>
    <w:rsid w:val="000F6957"/>
    <w:rsid w:val="000F6A99"/>
    <w:rsid w:val="000F7788"/>
    <w:rsid w:val="000F7CBE"/>
    <w:rsid w:val="00100106"/>
    <w:rsid w:val="00100469"/>
    <w:rsid w:val="00100D67"/>
    <w:rsid w:val="001035D7"/>
    <w:rsid w:val="00104DAD"/>
    <w:rsid w:val="00107900"/>
    <w:rsid w:val="00110D79"/>
    <w:rsid w:val="0011152B"/>
    <w:rsid w:val="0011216F"/>
    <w:rsid w:val="001134D0"/>
    <w:rsid w:val="00115F8E"/>
    <w:rsid w:val="001165C6"/>
    <w:rsid w:val="001214B0"/>
    <w:rsid w:val="001215B9"/>
    <w:rsid w:val="00121CDE"/>
    <w:rsid w:val="00123BF8"/>
    <w:rsid w:val="001256ED"/>
    <w:rsid w:val="00125A14"/>
    <w:rsid w:val="0012609D"/>
    <w:rsid w:val="00126378"/>
    <w:rsid w:val="001307C5"/>
    <w:rsid w:val="00130AD2"/>
    <w:rsid w:val="0013319F"/>
    <w:rsid w:val="00135039"/>
    <w:rsid w:val="00135218"/>
    <w:rsid w:val="00136D2C"/>
    <w:rsid w:val="00136F51"/>
    <w:rsid w:val="00137C1D"/>
    <w:rsid w:val="001411F4"/>
    <w:rsid w:val="00141664"/>
    <w:rsid w:val="00142BFD"/>
    <w:rsid w:val="00143B4D"/>
    <w:rsid w:val="0014400B"/>
    <w:rsid w:val="00145FEE"/>
    <w:rsid w:val="0014712D"/>
    <w:rsid w:val="00147888"/>
    <w:rsid w:val="00151A9A"/>
    <w:rsid w:val="00152128"/>
    <w:rsid w:val="001524A8"/>
    <w:rsid w:val="00153D9D"/>
    <w:rsid w:val="00154571"/>
    <w:rsid w:val="00155128"/>
    <w:rsid w:val="00156631"/>
    <w:rsid w:val="0016029E"/>
    <w:rsid w:val="00161AF2"/>
    <w:rsid w:val="00161F5F"/>
    <w:rsid w:val="001641AE"/>
    <w:rsid w:val="001659F0"/>
    <w:rsid w:val="00166ECA"/>
    <w:rsid w:val="001672E5"/>
    <w:rsid w:val="001704C8"/>
    <w:rsid w:val="001707F2"/>
    <w:rsid w:val="00170DF2"/>
    <w:rsid w:val="00173561"/>
    <w:rsid w:val="0017520C"/>
    <w:rsid w:val="001777A4"/>
    <w:rsid w:val="00181ED5"/>
    <w:rsid w:val="001834DA"/>
    <w:rsid w:val="001835D7"/>
    <w:rsid w:val="001837F4"/>
    <w:rsid w:val="00185D85"/>
    <w:rsid w:val="00186083"/>
    <w:rsid w:val="00186706"/>
    <w:rsid w:val="00187F62"/>
    <w:rsid w:val="00192D05"/>
    <w:rsid w:val="00193954"/>
    <w:rsid w:val="00193BCD"/>
    <w:rsid w:val="0019431D"/>
    <w:rsid w:val="00194996"/>
    <w:rsid w:val="00194FBC"/>
    <w:rsid w:val="00195382"/>
    <w:rsid w:val="00195954"/>
    <w:rsid w:val="00196A86"/>
    <w:rsid w:val="00196D6B"/>
    <w:rsid w:val="00196E07"/>
    <w:rsid w:val="001A0F97"/>
    <w:rsid w:val="001A142F"/>
    <w:rsid w:val="001A2748"/>
    <w:rsid w:val="001A2919"/>
    <w:rsid w:val="001A3DE3"/>
    <w:rsid w:val="001A46F9"/>
    <w:rsid w:val="001A515E"/>
    <w:rsid w:val="001A5B9A"/>
    <w:rsid w:val="001A7E14"/>
    <w:rsid w:val="001B544A"/>
    <w:rsid w:val="001B5BEA"/>
    <w:rsid w:val="001B7A8A"/>
    <w:rsid w:val="001C0132"/>
    <w:rsid w:val="001C0763"/>
    <w:rsid w:val="001C0E64"/>
    <w:rsid w:val="001C1981"/>
    <w:rsid w:val="001C34B4"/>
    <w:rsid w:val="001C50CC"/>
    <w:rsid w:val="001C5E9D"/>
    <w:rsid w:val="001C7055"/>
    <w:rsid w:val="001D1850"/>
    <w:rsid w:val="001D4FB9"/>
    <w:rsid w:val="001D501D"/>
    <w:rsid w:val="001E0712"/>
    <w:rsid w:val="001E079C"/>
    <w:rsid w:val="001E30AF"/>
    <w:rsid w:val="001E310C"/>
    <w:rsid w:val="001E3AAF"/>
    <w:rsid w:val="001E3CB7"/>
    <w:rsid w:val="001F0517"/>
    <w:rsid w:val="001F0C14"/>
    <w:rsid w:val="001F2867"/>
    <w:rsid w:val="001F29C1"/>
    <w:rsid w:val="001F2B50"/>
    <w:rsid w:val="001F345B"/>
    <w:rsid w:val="001F4AD6"/>
    <w:rsid w:val="001F6467"/>
    <w:rsid w:val="001F65EF"/>
    <w:rsid w:val="001F6DCF"/>
    <w:rsid w:val="001F6E0B"/>
    <w:rsid w:val="001F7A52"/>
    <w:rsid w:val="001F7C86"/>
    <w:rsid w:val="001F7FFB"/>
    <w:rsid w:val="00200243"/>
    <w:rsid w:val="002027E3"/>
    <w:rsid w:val="00204B95"/>
    <w:rsid w:val="00205B78"/>
    <w:rsid w:val="00206328"/>
    <w:rsid w:val="002071BA"/>
    <w:rsid w:val="0020759C"/>
    <w:rsid w:val="00207C76"/>
    <w:rsid w:val="002113A2"/>
    <w:rsid w:val="00212E26"/>
    <w:rsid w:val="00214D65"/>
    <w:rsid w:val="002155A4"/>
    <w:rsid w:val="0021638D"/>
    <w:rsid w:val="0022041A"/>
    <w:rsid w:val="00220469"/>
    <w:rsid w:val="00220883"/>
    <w:rsid w:val="00225865"/>
    <w:rsid w:val="00230077"/>
    <w:rsid w:val="002320BD"/>
    <w:rsid w:val="00232789"/>
    <w:rsid w:val="00233239"/>
    <w:rsid w:val="00233634"/>
    <w:rsid w:val="0023422D"/>
    <w:rsid w:val="00240F84"/>
    <w:rsid w:val="00242503"/>
    <w:rsid w:val="00242948"/>
    <w:rsid w:val="00243DC1"/>
    <w:rsid w:val="00244482"/>
    <w:rsid w:val="00244829"/>
    <w:rsid w:val="0024790F"/>
    <w:rsid w:val="00247A26"/>
    <w:rsid w:val="00250531"/>
    <w:rsid w:val="00250CEF"/>
    <w:rsid w:val="00251A9E"/>
    <w:rsid w:val="00251ED7"/>
    <w:rsid w:val="00253B95"/>
    <w:rsid w:val="00253C23"/>
    <w:rsid w:val="00254AA0"/>
    <w:rsid w:val="00255546"/>
    <w:rsid w:val="00255CA7"/>
    <w:rsid w:val="00256A4A"/>
    <w:rsid w:val="002575F6"/>
    <w:rsid w:val="00261288"/>
    <w:rsid w:val="002615C3"/>
    <w:rsid w:val="00261C83"/>
    <w:rsid w:val="002637BC"/>
    <w:rsid w:val="00263FB7"/>
    <w:rsid w:val="00264E8A"/>
    <w:rsid w:val="00265A6E"/>
    <w:rsid w:val="00265B2C"/>
    <w:rsid w:val="00265CF6"/>
    <w:rsid w:val="00266403"/>
    <w:rsid w:val="00266956"/>
    <w:rsid w:val="00266AAA"/>
    <w:rsid w:val="002700CD"/>
    <w:rsid w:val="00270448"/>
    <w:rsid w:val="00271086"/>
    <w:rsid w:val="0027114A"/>
    <w:rsid w:val="002717D2"/>
    <w:rsid w:val="00274610"/>
    <w:rsid w:val="00274CF5"/>
    <w:rsid w:val="00274DD6"/>
    <w:rsid w:val="00275C48"/>
    <w:rsid w:val="0027741B"/>
    <w:rsid w:val="00277AEF"/>
    <w:rsid w:val="002804EC"/>
    <w:rsid w:val="00280C49"/>
    <w:rsid w:val="00280F47"/>
    <w:rsid w:val="00282377"/>
    <w:rsid w:val="0028284B"/>
    <w:rsid w:val="00283365"/>
    <w:rsid w:val="00283BE8"/>
    <w:rsid w:val="00284D89"/>
    <w:rsid w:val="00285748"/>
    <w:rsid w:val="00286822"/>
    <w:rsid w:val="00286A3C"/>
    <w:rsid w:val="00287CFF"/>
    <w:rsid w:val="00292BE5"/>
    <w:rsid w:val="00293728"/>
    <w:rsid w:val="00293B4A"/>
    <w:rsid w:val="002948B5"/>
    <w:rsid w:val="00294986"/>
    <w:rsid w:val="00294EAF"/>
    <w:rsid w:val="00294F51"/>
    <w:rsid w:val="00295416"/>
    <w:rsid w:val="00295883"/>
    <w:rsid w:val="0029610C"/>
    <w:rsid w:val="002972B7"/>
    <w:rsid w:val="00297EAE"/>
    <w:rsid w:val="002A4B3C"/>
    <w:rsid w:val="002A59C2"/>
    <w:rsid w:val="002A5E55"/>
    <w:rsid w:val="002A7EFF"/>
    <w:rsid w:val="002B29DD"/>
    <w:rsid w:val="002B3BB4"/>
    <w:rsid w:val="002B3BFC"/>
    <w:rsid w:val="002B41E4"/>
    <w:rsid w:val="002B538F"/>
    <w:rsid w:val="002B7E9C"/>
    <w:rsid w:val="002C0346"/>
    <w:rsid w:val="002C1B67"/>
    <w:rsid w:val="002C696D"/>
    <w:rsid w:val="002C6C31"/>
    <w:rsid w:val="002D02A5"/>
    <w:rsid w:val="002D07F8"/>
    <w:rsid w:val="002D09CD"/>
    <w:rsid w:val="002D114E"/>
    <w:rsid w:val="002D17E4"/>
    <w:rsid w:val="002D1D5D"/>
    <w:rsid w:val="002D1D64"/>
    <w:rsid w:val="002D4603"/>
    <w:rsid w:val="002D58F2"/>
    <w:rsid w:val="002D5B4E"/>
    <w:rsid w:val="002D6704"/>
    <w:rsid w:val="002D69D2"/>
    <w:rsid w:val="002D6DA5"/>
    <w:rsid w:val="002D780C"/>
    <w:rsid w:val="002E1053"/>
    <w:rsid w:val="002E192F"/>
    <w:rsid w:val="002E23A2"/>
    <w:rsid w:val="002E245E"/>
    <w:rsid w:val="002E3C4F"/>
    <w:rsid w:val="002E4551"/>
    <w:rsid w:val="002F1119"/>
    <w:rsid w:val="002F245E"/>
    <w:rsid w:val="002F2B2F"/>
    <w:rsid w:val="002F2B42"/>
    <w:rsid w:val="002F2C9F"/>
    <w:rsid w:val="002F2DE9"/>
    <w:rsid w:val="002F4388"/>
    <w:rsid w:val="002F4792"/>
    <w:rsid w:val="003036EA"/>
    <w:rsid w:val="003104E5"/>
    <w:rsid w:val="0031086D"/>
    <w:rsid w:val="00311322"/>
    <w:rsid w:val="00311DE3"/>
    <w:rsid w:val="00313073"/>
    <w:rsid w:val="003135A7"/>
    <w:rsid w:val="0031461A"/>
    <w:rsid w:val="00314D15"/>
    <w:rsid w:val="003159EF"/>
    <w:rsid w:val="00320416"/>
    <w:rsid w:val="00321DA5"/>
    <w:rsid w:val="00321E99"/>
    <w:rsid w:val="00322EA4"/>
    <w:rsid w:val="00323BA3"/>
    <w:rsid w:val="003246AC"/>
    <w:rsid w:val="00324DDC"/>
    <w:rsid w:val="00325832"/>
    <w:rsid w:val="003272C1"/>
    <w:rsid w:val="00330B45"/>
    <w:rsid w:val="0033138A"/>
    <w:rsid w:val="00332319"/>
    <w:rsid w:val="00335E90"/>
    <w:rsid w:val="003427C3"/>
    <w:rsid w:val="00343849"/>
    <w:rsid w:val="00343990"/>
    <w:rsid w:val="003473CD"/>
    <w:rsid w:val="00347B8A"/>
    <w:rsid w:val="0035054E"/>
    <w:rsid w:val="00350E8A"/>
    <w:rsid w:val="0035257E"/>
    <w:rsid w:val="00355EEA"/>
    <w:rsid w:val="00355FE3"/>
    <w:rsid w:val="003562E3"/>
    <w:rsid w:val="003608FC"/>
    <w:rsid w:val="00360C8B"/>
    <w:rsid w:val="00364265"/>
    <w:rsid w:val="0036484D"/>
    <w:rsid w:val="00367868"/>
    <w:rsid w:val="003707F6"/>
    <w:rsid w:val="0037085F"/>
    <w:rsid w:val="00373C07"/>
    <w:rsid w:val="003745F7"/>
    <w:rsid w:val="00374D2C"/>
    <w:rsid w:val="00375FE1"/>
    <w:rsid w:val="0037688C"/>
    <w:rsid w:val="00377781"/>
    <w:rsid w:val="003839AE"/>
    <w:rsid w:val="00383A58"/>
    <w:rsid w:val="003840EC"/>
    <w:rsid w:val="0038431F"/>
    <w:rsid w:val="00384368"/>
    <w:rsid w:val="003853E9"/>
    <w:rsid w:val="00385FC8"/>
    <w:rsid w:val="0038662C"/>
    <w:rsid w:val="00386C2D"/>
    <w:rsid w:val="00391719"/>
    <w:rsid w:val="003918BD"/>
    <w:rsid w:val="00391FD0"/>
    <w:rsid w:val="0039235B"/>
    <w:rsid w:val="003926CA"/>
    <w:rsid w:val="00393D9B"/>
    <w:rsid w:val="00394236"/>
    <w:rsid w:val="00394B36"/>
    <w:rsid w:val="00395727"/>
    <w:rsid w:val="003A1E61"/>
    <w:rsid w:val="003A3B25"/>
    <w:rsid w:val="003A3B52"/>
    <w:rsid w:val="003A3CF3"/>
    <w:rsid w:val="003A4B1D"/>
    <w:rsid w:val="003A7FEB"/>
    <w:rsid w:val="003B0605"/>
    <w:rsid w:val="003B084F"/>
    <w:rsid w:val="003B339F"/>
    <w:rsid w:val="003B5E63"/>
    <w:rsid w:val="003B6213"/>
    <w:rsid w:val="003B6D2D"/>
    <w:rsid w:val="003B7218"/>
    <w:rsid w:val="003B78E0"/>
    <w:rsid w:val="003C6BEF"/>
    <w:rsid w:val="003C71A3"/>
    <w:rsid w:val="003C7A89"/>
    <w:rsid w:val="003C7ED9"/>
    <w:rsid w:val="003D02B7"/>
    <w:rsid w:val="003D0497"/>
    <w:rsid w:val="003D10B2"/>
    <w:rsid w:val="003D2281"/>
    <w:rsid w:val="003D2351"/>
    <w:rsid w:val="003D2EF8"/>
    <w:rsid w:val="003D6DDA"/>
    <w:rsid w:val="003D71FD"/>
    <w:rsid w:val="003E100D"/>
    <w:rsid w:val="003E1D9F"/>
    <w:rsid w:val="003E2404"/>
    <w:rsid w:val="003E2BBE"/>
    <w:rsid w:val="003E3D17"/>
    <w:rsid w:val="003E4892"/>
    <w:rsid w:val="003E4B1B"/>
    <w:rsid w:val="003E5355"/>
    <w:rsid w:val="003E5923"/>
    <w:rsid w:val="003E5E39"/>
    <w:rsid w:val="003E6585"/>
    <w:rsid w:val="003E6E8F"/>
    <w:rsid w:val="003E71CA"/>
    <w:rsid w:val="003F0986"/>
    <w:rsid w:val="003F28ED"/>
    <w:rsid w:val="003F4142"/>
    <w:rsid w:val="003F5331"/>
    <w:rsid w:val="003F68DF"/>
    <w:rsid w:val="003F6B18"/>
    <w:rsid w:val="003F7025"/>
    <w:rsid w:val="00400757"/>
    <w:rsid w:val="00400991"/>
    <w:rsid w:val="0040134A"/>
    <w:rsid w:val="00401962"/>
    <w:rsid w:val="00401C4B"/>
    <w:rsid w:val="00402107"/>
    <w:rsid w:val="00402BE6"/>
    <w:rsid w:val="00403070"/>
    <w:rsid w:val="0040553A"/>
    <w:rsid w:val="004055D4"/>
    <w:rsid w:val="0040569C"/>
    <w:rsid w:val="00407C06"/>
    <w:rsid w:val="00410A95"/>
    <w:rsid w:val="00410B10"/>
    <w:rsid w:val="00411416"/>
    <w:rsid w:val="00412894"/>
    <w:rsid w:val="00413972"/>
    <w:rsid w:val="00414802"/>
    <w:rsid w:val="004153D6"/>
    <w:rsid w:val="00415D1E"/>
    <w:rsid w:val="00415D39"/>
    <w:rsid w:val="0041619F"/>
    <w:rsid w:val="00416774"/>
    <w:rsid w:val="00416AFE"/>
    <w:rsid w:val="004176FC"/>
    <w:rsid w:val="0042434B"/>
    <w:rsid w:val="00424D37"/>
    <w:rsid w:val="00424EF2"/>
    <w:rsid w:val="00424F07"/>
    <w:rsid w:val="00425B9F"/>
    <w:rsid w:val="004267C9"/>
    <w:rsid w:val="00427F8D"/>
    <w:rsid w:val="00427FD2"/>
    <w:rsid w:val="00430A20"/>
    <w:rsid w:val="00431536"/>
    <w:rsid w:val="004316B0"/>
    <w:rsid w:val="00431C42"/>
    <w:rsid w:val="00431FC5"/>
    <w:rsid w:val="00432C99"/>
    <w:rsid w:val="004377AC"/>
    <w:rsid w:val="00437DB0"/>
    <w:rsid w:val="00441A18"/>
    <w:rsid w:val="00441E89"/>
    <w:rsid w:val="004424FE"/>
    <w:rsid w:val="00443C74"/>
    <w:rsid w:val="00445313"/>
    <w:rsid w:val="00446120"/>
    <w:rsid w:val="00447974"/>
    <w:rsid w:val="00450577"/>
    <w:rsid w:val="004519C8"/>
    <w:rsid w:val="00454160"/>
    <w:rsid w:val="004559D5"/>
    <w:rsid w:val="00455C62"/>
    <w:rsid w:val="00455C9F"/>
    <w:rsid w:val="00455F7E"/>
    <w:rsid w:val="0045618D"/>
    <w:rsid w:val="00456E96"/>
    <w:rsid w:val="00457B84"/>
    <w:rsid w:val="00460809"/>
    <w:rsid w:val="00461A5D"/>
    <w:rsid w:val="00464999"/>
    <w:rsid w:val="0046640A"/>
    <w:rsid w:val="0046640D"/>
    <w:rsid w:val="0046734F"/>
    <w:rsid w:val="00467B91"/>
    <w:rsid w:val="00467BBC"/>
    <w:rsid w:val="00470560"/>
    <w:rsid w:val="00472573"/>
    <w:rsid w:val="00472C82"/>
    <w:rsid w:val="004740E4"/>
    <w:rsid w:val="00475471"/>
    <w:rsid w:val="00476B86"/>
    <w:rsid w:val="00480BCD"/>
    <w:rsid w:val="00481999"/>
    <w:rsid w:val="004826E0"/>
    <w:rsid w:val="00482F3C"/>
    <w:rsid w:val="00485319"/>
    <w:rsid w:val="00487BC9"/>
    <w:rsid w:val="00491047"/>
    <w:rsid w:val="0049363D"/>
    <w:rsid w:val="00495ECD"/>
    <w:rsid w:val="0049637D"/>
    <w:rsid w:val="004A0F57"/>
    <w:rsid w:val="004A18BA"/>
    <w:rsid w:val="004A1E95"/>
    <w:rsid w:val="004A3709"/>
    <w:rsid w:val="004A3758"/>
    <w:rsid w:val="004A3B65"/>
    <w:rsid w:val="004A3F33"/>
    <w:rsid w:val="004A4E98"/>
    <w:rsid w:val="004A4EE2"/>
    <w:rsid w:val="004A5116"/>
    <w:rsid w:val="004A7516"/>
    <w:rsid w:val="004A7F72"/>
    <w:rsid w:val="004B0E80"/>
    <w:rsid w:val="004B15B1"/>
    <w:rsid w:val="004B21B1"/>
    <w:rsid w:val="004B2DBB"/>
    <w:rsid w:val="004B326B"/>
    <w:rsid w:val="004B4D3A"/>
    <w:rsid w:val="004B66E2"/>
    <w:rsid w:val="004B725D"/>
    <w:rsid w:val="004C152E"/>
    <w:rsid w:val="004C1F92"/>
    <w:rsid w:val="004C2B12"/>
    <w:rsid w:val="004C4AE3"/>
    <w:rsid w:val="004C5B83"/>
    <w:rsid w:val="004C7125"/>
    <w:rsid w:val="004D0995"/>
    <w:rsid w:val="004D2DC3"/>
    <w:rsid w:val="004D563B"/>
    <w:rsid w:val="004D5F22"/>
    <w:rsid w:val="004D6293"/>
    <w:rsid w:val="004D6546"/>
    <w:rsid w:val="004D6ABE"/>
    <w:rsid w:val="004D6C1B"/>
    <w:rsid w:val="004E0B40"/>
    <w:rsid w:val="004E1922"/>
    <w:rsid w:val="004E1CA8"/>
    <w:rsid w:val="004E38E3"/>
    <w:rsid w:val="004E4AE9"/>
    <w:rsid w:val="004E4F0B"/>
    <w:rsid w:val="004E65F6"/>
    <w:rsid w:val="004E75B5"/>
    <w:rsid w:val="004E7E90"/>
    <w:rsid w:val="004F011E"/>
    <w:rsid w:val="004F12E5"/>
    <w:rsid w:val="004F4B4A"/>
    <w:rsid w:val="004F55DE"/>
    <w:rsid w:val="004F5A29"/>
    <w:rsid w:val="004F6CE1"/>
    <w:rsid w:val="004F7AFC"/>
    <w:rsid w:val="004F7B5C"/>
    <w:rsid w:val="00500217"/>
    <w:rsid w:val="005016F6"/>
    <w:rsid w:val="00502349"/>
    <w:rsid w:val="00502D44"/>
    <w:rsid w:val="00502D72"/>
    <w:rsid w:val="0050600F"/>
    <w:rsid w:val="00506A46"/>
    <w:rsid w:val="00506C8E"/>
    <w:rsid w:val="00506CD1"/>
    <w:rsid w:val="00506EDA"/>
    <w:rsid w:val="00507E3B"/>
    <w:rsid w:val="00511BDC"/>
    <w:rsid w:val="005131C3"/>
    <w:rsid w:val="00513A4E"/>
    <w:rsid w:val="00514EDA"/>
    <w:rsid w:val="00517513"/>
    <w:rsid w:val="00517CB0"/>
    <w:rsid w:val="005201BE"/>
    <w:rsid w:val="00524604"/>
    <w:rsid w:val="00525EE9"/>
    <w:rsid w:val="00530059"/>
    <w:rsid w:val="0053021A"/>
    <w:rsid w:val="00530D50"/>
    <w:rsid w:val="005329BE"/>
    <w:rsid w:val="005334B4"/>
    <w:rsid w:val="0053392E"/>
    <w:rsid w:val="00533D3B"/>
    <w:rsid w:val="005349D4"/>
    <w:rsid w:val="005378F0"/>
    <w:rsid w:val="00537D63"/>
    <w:rsid w:val="005407BF"/>
    <w:rsid w:val="00541378"/>
    <w:rsid w:val="00542508"/>
    <w:rsid w:val="0054313B"/>
    <w:rsid w:val="00544107"/>
    <w:rsid w:val="00544955"/>
    <w:rsid w:val="005449BE"/>
    <w:rsid w:val="00545C92"/>
    <w:rsid w:val="005467BC"/>
    <w:rsid w:val="00547367"/>
    <w:rsid w:val="005506C7"/>
    <w:rsid w:val="0055079B"/>
    <w:rsid w:val="00550B2F"/>
    <w:rsid w:val="00550CEE"/>
    <w:rsid w:val="00554269"/>
    <w:rsid w:val="00555248"/>
    <w:rsid w:val="00555DDD"/>
    <w:rsid w:val="0055739D"/>
    <w:rsid w:val="00557C71"/>
    <w:rsid w:val="00560004"/>
    <w:rsid w:val="0056011E"/>
    <w:rsid w:val="00560336"/>
    <w:rsid w:val="0056453E"/>
    <w:rsid w:val="00570D6F"/>
    <w:rsid w:val="0057120E"/>
    <w:rsid w:val="005718A8"/>
    <w:rsid w:val="00572118"/>
    <w:rsid w:val="00572610"/>
    <w:rsid w:val="00572E0A"/>
    <w:rsid w:val="005737C6"/>
    <w:rsid w:val="00574922"/>
    <w:rsid w:val="00575DF4"/>
    <w:rsid w:val="00576189"/>
    <w:rsid w:val="00580546"/>
    <w:rsid w:val="005823AD"/>
    <w:rsid w:val="005842A0"/>
    <w:rsid w:val="0058472E"/>
    <w:rsid w:val="00584D37"/>
    <w:rsid w:val="00585C24"/>
    <w:rsid w:val="0059464B"/>
    <w:rsid w:val="0059473B"/>
    <w:rsid w:val="005953CA"/>
    <w:rsid w:val="005960BA"/>
    <w:rsid w:val="005961F0"/>
    <w:rsid w:val="005975CF"/>
    <w:rsid w:val="005A15D1"/>
    <w:rsid w:val="005A1801"/>
    <w:rsid w:val="005A1927"/>
    <w:rsid w:val="005A2527"/>
    <w:rsid w:val="005A28A8"/>
    <w:rsid w:val="005A329E"/>
    <w:rsid w:val="005A4E6F"/>
    <w:rsid w:val="005A6731"/>
    <w:rsid w:val="005B0F84"/>
    <w:rsid w:val="005B352D"/>
    <w:rsid w:val="005B4263"/>
    <w:rsid w:val="005B5E63"/>
    <w:rsid w:val="005B5FB5"/>
    <w:rsid w:val="005B631B"/>
    <w:rsid w:val="005B6420"/>
    <w:rsid w:val="005C1F12"/>
    <w:rsid w:val="005C463B"/>
    <w:rsid w:val="005C485F"/>
    <w:rsid w:val="005C4964"/>
    <w:rsid w:val="005C4AB3"/>
    <w:rsid w:val="005C5EB1"/>
    <w:rsid w:val="005D086D"/>
    <w:rsid w:val="005D1B17"/>
    <w:rsid w:val="005D3683"/>
    <w:rsid w:val="005D3AB2"/>
    <w:rsid w:val="005D560A"/>
    <w:rsid w:val="005D5BE5"/>
    <w:rsid w:val="005D792B"/>
    <w:rsid w:val="005E2966"/>
    <w:rsid w:val="005E3790"/>
    <w:rsid w:val="005E3793"/>
    <w:rsid w:val="005E4E71"/>
    <w:rsid w:val="005E6149"/>
    <w:rsid w:val="005E64FA"/>
    <w:rsid w:val="005E6BAD"/>
    <w:rsid w:val="005E6EEC"/>
    <w:rsid w:val="005E7FF4"/>
    <w:rsid w:val="005F09CC"/>
    <w:rsid w:val="005F0B19"/>
    <w:rsid w:val="005F1315"/>
    <w:rsid w:val="005F14A5"/>
    <w:rsid w:val="005F2890"/>
    <w:rsid w:val="005F297C"/>
    <w:rsid w:val="005F36FE"/>
    <w:rsid w:val="005F3EB2"/>
    <w:rsid w:val="005F7264"/>
    <w:rsid w:val="006001B2"/>
    <w:rsid w:val="006011A3"/>
    <w:rsid w:val="006014DA"/>
    <w:rsid w:val="00602C26"/>
    <w:rsid w:val="0060379A"/>
    <w:rsid w:val="006038D0"/>
    <w:rsid w:val="00610FEA"/>
    <w:rsid w:val="00611A86"/>
    <w:rsid w:val="00612BD3"/>
    <w:rsid w:val="00613EAC"/>
    <w:rsid w:val="00613F54"/>
    <w:rsid w:val="00616168"/>
    <w:rsid w:val="006168B5"/>
    <w:rsid w:val="00616B13"/>
    <w:rsid w:val="00620130"/>
    <w:rsid w:val="006201C6"/>
    <w:rsid w:val="00620534"/>
    <w:rsid w:val="0062283D"/>
    <w:rsid w:val="00622893"/>
    <w:rsid w:val="00623A31"/>
    <w:rsid w:val="00625361"/>
    <w:rsid w:val="0062548D"/>
    <w:rsid w:val="00627516"/>
    <w:rsid w:val="00630B07"/>
    <w:rsid w:val="00631029"/>
    <w:rsid w:val="00632268"/>
    <w:rsid w:val="00633921"/>
    <w:rsid w:val="00635270"/>
    <w:rsid w:val="00635CA9"/>
    <w:rsid w:val="00635DAE"/>
    <w:rsid w:val="00635E02"/>
    <w:rsid w:val="00637E05"/>
    <w:rsid w:val="00637E0C"/>
    <w:rsid w:val="00641801"/>
    <w:rsid w:val="00641933"/>
    <w:rsid w:val="00643E2E"/>
    <w:rsid w:val="00645CBA"/>
    <w:rsid w:val="006478CA"/>
    <w:rsid w:val="00652EFD"/>
    <w:rsid w:val="0065347D"/>
    <w:rsid w:val="006543D6"/>
    <w:rsid w:val="00657717"/>
    <w:rsid w:val="006577EB"/>
    <w:rsid w:val="00657812"/>
    <w:rsid w:val="006619FF"/>
    <w:rsid w:val="00664115"/>
    <w:rsid w:val="00665F3D"/>
    <w:rsid w:val="00666DD7"/>
    <w:rsid w:val="006675D6"/>
    <w:rsid w:val="00670BE5"/>
    <w:rsid w:val="00672030"/>
    <w:rsid w:val="006720DF"/>
    <w:rsid w:val="00673E88"/>
    <w:rsid w:val="006741E5"/>
    <w:rsid w:val="00674790"/>
    <w:rsid w:val="00674AB0"/>
    <w:rsid w:val="006750EA"/>
    <w:rsid w:val="0067731B"/>
    <w:rsid w:val="00677673"/>
    <w:rsid w:val="00677878"/>
    <w:rsid w:val="006802EF"/>
    <w:rsid w:val="006852AB"/>
    <w:rsid w:val="00685424"/>
    <w:rsid w:val="00685987"/>
    <w:rsid w:val="006871AB"/>
    <w:rsid w:val="00687A9B"/>
    <w:rsid w:val="00687D0B"/>
    <w:rsid w:val="00692004"/>
    <w:rsid w:val="00697818"/>
    <w:rsid w:val="006A0D80"/>
    <w:rsid w:val="006A1852"/>
    <w:rsid w:val="006A1ABF"/>
    <w:rsid w:val="006A1C8A"/>
    <w:rsid w:val="006A29E0"/>
    <w:rsid w:val="006A2FF7"/>
    <w:rsid w:val="006A3C4A"/>
    <w:rsid w:val="006A3D1C"/>
    <w:rsid w:val="006A437D"/>
    <w:rsid w:val="006A4BDB"/>
    <w:rsid w:val="006A5D28"/>
    <w:rsid w:val="006A6621"/>
    <w:rsid w:val="006A6F51"/>
    <w:rsid w:val="006A75E7"/>
    <w:rsid w:val="006B00FC"/>
    <w:rsid w:val="006B0EC3"/>
    <w:rsid w:val="006B2C36"/>
    <w:rsid w:val="006B3128"/>
    <w:rsid w:val="006B52A7"/>
    <w:rsid w:val="006B6EF7"/>
    <w:rsid w:val="006C0461"/>
    <w:rsid w:val="006C21BF"/>
    <w:rsid w:val="006C23C2"/>
    <w:rsid w:val="006C5231"/>
    <w:rsid w:val="006C59A5"/>
    <w:rsid w:val="006C7FB3"/>
    <w:rsid w:val="006D1CF3"/>
    <w:rsid w:val="006D41AD"/>
    <w:rsid w:val="006D42FB"/>
    <w:rsid w:val="006D44C4"/>
    <w:rsid w:val="006D5586"/>
    <w:rsid w:val="006D5F19"/>
    <w:rsid w:val="006E0CD2"/>
    <w:rsid w:val="006E1997"/>
    <w:rsid w:val="006E20B1"/>
    <w:rsid w:val="006E2687"/>
    <w:rsid w:val="006E2EB7"/>
    <w:rsid w:val="006E3C81"/>
    <w:rsid w:val="006E76A5"/>
    <w:rsid w:val="006F0645"/>
    <w:rsid w:val="006F1700"/>
    <w:rsid w:val="006F239F"/>
    <w:rsid w:val="006F3A3B"/>
    <w:rsid w:val="0070070A"/>
    <w:rsid w:val="00705018"/>
    <w:rsid w:val="007058B3"/>
    <w:rsid w:val="007071EE"/>
    <w:rsid w:val="0071193F"/>
    <w:rsid w:val="00713A00"/>
    <w:rsid w:val="007157D5"/>
    <w:rsid w:val="00716AE5"/>
    <w:rsid w:val="007225BB"/>
    <w:rsid w:val="007236BA"/>
    <w:rsid w:val="007238DD"/>
    <w:rsid w:val="00723D02"/>
    <w:rsid w:val="00723D84"/>
    <w:rsid w:val="00723EDE"/>
    <w:rsid w:val="00724717"/>
    <w:rsid w:val="00725C22"/>
    <w:rsid w:val="00725E21"/>
    <w:rsid w:val="0072660C"/>
    <w:rsid w:val="00727280"/>
    <w:rsid w:val="00727CF8"/>
    <w:rsid w:val="00730404"/>
    <w:rsid w:val="00731AB7"/>
    <w:rsid w:val="00735BCF"/>
    <w:rsid w:val="00735ECD"/>
    <w:rsid w:val="007360DE"/>
    <w:rsid w:val="00736B7F"/>
    <w:rsid w:val="00740550"/>
    <w:rsid w:val="0074180F"/>
    <w:rsid w:val="00742D4A"/>
    <w:rsid w:val="007446DE"/>
    <w:rsid w:val="00744ED4"/>
    <w:rsid w:val="00745CD5"/>
    <w:rsid w:val="00745E40"/>
    <w:rsid w:val="00745F06"/>
    <w:rsid w:val="00746019"/>
    <w:rsid w:val="007460F7"/>
    <w:rsid w:val="00746D3F"/>
    <w:rsid w:val="00747CAF"/>
    <w:rsid w:val="00750AB2"/>
    <w:rsid w:val="00752125"/>
    <w:rsid w:val="00752F51"/>
    <w:rsid w:val="007532A0"/>
    <w:rsid w:val="007546DF"/>
    <w:rsid w:val="00755358"/>
    <w:rsid w:val="007558DB"/>
    <w:rsid w:val="00755AB9"/>
    <w:rsid w:val="007560B8"/>
    <w:rsid w:val="00756566"/>
    <w:rsid w:val="007576F5"/>
    <w:rsid w:val="007577EF"/>
    <w:rsid w:val="00757FB9"/>
    <w:rsid w:val="00760557"/>
    <w:rsid w:val="00760746"/>
    <w:rsid w:val="0076239E"/>
    <w:rsid w:val="00763245"/>
    <w:rsid w:val="0076470D"/>
    <w:rsid w:val="00766299"/>
    <w:rsid w:val="00766680"/>
    <w:rsid w:val="007667F4"/>
    <w:rsid w:val="00766870"/>
    <w:rsid w:val="00770033"/>
    <w:rsid w:val="007702C7"/>
    <w:rsid w:val="00770823"/>
    <w:rsid w:val="007737A3"/>
    <w:rsid w:val="007738A0"/>
    <w:rsid w:val="0077606A"/>
    <w:rsid w:val="00777024"/>
    <w:rsid w:val="0078146D"/>
    <w:rsid w:val="00781801"/>
    <w:rsid w:val="007836EB"/>
    <w:rsid w:val="00784C33"/>
    <w:rsid w:val="00785741"/>
    <w:rsid w:val="00787352"/>
    <w:rsid w:val="0079363C"/>
    <w:rsid w:val="00793B6E"/>
    <w:rsid w:val="00794B66"/>
    <w:rsid w:val="00794F6B"/>
    <w:rsid w:val="007970AF"/>
    <w:rsid w:val="0079785B"/>
    <w:rsid w:val="007A4BB5"/>
    <w:rsid w:val="007A4F14"/>
    <w:rsid w:val="007A4FB6"/>
    <w:rsid w:val="007A5AEB"/>
    <w:rsid w:val="007A6AA6"/>
    <w:rsid w:val="007B0D45"/>
    <w:rsid w:val="007B1550"/>
    <w:rsid w:val="007B1B3A"/>
    <w:rsid w:val="007B297B"/>
    <w:rsid w:val="007B48EB"/>
    <w:rsid w:val="007B4C74"/>
    <w:rsid w:val="007B4E82"/>
    <w:rsid w:val="007B5D7F"/>
    <w:rsid w:val="007B6386"/>
    <w:rsid w:val="007B7C1E"/>
    <w:rsid w:val="007C1D1B"/>
    <w:rsid w:val="007C4D4C"/>
    <w:rsid w:val="007D05E9"/>
    <w:rsid w:val="007D36F1"/>
    <w:rsid w:val="007D53EC"/>
    <w:rsid w:val="007D5B70"/>
    <w:rsid w:val="007D5C86"/>
    <w:rsid w:val="007D5DA1"/>
    <w:rsid w:val="007D68D2"/>
    <w:rsid w:val="007D6EC1"/>
    <w:rsid w:val="007E4C39"/>
    <w:rsid w:val="007E4CD6"/>
    <w:rsid w:val="007E5872"/>
    <w:rsid w:val="007E5E28"/>
    <w:rsid w:val="007E73D8"/>
    <w:rsid w:val="007F0A5D"/>
    <w:rsid w:val="007F1F0C"/>
    <w:rsid w:val="007F3D27"/>
    <w:rsid w:val="007F5589"/>
    <w:rsid w:val="007F55DE"/>
    <w:rsid w:val="007F5882"/>
    <w:rsid w:val="007F6940"/>
    <w:rsid w:val="007F79A8"/>
    <w:rsid w:val="007F7A3A"/>
    <w:rsid w:val="008005A8"/>
    <w:rsid w:val="00802CE5"/>
    <w:rsid w:val="00804AD7"/>
    <w:rsid w:val="00805098"/>
    <w:rsid w:val="00807A77"/>
    <w:rsid w:val="00810E64"/>
    <w:rsid w:val="00811022"/>
    <w:rsid w:val="008111A5"/>
    <w:rsid w:val="00811713"/>
    <w:rsid w:val="008122D7"/>
    <w:rsid w:val="008134FE"/>
    <w:rsid w:val="00813668"/>
    <w:rsid w:val="00814279"/>
    <w:rsid w:val="00814C9A"/>
    <w:rsid w:val="008153EA"/>
    <w:rsid w:val="0081655E"/>
    <w:rsid w:val="008175A2"/>
    <w:rsid w:val="00822CD6"/>
    <w:rsid w:val="008239CC"/>
    <w:rsid w:val="008259FC"/>
    <w:rsid w:val="00825AB9"/>
    <w:rsid w:val="00826C22"/>
    <w:rsid w:val="00826FB5"/>
    <w:rsid w:val="00832534"/>
    <w:rsid w:val="00833562"/>
    <w:rsid w:val="00834EDE"/>
    <w:rsid w:val="00837228"/>
    <w:rsid w:val="008405CA"/>
    <w:rsid w:val="00843BE9"/>
    <w:rsid w:val="008444AE"/>
    <w:rsid w:val="0084514E"/>
    <w:rsid w:val="008465BF"/>
    <w:rsid w:val="0084689E"/>
    <w:rsid w:val="008527D8"/>
    <w:rsid w:val="00852DD8"/>
    <w:rsid w:val="00852EBB"/>
    <w:rsid w:val="00853AB3"/>
    <w:rsid w:val="00855218"/>
    <w:rsid w:val="0085585F"/>
    <w:rsid w:val="00855FFB"/>
    <w:rsid w:val="00856C7F"/>
    <w:rsid w:val="00861293"/>
    <w:rsid w:val="00861AEE"/>
    <w:rsid w:val="00861DDC"/>
    <w:rsid w:val="008654C1"/>
    <w:rsid w:val="00865823"/>
    <w:rsid w:val="0086630A"/>
    <w:rsid w:val="00872A7C"/>
    <w:rsid w:val="008733A2"/>
    <w:rsid w:val="00874016"/>
    <w:rsid w:val="00876A0B"/>
    <w:rsid w:val="00883479"/>
    <w:rsid w:val="00885DD4"/>
    <w:rsid w:val="00886809"/>
    <w:rsid w:val="0088750D"/>
    <w:rsid w:val="008879C5"/>
    <w:rsid w:val="00890051"/>
    <w:rsid w:val="00890E22"/>
    <w:rsid w:val="00890E84"/>
    <w:rsid w:val="00890EEA"/>
    <w:rsid w:val="00891241"/>
    <w:rsid w:val="008922D1"/>
    <w:rsid w:val="0089306D"/>
    <w:rsid w:val="008943FE"/>
    <w:rsid w:val="008951B3"/>
    <w:rsid w:val="00895914"/>
    <w:rsid w:val="008971E6"/>
    <w:rsid w:val="008A1027"/>
    <w:rsid w:val="008A1AC1"/>
    <w:rsid w:val="008A1E8A"/>
    <w:rsid w:val="008A73E8"/>
    <w:rsid w:val="008B1221"/>
    <w:rsid w:val="008B1326"/>
    <w:rsid w:val="008B1506"/>
    <w:rsid w:val="008B1D6A"/>
    <w:rsid w:val="008B202B"/>
    <w:rsid w:val="008B2747"/>
    <w:rsid w:val="008B3001"/>
    <w:rsid w:val="008B3CFE"/>
    <w:rsid w:val="008B59CA"/>
    <w:rsid w:val="008B5C67"/>
    <w:rsid w:val="008B5DBC"/>
    <w:rsid w:val="008C1C96"/>
    <w:rsid w:val="008C3C92"/>
    <w:rsid w:val="008C4E8A"/>
    <w:rsid w:val="008C52AA"/>
    <w:rsid w:val="008C7ABA"/>
    <w:rsid w:val="008D0543"/>
    <w:rsid w:val="008D283D"/>
    <w:rsid w:val="008D394D"/>
    <w:rsid w:val="008D4422"/>
    <w:rsid w:val="008D640B"/>
    <w:rsid w:val="008E1AA7"/>
    <w:rsid w:val="008E2100"/>
    <w:rsid w:val="008E2800"/>
    <w:rsid w:val="008E3C04"/>
    <w:rsid w:val="008E3CC1"/>
    <w:rsid w:val="008E56E2"/>
    <w:rsid w:val="008E57F5"/>
    <w:rsid w:val="008E6868"/>
    <w:rsid w:val="008F0EFA"/>
    <w:rsid w:val="008F35A8"/>
    <w:rsid w:val="008F4EF4"/>
    <w:rsid w:val="009016E3"/>
    <w:rsid w:val="00901C94"/>
    <w:rsid w:val="00903505"/>
    <w:rsid w:val="00903DDB"/>
    <w:rsid w:val="009060E8"/>
    <w:rsid w:val="00906905"/>
    <w:rsid w:val="009071A1"/>
    <w:rsid w:val="0090766A"/>
    <w:rsid w:val="00911DC5"/>
    <w:rsid w:val="00913750"/>
    <w:rsid w:val="00913F09"/>
    <w:rsid w:val="009157E0"/>
    <w:rsid w:val="00917073"/>
    <w:rsid w:val="0091725D"/>
    <w:rsid w:val="00917496"/>
    <w:rsid w:val="0091789C"/>
    <w:rsid w:val="009210CA"/>
    <w:rsid w:val="0092151E"/>
    <w:rsid w:val="00922D69"/>
    <w:rsid w:val="00924B4A"/>
    <w:rsid w:val="0092600D"/>
    <w:rsid w:val="00927D37"/>
    <w:rsid w:val="00933301"/>
    <w:rsid w:val="00934EB7"/>
    <w:rsid w:val="0093630E"/>
    <w:rsid w:val="00936E99"/>
    <w:rsid w:val="00937F06"/>
    <w:rsid w:val="009400E5"/>
    <w:rsid w:val="0094212E"/>
    <w:rsid w:val="009421DD"/>
    <w:rsid w:val="00943627"/>
    <w:rsid w:val="0094458A"/>
    <w:rsid w:val="0094466C"/>
    <w:rsid w:val="0094494E"/>
    <w:rsid w:val="00945B17"/>
    <w:rsid w:val="00945DE8"/>
    <w:rsid w:val="009470D2"/>
    <w:rsid w:val="00947EC9"/>
    <w:rsid w:val="00951A8D"/>
    <w:rsid w:val="009533CE"/>
    <w:rsid w:val="00953895"/>
    <w:rsid w:val="00953F1D"/>
    <w:rsid w:val="00954936"/>
    <w:rsid w:val="00954E5D"/>
    <w:rsid w:val="00955727"/>
    <w:rsid w:val="00955B43"/>
    <w:rsid w:val="0095612C"/>
    <w:rsid w:val="0095726E"/>
    <w:rsid w:val="00961108"/>
    <w:rsid w:val="00962A82"/>
    <w:rsid w:val="009662F0"/>
    <w:rsid w:val="009669C7"/>
    <w:rsid w:val="00966BCE"/>
    <w:rsid w:val="00966C80"/>
    <w:rsid w:val="00967AEE"/>
    <w:rsid w:val="00974B43"/>
    <w:rsid w:val="0097558D"/>
    <w:rsid w:val="009755AB"/>
    <w:rsid w:val="0097639F"/>
    <w:rsid w:val="00977FB6"/>
    <w:rsid w:val="009809F0"/>
    <w:rsid w:val="009820A2"/>
    <w:rsid w:val="009829B0"/>
    <w:rsid w:val="009833F3"/>
    <w:rsid w:val="00984AB0"/>
    <w:rsid w:val="00985413"/>
    <w:rsid w:val="0098544D"/>
    <w:rsid w:val="009861E9"/>
    <w:rsid w:val="00987484"/>
    <w:rsid w:val="009908ED"/>
    <w:rsid w:val="00991470"/>
    <w:rsid w:val="0099209B"/>
    <w:rsid w:val="0099280E"/>
    <w:rsid w:val="00994BDB"/>
    <w:rsid w:val="00994D53"/>
    <w:rsid w:val="0099688A"/>
    <w:rsid w:val="00997403"/>
    <w:rsid w:val="009A02C9"/>
    <w:rsid w:val="009A0B32"/>
    <w:rsid w:val="009A0D32"/>
    <w:rsid w:val="009A17E5"/>
    <w:rsid w:val="009A3371"/>
    <w:rsid w:val="009A3F39"/>
    <w:rsid w:val="009A418D"/>
    <w:rsid w:val="009A4641"/>
    <w:rsid w:val="009A506D"/>
    <w:rsid w:val="009A5F5B"/>
    <w:rsid w:val="009A6D9C"/>
    <w:rsid w:val="009A70B1"/>
    <w:rsid w:val="009A7596"/>
    <w:rsid w:val="009B294B"/>
    <w:rsid w:val="009B477B"/>
    <w:rsid w:val="009B50B5"/>
    <w:rsid w:val="009C0EA3"/>
    <w:rsid w:val="009C2768"/>
    <w:rsid w:val="009C36D0"/>
    <w:rsid w:val="009C50C3"/>
    <w:rsid w:val="009C5400"/>
    <w:rsid w:val="009C603F"/>
    <w:rsid w:val="009C69C7"/>
    <w:rsid w:val="009D0ABF"/>
    <w:rsid w:val="009D187B"/>
    <w:rsid w:val="009D1E28"/>
    <w:rsid w:val="009D2385"/>
    <w:rsid w:val="009D24A0"/>
    <w:rsid w:val="009D293E"/>
    <w:rsid w:val="009D3511"/>
    <w:rsid w:val="009D5C8E"/>
    <w:rsid w:val="009D6251"/>
    <w:rsid w:val="009D7342"/>
    <w:rsid w:val="009E0499"/>
    <w:rsid w:val="009E105F"/>
    <w:rsid w:val="009E2558"/>
    <w:rsid w:val="009E2587"/>
    <w:rsid w:val="009E3B6B"/>
    <w:rsid w:val="009E44DC"/>
    <w:rsid w:val="009E6E62"/>
    <w:rsid w:val="009E7D35"/>
    <w:rsid w:val="009F090B"/>
    <w:rsid w:val="009F2269"/>
    <w:rsid w:val="009F3382"/>
    <w:rsid w:val="009F45AA"/>
    <w:rsid w:val="009F598A"/>
    <w:rsid w:val="009F5AC3"/>
    <w:rsid w:val="009F60C9"/>
    <w:rsid w:val="00A002FE"/>
    <w:rsid w:val="00A02228"/>
    <w:rsid w:val="00A03C90"/>
    <w:rsid w:val="00A03EDD"/>
    <w:rsid w:val="00A0405A"/>
    <w:rsid w:val="00A071FC"/>
    <w:rsid w:val="00A072D3"/>
    <w:rsid w:val="00A07548"/>
    <w:rsid w:val="00A07966"/>
    <w:rsid w:val="00A11FFD"/>
    <w:rsid w:val="00A12C8D"/>
    <w:rsid w:val="00A13505"/>
    <w:rsid w:val="00A148A6"/>
    <w:rsid w:val="00A14CD9"/>
    <w:rsid w:val="00A163A6"/>
    <w:rsid w:val="00A21EAF"/>
    <w:rsid w:val="00A2223B"/>
    <w:rsid w:val="00A223F7"/>
    <w:rsid w:val="00A22EE5"/>
    <w:rsid w:val="00A252F0"/>
    <w:rsid w:val="00A264A9"/>
    <w:rsid w:val="00A268F2"/>
    <w:rsid w:val="00A26C90"/>
    <w:rsid w:val="00A319E6"/>
    <w:rsid w:val="00A31CB9"/>
    <w:rsid w:val="00A34CF4"/>
    <w:rsid w:val="00A3561D"/>
    <w:rsid w:val="00A35BC5"/>
    <w:rsid w:val="00A363C7"/>
    <w:rsid w:val="00A40F3E"/>
    <w:rsid w:val="00A4235B"/>
    <w:rsid w:val="00A425E9"/>
    <w:rsid w:val="00A430A4"/>
    <w:rsid w:val="00A440E2"/>
    <w:rsid w:val="00A45815"/>
    <w:rsid w:val="00A46099"/>
    <w:rsid w:val="00A51052"/>
    <w:rsid w:val="00A5132F"/>
    <w:rsid w:val="00A5241A"/>
    <w:rsid w:val="00A536EF"/>
    <w:rsid w:val="00A53848"/>
    <w:rsid w:val="00A53C66"/>
    <w:rsid w:val="00A55CB3"/>
    <w:rsid w:val="00A57696"/>
    <w:rsid w:val="00A60795"/>
    <w:rsid w:val="00A60AF2"/>
    <w:rsid w:val="00A62455"/>
    <w:rsid w:val="00A63263"/>
    <w:rsid w:val="00A64878"/>
    <w:rsid w:val="00A64F8F"/>
    <w:rsid w:val="00A707C1"/>
    <w:rsid w:val="00A711EB"/>
    <w:rsid w:val="00A71330"/>
    <w:rsid w:val="00A7515B"/>
    <w:rsid w:val="00A77740"/>
    <w:rsid w:val="00A8009D"/>
    <w:rsid w:val="00A8016E"/>
    <w:rsid w:val="00A80AAB"/>
    <w:rsid w:val="00A84363"/>
    <w:rsid w:val="00A846B7"/>
    <w:rsid w:val="00A87582"/>
    <w:rsid w:val="00A9070D"/>
    <w:rsid w:val="00A90C1C"/>
    <w:rsid w:val="00A90E13"/>
    <w:rsid w:val="00A92667"/>
    <w:rsid w:val="00A92A1A"/>
    <w:rsid w:val="00A936E7"/>
    <w:rsid w:val="00A9562A"/>
    <w:rsid w:val="00A97408"/>
    <w:rsid w:val="00A97998"/>
    <w:rsid w:val="00A979D9"/>
    <w:rsid w:val="00AA0286"/>
    <w:rsid w:val="00AA0FDA"/>
    <w:rsid w:val="00AA2CF3"/>
    <w:rsid w:val="00AA3118"/>
    <w:rsid w:val="00AA4FC4"/>
    <w:rsid w:val="00AA6053"/>
    <w:rsid w:val="00AA6B88"/>
    <w:rsid w:val="00AA772B"/>
    <w:rsid w:val="00AB0F96"/>
    <w:rsid w:val="00AB1AAB"/>
    <w:rsid w:val="00AB1AB2"/>
    <w:rsid w:val="00AB26B5"/>
    <w:rsid w:val="00AB472B"/>
    <w:rsid w:val="00AB7CEC"/>
    <w:rsid w:val="00AC04F7"/>
    <w:rsid w:val="00AC0B2F"/>
    <w:rsid w:val="00AC1DB1"/>
    <w:rsid w:val="00AC2DDD"/>
    <w:rsid w:val="00AC35E3"/>
    <w:rsid w:val="00AC6628"/>
    <w:rsid w:val="00AC77DC"/>
    <w:rsid w:val="00AC7CD8"/>
    <w:rsid w:val="00AD04CD"/>
    <w:rsid w:val="00AD4123"/>
    <w:rsid w:val="00AD5574"/>
    <w:rsid w:val="00AD6385"/>
    <w:rsid w:val="00AD760B"/>
    <w:rsid w:val="00AE0449"/>
    <w:rsid w:val="00AE15EA"/>
    <w:rsid w:val="00AE1773"/>
    <w:rsid w:val="00AE2ECF"/>
    <w:rsid w:val="00AE4505"/>
    <w:rsid w:val="00AE5C1F"/>
    <w:rsid w:val="00AE602E"/>
    <w:rsid w:val="00AF0331"/>
    <w:rsid w:val="00AF06D9"/>
    <w:rsid w:val="00AF3507"/>
    <w:rsid w:val="00AF3DA6"/>
    <w:rsid w:val="00AF3F1E"/>
    <w:rsid w:val="00AF47BA"/>
    <w:rsid w:val="00AF4C34"/>
    <w:rsid w:val="00B012DE"/>
    <w:rsid w:val="00B03A0F"/>
    <w:rsid w:val="00B05458"/>
    <w:rsid w:val="00B0578D"/>
    <w:rsid w:val="00B07152"/>
    <w:rsid w:val="00B11A51"/>
    <w:rsid w:val="00B1328E"/>
    <w:rsid w:val="00B13707"/>
    <w:rsid w:val="00B13CB8"/>
    <w:rsid w:val="00B13CD0"/>
    <w:rsid w:val="00B15D86"/>
    <w:rsid w:val="00B16EA9"/>
    <w:rsid w:val="00B17AD9"/>
    <w:rsid w:val="00B208E4"/>
    <w:rsid w:val="00B2233E"/>
    <w:rsid w:val="00B23B2A"/>
    <w:rsid w:val="00B24A31"/>
    <w:rsid w:val="00B25107"/>
    <w:rsid w:val="00B26F49"/>
    <w:rsid w:val="00B272DF"/>
    <w:rsid w:val="00B31F0E"/>
    <w:rsid w:val="00B31F81"/>
    <w:rsid w:val="00B32A76"/>
    <w:rsid w:val="00B32C88"/>
    <w:rsid w:val="00B331B2"/>
    <w:rsid w:val="00B33C9F"/>
    <w:rsid w:val="00B34903"/>
    <w:rsid w:val="00B34F5F"/>
    <w:rsid w:val="00B37FB0"/>
    <w:rsid w:val="00B419D1"/>
    <w:rsid w:val="00B4237D"/>
    <w:rsid w:val="00B42656"/>
    <w:rsid w:val="00B443B4"/>
    <w:rsid w:val="00B451B0"/>
    <w:rsid w:val="00B45601"/>
    <w:rsid w:val="00B45888"/>
    <w:rsid w:val="00B45B15"/>
    <w:rsid w:val="00B51429"/>
    <w:rsid w:val="00B51D96"/>
    <w:rsid w:val="00B520AB"/>
    <w:rsid w:val="00B53BD7"/>
    <w:rsid w:val="00B55825"/>
    <w:rsid w:val="00B558D2"/>
    <w:rsid w:val="00B56096"/>
    <w:rsid w:val="00B564B2"/>
    <w:rsid w:val="00B65B4E"/>
    <w:rsid w:val="00B65BC2"/>
    <w:rsid w:val="00B6637D"/>
    <w:rsid w:val="00B666EF"/>
    <w:rsid w:val="00B66F8E"/>
    <w:rsid w:val="00B671A0"/>
    <w:rsid w:val="00B672EC"/>
    <w:rsid w:val="00B701CA"/>
    <w:rsid w:val="00B7108A"/>
    <w:rsid w:val="00B7176B"/>
    <w:rsid w:val="00B728F9"/>
    <w:rsid w:val="00B729D1"/>
    <w:rsid w:val="00B733C4"/>
    <w:rsid w:val="00B8141F"/>
    <w:rsid w:val="00B81C25"/>
    <w:rsid w:val="00B82049"/>
    <w:rsid w:val="00B821F5"/>
    <w:rsid w:val="00B84566"/>
    <w:rsid w:val="00B8466A"/>
    <w:rsid w:val="00B85D52"/>
    <w:rsid w:val="00B86890"/>
    <w:rsid w:val="00B91501"/>
    <w:rsid w:val="00B95479"/>
    <w:rsid w:val="00B959D0"/>
    <w:rsid w:val="00B95E29"/>
    <w:rsid w:val="00BA12AE"/>
    <w:rsid w:val="00BA1CC4"/>
    <w:rsid w:val="00BA30B4"/>
    <w:rsid w:val="00BA33E7"/>
    <w:rsid w:val="00BA43A4"/>
    <w:rsid w:val="00BA48C0"/>
    <w:rsid w:val="00BA4E83"/>
    <w:rsid w:val="00BB21E1"/>
    <w:rsid w:val="00BB516D"/>
    <w:rsid w:val="00BC0FFC"/>
    <w:rsid w:val="00BC178A"/>
    <w:rsid w:val="00BC3F64"/>
    <w:rsid w:val="00BC5201"/>
    <w:rsid w:val="00BC5D73"/>
    <w:rsid w:val="00BC6742"/>
    <w:rsid w:val="00BC74D7"/>
    <w:rsid w:val="00BC78CE"/>
    <w:rsid w:val="00BD0EA1"/>
    <w:rsid w:val="00BD11D6"/>
    <w:rsid w:val="00BD1BDB"/>
    <w:rsid w:val="00BD4BE7"/>
    <w:rsid w:val="00BD5A2E"/>
    <w:rsid w:val="00BD72A7"/>
    <w:rsid w:val="00BD751A"/>
    <w:rsid w:val="00BE20B2"/>
    <w:rsid w:val="00BE2673"/>
    <w:rsid w:val="00BE2BDB"/>
    <w:rsid w:val="00BE4C81"/>
    <w:rsid w:val="00BE4FFC"/>
    <w:rsid w:val="00BE5E79"/>
    <w:rsid w:val="00BF1002"/>
    <w:rsid w:val="00BF1387"/>
    <w:rsid w:val="00BF17D0"/>
    <w:rsid w:val="00BF27F1"/>
    <w:rsid w:val="00BF2886"/>
    <w:rsid w:val="00BF3297"/>
    <w:rsid w:val="00BF3B42"/>
    <w:rsid w:val="00BF402E"/>
    <w:rsid w:val="00BF45BA"/>
    <w:rsid w:val="00BF71AA"/>
    <w:rsid w:val="00BF7BBF"/>
    <w:rsid w:val="00C00E69"/>
    <w:rsid w:val="00C00FD2"/>
    <w:rsid w:val="00C01AD0"/>
    <w:rsid w:val="00C030CD"/>
    <w:rsid w:val="00C0439B"/>
    <w:rsid w:val="00C04640"/>
    <w:rsid w:val="00C04FF9"/>
    <w:rsid w:val="00C0504F"/>
    <w:rsid w:val="00C051B4"/>
    <w:rsid w:val="00C0765F"/>
    <w:rsid w:val="00C07C56"/>
    <w:rsid w:val="00C137F2"/>
    <w:rsid w:val="00C1421A"/>
    <w:rsid w:val="00C15C04"/>
    <w:rsid w:val="00C16980"/>
    <w:rsid w:val="00C17E10"/>
    <w:rsid w:val="00C2393C"/>
    <w:rsid w:val="00C23D41"/>
    <w:rsid w:val="00C24346"/>
    <w:rsid w:val="00C24668"/>
    <w:rsid w:val="00C258AC"/>
    <w:rsid w:val="00C27942"/>
    <w:rsid w:val="00C326FE"/>
    <w:rsid w:val="00C337B7"/>
    <w:rsid w:val="00C34F47"/>
    <w:rsid w:val="00C3515D"/>
    <w:rsid w:val="00C352E4"/>
    <w:rsid w:val="00C362FF"/>
    <w:rsid w:val="00C36B4C"/>
    <w:rsid w:val="00C371AE"/>
    <w:rsid w:val="00C37700"/>
    <w:rsid w:val="00C37976"/>
    <w:rsid w:val="00C37F30"/>
    <w:rsid w:val="00C43184"/>
    <w:rsid w:val="00C437D2"/>
    <w:rsid w:val="00C45C58"/>
    <w:rsid w:val="00C464F6"/>
    <w:rsid w:val="00C465F5"/>
    <w:rsid w:val="00C46786"/>
    <w:rsid w:val="00C4698B"/>
    <w:rsid w:val="00C46D4E"/>
    <w:rsid w:val="00C47204"/>
    <w:rsid w:val="00C4744E"/>
    <w:rsid w:val="00C519F7"/>
    <w:rsid w:val="00C52B83"/>
    <w:rsid w:val="00C55371"/>
    <w:rsid w:val="00C553EC"/>
    <w:rsid w:val="00C555A4"/>
    <w:rsid w:val="00C55AB7"/>
    <w:rsid w:val="00C55ACC"/>
    <w:rsid w:val="00C61002"/>
    <w:rsid w:val="00C6143B"/>
    <w:rsid w:val="00C62229"/>
    <w:rsid w:val="00C62ED2"/>
    <w:rsid w:val="00C637D6"/>
    <w:rsid w:val="00C64582"/>
    <w:rsid w:val="00C6657F"/>
    <w:rsid w:val="00C67013"/>
    <w:rsid w:val="00C67308"/>
    <w:rsid w:val="00C720A2"/>
    <w:rsid w:val="00C7230E"/>
    <w:rsid w:val="00C72A5F"/>
    <w:rsid w:val="00C76C8E"/>
    <w:rsid w:val="00C81377"/>
    <w:rsid w:val="00C83E43"/>
    <w:rsid w:val="00C8474B"/>
    <w:rsid w:val="00C8488C"/>
    <w:rsid w:val="00C853FC"/>
    <w:rsid w:val="00C858F2"/>
    <w:rsid w:val="00C86054"/>
    <w:rsid w:val="00C86D80"/>
    <w:rsid w:val="00C90170"/>
    <w:rsid w:val="00C910F2"/>
    <w:rsid w:val="00C91ACA"/>
    <w:rsid w:val="00C93A3A"/>
    <w:rsid w:val="00CA0D71"/>
    <w:rsid w:val="00CA1029"/>
    <w:rsid w:val="00CA262C"/>
    <w:rsid w:val="00CA5390"/>
    <w:rsid w:val="00CA62B8"/>
    <w:rsid w:val="00CB0677"/>
    <w:rsid w:val="00CB0EA6"/>
    <w:rsid w:val="00CB1696"/>
    <w:rsid w:val="00CB3AFA"/>
    <w:rsid w:val="00CB680C"/>
    <w:rsid w:val="00CB70B9"/>
    <w:rsid w:val="00CB7B28"/>
    <w:rsid w:val="00CC18A0"/>
    <w:rsid w:val="00CC3403"/>
    <w:rsid w:val="00CC3889"/>
    <w:rsid w:val="00CC3D49"/>
    <w:rsid w:val="00CC4687"/>
    <w:rsid w:val="00CC4B50"/>
    <w:rsid w:val="00CC5AE1"/>
    <w:rsid w:val="00CC74EF"/>
    <w:rsid w:val="00CD0B61"/>
    <w:rsid w:val="00CD214D"/>
    <w:rsid w:val="00CD4977"/>
    <w:rsid w:val="00CD4D29"/>
    <w:rsid w:val="00CD5427"/>
    <w:rsid w:val="00CD5862"/>
    <w:rsid w:val="00CD79BD"/>
    <w:rsid w:val="00CE143E"/>
    <w:rsid w:val="00CE2547"/>
    <w:rsid w:val="00CE48BF"/>
    <w:rsid w:val="00CE5BA4"/>
    <w:rsid w:val="00CE5DD7"/>
    <w:rsid w:val="00CE6321"/>
    <w:rsid w:val="00CE6E1A"/>
    <w:rsid w:val="00CE72A3"/>
    <w:rsid w:val="00CF04BB"/>
    <w:rsid w:val="00CF0708"/>
    <w:rsid w:val="00CF1AAC"/>
    <w:rsid w:val="00CF1FA9"/>
    <w:rsid w:val="00CF27B5"/>
    <w:rsid w:val="00CF31B8"/>
    <w:rsid w:val="00CF3D52"/>
    <w:rsid w:val="00CF4653"/>
    <w:rsid w:val="00CF492A"/>
    <w:rsid w:val="00CF6EAD"/>
    <w:rsid w:val="00CF7B58"/>
    <w:rsid w:val="00D01B87"/>
    <w:rsid w:val="00D02EA9"/>
    <w:rsid w:val="00D06832"/>
    <w:rsid w:val="00D06931"/>
    <w:rsid w:val="00D11006"/>
    <w:rsid w:val="00D12CAF"/>
    <w:rsid w:val="00D13280"/>
    <w:rsid w:val="00D13740"/>
    <w:rsid w:val="00D15DCE"/>
    <w:rsid w:val="00D16B54"/>
    <w:rsid w:val="00D2196F"/>
    <w:rsid w:val="00D2209D"/>
    <w:rsid w:val="00D2261A"/>
    <w:rsid w:val="00D23188"/>
    <w:rsid w:val="00D25C62"/>
    <w:rsid w:val="00D2606C"/>
    <w:rsid w:val="00D260FE"/>
    <w:rsid w:val="00D270B8"/>
    <w:rsid w:val="00D327FD"/>
    <w:rsid w:val="00D33DB6"/>
    <w:rsid w:val="00D35FD3"/>
    <w:rsid w:val="00D43D4D"/>
    <w:rsid w:val="00D46065"/>
    <w:rsid w:val="00D46511"/>
    <w:rsid w:val="00D47895"/>
    <w:rsid w:val="00D5093F"/>
    <w:rsid w:val="00D5097A"/>
    <w:rsid w:val="00D551D8"/>
    <w:rsid w:val="00D57E7B"/>
    <w:rsid w:val="00D6031B"/>
    <w:rsid w:val="00D61415"/>
    <w:rsid w:val="00D616C1"/>
    <w:rsid w:val="00D6320F"/>
    <w:rsid w:val="00D65355"/>
    <w:rsid w:val="00D65F9B"/>
    <w:rsid w:val="00D662BB"/>
    <w:rsid w:val="00D72D0E"/>
    <w:rsid w:val="00D73247"/>
    <w:rsid w:val="00D747AE"/>
    <w:rsid w:val="00D76709"/>
    <w:rsid w:val="00D7690F"/>
    <w:rsid w:val="00D805E4"/>
    <w:rsid w:val="00D8305A"/>
    <w:rsid w:val="00D8458A"/>
    <w:rsid w:val="00D84839"/>
    <w:rsid w:val="00D85E94"/>
    <w:rsid w:val="00D872E5"/>
    <w:rsid w:val="00D873D6"/>
    <w:rsid w:val="00D87A4B"/>
    <w:rsid w:val="00D87A82"/>
    <w:rsid w:val="00D87B1B"/>
    <w:rsid w:val="00D902A8"/>
    <w:rsid w:val="00D93409"/>
    <w:rsid w:val="00D93CE0"/>
    <w:rsid w:val="00D94293"/>
    <w:rsid w:val="00D9463C"/>
    <w:rsid w:val="00D94BC3"/>
    <w:rsid w:val="00D9515A"/>
    <w:rsid w:val="00D96B2F"/>
    <w:rsid w:val="00DA1082"/>
    <w:rsid w:val="00DA1C99"/>
    <w:rsid w:val="00DA30D4"/>
    <w:rsid w:val="00DA3323"/>
    <w:rsid w:val="00DA3B07"/>
    <w:rsid w:val="00DA3F0B"/>
    <w:rsid w:val="00DA44A4"/>
    <w:rsid w:val="00DA4AE5"/>
    <w:rsid w:val="00DA5924"/>
    <w:rsid w:val="00DA5A23"/>
    <w:rsid w:val="00DA60E1"/>
    <w:rsid w:val="00DA65F2"/>
    <w:rsid w:val="00DA6882"/>
    <w:rsid w:val="00DA6FE7"/>
    <w:rsid w:val="00DB1959"/>
    <w:rsid w:val="00DB3474"/>
    <w:rsid w:val="00DB4B58"/>
    <w:rsid w:val="00DB682A"/>
    <w:rsid w:val="00DB6E16"/>
    <w:rsid w:val="00DC1B9A"/>
    <w:rsid w:val="00DC1E27"/>
    <w:rsid w:val="00DC1E70"/>
    <w:rsid w:val="00DC23FC"/>
    <w:rsid w:val="00DC49AD"/>
    <w:rsid w:val="00DC5888"/>
    <w:rsid w:val="00DC590F"/>
    <w:rsid w:val="00DD12DA"/>
    <w:rsid w:val="00DD1593"/>
    <w:rsid w:val="00DD1FB1"/>
    <w:rsid w:val="00DD327D"/>
    <w:rsid w:val="00DD3932"/>
    <w:rsid w:val="00DD4826"/>
    <w:rsid w:val="00DD48D0"/>
    <w:rsid w:val="00DD4A57"/>
    <w:rsid w:val="00DD4D01"/>
    <w:rsid w:val="00DD4E1B"/>
    <w:rsid w:val="00DD7985"/>
    <w:rsid w:val="00DE45AA"/>
    <w:rsid w:val="00DE4901"/>
    <w:rsid w:val="00DE5AD4"/>
    <w:rsid w:val="00DE5B26"/>
    <w:rsid w:val="00DE5E14"/>
    <w:rsid w:val="00DE78D0"/>
    <w:rsid w:val="00DF03C2"/>
    <w:rsid w:val="00DF12BE"/>
    <w:rsid w:val="00DF2A97"/>
    <w:rsid w:val="00E0182A"/>
    <w:rsid w:val="00E01C29"/>
    <w:rsid w:val="00E03E6D"/>
    <w:rsid w:val="00E0438B"/>
    <w:rsid w:val="00E047E1"/>
    <w:rsid w:val="00E07B01"/>
    <w:rsid w:val="00E10211"/>
    <w:rsid w:val="00E10370"/>
    <w:rsid w:val="00E11058"/>
    <w:rsid w:val="00E12721"/>
    <w:rsid w:val="00E12E28"/>
    <w:rsid w:val="00E140D0"/>
    <w:rsid w:val="00E15D14"/>
    <w:rsid w:val="00E20F2B"/>
    <w:rsid w:val="00E227FF"/>
    <w:rsid w:val="00E23C8C"/>
    <w:rsid w:val="00E26969"/>
    <w:rsid w:val="00E269BA"/>
    <w:rsid w:val="00E3427C"/>
    <w:rsid w:val="00E34624"/>
    <w:rsid w:val="00E3578B"/>
    <w:rsid w:val="00E357A2"/>
    <w:rsid w:val="00E40D53"/>
    <w:rsid w:val="00E41875"/>
    <w:rsid w:val="00E41D23"/>
    <w:rsid w:val="00E43628"/>
    <w:rsid w:val="00E455E0"/>
    <w:rsid w:val="00E47843"/>
    <w:rsid w:val="00E53369"/>
    <w:rsid w:val="00E53ED9"/>
    <w:rsid w:val="00E55E17"/>
    <w:rsid w:val="00E575B1"/>
    <w:rsid w:val="00E578C5"/>
    <w:rsid w:val="00E57A7E"/>
    <w:rsid w:val="00E57EB6"/>
    <w:rsid w:val="00E60CAD"/>
    <w:rsid w:val="00E6154E"/>
    <w:rsid w:val="00E62C39"/>
    <w:rsid w:val="00E635A9"/>
    <w:rsid w:val="00E66997"/>
    <w:rsid w:val="00E67265"/>
    <w:rsid w:val="00E70592"/>
    <w:rsid w:val="00E70BF4"/>
    <w:rsid w:val="00E716E0"/>
    <w:rsid w:val="00E71BED"/>
    <w:rsid w:val="00E71FE6"/>
    <w:rsid w:val="00E741D3"/>
    <w:rsid w:val="00E753DF"/>
    <w:rsid w:val="00E76D4F"/>
    <w:rsid w:val="00E77325"/>
    <w:rsid w:val="00E81B33"/>
    <w:rsid w:val="00E81D71"/>
    <w:rsid w:val="00E839EF"/>
    <w:rsid w:val="00E85C37"/>
    <w:rsid w:val="00E86DBB"/>
    <w:rsid w:val="00E902A9"/>
    <w:rsid w:val="00E90A71"/>
    <w:rsid w:val="00E91103"/>
    <w:rsid w:val="00E920D8"/>
    <w:rsid w:val="00E92A1C"/>
    <w:rsid w:val="00E92C60"/>
    <w:rsid w:val="00E940DA"/>
    <w:rsid w:val="00E942E1"/>
    <w:rsid w:val="00E94513"/>
    <w:rsid w:val="00E966A1"/>
    <w:rsid w:val="00E976C4"/>
    <w:rsid w:val="00EA1401"/>
    <w:rsid w:val="00EA3B62"/>
    <w:rsid w:val="00EA3BA2"/>
    <w:rsid w:val="00EA48B8"/>
    <w:rsid w:val="00EA509C"/>
    <w:rsid w:val="00EA6EC8"/>
    <w:rsid w:val="00EB01B6"/>
    <w:rsid w:val="00EB16C5"/>
    <w:rsid w:val="00EB1F35"/>
    <w:rsid w:val="00EB26BC"/>
    <w:rsid w:val="00EB39C5"/>
    <w:rsid w:val="00EB47D5"/>
    <w:rsid w:val="00EB4AC1"/>
    <w:rsid w:val="00EB518F"/>
    <w:rsid w:val="00EB6C44"/>
    <w:rsid w:val="00EB7971"/>
    <w:rsid w:val="00EC07CF"/>
    <w:rsid w:val="00EC0972"/>
    <w:rsid w:val="00EC0C29"/>
    <w:rsid w:val="00EC0CB6"/>
    <w:rsid w:val="00EC0FB5"/>
    <w:rsid w:val="00EC29FA"/>
    <w:rsid w:val="00EC2B0C"/>
    <w:rsid w:val="00EC2FAA"/>
    <w:rsid w:val="00EC3647"/>
    <w:rsid w:val="00EC36BA"/>
    <w:rsid w:val="00EC3ACA"/>
    <w:rsid w:val="00EC6AE3"/>
    <w:rsid w:val="00EC6E7D"/>
    <w:rsid w:val="00EC7A3B"/>
    <w:rsid w:val="00EC7A55"/>
    <w:rsid w:val="00ED080B"/>
    <w:rsid w:val="00ED0E03"/>
    <w:rsid w:val="00ED1A6D"/>
    <w:rsid w:val="00ED1F37"/>
    <w:rsid w:val="00ED2670"/>
    <w:rsid w:val="00ED3B82"/>
    <w:rsid w:val="00ED3E72"/>
    <w:rsid w:val="00ED4B6D"/>
    <w:rsid w:val="00ED6893"/>
    <w:rsid w:val="00EE2DE2"/>
    <w:rsid w:val="00EE3ECB"/>
    <w:rsid w:val="00EE4ED5"/>
    <w:rsid w:val="00EE564B"/>
    <w:rsid w:val="00EE57F5"/>
    <w:rsid w:val="00EE79D6"/>
    <w:rsid w:val="00EF0694"/>
    <w:rsid w:val="00EF0D03"/>
    <w:rsid w:val="00EF0E84"/>
    <w:rsid w:val="00EF18D1"/>
    <w:rsid w:val="00EF5154"/>
    <w:rsid w:val="00EF5351"/>
    <w:rsid w:val="00EF7338"/>
    <w:rsid w:val="00EF7492"/>
    <w:rsid w:val="00F0146F"/>
    <w:rsid w:val="00F0388C"/>
    <w:rsid w:val="00F03D03"/>
    <w:rsid w:val="00F041C4"/>
    <w:rsid w:val="00F04FF1"/>
    <w:rsid w:val="00F06646"/>
    <w:rsid w:val="00F067E4"/>
    <w:rsid w:val="00F0691A"/>
    <w:rsid w:val="00F0699A"/>
    <w:rsid w:val="00F07FF9"/>
    <w:rsid w:val="00F11332"/>
    <w:rsid w:val="00F12D63"/>
    <w:rsid w:val="00F14C14"/>
    <w:rsid w:val="00F1678E"/>
    <w:rsid w:val="00F176DE"/>
    <w:rsid w:val="00F203DB"/>
    <w:rsid w:val="00F238DF"/>
    <w:rsid w:val="00F23CB8"/>
    <w:rsid w:val="00F24726"/>
    <w:rsid w:val="00F25204"/>
    <w:rsid w:val="00F25935"/>
    <w:rsid w:val="00F306C7"/>
    <w:rsid w:val="00F30C8C"/>
    <w:rsid w:val="00F32EE8"/>
    <w:rsid w:val="00F32F05"/>
    <w:rsid w:val="00F3376C"/>
    <w:rsid w:val="00F33DDF"/>
    <w:rsid w:val="00F353DB"/>
    <w:rsid w:val="00F37004"/>
    <w:rsid w:val="00F3701B"/>
    <w:rsid w:val="00F374A1"/>
    <w:rsid w:val="00F37654"/>
    <w:rsid w:val="00F37D10"/>
    <w:rsid w:val="00F40389"/>
    <w:rsid w:val="00F41B8B"/>
    <w:rsid w:val="00F42256"/>
    <w:rsid w:val="00F436AA"/>
    <w:rsid w:val="00F43FF6"/>
    <w:rsid w:val="00F44120"/>
    <w:rsid w:val="00F47E7C"/>
    <w:rsid w:val="00F519E4"/>
    <w:rsid w:val="00F51AD2"/>
    <w:rsid w:val="00F56DCC"/>
    <w:rsid w:val="00F57097"/>
    <w:rsid w:val="00F578E2"/>
    <w:rsid w:val="00F57B69"/>
    <w:rsid w:val="00F57BAD"/>
    <w:rsid w:val="00F60053"/>
    <w:rsid w:val="00F61436"/>
    <w:rsid w:val="00F61CAD"/>
    <w:rsid w:val="00F6265B"/>
    <w:rsid w:val="00F64515"/>
    <w:rsid w:val="00F64DAD"/>
    <w:rsid w:val="00F66CC7"/>
    <w:rsid w:val="00F66DD2"/>
    <w:rsid w:val="00F678DD"/>
    <w:rsid w:val="00F67C9D"/>
    <w:rsid w:val="00F67CB5"/>
    <w:rsid w:val="00F70820"/>
    <w:rsid w:val="00F715A7"/>
    <w:rsid w:val="00F74DA1"/>
    <w:rsid w:val="00F75A9B"/>
    <w:rsid w:val="00F75B08"/>
    <w:rsid w:val="00F75E74"/>
    <w:rsid w:val="00F76459"/>
    <w:rsid w:val="00F802DA"/>
    <w:rsid w:val="00F865B7"/>
    <w:rsid w:val="00F86DB5"/>
    <w:rsid w:val="00F86E3C"/>
    <w:rsid w:val="00F86E7B"/>
    <w:rsid w:val="00F90730"/>
    <w:rsid w:val="00F9117A"/>
    <w:rsid w:val="00F92891"/>
    <w:rsid w:val="00F97162"/>
    <w:rsid w:val="00F97DED"/>
    <w:rsid w:val="00FA110F"/>
    <w:rsid w:val="00FA16EF"/>
    <w:rsid w:val="00FA4865"/>
    <w:rsid w:val="00FA5B3E"/>
    <w:rsid w:val="00FB0198"/>
    <w:rsid w:val="00FB0A47"/>
    <w:rsid w:val="00FB0C84"/>
    <w:rsid w:val="00FB3025"/>
    <w:rsid w:val="00FB47E3"/>
    <w:rsid w:val="00FB56AE"/>
    <w:rsid w:val="00FB5E5B"/>
    <w:rsid w:val="00FB6827"/>
    <w:rsid w:val="00FC04B4"/>
    <w:rsid w:val="00FC0AB5"/>
    <w:rsid w:val="00FC221F"/>
    <w:rsid w:val="00FC2BB6"/>
    <w:rsid w:val="00FC4DF5"/>
    <w:rsid w:val="00FC5AA6"/>
    <w:rsid w:val="00FC610C"/>
    <w:rsid w:val="00FC6823"/>
    <w:rsid w:val="00FC7BCC"/>
    <w:rsid w:val="00FC7FDF"/>
    <w:rsid w:val="00FD0E9F"/>
    <w:rsid w:val="00FD1AAE"/>
    <w:rsid w:val="00FD2929"/>
    <w:rsid w:val="00FD3118"/>
    <w:rsid w:val="00FD3447"/>
    <w:rsid w:val="00FD4506"/>
    <w:rsid w:val="00FD4590"/>
    <w:rsid w:val="00FD57B2"/>
    <w:rsid w:val="00FD5833"/>
    <w:rsid w:val="00FD630B"/>
    <w:rsid w:val="00FD6493"/>
    <w:rsid w:val="00FD796D"/>
    <w:rsid w:val="00FE0A49"/>
    <w:rsid w:val="00FE1F90"/>
    <w:rsid w:val="00FE251C"/>
    <w:rsid w:val="00FE3329"/>
    <w:rsid w:val="00FE41B6"/>
    <w:rsid w:val="00FE4A64"/>
    <w:rsid w:val="00FE7ABA"/>
    <w:rsid w:val="00FE7F76"/>
    <w:rsid w:val="00FF429C"/>
    <w:rsid w:val="00FF4582"/>
    <w:rsid w:val="00FF5906"/>
    <w:rsid w:val="00FF5F01"/>
    <w:rsid w:val="00FF5F6F"/>
    <w:rsid w:val="00FF6654"/>
    <w:rsid w:val="2DB9790E"/>
    <w:rsid w:val="63E27ABC"/>
    <w:rsid w:val="724A4ABF"/>
    <w:rsid w:val="ECE1F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48"/>
    <w:semiHidden/>
    <w:unhideWhenUsed/>
    <w:uiPriority w:val="99"/>
    <w:pPr>
      <w:jc w:val="left"/>
    </w:pPr>
  </w:style>
  <w:style w:type="paragraph" w:styleId="6">
    <w:name w:val="Body Text"/>
    <w:basedOn w:val="1"/>
    <w:link w:val="53"/>
    <w:semiHidden/>
    <w:unhideWhenUsed/>
    <w:uiPriority w:val="99"/>
    <w:pPr>
      <w:spacing w:after="120"/>
    </w:pPr>
  </w:style>
  <w:style w:type="paragraph" w:styleId="7">
    <w:name w:val="Body Text Indent"/>
    <w:basedOn w:val="1"/>
    <w:link w:val="28"/>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uiPriority w:val="0"/>
    <w:pPr>
      <w:adjustRightInd w:val="0"/>
      <w:spacing w:line="360" w:lineRule="atLeast"/>
      <w:textAlignment w:val="baseline"/>
    </w:pPr>
    <w:rPr>
      <w:sz w:val="32"/>
    </w:rPr>
  </w:style>
  <w:style w:type="paragraph" w:styleId="12">
    <w:name w:val="Body Text Indent 2"/>
    <w:basedOn w:val="1"/>
    <w:link w:val="35"/>
    <w:semiHidden/>
    <w:unhideWhenUsed/>
    <w:uiPriority w:val="99"/>
    <w:pPr>
      <w:spacing w:after="120" w:line="480" w:lineRule="auto"/>
      <w:ind w:left="420" w:leftChars="200"/>
    </w:pPr>
  </w:style>
  <w:style w:type="paragraph" w:styleId="13">
    <w:name w:val="Balloon Text"/>
    <w:basedOn w:val="1"/>
    <w:link w:val="50"/>
    <w:semiHidden/>
    <w:unhideWhenUsed/>
    <w:qFormat/>
    <w:uiPriority w:val="99"/>
    <w:rPr>
      <w:sz w:val="18"/>
      <w:szCs w:val="18"/>
    </w:rPr>
  </w:style>
  <w:style w:type="paragraph" w:styleId="14">
    <w:name w:val="footer"/>
    <w:basedOn w:val="1"/>
    <w:link w:val="32"/>
    <w:unhideWhenUsed/>
    <w:uiPriority w:val="99"/>
    <w:pPr>
      <w:tabs>
        <w:tab w:val="center" w:pos="4153"/>
        <w:tab w:val="right" w:pos="8306"/>
      </w:tabs>
      <w:snapToGrid w:val="0"/>
      <w:jc w:val="left"/>
    </w:pPr>
    <w:rPr>
      <w:sz w:val="18"/>
      <w:szCs w:val="18"/>
    </w:rPr>
  </w:style>
  <w:style w:type="paragraph" w:styleId="15">
    <w:name w:val="header"/>
    <w:basedOn w:val="1"/>
    <w:link w:val="31"/>
    <w:unhideWhenUsed/>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0"/>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uiPriority w:val="99"/>
    <w:pPr>
      <w:spacing w:after="120"/>
      <w:ind w:left="420" w:leftChars="200"/>
    </w:pPr>
    <w:rPr>
      <w:sz w:val="16"/>
      <w:szCs w:val="16"/>
    </w:rPr>
  </w:style>
  <w:style w:type="paragraph" w:styleId="19">
    <w:name w:val="Body Text 2"/>
    <w:basedOn w:val="1"/>
    <w:link w:val="37"/>
    <w:semiHidden/>
    <w:unhideWhenUsed/>
    <w:uiPriority w:val="99"/>
    <w:pPr>
      <w:spacing w:after="120" w:line="480" w:lineRule="auto"/>
    </w:pPr>
  </w:style>
  <w:style w:type="paragraph" w:styleId="20">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49"/>
    <w:semiHidden/>
    <w:unhideWhenUsed/>
    <w:qFormat/>
    <w:uiPriority w:val="99"/>
    <w:rPr>
      <w:b/>
      <w:bCs/>
    </w:rPr>
  </w:style>
  <w:style w:type="table" w:styleId="23">
    <w:name w:val="Table Grid"/>
    <w:basedOn w:val="2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uiPriority w:val="99"/>
    <w:rPr>
      <w:color w:val="0000FF" w:themeColor="hyperlink"/>
      <w:u w:val="single"/>
      <w14:textFill>
        <w14:solidFill>
          <w14:schemeClr w14:val="hlink"/>
        </w14:solidFill>
      </w14:textFill>
    </w:rPr>
  </w:style>
  <w:style w:type="character" w:styleId="27">
    <w:name w:val="annotation reference"/>
    <w:basedOn w:val="24"/>
    <w:semiHidden/>
    <w:unhideWhenUsed/>
    <w:uiPriority w:val="99"/>
    <w:rPr>
      <w:sz w:val="21"/>
      <w:szCs w:val="21"/>
    </w:rPr>
  </w:style>
  <w:style w:type="character" w:customStyle="1" w:styleId="28">
    <w:name w:val="正文文本缩进 Char"/>
    <w:basedOn w:val="24"/>
    <w:link w:val="7"/>
    <w:uiPriority w:val="0"/>
    <w:rPr>
      <w:rFonts w:ascii="宋体" w:hAnsi="宋体" w:eastAsia="宋体" w:cs="Times New Roman"/>
      <w:sz w:val="24"/>
      <w:szCs w:val="20"/>
    </w:rPr>
  </w:style>
  <w:style w:type="paragraph" w:customStyle="1" w:styleId="29">
    <w:name w:val="Default"/>
    <w:link w:val="51"/>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uiPriority w:val="0"/>
    <w:rPr>
      <w:rFonts w:ascii="Cambria" w:hAnsi="Cambria" w:eastAsia="宋体" w:cs="Times New Roman"/>
      <w:b/>
      <w:bCs/>
      <w:kern w:val="28"/>
      <w:sz w:val="32"/>
      <w:szCs w:val="32"/>
      <w:lang w:val="zh-CN" w:eastAsia="zh-CN"/>
    </w:rPr>
  </w:style>
  <w:style w:type="character" w:customStyle="1" w:styleId="31">
    <w:name w:val="页眉 Char"/>
    <w:basedOn w:val="24"/>
    <w:link w:val="15"/>
    <w:uiPriority w:val="99"/>
    <w:rPr>
      <w:rFonts w:ascii="Times New Roman" w:hAnsi="Times New Roman" w:eastAsia="宋体" w:cs="Times New Roman"/>
      <w:sz w:val="18"/>
      <w:szCs w:val="18"/>
    </w:rPr>
  </w:style>
  <w:style w:type="character" w:customStyle="1" w:styleId="32">
    <w:name w:val="页脚 Char"/>
    <w:basedOn w:val="24"/>
    <w:link w:val="14"/>
    <w:uiPriority w:val="99"/>
    <w:rPr>
      <w:rFonts w:ascii="Times New Roman" w:hAnsi="Times New Roman" w:eastAsia="宋体" w:cs="Times New Roman"/>
      <w:sz w:val="18"/>
      <w:szCs w:val="18"/>
    </w:rPr>
  </w:style>
  <w:style w:type="character" w:customStyle="1" w:styleId="33">
    <w:name w:val="日期 Char"/>
    <w:basedOn w:val="24"/>
    <w:link w:val="11"/>
    <w:uiPriority w:val="0"/>
    <w:rPr>
      <w:rFonts w:ascii="Times New Roman" w:hAnsi="Times New Roman" w:eastAsia="宋体" w:cs="Times New Roman"/>
      <w:sz w:val="32"/>
      <w:szCs w:val="20"/>
    </w:rPr>
  </w:style>
  <w:style w:type="paragraph" w:styleId="34">
    <w:name w:val="List Paragraph"/>
    <w:basedOn w:val="1"/>
    <w:link w:val="52"/>
    <w:qFormat/>
    <w:uiPriority w:val="34"/>
    <w:pPr>
      <w:ind w:firstLine="420" w:firstLineChars="200"/>
    </w:pPr>
  </w:style>
  <w:style w:type="character" w:customStyle="1" w:styleId="35">
    <w:name w:val="正文文本缩进 2 Char"/>
    <w:basedOn w:val="24"/>
    <w:link w:val="12"/>
    <w:semiHidden/>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uiPriority w:val="99"/>
    <w:rPr>
      <w:rFonts w:ascii="Times New Roman" w:hAnsi="Times New Roman" w:eastAsia="宋体" w:cs="Times New Roman"/>
      <w:szCs w:val="20"/>
    </w:rPr>
  </w:style>
  <w:style w:type="paragraph" w:customStyle="1" w:styleId="38">
    <w:name w:val="Char"/>
    <w:basedOn w:val="1"/>
    <w:uiPriority w:val="0"/>
    <w:pPr>
      <w:tabs>
        <w:tab w:val="left" w:pos="360"/>
      </w:tabs>
    </w:pPr>
    <w:rPr>
      <w:sz w:val="24"/>
      <w:szCs w:val="24"/>
    </w:rPr>
  </w:style>
  <w:style w:type="character" w:customStyle="1" w:styleId="39">
    <w:name w:val="纯文本 Char"/>
    <w:basedOn w:val="24"/>
    <w:semiHidden/>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uiPriority w:val="0"/>
    <w:pPr>
      <w:tabs>
        <w:tab w:val="left" w:pos="360"/>
      </w:tabs>
    </w:pPr>
    <w:rPr>
      <w:sz w:val="24"/>
      <w:szCs w:val="24"/>
    </w:rPr>
  </w:style>
  <w:style w:type="paragraph" w:customStyle="1" w:styleId="47">
    <w:name w:val="列出段落1"/>
    <w:basedOn w:val="1"/>
    <w:semiHidden/>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批注文字 Char"/>
    <w:basedOn w:val="24"/>
    <w:link w:val="5"/>
    <w:semiHidden/>
    <w:uiPriority w:val="99"/>
    <w:rPr>
      <w:rFonts w:ascii="Times New Roman" w:hAnsi="Times New Roman" w:eastAsia="宋体" w:cs="Times New Roman"/>
      <w:szCs w:val="20"/>
    </w:rPr>
  </w:style>
  <w:style w:type="character" w:customStyle="1" w:styleId="49">
    <w:name w:val="批注主题 Char"/>
    <w:basedOn w:val="48"/>
    <w:link w:val="21"/>
    <w:semiHidden/>
    <w:qFormat/>
    <w:uiPriority w:val="99"/>
    <w:rPr>
      <w:rFonts w:ascii="Times New Roman" w:hAnsi="Times New Roman" w:eastAsia="宋体" w:cs="Times New Roman"/>
      <w:b/>
      <w:bCs/>
      <w:szCs w:val="20"/>
    </w:rPr>
  </w:style>
  <w:style w:type="character" w:customStyle="1" w:styleId="50">
    <w:name w:val="批注框文本 Char"/>
    <w:basedOn w:val="24"/>
    <w:link w:val="13"/>
    <w:semiHidden/>
    <w:uiPriority w:val="99"/>
    <w:rPr>
      <w:rFonts w:ascii="Times New Roman" w:hAnsi="Times New Roman" w:eastAsia="宋体" w:cs="Times New Roman"/>
      <w:sz w:val="18"/>
      <w:szCs w:val="18"/>
    </w:rPr>
  </w:style>
  <w:style w:type="character" w:customStyle="1" w:styleId="51">
    <w:name w:val="Default Char"/>
    <w:link w:val="29"/>
    <w:qFormat/>
    <w:locked/>
    <w:uiPriority w:val="0"/>
    <w:rPr>
      <w:rFonts w:ascii="......." w:eastAsia="......." w:cs="......."/>
      <w:color w:val="000000"/>
      <w:sz w:val="24"/>
      <w:szCs w:val="24"/>
    </w:rPr>
  </w:style>
  <w:style w:type="character" w:customStyle="1" w:styleId="52">
    <w:name w:val="列出段落 Char"/>
    <w:link w:val="34"/>
    <w:uiPriority w:val="34"/>
    <w:rPr>
      <w:rFonts w:ascii="Times New Roman" w:hAnsi="Times New Roman"/>
      <w:kern w:val="2"/>
      <w:sz w:val="21"/>
    </w:rPr>
  </w:style>
  <w:style w:type="character" w:customStyle="1" w:styleId="53">
    <w:name w:val="正文文本 Char"/>
    <w:basedOn w:val="24"/>
    <w:link w:val="6"/>
    <w:semiHidden/>
    <w:uiPriority w:val="99"/>
    <w:rPr>
      <w:rFonts w:ascii="Times New Roman" w:hAnsi="Times New Roman"/>
      <w:kern w:val="2"/>
      <w:sz w:val="21"/>
    </w:rPr>
  </w:style>
  <w:style w:type="paragraph" w:customStyle="1" w:styleId="54">
    <w:name w:val="MsoNormal"/>
    <w:basedOn w:val="1"/>
    <w:uiPriority w:val="0"/>
    <w:pPr>
      <w:widowControl/>
      <w:jc w:val="left"/>
    </w:pPr>
    <w:rPr>
      <w:rFonts w:eastAsiaTheme="minorEastAsia"/>
      <w:kern w:val="0"/>
      <w:sz w:val="24"/>
      <w:szCs w:val="24"/>
      <w:lang w:eastAsia="en-US"/>
    </w:rPr>
  </w:style>
  <w:style w:type="table" w:customStyle="1" w:styleId="55">
    <w:name w:val="MsoNormalTable"/>
    <w:basedOn w:val="22"/>
    <w:uiPriority w:val="0"/>
    <w:rPr>
      <w:rFonts w:ascii="Times New Roman" w:hAnsi="Times New Roman" w:eastAsiaTheme="minorEastAsia"/>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87B8B-7B7B-4B43-B712-6C8440C105FD}">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72</Pages>
  <Words>5605</Words>
  <Characters>31949</Characters>
  <Lines>266</Lines>
  <Paragraphs>74</Paragraphs>
  <TotalTime>65</TotalTime>
  <ScaleCrop>false</ScaleCrop>
  <LinksUpToDate>false</LinksUpToDate>
  <CharactersWithSpaces>37480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2025-12-19T15:42:00Z</dcterms:created>
  <dc:creator>未定义</dc:creator>
  <cp:lastModifiedBy>Administrator</cp:lastModifiedBy>
  <dcterms:modified xsi:type="dcterms:W3CDTF">2026-01-04T05:01:03Z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8B29D1E52B285B7149F24D699D6AAC53_42</vt:lpwstr>
  </property>
</Properties>
</file>