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75A736">
      <w:pPr>
        <w:rPr>
          <w:rFonts w:eastAsia="仿宋_GB2312"/>
          <w:sz w:val="84"/>
        </w:rPr>
      </w:pPr>
    </w:p>
    <w:p w14:paraId="3643A7CD">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840740</wp:posOffset>
                </wp:positionV>
                <wp:extent cx="719455"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6.2pt;height:0pt;width:56.65pt;z-index:251659264;mso-width-relative:page;mso-height-relative:page;" filled="f" stroked="t" coordsize="21600,21600" o:gfxdata="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IDWro&#10;1wAAAAoBAAAPAAAAAAAAAAEAIAAAACIAAABkcnMvZG93bnJldi54bWxQSwECFAAUAAAACACHTuJA&#10;1ECYeekBAACrAwAADgAAAAAAAAABACAAAAAmAQAAZHJzL2Uyb0RvYy54bWxQSwUGAAAAAAYABgBZ&#10;AQAAgQ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国家税务总局天津市税务局全国统一规范电子税务局等系统运行维护项目</w:t>
      </w:r>
    </w:p>
    <w:p w14:paraId="2F7994BE">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061DCD00">
      <w:pPr>
        <w:ind w:right="1025"/>
        <w:jc w:val="center"/>
        <w:rPr>
          <w:rFonts w:eastAsia="黑体"/>
          <w:b/>
          <w:spacing w:val="40"/>
          <w:w w:val="66"/>
          <w:sz w:val="60"/>
          <w:szCs w:val="60"/>
        </w:rPr>
      </w:pPr>
    </w:p>
    <w:p w14:paraId="399B7C2B">
      <w:pPr>
        <w:jc w:val="center"/>
        <w:rPr>
          <w:rFonts w:eastAsia="黑体"/>
          <w:b/>
          <w:spacing w:val="40"/>
          <w:w w:val="66"/>
          <w:sz w:val="15"/>
          <w:szCs w:val="15"/>
        </w:rPr>
      </w:pPr>
      <w:r>
        <w:rPr>
          <w:rFonts w:eastAsia="黑体"/>
          <w:b/>
          <w:spacing w:val="40"/>
          <w:w w:val="66"/>
          <w:sz w:val="56"/>
          <w:szCs w:val="56"/>
        </w:rPr>
        <w:t xml:space="preserve">            </w:t>
      </w:r>
    </w:p>
    <w:p w14:paraId="331F3678">
      <w:pPr>
        <w:jc w:val="center"/>
        <w:rPr>
          <w:rFonts w:eastAsia="黑体"/>
          <w:color w:val="FF0000"/>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w:t>
      </w:r>
      <w:r>
        <w:rPr>
          <w:rFonts w:hint="eastAsia" w:eastAsia="黑体"/>
          <w:spacing w:val="40"/>
          <w:w w:val="66"/>
          <w:sz w:val="32"/>
          <w:szCs w:val="32"/>
        </w:rPr>
        <w:t>1313</w:t>
      </w:r>
      <w:r>
        <w:rPr>
          <w:rFonts w:eastAsia="黑体"/>
          <w:spacing w:val="40"/>
          <w:w w:val="66"/>
          <w:sz w:val="32"/>
          <w:szCs w:val="32"/>
        </w:rPr>
        <w:t>）</w:t>
      </w:r>
    </w:p>
    <w:p w14:paraId="5D142B88">
      <w:pPr>
        <w:rPr>
          <w:sz w:val="40"/>
        </w:rPr>
      </w:pPr>
    </w:p>
    <w:p w14:paraId="06CF90D3">
      <w:pPr>
        <w:rPr>
          <w:sz w:val="36"/>
        </w:rPr>
      </w:pPr>
    </w:p>
    <w:p w14:paraId="647EBDBF">
      <w:pPr>
        <w:rPr>
          <w:sz w:val="36"/>
        </w:rPr>
      </w:pPr>
    </w:p>
    <w:p w14:paraId="69803ECE">
      <w:pPr>
        <w:rPr>
          <w:sz w:val="36"/>
        </w:rPr>
      </w:pPr>
    </w:p>
    <w:p w14:paraId="069B728F">
      <w:pPr>
        <w:rPr>
          <w:sz w:val="36"/>
        </w:rPr>
      </w:pPr>
    </w:p>
    <w:p w14:paraId="21B08C13">
      <w:pPr>
        <w:rPr>
          <w:sz w:val="36"/>
        </w:rPr>
      </w:pPr>
    </w:p>
    <w:p w14:paraId="1EA7663B">
      <w:pPr>
        <w:rPr>
          <w:sz w:val="36"/>
        </w:rPr>
      </w:pPr>
    </w:p>
    <w:p w14:paraId="4E0AB4EA">
      <w:pPr>
        <w:rPr>
          <w:sz w:val="36"/>
        </w:rPr>
      </w:pPr>
    </w:p>
    <w:p w14:paraId="0B88B6BD">
      <w:pPr>
        <w:rPr>
          <w:sz w:val="36"/>
        </w:rPr>
      </w:pPr>
    </w:p>
    <w:p w14:paraId="4E96EE68">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64BEFA82">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5.12</w:t>
      </w:r>
    </w:p>
    <w:p w14:paraId="70455AA6">
      <w:pPr>
        <w:widowControl/>
        <w:jc w:val="left"/>
        <w:rPr>
          <w:rFonts w:eastAsia="仿宋_GB2312"/>
          <w:b/>
          <w:bCs/>
          <w:kern w:val="0"/>
          <w:sz w:val="44"/>
          <w:szCs w:val="44"/>
        </w:rPr>
      </w:pPr>
    </w:p>
    <w:p w14:paraId="3C725690">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48EB7DEC">
      <w:pPr>
        <w:ind w:firstLine="408" w:firstLineChars="100"/>
        <w:jc w:val="center"/>
        <w:rPr>
          <w:b/>
          <w:spacing w:val="20"/>
          <w:w w:val="80"/>
          <w:sz w:val="48"/>
          <w:szCs w:val="48"/>
        </w:rPr>
      </w:pPr>
      <w:r>
        <w:rPr>
          <w:b/>
          <w:spacing w:val="20"/>
          <w:w w:val="80"/>
          <w:sz w:val="48"/>
          <w:szCs w:val="48"/>
        </w:rPr>
        <w:t>目  录</w:t>
      </w:r>
    </w:p>
    <w:p w14:paraId="37FE89D3">
      <w:pPr>
        <w:spacing w:line="560" w:lineRule="exact"/>
        <w:ind w:right="-141" w:rightChars="-73"/>
        <w:rPr>
          <w:b/>
          <w:sz w:val="24"/>
        </w:rPr>
      </w:pPr>
      <w:r>
        <w:rPr>
          <w:b/>
          <w:sz w:val="24"/>
        </w:rPr>
        <w:t>第一部分  投标邀请函</w:t>
      </w:r>
    </w:p>
    <w:p w14:paraId="0191473C">
      <w:pPr>
        <w:spacing w:line="560" w:lineRule="exact"/>
        <w:ind w:right="-141" w:rightChars="-73"/>
        <w:rPr>
          <w:b/>
          <w:sz w:val="24"/>
        </w:rPr>
      </w:pPr>
    </w:p>
    <w:p w14:paraId="25E23990">
      <w:pPr>
        <w:spacing w:line="560" w:lineRule="exact"/>
        <w:ind w:right="-141" w:rightChars="-73"/>
        <w:rPr>
          <w:b/>
          <w:sz w:val="24"/>
        </w:rPr>
      </w:pPr>
      <w:r>
        <w:rPr>
          <w:b/>
          <w:sz w:val="24"/>
        </w:rPr>
        <w:t>第二部分  招标项目要求</w:t>
      </w:r>
    </w:p>
    <w:p w14:paraId="39731620">
      <w:pPr>
        <w:spacing w:line="560" w:lineRule="exact"/>
        <w:ind w:right="-141" w:rightChars="-73"/>
        <w:rPr>
          <w:b/>
          <w:sz w:val="24"/>
        </w:rPr>
      </w:pPr>
    </w:p>
    <w:p w14:paraId="08BE3C54">
      <w:pPr>
        <w:spacing w:line="560" w:lineRule="exact"/>
        <w:ind w:right="-141" w:rightChars="-73"/>
        <w:rPr>
          <w:b/>
          <w:sz w:val="24"/>
        </w:rPr>
      </w:pPr>
      <w:r>
        <w:rPr>
          <w:b/>
          <w:sz w:val="24"/>
        </w:rPr>
        <w:t>第三部分  投标须知</w:t>
      </w:r>
    </w:p>
    <w:p w14:paraId="59408F5D">
      <w:pPr>
        <w:spacing w:line="560" w:lineRule="exact"/>
        <w:ind w:right="-141" w:rightChars="-73"/>
        <w:rPr>
          <w:sz w:val="24"/>
        </w:rPr>
      </w:pPr>
    </w:p>
    <w:p w14:paraId="5A9A0602">
      <w:pPr>
        <w:spacing w:line="560" w:lineRule="exact"/>
        <w:rPr>
          <w:b/>
          <w:sz w:val="24"/>
        </w:rPr>
      </w:pPr>
      <w:r>
        <w:rPr>
          <w:b/>
          <w:sz w:val="24"/>
        </w:rPr>
        <w:t>第四部分  合同条款</w:t>
      </w:r>
    </w:p>
    <w:p w14:paraId="3BA668FD">
      <w:pPr>
        <w:spacing w:line="560" w:lineRule="exact"/>
        <w:rPr>
          <w:sz w:val="24"/>
        </w:rPr>
      </w:pPr>
    </w:p>
    <w:p w14:paraId="1732704B">
      <w:pPr>
        <w:spacing w:line="560" w:lineRule="exact"/>
        <w:rPr>
          <w:sz w:val="24"/>
        </w:rPr>
      </w:pPr>
      <w:r>
        <w:rPr>
          <w:b/>
          <w:sz w:val="24"/>
        </w:rPr>
        <w:t>第五部分  投标文件格式</w:t>
      </w:r>
    </w:p>
    <w:p w14:paraId="675D10CB">
      <w:pPr>
        <w:rPr>
          <w:sz w:val="24"/>
        </w:rPr>
      </w:pPr>
    </w:p>
    <w:p w14:paraId="2E074DF2">
      <w:pPr>
        <w:rPr>
          <w:sz w:val="24"/>
        </w:rPr>
      </w:pPr>
    </w:p>
    <w:p w14:paraId="239C4635">
      <w:pPr>
        <w:rPr>
          <w:sz w:val="24"/>
        </w:rPr>
      </w:pPr>
    </w:p>
    <w:p w14:paraId="7045829B">
      <w:pPr>
        <w:rPr>
          <w:sz w:val="24"/>
        </w:rPr>
      </w:pPr>
    </w:p>
    <w:p w14:paraId="32D50CF0">
      <w:pPr>
        <w:rPr>
          <w:sz w:val="24"/>
        </w:rPr>
      </w:pPr>
    </w:p>
    <w:p w14:paraId="1793728A">
      <w:pPr>
        <w:rPr>
          <w:sz w:val="24"/>
        </w:rPr>
      </w:pPr>
    </w:p>
    <w:p w14:paraId="0BFE6A41">
      <w:pPr>
        <w:rPr>
          <w:b/>
        </w:rPr>
      </w:pPr>
    </w:p>
    <w:p w14:paraId="0430F507">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0AFEAFAD">
      <w:pPr>
        <w:pStyle w:val="16"/>
        <w:rPr>
          <w:rFonts w:ascii="Times New Roman" w:hAnsi="Times New Roman"/>
        </w:rPr>
      </w:pPr>
      <w:r>
        <w:rPr>
          <w:rFonts w:ascii="Times New Roman" w:hAnsi="Times New Roman"/>
        </w:rPr>
        <w:t>第一部分  投标邀请函</w:t>
      </w:r>
      <w:bookmarkEnd w:id="0"/>
    </w:p>
    <w:p w14:paraId="14889797">
      <w:pPr>
        <w:pStyle w:val="30"/>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国家税务总局天津市税务局全国统一规范电子税务局等系统运行维护项目</w:t>
      </w:r>
      <w:r>
        <w:rPr>
          <w:rFonts w:ascii="Times New Roman" w:hAnsi="Times New Roman" w:cs="Times New Roman" w:eastAsiaTheme="minorEastAsia"/>
          <w:color w:val="auto"/>
          <w:szCs w:val="32"/>
        </w:rPr>
        <w:t>实施政府采购。现欢迎合格的供应商参加投标。</w:t>
      </w:r>
    </w:p>
    <w:p w14:paraId="0E074D23">
      <w:pPr>
        <w:pStyle w:val="30"/>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1B852A7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1C71EA9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国家税务总局天津市税务局全国统一规范电子税务局等系统运行维护项目</w:t>
      </w:r>
    </w:p>
    <w:p w14:paraId="6A18822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D</w:t>
      </w:r>
      <w:r>
        <w:rPr>
          <w:rFonts w:ascii="Times New Roman" w:hAnsi="Times New Roman" w:eastAsia="宋体" w:cs="Times New Roman"/>
          <w:color w:val="auto"/>
        </w:rPr>
        <w:t>-</w:t>
      </w:r>
      <w:r>
        <w:rPr>
          <w:rFonts w:hint="eastAsia" w:ascii="Times New Roman" w:hAnsi="Times New Roman" w:eastAsia="宋体" w:cs="Times New Roman"/>
          <w:color w:val="auto"/>
        </w:rPr>
        <w:t>1313</w:t>
      </w:r>
    </w:p>
    <w:p w14:paraId="50FA451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1A0FC46F">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天津税务2025年全国统一规范电子税务局等系统运行维护，合同履行期限：合同规定的服务起始之日起6个月的服务期。</w:t>
      </w:r>
    </w:p>
    <w:p w14:paraId="782DF3D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4B6488A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第一包：3441700</w:t>
      </w:r>
      <w:r>
        <w:rPr>
          <w:rFonts w:hint="eastAsia" w:ascii="Times New Roman" w:hAnsi="Times New Roman" w:eastAsia="宋体" w:cs="Times New Roman"/>
          <w:color w:val="auto"/>
        </w:rPr>
        <w:t>元</w:t>
      </w:r>
    </w:p>
    <w:p w14:paraId="4286938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5C25D606">
      <w:pPr>
        <w:pStyle w:val="30"/>
        <w:spacing w:line="360" w:lineRule="auto"/>
        <w:ind w:firstLine="448" w:firstLineChars="200"/>
        <w:rPr>
          <w:rFonts w:ascii="Times New Roman" w:hAnsi="Times New Roman" w:eastAsia="宋体" w:cs="Times New Roman"/>
          <w:color w:val="auto"/>
        </w:rPr>
      </w:pPr>
      <w:bookmarkStart w:id="1" w:name="OLE_LINK1"/>
      <w:bookmarkStart w:id="2" w:name="OLE_LINK2"/>
      <w:r>
        <w:rPr>
          <w:rFonts w:hint="eastAsia" w:ascii="Times New Roman" w:hAnsi="Times New Roman" w:eastAsia="宋体" w:cs="Times New Roman"/>
          <w:color w:val="auto"/>
        </w:rPr>
        <w:t>（一）供应商应具备《中华人民共和国政府采购法》第二十二条第一款和《政府采购法实施条例》第十八条规定的条件，提供以下材料：</w:t>
      </w:r>
    </w:p>
    <w:p w14:paraId="2E6B033D">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7F605F44">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4B80B55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（二）本项目接受联合体投标。若为联合体投标，投标文件应</w:t>
      </w:r>
      <w:r>
        <w:rPr>
          <w:rFonts w:hint="eastAsia" w:ascii="Times New Roman" w:hAnsi="Times New Roman" w:eastAsia="宋体" w:cs="Times New Roman"/>
          <w:color w:val="auto"/>
          <w:szCs w:val="32"/>
        </w:rPr>
        <w:t>加盖联合体主体方的电子签章，并提供联合体各方均盖章共同投标协议扫描件；联合体各方均应满足第（一）条的规定，并提供相关证明材料和</w:t>
      </w:r>
      <w:r>
        <w:rPr>
          <w:rFonts w:hint="eastAsia" w:ascii="Times New Roman" w:hAnsi="Times New Roman" w:eastAsia="宋体" w:cs="Times New Roman"/>
          <w:color w:val="auto"/>
        </w:rPr>
        <w:t>《供应商资格声明函》（格式见附件2）。</w:t>
      </w:r>
    </w:p>
    <w:bookmarkEnd w:id="1"/>
    <w:bookmarkEnd w:id="2"/>
    <w:p w14:paraId="6F7FF21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5DA036AA">
      <w:pPr>
        <w:pStyle w:val="30"/>
        <w:spacing w:line="360" w:lineRule="auto"/>
        <w:ind w:firstLine="448" w:firstLineChars="200"/>
        <w:rPr>
          <w:rFonts w:ascii="Times New Roman" w:hAnsi="Times New Roman" w:cs="Times New Roman" w:eastAsiaTheme="minorEastAsia"/>
          <w:color w:val="auto"/>
        </w:rPr>
      </w:pPr>
      <w:bookmarkStart w:id="3" w:name="OLE_LINK4"/>
      <w:bookmarkStart w:id="4" w:name="OLE_LINK3"/>
      <w:r>
        <w:rPr>
          <w:rFonts w:ascii="Times New Roman" w:hAnsi="Times New Roman" w:eastAsia="宋体" w:cs="Times New Roman"/>
          <w:color w:val="auto"/>
        </w:rPr>
        <w:t>（一）</w:t>
      </w:r>
      <w:r>
        <w:rPr>
          <w:rFonts w:hint="eastAsia" w:ascii="Times New Roman" w:hAnsi="Times New Roman" w:eastAsia="宋体" w:cs="Times New Roman"/>
          <w:color w:val="auto"/>
        </w:rPr>
        <w:t>本项目对小微企业报价给予20%的扣除。若为联合体投标，联合体的组成各方均为小微企业的，对该联合体报价给予20%的扣除；大中型企业与小微企业组成联合体共同参加本项目政府采购活动的，联合协议中约定，对于联合协议约定小微企业的合同份额占到合同总金额30%以上的，给予联合体报价6%的扣除。</w:t>
      </w:r>
    </w:p>
    <w:p w14:paraId="04F2BA7A">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7C44009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78FFCED5">
      <w:pPr>
        <w:pStyle w:val="30"/>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4FFF4ED7">
      <w:pPr>
        <w:pStyle w:val="30"/>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2670F04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60EC9C67">
      <w:pPr>
        <w:pStyle w:val="30"/>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471FAF3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日，每日9:00至17:00（北京时间，法定节假日除外）。</w:t>
      </w:r>
    </w:p>
    <w:p w14:paraId="275AD35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568F80F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7"/>
          <w:rFonts w:hint="eastAsia" w:ascii="Times New Roman" w:hAnsi="Times New Roman" w:eastAsia="宋体" w:cs="Times New Roman"/>
        </w:rPr>
        <w:t>http://tjgpc.zwfwb.tj.gov.cn</w:t>
      </w:r>
      <w:r>
        <w:rPr>
          <w:rStyle w:val="27"/>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1E459C3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2E29913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3A1DF22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5F209C7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217C684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57DA115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p>
    <w:p w14:paraId="04E78A9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2325083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04FD558F">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37E4327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72A4956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6405169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51146C2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5CE9A07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1CB1E38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2B6ED82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167BFA7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3174688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0F95936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4D5BB146">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联系人：杨光、冯强</w:t>
      </w:r>
    </w:p>
    <w:p w14:paraId="2FAD023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1E78177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26228E5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414AB52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25E70C8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2374F95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518A2A3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7B48B6A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2F45D830">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7EA7E38A">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225FFF10">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杨怡梦</w:t>
      </w:r>
    </w:p>
    <w:p w14:paraId="3E1872F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53FADA6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6A68B17D">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73D5E86E">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67DB63E5">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5E214F1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7118B6EE">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人：杨怡梦</w:t>
      </w:r>
    </w:p>
    <w:p w14:paraId="2A09CB7E">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4A8727A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3C68AE0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4ADEBC9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79EB295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03C70C0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1D7CC6F9">
        <w:trPr>
          <w:trHeight w:val="440" w:hRule="atLeast"/>
          <w:tblHeader/>
          <w:jc w:val="center"/>
        </w:trPr>
        <w:tc>
          <w:tcPr>
            <w:tcW w:w="3656" w:type="dxa"/>
            <w:vAlign w:val="center"/>
          </w:tcPr>
          <w:p w14:paraId="3B5A90F7">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302102E8">
            <w:pPr>
              <w:tabs>
                <w:tab w:val="left" w:pos="750"/>
                <w:tab w:val="left" w:pos="840"/>
              </w:tabs>
              <w:adjustRightInd w:val="0"/>
              <w:snapToGrid w:val="0"/>
              <w:jc w:val="center"/>
              <w:rPr>
                <w:sz w:val="24"/>
              </w:rPr>
            </w:pPr>
            <w:r>
              <w:rPr>
                <w:sz w:val="24"/>
              </w:rPr>
              <w:t>费率</w:t>
            </w:r>
          </w:p>
        </w:tc>
      </w:tr>
      <w:tr w14:paraId="6164F9B6">
        <w:trPr>
          <w:trHeight w:val="440" w:hRule="atLeast"/>
          <w:jc w:val="center"/>
        </w:trPr>
        <w:tc>
          <w:tcPr>
            <w:tcW w:w="3656" w:type="dxa"/>
            <w:vAlign w:val="center"/>
          </w:tcPr>
          <w:p w14:paraId="4EECEDA5">
            <w:pPr>
              <w:tabs>
                <w:tab w:val="left" w:pos="750"/>
                <w:tab w:val="left" w:pos="840"/>
              </w:tabs>
              <w:adjustRightInd w:val="0"/>
              <w:snapToGrid w:val="0"/>
              <w:jc w:val="center"/>
              <w:rPr>
                <w:sz w:val="24"/>
              </w:rPr>
            </w:pPr>
            <w:r>
              <w:rPr>
                <w:sz w:val="24"/>
              </w:rPr>
              <w:t>100以下</w:t>
            </w:r>
          </w:p>
        </w:tc>
        <w:tc>
          <w:tcPr>
            <w:tcW w:w="3657" w:type="dxa"/>
            <w:vAlign w:val="center"/>
          </w:tcPr>
          <w:p w14:paraId="5D46673C">
            <w:pPr>
              <w:tabs>
                <w:tab w:val="left" w:pos="750"/>
                <w:tab w:val="left" w:pos="840"/>
              </w:tabs>
              <w:adjustRightInd w:val="0"/>
              <w:snapToGrid w:val="0"/>
              <w:jc w:val="center"/>
              <w:rPr>
                <w:sz w:val="24"/>
              </w:rPr>
            </w:pPr>
            <w:r>
              <w:rPr>
                <w:sz w:val="24"/>
              </w:rPr>
              <w:t>1%</w:t>
            </w:r>
          </w:p>
        </w:tc>
      </w:tr>
      <w:tr w14:paraId="2081E730">
        <w:trPr>
          <w:trHeight w:val="440" w:hRule="atLeast"/>
          <w:jc w:val="center"/>
        </w:trPr>
        <w:tc>
          <w:tcPr>
            <w:tcW w:w="3656" w:type="dxa"/>
            <w:vAlign w:val="center"/>
          </w:tcPr>
          <w:p w14:paraId="70034436">
            <w:pPr>
              <w:tabs>
                <w:tab w:val="left" w:pos="750"/>
                <w:tab w:val="left" w:pos="840"/>
              </w:tabs>
              <w:adjustRightInd w:val="0"/>
              <w:snapToGrid w:val="0"/>
              <w:jc w:val="center"/>
              <w:rPr>
                <w:sz w:val="24"/>
              </w:rPr>
            </w:pPr>
            <w:r>
              <w:rPr>
                <w:sz w:val="24"/>
              </w:rPr>
              <w:t>100-500</w:t>
            </w:r>
          </w:p>
        </w:tc>
        <w:tc>
          <w:tcPr>
            <w:tcW w:w="3657" w:type="dxa"/>
            <w:vAlign w:val="center"/>
          </w:tcPr>
          <w:p w14:paraId="41EEED9C">
            <w:pPr>
              <w:tabs>
                <w:tab w:val="left" w:pos="750"/>
                <w:tab w:val="left" w:pos="840"/>
              </w:tabs>
              <w:adjustRightInd w:val="0"/>
              <w:snapToGrid w:val="0"/>
              <w:jc w:val="center"/>
              <w:rPr>
                <w:sz w:val="24"/>
              </w:rPr>
            </w:pPr>
            <w:r>
              <w:rPr>
                <w:rFonts w:hint="eastAsia"/>
                <w:sz w:val="24"/>
              </w:rPr>
              <w:t>0.8</w:t>
            </w:r>
            <w:r>
              <w:rPr>
                <w:sz w:val="24"/>
              </w:rPr>
              <w:t>%</w:t>
            </w:r>
          </w:p>
        </w:tc>
      </w:tr>
      <w:tr w14:paraId="4C472D18">
        <w:trPr>
          <w:trHeight w:val="440" w:hRule="atLeast"/>
          <w:jc w:val="center"/>
        </w:trPr>
        <w:tc>
          <w:tcPr>
            <w:tcW w:w="3656" w:type="dxa"/>
            <w:vAlign w:val="center"/>
          </w:tcPr>
          <w:p w14:paraId="67068F9E">
            <w:pPr>
              <w:tabs>
                <w:tab w:val="left" w:pos="750"/>
                <w:tab w:val="left" w:pos="840"/>
              </w:tabs>
              <w:adjustRightInd w:val="0"/>
              <w:snapToGrid w:val="0"/>
              <w:jc w:val="center"/>
              <w:rPr>
                <w:sz w:val="24"/>
              </w:rPr>
            </w:pPr>
            <w:r>
              <w:rPr>
                <w:sz w:val="24"/>
              </w:rPr>
              <w:t>500-1000</w:t>
            </w:r>
          </w:p>
        </w:tc>
        <w:tc>
          <w:tcPr>
            <w:tcW w:w="3657" w:type="dxa"/>
            <w:vAlign w:val="center"/>
          </w:tcPr>
          <w:p w14:paraId="5430D08B">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61499CB2">
        <w:trPr>
          <w:trHeight w:val="440" w:hRule="atLeast"/>
          <w:jc w:val="center"/>
        </w:trPr>
        <w:tc>
          <w:tcPr>
            <w:tcW w:w="3656" w:type="dxa"/>
            <w:vAlign w:val="center"/>
          </w:tcPr>
          <w:p w14:paraId="73DF758A">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76709307">
            <w:pPr>
              <w:tabs>
                <w:tab w:val="left" w:pos="750"/>
                <w:tab w:val="left" w:pos="840"/>
              </w:tabs>
              <w:adjustRightInd w:val="0"/>
              <w:snapToGrid w:val="0"/>
              <w:jc w:val="center"/>
              <w:rPr>
                <w:sz w:val="24"/>
              </w:rPr>
            </w:pPr>
            <w:r>
              <w:rPr>
                <w:rFonts w:hint="eastAsia"/>
                <w:sz w:val="24"/>
              </w:rPr>
              <w:t>0.25%</w:t>
            </w:r>
          </w:p>
        </w:tc>
      </w:tr>
      <w:tr w14:paraId="59E8B813">
        <w:trPr>
          <w:trHeight w:val="440" w:hRule="atLeast"/>
          <w:jc w:val="center"/>
        </w:trPr>
        <w:tc>
          <w:tcPr>
            <w:tcW w:w="3656" w:type="dxa"/>
            <w:vAlign w:val="center"/>
          </w:tcPr>
          <w:p w14:paraId="37E114C6">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31F2A421">
            <w:pPr>
              <w:tabs>
                <w:tab w:val="left" w:pos="750"/>
                <w:tab w:val="left" w:pos="840"/>
              </w:tabs>
              <w:adjustRightInd w:val="0"/>
              <w:snapToGrid w:val="0"/>
              <w:jc w:val="center"/>
              <w:rPr>
                <w:sz w:val="24"/>
              </w:rPr>
            </w:pPr>
            <w:r>
              <w:rPr>
                <w:rFonts w:hint="eastAsia"/>
                <w:sz w:val="24"/>
              </w:rPr>
              <w:t>0.1%</w:t>
            </w:r>
          </w:p>
        </w:tc>
      </w:tr>
      <w:tr w14:paraId="08F8CD44">
        <w:trPr>
          <w:trHeight w:val="440" w:hRule="atLeast"/>
          <w:jc w:val="center"/>
        </w:trPr>
        <w:tc>
          <w:tcPr>
            <w:tcW w:w="3656" w:type="dxa"/>
            <w:vAlign w:val="center"/>
          </w:tcPr>
          <w:p w14:paraId="7F7EE528">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5AF81E7E">
            <w:pPr>
              <w:tabs>
                <w:tab w:val="left" w:pos="750"/>
                <w:tab w:val="left" w:pos="840"/>
              </w:tabs>
              <w:adjustRightInd w:val="0"/>
              <w:snapToGrid w:val="0"/>
              <w:jc w:val="center"/>
              <w:rPr>
                <w:sz w:val="24"/>
              </w:rPr>
            </w:pPr>
            <w:r>
              <w:rPr>
                <w:rFonts w:hint="eastAsia"/>
                <w:sz w:val="24"/>
              </w:rPr>
              <w:t>0.05%</w:t>
            </w:r>
          </w:p>
        </w:tc>
      </w:tr>
    </w:tbl>
    <w:p w14:paraId="44A326A8">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3FE94743">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7352D25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64BC1F69">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0303100B">
      <w:pPr>
        <w:pStyle w:val="30"/>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57AAD705">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05389026">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37C9792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24C7AE0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1C4B15E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缴费及开票咨询电话：022-24532012</w:t>
      </w:r>
    </w:p>
    <w:p w14:paraId="73CB7D9E">
      <w:pPr>
        <w:pStyle w:val="30"/>
        <w:spacing w:line="360" w:lineRule="auto"/>
        <w:ind w:firstLine="448" w:firstLineChars="200"/>
        <w:rPr>
          <w:rFonts w:ascii="Times New Roman" w:hAnsi="Times New Roman" w:eastAsia="宋体" w:cs="Times New Roman"/>
          <w:color w:val="FF0000"/>
        </w:rPr>
      </w:pPr>
    </w:p>
    <w:p w14:paraId="1C42F710">
      <w:pPr>
        <w:pStyle w:val="30"/>
        <w:spacing w:line="360" w:lineRule="auto"/>
        <w:jc w:val="right"/>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r>
        <w:br w:type="page"/>
      </w:r>
    </w:p>
    <w:p w14:paraId="155F7730">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14:paraId="28D2DC34">
      <w:pPr>
        <w:tabs>
          <w:tab w:val="left" w:pos="210"/>
        </w:tabs>
        <w:autoSpaceDE w:val="0"/>
        <w:autoSpaceDN w:val="0"/>
        <w:spacing w:line="360" w:lineRule="auto"/>
        <w:ind w:firstLine="448" w:firstLineChars="200"/>
        <w:outlineLvl w:val="0"/>
        <w:rPr>
          <w:sz w:val="24"/>
          <w:szCs w:val="24"/>
        </w:rPr>
      </w:pPr>
      <w:r>
        <w:rPr>
          <w:sz w:val="24"/>
          <w:szCs w:val="24"/>
        </w:rPr>
        <w:t>一、商务要求</w:t>
      </w:r>
    </w:p>
    <w:p w14:paraId="4767C2B9">
      <w:pPr>
        <w:tabs>
          <w:tab w:val="left" w:pos="210"/>
        </w:tabs>
        <w:autoSpaceDE w:val="0"/>
        <w:autoSpaceDN w:val="0"/>
        <w:spacing w:line="360" w:lineRule="auto"/>
        <w:ind w:firstLine="448" w:firstLineChars="200"/>
        <w:outlineLvl w:val="0"/>
        <w:rPr>
          <w:sz w:val="24"/>
          <w:szCs w:val="24"/>
        </w:rPr>
      </w:pPr>
      <w:r>
        <w:rPr>
          <w:sz w:val="24"/>
          <w:szCs w:val="24"/>
        </w:rPr>
        <w:t>（一）报价要求</w:t>
      </w:r>
    </w:p>
    <w:p w14:paraId="75394BE3">
      <w:pPr>
        <w:autoSpaceDE w:val="0"/>
        <w:autoSpaceDN w:val="0"/>
        <w:spacing w:line="360" w:lineRule="auto"/>
        <w:ind w:firstLine="448" w:firstLineChars="200"/>
        <w:rPr>
          <w:sz w:val="24"/>
        </w:rPr>
      </w:pPr>
      <w:r>
        <w:rPr>
          <w:sz w:val="24"/>
        </w:rPr>
        <w:t>1. 投标报价以人民币填列。</w:t>
      </w:r>
    </w:p>
    <w:p w14:paraId="45C9B797">
      <w:pPr>
        <w:autoSpaceDE w:val="0"/>
        <w:autoSpaceDN w:val="0"/>
        <w:spacing w:line="360" w:lineRule="auto"/>
        <w:ind w:firstLine="448" w:firstLineChars="200"/>
        <w:rPr>
          <w:sz w:val="24"/>
        </w:rPr>
      </w:pPr>
      <w:r>
        <w:rPr>
          <w:sz w:val="24"/>
        </w:rPr>
        <w:t>2. 投标人的报价应包括：人员费用、服务费用、利润税金等为完成招标文件规定的一切工作所需的全部费用。投标人所报价格应为最终优惠价格。</w:t>
      </w:r>
    </w:p>
    <w:p w14:paraId="59D054B8">
      <w:pPr>
        <w:spacing w:line="360" w:lineRule="auto"/>
        <w:ind w:firstLine="448" w:firstLineChars="200"/>
        <w:rPr>
          <w:kern w:val="0"/>
          <w:sz w:val="24"/>
          <w:szCs w:val="24"/>
        </w:rPr>
      </w:pPr>
      <w:r>
        <w:rPr>
          <w:rFonts w:hint="eastAsia"/>
          <w:kern w:val="0"/>
          <w:sz w:val="24"/>
          <w:szCs w:val="24"/>
        </w:rPr>
        <w:t xml:space="preserve">3. </w:t>
      </w:r>
      <w:r>
        <w:rPr>
          <w:sz w:val="24"/>
        </w:rPr>
        <w:t>验收相关费用由投标人负责。</w:t>
      </w:r>
    </w:p>
    <w:p w14:paraId="42E9BE5B">
      <w:pPr>
        <w:autoSpaceDE w:val="0"/>
        <w:autoSpaceDN w:val="0"/>
        <w:spacing w:line="360" w:lineRule="auto"/>
        <w:ind w:firstLine="448" w:firstLineChars="200"/>
        <w:rPr>
          <w:sz w:val="24"/>
        </w:rPr>
      </w:pPr>
      <w:r>
        <w:rPr>
          <w:sz w:val="24"/>
        </w:rPr>
        <w:t>（</w:t>
      </w:r>
      <w:r>
        <w:rPr>
          <w:rFonts w:hint="eastAsia"/>
          <w:sz w:val="24"/>
        </w:rPr>
        <w:t>二</w:t>
      </w:r>
      <w:r>
        <w:rPr>
          <w:sz w:val="24"/>
        </w:rPr>
        <w:t>）时间、地点要求</w:t>
      </w:r>
    </w:p>
    <w:p w14:paraId="208C4D90">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合同规定的服务起始之日起6个月的服务期</w:t>
      </w:r>
      <w:r>
        <w:rPr>
          <w:sz w:val="24"/>
        </w:rPr>
        <w:t>（特殊情况以合同为准）。</w:t>
      </w:r>
    </w:p>
    <w:p w14:paraId="73714911">
      <w:pPr>
        <w:autoSpaceDE w:val="0"/>
        <w:autoSpaceDN w:val="0"/>
        <w:adjustRightInd w:val="0"/>
        <w:spacing w:line="360" w:lineRule="auto"/>
        <w:ind w:firstLine="448" w:firstLineChars="200"/>
        <w:rPr>
          <w:sz w:val="24"/>
        </w:rPr>
      </w:pPr>
      <w:r>
        <w:rPr>
          <w:sz w:val="24"/>
        </w:rPr>
        <w:t>2. 服务地点：</w:t>
      </w:r>
      <w:r>
        <w:rPr>
          <w:rFonts w:hint="eastAsia"/>
          <w:sz w:val="24"/>
        </w:rPr>
        <w:t>天津市河北区民主道16号</w:t>
      </w:r>
      <w:r>
        <w:rPr>
          <w:sz w:val="24"/>
        </w:rPr>
        <w:t>（特殊情况以合同为准）。</w:t>
      </w:r>
    </w:p>
    <w:p w14:paraId="490B9B26">
      <w:pPr>
        <w:autoSpaceDE w:val="0"/>
        <w:autoSpaceDN w:val="0"/>
        <w:spacing w:line="360" w:lineRule="auto"/>
        <w:ind w:firstLine="448" w:firstLineChars="200"/>
        <w:rPr>
          <w:sz w:val="24"/>
        </w:rPr>
      </w:pPr>
      <w:r>
        <w:rPr>
          <w:sz w:val="24"/>
        </w:rPr>
        <w:t>（</w:t>
      </w:r>
      <w:r>
        <w:rPr>
          <w:rFonts w:hint="eastAsia"/>
          <w:sz w:val="24"/>
        </w:rPr>
        <w:t>三</w:t>
      </w:r>
      <w:r>
        <w:rPr>
          <w:sz w:val="24"/>
        </w:rPr>
        <w:t>）付款方式</w:t>
      </w:r>
    </w:p>
    <w:p w14:paraId="3226D24F">
      <w:pPr>
        <w:autoSpaceDE w:val="0"/>
        <w:autoSpaceDN w:val="0"/>
        <w:spacing w:line="360" w:lineRule="auto"/>
        <w:ind w:firstLine="448" w:firstLineChars="200"/>
        <w:rPr>
          <w:sz w:val="24"/>
        </w:rPr>
      </w:pPr>
      <w:r>
        <w:rPr>
          <w:rFonts w:hint="eastAsia"/>
          <w:sz w:val="24"/>
        </w:rPr>
        <w:t>合同签订之日起15个工作日内支付合同总额的30%，服务期过半阶段性验收合格之日起15个工作日内支付合同总额的40%，服务期结束终验合格后15个工作日内支付合同总额的30%</w:t>
      </w:r>
      <w:r>
        <w:rPr>
          <w:sz w:val="24"/>
        </w:rPr>
        <w:t>（特殊情况以合同为准）。</w:t>
      </w:r>
    </w:p>
    <w:p w14:paraId="187EED76">
      <w:pPr>
        <w:autoSpaceDE w:val="0"/>
        <w:autoSpaceDN w:val="0"/>
        <w:spacing w:line="360" w:lineRule="auto"/>
        <w:ind w:firstLine="448" w:firstLineChars="200"/>
        <w:rPr>
          <w:sz w:val="24"/>
        </w:rPr>
      </w:pPr>
      <w:r>
        <w:rPr>
          <w:sz w:val="24"/>
        </w:rPr>
        <w:t>（</w:t>
      </w:r>
      <w:r>
        <w:rPr>
          <w:rFonts w:hint="eastAsia"/>
          <w:sz w:val="24"/>
        </w:rPr>
        <w:t>四</w:t>
      </w:r>
      <w:r>
        <w:rPr>
          <w:sz w:val="24"/>
        </w:rPr>
        <w:t>）投标保证金和履约保证金</w:t>
      </w:r>
    </w:p>
    <w:p w14:paraId="3BE836E1">
      <w:pPr>
        <w:autoSpaceDE w:val="0"/>
        <w:autoSpaceDN w:val="0"/>
        <w:spacing w:line="360" w:lineRule="auto"/>
        <w:ind w:firstLine="448" w:firstLineChars="200"/>
        <w:rPr>
          <w:sz w:val="24"/>
        </w:rPr>
      </w:pPr>
      <w:r>
        <w:rPr>
          <w:sz w:val="24"/>
        </w:rPr>
        <w:t>本项目不收取投标保证金和履约保证金。</w:t>
      </w:r>
    </w:p>
    <w:p w14:paraId="3AD6F55E">
      <w:pPr>
        <w:autoSpaceDE w:val="0"/>
        <w:autoSpaceDN w:val="0"/>
        <w:spacing w:line="360" w:lineRule="auto"/>
        <w:ind w:firstLine="448" w:firstLineChars="200"/>
        <w:rPr>
          <w:color w:val="000000"/>
          <w:sz w:val="24"/>
        </w:rPr>
      </w:pPr>
      <w:r>
        <w:rPr>
          <w:rFonts w:hint="eastAsia"/>
          <w:color w:val="000000"/>
          <w:sz w:val="24"/>
        </w:rPr>
        <w:t>（五）验收方法及标准</w:t>
      </w:r>
    </w:p>
    <w:p w14:paraId="06345B58">
      <w:pPr>
        <w:autoSpaceDE w:val="0"/>
        <w:autoSpaceDN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7B347F28">
      <w:pPr>
        <w:autoSpaceDE w:val="0"/>
        <w:autoSpaceDN w:val="0"/>
        <w:spacing w:line="360" w:lineRule="auto"/>
        <w:ind w:firstLine="448" w:firstLineChars="200"/>
        <w:rPr>
          <w:bCs/>
          <w:sz w:val="24"/>
        </w:rPr>
      </w:pPr>
      <w:r>
        <w:rPr>
          <w:sz w:val="24"/>
        </w:rPr>
        <w:t>二</w:t>
      </w:r>
      <w:r>
        <w:rPr>
          <w:bCs/>
          <w:sz w:val="24"/>
        </w:rPr>
        <w:t>、技术要求</w:t>
      </w:r>
    </w:p>
    <w:p w14:paraId="35BC2E3E">
      <w:pPr>
        <w:autoSpaceDE w:val="0"/>
        <w:autoSpaceDN w:val="0"/>
        <w:spacing w:line="360" w:lineRule="auto"/>
        <w:ind w:firstLine="448" w:firstLineChars="200"/>
        <w:rPr>
          <w:sz w:val="24"/>
        </w:rPr>
      </w:pPr>
      <w:r>
        <w:rPr>
          <w:rFonts w:hint="eastAsia"/>
          <w:kern w:val="0"/>
          <w:sz w:val="24"/>
          <w:szCs w:val="24"/>
        </w:rPr>
        <w:t>★</w:t>
      </w:r>
      <w:r>
        <w:rPr>
          <w:sz w:val="24"/>
        </w:rPr>
        <w:t>（一）投标人须承诺所提供的服务、人员及设备符合相关国家强制性规定。</w:t>
      </w:r>
      <w:r>
        <w:rPr>
          <w:rFonts w:hint="eastAsia"/>
          <w:sz w:val="24"/>
        </w:rPr>
        <w:t>相关服务需在采购人指定环境下进行。</w:t>
      </w:r>
    </w:p>
    <w:p w14:paraId="16910D04">
      <w:pPr>
        <w:autoSpaceDE w:val="0"/>
        <w:autoSpaceDN w:val="0"/>
        <w:spacing w:line="360" w:lineRule="auto"/>
        <w:ind w:firstLine="448" w:firstLineChars="200"/>
        <w:rPr>
          <w:sz w:val="24"/>
        </w:rPr>
      </w:pPr>
      <w:r>
        <w:rPr>
          <w:sz w:val="24"/>
        </w:rPr>
        <w:t>（</w:t>
      </w:r>
      <w:r>
        <w:rPr>
          <w:rFonts w:hint="eastAsia"/>
          <w:sz w:val="24"/>
        </w:rPr>
        <w:t>二</w:t>
      </w:r>
      <w:r>
        <w:rPr>
          <w:sz w:val="24"/>
        </w:rPr>
        <w:t>）具体需求详见本部分项目需求书。</w:t>
      </w:r>
    </w:p>
    <w:p w14:paraId="1EA143BB">
      <w:pPr>
        <w:spacing w:line="360" w:lineRule="auto"/>
        <w:ind w:firstLine="448" w:firstLineChars="200"/>
        <w:outlineLvl w:val="0"/>
        <w:rPr>
          <w:sz w:val="24"/>
        </w:rPr>
      </w:pPr>
      <w:r>
        <w:rPr>
          <w:sz w:val="24"/>
        </w:rPr>
        <w:t>三、评分因素及评标标准</w:t>
      </w:r>
    </w:p>
    <w:p w14:paraId="2ACBBF9E">
      <w:pPr>
        <w:spacing w:line="360" w:lineRule="auto"/>
        <w:ind w:firstLine="448" w:firstLineChars="200"/>
        <w:outlineLvl w:val="0"/>
        <w:rPr>
          <w:sz w:val="24"/>
        </w:rPr>
      </w:pPr>
      <w:r>
        <w:rPr>
          <w:rFonts w:hint="eastAsia"/>
          <w:sz w:val="24"/>
        </w:rPr>
        <w:t>如若为联合体投标，联合体中任意一方满足要求，即可得分。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42"/>
        <w:gridCol w:w="7288"/>
        <w:gridCol w:w="1143"/>
      </w:tblGrid>
      <w:tr w14:paraId="7944F026">
        <w:trPr>
          <w:trHeight w:val="285" w:hRule="atLeast"/>
          <w:jc w:val="center"/>
        </w:trPr>
        <w:tc>
          <w:tcPr>
            <w:tcW w:w="9393" w:type="dxa"/>
            <w:gridSpan w:val="3"/>
            <w:tcBorders>
              <w:top w:val="single" w:color="auto" w:sz="4" w:space="0"/>
              <w:left w:val="single" w:color="auto" w:sz="4" w:space="0"/>
              <w:bottom w:val="single" w:color="auto" w:sz="4" w:space="0"/>
              <w:right w:val="single" w:color="auto" w:sz="4" w:space="0"/>
            </w:tcBorders>
            <w:vAlign w:val="center"/>
          </w:tcPr>
          <w:p w14:paraId="424E486A">
            <w:pPr>
              <w:widowControl/>
              <w:adjustRightInd w:val="0"/>
              <w:snapToGrid w:val="0"/>
              <w:jc w:val="center"/>
              <w:rPr>
                <w:kern w:val="0"/>
                <w:sz w:val="24"/>
                <w:szCs w:val="24"/>
              </w:rPr>
            </w:pPr>
            <w:r>
              <w:rPr>
                <w:kern w:val="0"/>
                <w:sz w:val="24"/>
                <w:szCs w:val="24"/>
              </w:rPr>
              <w:t>第一部分 价格（10分）</w:t>
            </w:r>
          </w:p>
        </w:tc>
        <w:tc>
          <w:tcPr>
            <w:tcW w:w="1143" w:type="dxa"/>
            <w:tcBorders>
              <w:top w:val="single" w:color="auto" w:sz="4" w:space="0"/>
              <w:left w:val="single" w:color="auto" w:sz="4" w:space="0"/>
              <w:bottom w:val="single" w:color="auto" w:sz="4" w:space="0"/>
              <w:right w:val="single" w:color="auto" w:sz="4" w:space="0"/>
            </w:tcBorders>
            <w:vAlign w:val="center"/>
          </w:tcPr>
          <w:p w14:paraId="7D0040F8">
            <w:pPr>
              <w:widowControl/>
              <w:adjustRightInd w:val="0"/>
              <w:snapToGrid w:val="0"/>
              <w:jc w:val="center"/>
              <w:rPr>
                <w:kern w:val="0"/>
                <w:sz w:val="24"/>
                <w:szCs w:val="24"/>
              </w:rPr>
            </w:pPr>
            <w:r>
              <w:rPr>
                <w:kern w:val="0"/>
                <w:sz w:val="24"/>
                <w:szCs w:val="24"/>
              </w:rPr>
              <w:t>分值</w:t>
            </w:r>
          </w:p>
        </w:tc>
      </w:tr>
      <w:tr w14:paraId="6447F830">
        <w:trPr>
          <w:trHeight w:val="274"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60AC4A5B">
            <w:pPr>
              <w:widowControl/>
              <w:adjustRightInd w:val="0"/>
              <w:snapToGrid w:val="0"/>
              <w:jc w:val="center"/>
              <w:rPr>
                <w:kern w:val="0"/>
                <w:sz w:val="24"/>
                <w:szCs w:val="24"/>
              </w:rPr>
            </w:pPr>
            <w:r>
              <w:rPr>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07AB1AE6">
            <w:pPr>
              <w:widowControl/>
              <w:adjustRightInd w:val="0"/>
              <w:snapToGrid w:val="0"/>
              <w:jc w:val="center"/>
              <w:rPr>
                <w:kern w:val="0"/>
                <w:sz w:val="24"/>
                <w:szCs w:val="24"/>
              </w:rPr>
            </w:pPr>
            <w:r>
              <w:rPr>
                <w:kern w:val="0"/>
                <w:sz w:val="24"/>
                <w:szCs w:val="24"/>
              </w:rPr>
              <w:t>价格</w:t>
            </w:r>
          </w:p>
        </w:tc>
        <w:tc>
          <w:tcPr>
            <w:tcW w:w="7288" w:type="dxa"/>
            <w:tcBorders>
              <w:top w:val="single" w:color="auto" w:sz="4" w:space="0"/>
              <w:left w:val="single" w:color="auto" w:sz="4" w:space="0"/>
              <w:bottom w:val="single" w:color="auto" w:sz="4" w:space="0"/>
              <w:right w:val="single" w:color="auto" w:sz="4" w:space="0"/>
            </w:tcBorders>
            <w:vAlign w:val="center"/>
          </w:tcPr>
          <w:p w14:paraId="22555EAD">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15239B56">
            <w:pPr>
              <w:widowControl/>
              <w:adjustRightInd w:val="0"/>
              <w:snapToGrid w:val="0"/>
              <w:rPr>
                <w:kern w:val="0"/>
                <w:sz w:val="24"/>
                <w:szCs w:val="24"/>
              </w:rPr>
            </w:pPr>
            <w:r>
              <w:rPr>
                <w:kern w:val="0"/>
                <w:sz w:val="24"/>
                <w:szCs w:val="24"/>
              </w:rPr>
              <w:t>（2）投标报价得分=（评标基准价/投标报价）×10</w:t>
            </w:r>
          </w:p>
          <w:p w14:paraId="4FAE89E9">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tcBorders>
              <w:top w:val="single" w:color="auto" w:sz="4" w:space="0"/>
              <w:left w:val="single" w:color="auto" w:sz="4" w:space="0"/>
              <w:bottom w:val="single" w:color="auto" w:sz="4" w:space="0"/>
              <w:right w:val="single" w:color="auto" w:sz="4" w:space="0"/>
            </w:tcBorders>
            <w:vAlign w:val="center"/>
          </w:tcPr>
          <w:p w14:paraId="1923A6E8">
            <w:pPr>
              <w:widowControl/>
              <w:adjustRightInd w:val="0"/>
              <w:snapToGrid w:val="0"/>
              <w:jc w:val="center"/>
              <w:rPr>
                <w:kern w:val="0"/>
                <w:sz w:val="24"/>
                <w:szCs w:val="24"/>
              </w:rPr>
            </w:pPr>
            <w:r>
              <w:rPr>
                <w:kern w:val="0"/>
                <w:sz w:val="24"/>
                <w:szCs w:val="24"/>
              </w:rPr>
              <w:t>10</w:t>
            </w:r>
          </w:p>
        </w:tc>
      </w:tr>
      <w:tr w14:paraId="2AAE720A">
        <w:trPr>
          <w:trHeight w:val="150"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5A57840F">
            <w:pPr>
              <w:widowControl/>
              <w:adjustRightInd w:val="0"/>
              <w:snapToGrid w:val="0"/>
              <w:jc w:val="center"/>
              <w:rPr>
                <w:kern w:val="0"/>
                <w:sz w:val="24"/>
                <w:szCs w:val="24"/>
              </w:rPr>
            </w:pPr>
            <w:r>
              <w:rPr>
                <w:kern w:val="0"/>
                <w:sz w:val="24"/>
                <w:szCs w:val="24"/>
              </w:rPr>
              <w:t>第二部分 客观分（</w:t>
            </w:r>
            <w:r>
              <w:rPr>
                <w:rFonts w:hint="eastAsia"/>
                <w:kern w:val="0"/>
                <w:sz w:val="24"/>
                <w:szCs w:val="24"/>
              </w:rPr>
              <w:t>2</w:t>
            </w:r>
            <w:r>
              <w:rPr>
                <w:kern w:val="0"/>
                <w:sz w:val="24"/>
                <w:szCs w:val="24"/>
              </w:rPr>
              <w:t>0分）</w:t>
            </w:r>
          </w:p>
        </w:tc>
        <w:tc>
          <w:tcPr>
            <w:tcW w:w="1143" w:type="dxa"/>
            <w:tcBorders>
              <w:top w:val="single" w:color="auto" w:sz="4" w:space="0"/>
              <w:left w:val="single" w:color="auto" w:sz="4" w:space="0"/>
              <w:bottom w:val="single" w:color="auto" w:sz="4" w:space="0"/>
              <w:right w:val="single" w:color="auto" w:sz="4" w:space="0"/>
            </w:tcBorders>
            <w:vAlign w:val="center"/>
          </w:tcPr>
          <w:p w14:paraId="3BFFB3D3">
            <w:pPr>
              <w:widowControl/>
              <w:adjustRightInd w:val="0"/>
              <w:snapToGrid w:val="0"/>
              <w:jc w:val="center"/>
              <w:rPr>
                <w:kern w:val="0"/>
                <w:sz w:val="24"/>
                <w:szCs w:val="24"/>
              </w:rPr>
            </w:pPr>
            <w:r>
              <w:rPr>
                <w:kern w:val="0"/>
                <w:sz w:val="24"/>
                <w:szCs w:val="24"/>
              </w:rPr>
              <w:t>分值</w:t>
            </w:r>
          </w:p>
        </w:tc>
      </w:tr>
      <w:tr w14:paraId="520B66BF">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6576C699">
            <w:pPr>
              <w:widowControl/>
              <w:adjustRightInd w:val="0"/>
              <w:snapToGrid w:val="0"/>
              <w:jc w:val="center"/>
              <w:rPr>
                <w:kern w:val="0"/>
                <w:sz w:val="24"/>
                <w:szCs w:val="24"/>
              </w:rPr>
            </w:pPr>
            <w:r>
              <w:rPr>
                <w:rFonts w:hint="eastAsia"/>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443C4EA4">
            <w:pPr>
              <w:widowControl/>
              <w:adjustRightInd w:val="0"/>
              <w:snapToGrid w:val="0"/>
              <w:jc w:val="center"/>
              <w:rPr>
                <w:sz w:val="24"/>
              </w:rPr>
            </w:pPr>
            <w:r>
              <w:rPr>
                <w:sz w:val="24"/>
              </w:rPr>
              <w:t>投标人业绩评价</w:t>
            </w:r>
          </w:p>
        </w:tc>
        <w:tc>
          <w:tcPr>
            <w:tcW w:w="7288" w:type="dxa"/>
            <w:tcBorders>
              <w:top w:val="single" w:color="auto" w:sz="4" w:space="0"/>
              <w:left w:val="single" w:color="auto" w:sz="4" w:space="0"/>
              <w:bottom w:val="single" w:color="auto" w:sz="4" w:space="0"/>
              <w:right w:val="single" w:color="auto" w:sz="4" w:space="0"/>
            </w:tcBorders>
            <w:vAlign w:val="center"/>
          </w:tcPr>
          <w:p w14:paraId="55DC7F25">
            <w:pPr>
              <w:widowControl/>
              <w:adjustRightInd w:val="0"/>
              <w:snapToGrid w:val="0"/>
              <w:rPr>
                <w:kern w:val="0"/>
                <w:sz w:val="24"/>
                <w:szCs w:val="21"/>
              </w:rPr>
            </w:pPr>
            <w:r>
              <w:rPr>
                <w:kern w:val="0"/>
                <w:sz w:val="24"/>
                <w:szCs w:val="21"/>
              </w:rPr>
              <w:t>完全按照以下要求提供投标人曾实施</w:t>
            </w:r>
            <w:r>
              <w:rPr>
                <w:rFonts w:hint="eastAsia"/>
                <w:kern w:val="0"/>
                <w:sz w:val="24"/>
                <w:szCs w:val="21"/>
              </w:rPr>
              <w:t>的</w:t>
            </w:r>
            <w:r>
              <w:rPr>
                <w:kern w:val="0"/>
                <w:sz w:val="24"/>
                <w:szCs w:val="21"/>
              </w:rPr>
              <w:t>软件运行维护服务业绩，提供的证明材料均不得遮挡涂黑，否则不予认定加分。</w:t>
            </w:r>
          </w:p>
          <w:p w14:paraId="65F3E007">
            <w:pPr>
              <w:widowControl/>
              <w:adjustRightInd w:val="0"/>
              <w:snapToGrid w:val="0"/>
              <w:rPr>
                <w:kern w:val="0"/>
                <w:sz w:val="24"/>
                <w:szCs w:val="21"/>
              </w:rPr>
            </w:pPr>
            <w:r>
              <w:rPr>
                <w:kern w:val="0"/>
                <w:sz w:val="24"/>
                <w:szCs w:val="21"/>
              </w:rPr>
              <w:t>A. 合同原件扫描件。包括合同金额、买卖双方名称及盖章、服务内容、合同签订日期（应为2022年1月1日或以后）。</w:t>
            </w:r>
          </w:p>
          <w:p w14:paraId="1E59C4E8">
            <w:pPr>
              <w:widowControl/>
              <w:adjustRightInd w:val="0"/>
              <w:snapToGrid w:val="0"/>
              <w:rPr>
                <w:kern w:val="0"/>
                <w:sz w:val="24"/>
                <w:szCs w:val="21"/>
              </w:rPr>
            </w:pPr>
            <w:r>
              <w:rPr>
                <w:kern w:val="0"/>
                <w:sz w:val="24"/>
                <w:szCs w:val="21"/>
              </w:rPr>
              <w:t>B. 上述合同履行良好的相关证明材料原件扫描件（加盖上述合同甲方单位公章或上述合同中所盖的甲方印章）。</w:t>
            </w:r>
          </w:p>
          <w:p w14:paraId="7D59733B">
            <w:pPr>
              <w:widowControl/>
              <w:adjustRightInd w:val="0"/>
              <w:snapToGrid w:val="0"/>
              <w:rPr>
                <w:kern w:val="0"/>
                <w:sz w:val="24"/>
                <w:szCs w:val="24"/>
              </w:rPr>
            </w:pPr>
            <w:r>
              <w:rPr>
                <w:kern w:val="0"/>
                <w:sz w:val="24"/>
                <w:szCs w:val="21"/>
              </w:rPr>
              <w:t>每个业绩</w:t>
            </w:r>
            <w:r>
              <w:rPr>
                <w:rFonts w:hint="eastAsia"/>
                <w:kern w:val="0"/>
                <w:sz w:val="24"/>
                <w:szCs w:val="21"/>
              </w:rPr>
              <w:t>1</w:t>
            </w:r>
            <w:r>
              <w:rPr>
                <w:kern w:val="0"/>
                <w:sz w:val="24"/>
                <w:szCs w:val="21"/>
              </w:rPr>
              <w:t>分，最多</w:t>
            </w:r>
            <w:r>
              <w:rPr>
                <w:rFonts w:hint="eastAsia"/>
                <w:kern w:val="0"/>
                <w:sz w:val="24"/>
                <w:szCs w:val="21"/>
              </w:rPr>
              <w:t>5</w:t>
            </w:r>
            <w:r>
              <w:rPr>
                <w:kern w:val="0"/>
                <w:sz w:val="24"/>
                <w:szCs w:val="21"/>
              </w:rPr>
              <w:t>分。</w:t>
            </w:r>
          </w:p>
        </w:tc>
        <w:tc>
          <w:tcPr>
            <w:tcW w:w="1143" w:type="dxa"/>
            <w:tcBorders>
              <w:top w:val="single" w:color="auto" w:sz="4" w:space="0"/>
              <w:left w:val="single" w:color="auto" w:sz="4" w:space="0"/>
              <w:bottom w:val="single" w:color="auto" w:sz="4" w:space="0"/>
              <w:right w:val="single" w:color="auto" w:sz="4" w:space="0"/>
            </w:tcBorders>
            <w:vAlign w:val="center"/>
          </w:tcPr>
          <w:p w14:paraId="2EF34D38">
            <w:pPr>
              <w:widowControl/>
              <w:adjustRightInd w:val="0"/>
              <w:snapToGrid w:val="0"/>
              <w:jc w:val="center"/>
              <w:rPr>
                <w:kern w:val="0"/>
                <w:sz w:val="24"/>
                <w:szCs w:val="24"/>
              </w:rPr>
            </w:pPr>
            <w:r>
              <w:rPr>
                <w:rFonts w:hint="eastAsia"/>
                <w:kern w:val="0"/>
                <w:sz w:val="24"/>
                <w:szCs w:val="24"/>
              </w:rPr>
              <w:t>5</w:t>
            </w:r>
          </w:p>
        </w:tc>
      </w:tr>
      <w:tr w14:paraId="57BA7EFC">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70DFA6E7">
            <w:pPr>
              <w:widowControl/>
              <w:adjustRightInd w:val="0"/>
              <w:snapToGrid w:val="0"/>
              <w:jc w:val="center"/>
              <w:rPr>
                <w:kern w:val="0"/>
                <w:sz w:val="24"/>
                <w:szCs w:val="24"/>
              </w:rPr>
            </w:pPr>
            <w:r>
              <w:rPr>
                <w:rFonts w:hint="eastAsia"/>
                <w:kern w:val="0"/>
                <w:sz w:val="24"/>
                <w:szCs w:val="24"/>
              </w:rPr>
              <w:t>2</w:t>
            </w:r>
          </w:p>
        </w:tc>
        <w:tc>
          <w:tcPr>
            <w:tcW w:w="1442" w:type="dxa"/>
            <w:tcBorders>
              <w:top w:val="single" w:color="auto" w:sz="4" w:space="0"/>
              <w:left w:val="single" w:color="auto" w:sz="4" w:space="0"/>
              <w:bottom w:val="single" w:color="auto" w:sz="4" w:space="0"/>
              <w:right w:val="single" w:color="auto" w:sz="4" w:space="0"/>
            </w:tcBorders>
            <w:vAlign w:val="center"/>
          </w:tcPr>
          <w:p w14:paraId="6947A815">
            <w:pPr>
              <w:widowControl/>
              <w:adjustRightInd w:val="0"/>
              <w:snapToGrid w:val="0"/>
              <w:jc w:val="center"/>
              <w:rPr>
                <w:sz w:val="24"/>
              </w:rPr>
            </w:pPr>
            <w:r>
              <w:rPr>
                <w:sz w:val="24"/>
              </w:rPr>
              <w:t>投标人承诺评价</w:t>
            </w:r>
          </w:p>
        </w:tc>
        <w:tc>
          <w:tcPr>
            <w:tcW w:w="7288" w:type="dxa"/>
            <w:tcBorders>
              <w:top w:val="single" w:color="auto" w:sz="4" w:space="0"/>
              <w:left w:val="single" w:color="auto" w:sz="4" w:space="0"/>
              <w:bottom w:val="single" w:color="auto" w:sz="4" w:space="0"/>
              <w:right w:val="single" w:color="auto" w:sz="4" w:space="0"/>
            </w:tcBorders>
            <w:vAlign w:val="center"/>
          </w:tcPr>
          <w:p w14:paraId="1F605D53">
            <w:pPr>
              <w:widowControl/>
              <w:adjustRightInd w:val="0"/>
              <w:snapToGrid w:val="0"/>
              <w:rPr>
                <w:kern w:val="0"/>
                <w:sz w:val="24"/>
                <w:szCs w:val="24"/>
              </w:rPr>
            </w:pPr>
            <w:r>
              <w:rPr>
                <w:kern w:val="0"/>
                <w:sz w:val="24"/>
                <w:szCs w:val="24"/>
              </w:rPr>
              <w:t>承诺完全满足招标文件“报价要求”、“时间地点要求”、“付款方式要求”和技术要求中非“</w:t>
            </w:r>
            <w:r>
              <w:rPr>
                <w:rFonts w:hint="eastAsia" w:ascii="宋体" w:hAnsi="宋体" w:cs="宋体"/>
                <w:kern w:val="0"/>
                <w:sz w:val="24"/>
                <w:szCs w:val="24"/>
              </w:rPr>
              <w:t>★</w:t>
            </w:r>
            <w:r>
              <w:rPr>
                <w:kern w:val="0"/>
                <w:sz w:val="24"/>
                <w:szCs w:val="24"/>
              </w:rPr>
              <w:t>”号要求的：</w:t>
            </w:r>
            <w:r>
              <w:rPr>
                <w:rFonts w:hint="eastAsia"/>
                <w:kern w:val="0"/>
                <w:sz w:val="24"/>
                <w:szCs w:val="24"/>
              </w:rPr>
              <w:t>15</w:t>
            </w:r>
            <w:r>
              <w:rPr>
                <w:kern w:val="0"/>
                <w:sz w:val="24"/>
                <w:szCs w:val="24"/>
              </w:rPr>
              <w:t>分，其他0分。</w:t>
            </w:r>
          </w:p>
        </w:tc>
        <w:tc>
          <w:tcPr>
            <w:tcW w:w="1143" w:type="dxa"/>
            <w:tcBorders>
              <w:top w:val="single" w:color="auto" w:sz="4" w:space="0"/>
              <w:left w:val="single" w:color="auto" w:sz="4" w:space="0"/>
              <w:bottom w:val="single" w:color="auto" w:sz="4" w:space="0"/>
              <w:right w:val="single" w:color="auto" w:sz="4" w:space="0"/>
            </w:tcBorders>
            <w:vAlign w:val="center"/>
          </w:tcPr>
          <w:p w14:paraId="6080FDA4">
            <w:pPr>
              <w:widowControl/>
              <w:adjustRightInd w:val="0"/>
              <w:snapToGrid w:val="0"/>
              <w:jc w:val="center"/>
              <w:rPr>
                <w:kern w:val="0"/>
                <w:sz w:val="24"/>
                <w:szCs w:val="24"/>
              </w:rPr>
            </w:pPr>
            <w:r>
              <w:rPr>
                <w:rFonts w:hint="eastAsia"/>
                <w:kern w:val="0"/>
                <w:sz w:val="24"/>
                <w:szCs w:val="24"/>
              </w:rPr>
              <w:t>15</w:t>
            </w:r>
          </w:p>
        </w:tc>
      </w:tr>
      <w:tr w14:paraId="3D74DC1D">
        <w:trPr>
          <w:trHeight w:val="60"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74F91D97">
            <w:pPr>
              <w:widowControl/>
              <w:adjustRightInd w:val="0"/>
              <w:snapToGrid w:val="0"/>
              <w:jc w:val="center"/>
              <w:rPr>
                <w:kern w:val="0"/>
                <w:sz w:val="24"/>
                <w:szCs w:val="24"/>
              </w:rPr>
            </w:pPr>
            <w:r>
              <w:rPr>
                <w:kern w:val="0"/>
                <w:sz w:val="24"/>
                <w:szCs w:val="24"/>
              </w:rPr>
              <w:t>第三部分 主观分（</w:t>
            </w:r>
            <w:r>
              <w:rPr>
                <w:rFonts w:hint="eastAsia"/>
                <w:kern w:val="0"/>
                <w:sz w:val="24"/>
                <w:szCs w:val="24"/>
              </w:rPr>
              <w:t>7</w:t>
            </w:r>
            <w:r>
              <w:rPr>
                <w:kern w:val="0"/>
                <w:sz w:val="24"/>
                <w:szCs w:val="24"/>
              </w:rPr>
              <w:t>0分）</w:t>
            </w:r>
          </w:p>
        </w:tc>
        <w:tc>
          <w:tcPr>
            <w:tcW w:w="1143" w:type="dxa"/>
            <w:tcBorders>
              <w:top w:val="single" w:color="auto" w:sz="4" w:space="0"/>
              <w:left w:val="single" w:color="auto" w:sz="4" w:space="0"/>
              <w:bottom w:val="single" w:color="auto" w:sz="4" w:space="0"/>
              <w:right w:val="single" w:color="auto" w:sz="4" w:space="0"/>
            </w:tcBorders>
            <w:vAlign w:val="center"/>
          </w:tcPr>
          <w:p w14:paraId="7313F303">
            <w:pPr>
              <w:widowControl/>
              <w:adjustRightInd w:val="0"/>
              <w:snapToGrid w:val="0"/>
              <w:jc w:val="center"/>
              <w:rPr>
                <w:kern w:val="0"/>
                <w:sz w:val="24"/>
                <w:szCs w:val="24"/>
              </w:rPr>
            </w:pPr>
            <w:r>
              <w:rPr>
                <w:kern w:val="0"/>
                <w:sz w:val="24"/>
                <w:szCs w:val="24"/>
              </w:rPr>
              <w:t>分值</w:t>
            </w:r>
          </w:p>
        </w:tc>
      </w:tr>
      <w:tr w14:paraId="457C08B6">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64C70C78">
            <w:pPr>
              <w:widowControl/>
              <w:adjustRightInd w:val="0"/>
              <w:snapToGrid w:val="0"/>
              <w:jc w:val="center"/>
              <w:rPr>
                <w:kern w:val="0"/>
                <w:sz w:val="24"/>
                <w:szCs w:val="24"/>
              </w:rPr>
            </w:pPr>
            <w:r>
              <w:rPr>
                <w:kern w:val="0"/>
                <w:sz w:val="24"/>
                <w:szCs w:val="24"/>
              </w:rPr>
              <w:t>1</w:t>
            </w:r>
          </w:p>
        </w:tc>
        <w:tc>
          <w:tcPr>
            <w:tcW w:w="1442" w:type="dxa"/>
            <w:tcBorders>
              <w:top w:val="single" w:color="auto" w:sz="4" w:space="0"/>
              <w:left w:val="single" w:color="auto" w:sz="4" w:space="0"/>
              <w:bottom w:val="single" w:color="auto" w:sz="4" w:space="0"/>
              <w:right w:val="single" w:color="auto" w:sz="4" w:space="0"/>
            </w:tcBorders>
            <w:vAlign w:val="center"/>
          </w:tcPr>
          <w:p w14:paraId="7B975B82">
            <w:pPr>
              <w:widowControl/>
              <w:adjustRightInd w:val="0"/>
              <w:snapToGrid w:val="0"/>
              <w:jc w:val="center"/>
              <w:rPr>
                <w:kern w:val="0"/>
                <w:sz w:val="24"/>
                <w:szCs w:val="24"/>
              </w:rPr>
            </w:pPr>
            <w:r>
              <w:rPr>
                <w:kern w:val="0"/>
                <w:sz w:val="24"/>
                <w:szCs w:val="24"/>
              </w:rPr>
              <w:t>项目需求理解方案评价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772F3E46">
            <w:pPr>
              <w:widowControl/>
              <w:adjustRightInd w:val="0"/>
              <w:snapToGrid w:val="0"/>
              <w:rPr>
                <w:kern w:val="0"/>
                <w:sz w:val="24"/>
                <w:szCs w:val="24"/>
              </w:rPr>
            </w:pPr>
            <w:r>
              <w:rPr>
                <w:rFonts w:hint="eastAsia"/>
                <w:kern w:val="0"/>
                <w:sz w:val="24"/>
                <w:szCs w:val="24"/>
              </w:rPr>
              <w:t>至少包含项目建设背景、目标需求（包括数据需求、功能需求、业务需求、对接需求）和现状情况（包括机构情况、角色情况、业务管理情况、现有系统情况等）的理解和分析</w:t>
            </w:r>
          </w:p>
          <w:p w14:paraId="6DAB1A3B">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5431BFCD">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51E99C30">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6CF5692D">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132D9837">
            <w:pPr>
              <w:widowControl/>
              <w:adjustRightInd w:val="0"/>
              <w:snapToGrid w:val="0"/>
              <w:rPr>
                <w:kern w:val="0"/>
                <w:sz w:val="24"/>
                <w:szCs w:val="24"/>
              </w:rPr>
            </w:pPr>
            <w:r>
              <w:rPr>
                <w:kern w:val="0"/>
                <w:sz w:val="24"/>
                <w:szCs w:val="24"/>
              </w:rPr>
              <w:t>未提供方案或不满足招标文件要求或内容存在4处及以上瑕疵：0分；</w:t>
            </w:r>
          </w:p>
          <w:p w14:paraId="0DF93708">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559042FE">
            <w:pPr>
              <w:widowControl/>
              <w:adjustRightInd w:val="0"/>
              <w:snapToGrid w:val="0"/>
              <w:jc w:val="center"/>
              <w:rPr>
                <w:kern w:val="0"/>
                <w:sz w:val="24"/>
                <w:szCs w:val="24"/>
              </w:rPr>
            </w:pPr>
            <w:r>
              <w:rPr>
                <w:rFonts w:hint="eastAsia"/>
                <w:kern w:val="0"/>
                <w:sz w:val="24"/>
                <w:szCs w:val="24"/>
              </w:rPr>
              <w:t>10</w:t>
            </w:r>
          </w:p>
        </w:tc>
      </w:tr>
      <w:tr w14:paraId="12E155DB">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586B9555">
            <w:pPr>
              <w:widowControl/>
              <w:jc w:val="center"/>
              <w:rPr>
                <w:kern w:val="0"/>
                <w:sz w:val="24"/>
                <w:szCs w:val="24"/>
              </w:rPr>
            </w:pPr>
            <w:r>
              <w:rPr>
                <w:kern w:val="0"/>
                <w:sz w:val="24"/>
                <w:szCs w:val="24"/>
              </w:rPr>
              <w:t>2</w:t>
            </w:r>
          </w:p>
        </w:tc>
        <w:tc>
          <w:tcPr>
            <w:tcW w:w="1442" w:type="dxa"/>
            <w:tcBorders>
              <w:top w:val="single" w:color="auto" w:sz="4" w:space="0"/>
              <w:left w:val="single" w:color="auto" w:sz="4" w:space="0"/>
              <w:bottom w:val="single" w:color="auto" w:sz="4" w:space="0"/>
              <w:right w:val="single" w:color="auto" w:sz="4" w:space="0"/>
            </w:tcBorders>
            <w:vAlign w:val="center"/>
          </w:tcPr>
          <w:p w14:paraId="799E2E7C">
            <w:pPr>
              <w:widowControl/>
              <w:adjustRightInd w:val="0"/>
              <w:snapToGrid w:val="0"/>
              <w:jc w:val="center"/>
              <w:rPr>
                <w:kern w:val="0"/>
                <w:sz w:val="24"/>
                <w:szCs w:val="24"/>
              </w:rPr>
            </w:pPr>
            <w:r>
              <w:rPr>
                <w:rFonts w:hint="eastAsia"/>
                <w:kern w:val="0"/>
                <w:sz w:val="24"/>
                <w:szCs w:val="24"/>
              </w:rPr>
              <w:t>运行维护方案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3FD6C9E2">
            <w:pPr>
              <w:widowControl/>
              <w:adjustRightInd w:val="0"/>
              <w:snapToGrid w:val="0"/>
              <w:rPr>
                <w:kern w:val="0"/>
                <w:sz w:val="24"/>
                <w:szCs w:val="24"/>
              </w:rPr>
            </w:pPr>
            <w:r>
              <w:rPr>
                <w:kern w:val="0"/>
                <w:sz w:val="24"/>
                <w:szCs w:val="24"/>
              </w:rPr>
              <w:t>至少包括</w:t>
            </w:r>
            <w:r>
              <w:rPr>
                <w:rFonts w:hint="eastAsia"/>
                <w:kern w:val="0"/>
                <w:sz w:val="24"/>
                <w:szCs w:val="24"/>
              </w:rPr>
              <w:t>运维计划，确保本系统稳定运行并满足业务和技术需求；运维管理办法，确保运维流程的统一性和规范性；基础运维制度，为日常运维工作提供明确的指导和规范；问题的快速响应和处理机制，确保在关键时期能够迅速解决问题；详细的应急预案，以应对可能出现的各种紧急情况，保障系统的连续性和业务的不中断等方面内容。</w:t>
            </w:r>
          </w:p>
          <w:p w14:paraId="1192CC3A">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122D4508">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2557EC43">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41BAE80A">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1676DF32">
            <w:pPr>
              <w:widowControl/>
              <w:adjustRightInd w:val="0"/>
              <w:snapToGrid w:val="0"/>
              <w:rPr>
                <w:kern w:val="0"/>
                <w:sz w:val="24"/>
                <w:szCs w:val="24"/>
              </w:rPr>
            </w:pPr>
            <w:r>
              <w:rPr>
                <w:kern w:val="0"/>
                <w:sz w:val="24"/>
                <w:szCs w:val="24"/>
              </w:rPr>
              <w:t>未提供方案或不满足招标文件要求或内容存在4处及以上瑕疵：0分；</w:t>
            </w:r>
          </w:p>
          <w:p w14:paraId="7B0C822D">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0C29CAD9">
            <w:pPr>
              <w:widowControl/>
              <w:adjustRightInd w:val="0"/>
              <w:snapToGrid w:val="0"/>
              <w:jc w:val="center"/>
              <w:rPr>
                <w:kern w:val="0"/>
                <w:sz w:val="24"/>
                <w:szCs w:val="24"/>
              </w:rPr>
            </w:pPr>
            <w:r>
              <w:rPr>
                <w:rFonts w:hint="eastAsia"/>
                <w:kern w:val="0"/>
                <w:sz w:val="24"/>
                <w:szCs w:val="24"/>
              </w:rPr>
              <w:t>10</w:t>
            </w:r>
          </w:p>
        </w:tc>
      </w:tr>
      <w:tr w14:paraId="4DB1CA45">
        <w:trPr>
          <w:trHeight w:val="60"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697B6F87">
            <w:pPr>
              <w:widowControl/>
              <w:adjustRightInd w:val="0"/>
              <w:snapToGrid w:val="0"/>
              <w:jc w:val="center"/>
              <w:rPr>
                <w:kern w:val="0"/>
                <w:sz w:val="24"/>
                <w:szCs w:val="24"/>
              </w:rPr>
            </w:pPr>
            <w:r>
              <w:rPr>
                <w:kern w:val="0"/>
                <w:sz w:val="24"/>
                <w:szCs w:val="24"/>
              </w:rPr>
              <w:t>3</w:t>
            </w:r>
          </w:p>
        </w:tc>
        <w:tc>
          <w:tcPr>
            <w:tcW w:w="1442" w:type="dxa"/>
            <w:tcBorders>
              <w:top w:val="single" w:color="auto" w:sz="4" w:space="0"/>
              <w:left w:val="single" w:color="auto" w:sz="4" w:space="0"/>
              <w:bottom w:val="single" w:color="auto" w:sz="4" w:space="0"/>
              <w:right w:val="single" w:color="auto" w:sz="4" w:space="0"/>
            </w:tcBorders>
            <w:vAlign w:val="center"/>
          </w:tcPr>
          <w:p w14:paraId="798A361A">
            <w:pPr>
              <w:widowControl/>
              <w:adjustRightInd w:val="0"/>
              <w:snapToGrid w:val="0"/>
              <w:jc w:val="center"/>
              <w:rPr>
                <w:kern w:val="0"/>
                <w:sz w:val="24"/>
                <w:szCs w:val="24"/>
              </w:rPr>
            </w:pPr>
            <w:r>
              <w:rPr>
                <w:rFonts w:hint="eastAsia"/>
                <w:kern w:val="0"/>
                <w:sz w:val="24"/>
                <w:szCs w:val="24"/>
              </w:rPr>
              <w:t>管理实施方案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2E9456B2">
            <w:pPr>
              <w:widowControl/>
              <w:adjustRightInd w:val="0"/>
              <w:snapToGrid w:val="0"/>
              <w:rPr>
                <w:kern w:val="0"/>
                <w:sz w:val="24"/>
                <w:szCs w:val="24"/>
              </w:rPr>
            </w:pPr>
            <w:r>
              <w:rPr>
                <w:kern w:val="0"/>
                <w:sz w:val="24"/>
                <w:szCs w:val="24"/>
              </w:rPr>
              <w:t>至少包含</w:t>
            </w:r>
            <w:r>
              <w:rPr>
                <w:rFonts w:hint="eastAsia"/>
                <w:kern w:val="0"/>
                <w:sz w:val="24"/>
                <w:szCs w:val="24"/>
              </w:rPr>
              <w:t>组织管理、进度管理、范围管理以及项目实施过程中的实施管理、质量管理、资源管理、日常运行管理等内容。</w:t>
            </w:r>
          </w:p>
          <w:p w14:paraId="1F3A5504">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791A14F6">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6C08080A">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16117DFF">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47FE1A59">
            <w:pPr>
              <w:widowControl/>
              <w:adjustRightInd w:val="0"/>
              <w:snapToGrid w:val="0"/>
              <w:rPr>
                <w:kern w:val="0"/>
                <w:sz w:val="24"/>
                <w:szCs w:val="24"/>
              </w:rPr>
            </w:pPr>
            <w:r>
              <w:rPr>
                <w:kern w:val="0"/>
                <w:sz w:val="24"/>
                <w:szCs w:val="24"/>
              </w:rPr>
              <w:t>未提供方案或不满足招标文件要求或内容存在4处及以上瑕疵：0分；</w:t>
            </w:r>
          </w:p>
          <w:p w14:paraId="4C168F41">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4E69D334">
            <w:pPr>
              <w:widowControl/>
              <w:adjustRightInd w:val="0"/>
              <w:snapToGrid w:val="0"/>
              <w:jc w:val="center"/>
              <w:rPr>
                <w:kern w:val="0"/>
                <w:sz w:val="24"/>
                <w:szCs w:val="24"/>
              </w:rPr>
            </w:pPr>
            <w:r>
              <w:rPr>
                <w:rFonts w:hint="eastAsia"/>
                <w:kern w:val="0"/>
                <w:sz w:val="24"/>
                <w:szCs w:val="24"/>
              </w:rPr>
              <w:t>10</w:t>
            </w:r>
          </w:p>
        </w:tc>
      </w:tr>
      <w:tr w14:paraId="333687D4">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4D851484">
            <w:pPr>
              <w:widowControl/>
              <w:adjustRightInd w:val="0"/>
              <w:snapToGrid w:val="0"/>
              <w:jc w:val="center"/>
              <w:rPr>
                <w:kern w:val="0"/>
                <w:sz w:val="24"/>
                <w:szCs w:val="24"/>
              </w:rPr>
            </w:pPr>
            <w:r>
              <w:rPr>
                <w:kern w:val="0"/>
                <w:sz w:val="24"/>
                <w:szCs w:val="24"/>
              </w:rPr>
              <w:t>4</w:t>
            </w:r>
          </w:p>
        </w:tc>
        <w:tc>
          <w:tcPr>
            <w:tcW w:w="1442" w:type="dxa"/>
            <w:tcBorders>
              <w:top w:val="single" w:color="auto" w:sz="4" w:space="0"/>
              <w:left w:val="single" w:color="auto" w:sz="4" w:space="0"/>
              <w:bottom w:val="single" w:color="auto" w:sz="4" w:space="0"/>
              <w:right w:val="single" w:color="auto" w:sz="4" w:space="0"/>
            </w:tcBorders>
            <w:vAlign w:val="center"/>
          </w:tcPr>
          <w:p w14:paraId="01B70AD5">
            <w:pPr>
              <w:widowControl/>
              <w:adjustRightInd w:val="0"/>
              <w:snapToGrid w:val="0"/>
              <w:jc w:val="center"/>
              <w:rPr>
                <w:kern w:val="0"/>
                <w:sz w:val="24"/>
                <w:szCs w:val="24"/>
              </w:rPr>
            </w:pPr>
            <w:r>
              <w:rPr>
                <w:rFonts w:hint="eastAsia"/>
                <w:kern w:val="0"/>
                <w:sz w:val="24"/>
                <w:szCs w:val="24"/>
              </w:rPr>
              <w:t>保密</w:t>
            </w:r>
            <w:r>
              <w:rPr>
                <w:kern w:val="0"/>
                <w:sz w:val="24"/>
                <w:szCs w:val="24"/>
              </w:rPr>
              <w:t>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6BCFB58B">
            <w:pPr>
              <w:widowControl/>
              <w:adjustRightInd w:val="0"/>
              <w:snapToGrid w:val="0"/>
              <w:rPr>
                <w:kern w:val="0"/>
                <w:sz w:val="24"/>
                <w:szCs w:val="24"/>
              </w:rPr>
            </w:pPr>
            <w:r>
              <w:rPr>
                <w:rFonts w:hint="eastAsia"/>
                <w:kern w:val="0"/>
                <w:sz w:val="24"/>
                <w:szCs w:val="24"/>
              </w:rPr>
              <w:t>至少包含保证服务过程中有可能获取的保密信息不泄露的措施：制定保密制度、服务人员保密培训、重点岗位双人服务、泄密惩罚办法。</w:t>
            </w:r>
          </w:p>
          <w:p w14:paraId="1688AB5A">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581A893F">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653225E9">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5D7773E4">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3D738CC5">
            <w:pPr>
              <w:widowControl/>
              <w:adjustRightInd w:val="0"/>
              <w:snapToGrid w:val="0"/>
              <w:rPr>
                <w:kern w:val="0"/>
                <w:sz w:val="24"/>
                <w:szCs w:val="24"/>
              </w:rPr>
            </w:pPr>
            <w:r>
              <w:rPr>
                <w:kern w:val="0"/>
                <w:sz w:val="24"/>
                <w:szCs w:val="24"/>
              </w:rPr>
              <w:t>未提供方案或不满足招标文件要求或内容存在4处及以上瑕疵：0分；</w:t>
            </w:r>
          </w:p>
          <w:p w14:paraId="1CF4D606">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009E322A">
            <w:pPr>
              <w:widowControl/>
              <w:adjustRightInd w:val="0"/>
              <w:snapToGrid w:val="0"/>
              <w:jc w:val="center"/>
              <w:rPr>
                <w:kern w:val="0"/>
                <w:sz w:val="24"/>
                <w:szCs w:val="24"/>
              </w:rPr>
            </w:pPr>
            <w:r>
              <w:rPr>
                <w:rFonts w:hint="eastAsia"/>
                <w:kern w:val="0"/>
                <w:sz w:val="24"/>
                <w:szCs w:val="24"/>
              </w:rPr>
              <w:t>10</w:t>
            </w:r>
          </w:p>
        </w:tc>
      </w:tr>
      <w:tr w14:paraId="17AE1F71">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1EFB01E9">
            <w:pPr>
              <w:widowControl/>
              <w:adjustRightInd w:val="0"/>
              <w:snapToGrid w:val="0"/>
              <w:jc w:val="center"/>
              <w:rPr>
                <w:kern w:val="0"/>
                <w:sz w:val="24"/>
                <w:szCs w:val="24"/>
              </w:rPr>
            </w:pPr>
            <w:r>
              <w:rPr>
                <w:kern w:val="0"/>
                <w:sz w:val="24"/>
                <w:szCs w:val="24"/>
              </w:rPr>
              <w:t>5</w:t>
            </w:r>
          </w:p>
        </w:tc>
        <w:tc>
          <w:tcPr>
            <w:tcW w:w="1442" w:type="dxa"/>
            <w:tcBorders>
              <w:top w:val="single" w:color="auto" w:sz="4" w:space="0"/>
              <w:left w:val="single" w:color="auto" w:sz="4" w:space="0"/>
              <w:bottom w:val="single" w:color="auto" w:sz="4" w:space="0"/>
              <w:right w:val="single" w:color="auto" w:sz="4" w:space="0"/>
            </w:tcBorders>
            <w:vAlign w:val="center"/>
          </w:tcPr>
          <w:p w14:paraId="24BD2BA9">
            <w:pPr>
              <w:widowControl/>
              <w:adjustRightInd w:val="0"/>
              <w:snapToGrid w:val="0"/>
              <w:jc w:val="center"/>
              <w:rPr>
                <w:kern w:val="0"/>
                <w:sz w:val="24"/>
                <w:szCs w:val="24"/>
              </w:rPr>
            </w:pPr>
            <w:r>
              <w:rPr>
                <w:rFonts w:hint="eastAsia"/>
                <w:kern w:val="0"/>
                <w:sz w:val="24"/>
                <w:szCs w:val="24"/>
              </w:rPr>
              <w:t>知识转移方案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1E9E71A8">
            <w:pPr>
              <w:widowControl/>
              <w:adjustRightInd w:val="0"/>
              <w:snapToGrid w:val="0"/>
              <w:rPr>
                <w:kern w:val="0"/>
                <w:sz w:val="24"/>
                <w:szCs w:val="24"/>
              </w:rPr>
            </w:pPr>
            <w:r>
              <w:rPr>
                <w:kern w:val="0"/>
                <w:sz w:val="24"/>
                <w:szCs w:val="24"/>
              </w:rPr>
              <w:t>至少包含</w:t>
            </w:r>
            <w:r>
              <w:rPr>
                <w:rFonts w:hint="eastAsia"/>
                <w:kern w:val="0"/>
                <w:sz w:val="24"/>
                <w:szCs w:val="24"/>
              </w:rPr>
              <w:t>转移内容、转移形式、转移要求等方面内容。</w:t>
            </w:r>
          </w:p>
          <w:p w14:paraId="4F26959E">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2C73D979">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35B9A1D6">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7E987A74">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7DED32CA">
            <w:pPr>
              <w:widowControl/>
              <w:adjustRightInd w:val="0"/>
              <w:snapToGrid w:val="0"/>
              <w:rPr>
                <w:kern w:val="0"/>
                <w:sz w:val="24"/>
                <w:szCs w:val="24"/>
              </w:rPr>
            </w:pPr>
            <w:r>
              <w:rPr>
                <w:kern w:val="0"/>
                <w:sz w:val="24"/>
                <w:szCs w:val="24"/>
              </w:rPr>
              <w:t>未提供方案或不满足招标文件要求或内容存在4处及以上瑕疵：0分；</w:t>
            </w:r>
          </w:p>
          <w:p w14:paraId="3C81789D">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37F80F14">
            <w:pPr>
              <w:widowControl/>
              <w:adjustRightInd w:val="0"/>
              <w:snapToGrid w:val="0"/>
              <w:jc w:val="center"/>
              <w:rPr>
                <w:kern w:val="0"/>
                <w:sz w:val="24"/>
                <w:szCs w:val="24"/>
              </w:rPr>
            </w:pPr>
            <w:r>
              <w:rPr>
                <w:rFonts w:hint="eastAsia"/>
                <w:kern w:val="0"/>
                <w:sz w:val="24"/>
                <w:szCs w:val="24"/>
              </w:rPr>
              <w:t>10</w:t>
            </w:r>
          </w:p>
        </w:tc>
      </w:tr>
      <w:tr w14:paraId="5C263E6C">
        <w:trPr>
          <w:trHeight w:val="416"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3F0FA886">
            <w:pPr>
              <w:widowControl/>
              <w:adjustRightInd w:val="0"/>
              <w:snapToGrid w:val="0"/>
              <w:jc w:val="center"/>
              <w:rPr>
                <w:kern w:val="0"/>
                <w:sz w:val="24"/>
                <w:szCs w:val="24"/>
              </w:rPr>
            </w:pPr>
            <w:r>
              <w:rPr>
                <w:kern w:val="0"/>
                <w:sz w:val="24"/>
                <w:szCs w:val="24"/>
              </w:rPr>
              <w:t>6</w:t>
            </w:r>
          </w:p>
        </w:tc>
        <w:tc>
          <w:tcPr>
            <w:tcW w:w="1442" w:type="dxa"/>
            <w:tcBorders>
              <w:top w:val="single" w:color="auto" w:sz="4" w:space="0"/>
              <w:left w:val="single" w:color="auto" w:sz="4" w:space="0"/>
              <w:bottom w:val="single" w:color="auto" w:sz="4" w:space="0"/>
              <w:right w:val="single" w:color="auto" w:sz="4" w:space="0"/>
            </w:tcBorders>
            <w:vAlign w:val="center"/>
          </w:tcPr>
          <w:p w14:paraId="757829BC">
            <w:pPr>
              <w:widowControl/>
              <w:adjustRightInd w:val="0"/>
              <w:snapToGrid w:val="0"/>
              <w:jc w:val="center"/>
              <w:rPr>
                <w:kern w:val="0"/>
                <w:sz w:val="24"/>
                <w:szCs w:val="24"/>
              </w:rPr>
            </w:pPr>
            <w:r>
              <w:rPr>
                <w:rFonts w:hint="eastAsia"/>
                <w:kern w:val="0"/>
                <w:sz w:val="24"/>
                <w:szCs w:val="24"/>
              </w:rPr>
              <w:t>风险管控方案</w:t>
            </w:r>
            <w:r>
              <w:rPr>
                <w:kern w:val="0"/>
                <w:sz w:val="24"/>
                <w:szCs w:val="24"/>
              </w:rPr>
              <w:t>评价</w:t>
            </w:r>
          </w:p>
        </w:tc>
        <w:tc>
          <w:tcPr>
            <w:tcW w:w="7288" w:type="dxa"/>
            <w:tcBorders>
              <w:top w:val="single" w:color="auto" w:sz="4" w:space="0"/>
              <w:left w:val="single" w:color="auto" w:sz="4" w:space="0"/>
              <w:bottom w:val="single" w:color="auto" w:sz="4" w:space="0"/>
              <w:right w:val="single" w:color="auto" w:sz="4" w:space="0"/>
            </w:tcBorders>
            <w:vAlign w:val="center"/>
          </w:tcPr>
          <w:p w14:paraId="1B7AF30F">
            <w:pPr>
              <w:widowControl/>
              <w:adjustRightInd w:val="0"/>
              <w:snapToGrid w:val="0"/>
              <w:rPr>
                <w:kern w:val="0"/>
                <w:sz w:val="24"/>
                <w:szCs w:val="24"/>
              </w:rPr>
            </w:pPr>
            <w:r>
              <w:rPr>
                <w:rFonts w:hint="eastAsia"/>
                <w:kern w:val="0"/>
                <w:sz w:val="24"/>
                <w:szCs w:val="24"/>
              </w:rPr>
              <w:t>对项目实施全过程中可能出现的风险进行全面识别与评估，至少包含业务风险、人员风险、进度风险等。基于风险评估结果，制定针对性的风险应对策略，持续监控风险状况，并根据实际情况及时完善风险应对策略，确保项目目标顺利实现</w:t>
            </w:r>
          </w:p>
          <w:p w14:paraId="4F5CA1F2">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7DA1AC65">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4B7ED2AC">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6225D21C">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43CDA667">
            <w:pPr>
              <w:widowControl/>
              <w:adjustRightInd w:val="0"/>
              <w:snapToGrid w:val="0"/>
              <w:rPr>
                <w:kern w:val="0"/>
                <w:sz w:val="24"/>
                <w:szCs w:val="24"/>
              </w:rPr>
            </w:pPr>
            <w:r>
              <w:rPr>
                <w:kern w:val="0"/>
                <w:sz w:val="24"/>
                <w:szCs w:val="24"/>
              </w:rPr>
              <w:t>未提供方案或不满足招标文件要求或内容存在4处及以上瑕疵：0分；</w:t>
            </w:r>
          </w:p>
          <w:p w14:paraId="689EE230">
            <w:pPr>
              <w:widowControl/>
              <w:adjustRightInd w:val="0"/>
              <w:snapToGrid w:val="0"/>
              <w:rPr>
                <w:kern w:val="0"/>
                <w:sz w:val="24"/>
                <w:szCs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3FB28A1D">
            <w:pPr>
              <w:widowControl/>
              <w:adjustRightInd w:val="0"/>
              <w:snapToGrid w:val="0"/>
              <w:jc w:val="center"/>
              <w:rPr>
                <w:kern w:val="0"/>
                <w:sz w:val="24"/>
                <w:szCs w:val="24"/>
              </w:rPr>
            </w:pPr>
            <w:r>
              <w:rPr>
                <w:rFonts w:hint="eastAsia"/>
                <w:kern w:val="0"/>
                <w:sz w:val="24"/>
                <w:szCs w:val="24"/>
              </w:rPr>
              <w:t>10</w:t>
            </w:r>
          </w:p>
        </w:tc>
      </w:tr>
      <w:tr w14:paraId="7C3AD00A">
        <w:trPr>
          <w:trHeight w:val="699" w:hRule="atLeast"/>
          <w:jc w:val="center"/>
        </w:trPr>
        <w:tc>
          <w:tcPr>
            <w:tcW w:w="663" w:type="dxa"/>
            <w:tcBorders>
              <w:top w:val="single" w:color="auto" w:sz="4" w:space="0"/>
              <w:left w:val="single" w:color="auto" w:sz="4" w:space="0"/>
              <w:bottom w:val="single" w:color="auto" w:sz="4" w:space="0"/>
              <w:right w:val="single" w:color="auto" w:sz="4" w:space="0"/>
            </w:tcBorders>
            <w:noWrap/>
            <w:vAlign w:val="center"/>
          </w:tcPr>
          <w:p w14:paraId="7AAB42C3">
            <w:pPr>
              <w:widowControl/>
              <w:adjustRightInd w:val="0"/>
              <w:snapToGrid w:val="0"/>
              <w:jc w:val="center"/>
              <w:rPr>
                <w:kern w:val="0"/>
                <w:sz w:val="24"/>
                <w:szCs w:val="24"/>
              </w:rPr>
            </w:pPr>
            <w:r>
              <w:rPr>
                <w:rFonts w:hint="eastAsia"/>
                <w:kern w:val="0"/>
                <w:sz w:val="24"/>
                <w:szCs w:val="24"/>
              </w:rPr>
              <w:t>7</w:t>
            </w:r>
          </w:p>
        </w:tc>
        <w:tc>
          <w:tcPr>
            <w:tcW w:w="1442" w:type="dxa"/>
            <w:tcBorders>
              <w:top w:val="single" w:color="auto" w:sz="4" w:space="0"/>
              <w:left w:val="single" w:color="auto" w:sz="4" w:space="0"/>
              <w:bottom w:val="single" w:color="auto" w:sz="4" w:space="0"/>
              <w:right w:val="single" w:color="auto" w:sz="4" w:space="0"/>
            </w:tcBorders>
            <w:vAlign w:val="center"/>
          </w:tcPr>
          <w:p w14:paraId="2777EB9C">
            <w:pPr>
              <w:widowControl/>
              <w:adjustRightInd w:val="0"/>
              <w:snapToGrid w:val="0"/>
              <w:jc w:val="center"/>
              <w:rPr>
                <w:kern w:val="0"/>
                <w:sz w:val="24"/>
                <w:szCs w:val="24"/>
              </w:rPr>
            </w:pPr>
            <w:r>
              <w:rPr>
                <w:sz w:val="24"/>
              </w:rPr>
              <w:t>配合验收方案评价</w:t>
            </w:r>
          </w:p>
        </w:tc>
        <w:tc>
          <w:tcPr>
            <w:tcW w:w="7288" w:type="dxa"/>
            <w:tcBorders>
              <w:top w:val="single" w:color="auto" w:sz="4" w:space="0"/>
              <w:left w:val="single" w:color="auto" w:sz="4" w:space="0"/>
              <w:bottom w:val="single" w:color="auto" w:sz="4" w:space="0"/>
              <w:right w:val="single" w:color="auto" w:sz="4" w:space="0"/>
            </w:tcBorders>
            <w:vAlign w:val="center"/>
          </w:tcPr>
          <w:p w14:paraId="34FE1AA1">
            <w:pPr>
              <w:widowControl/>
              <w:adjustRightInd w:val="0"/>
              <w:snapToGrid w:val="0"/>
              <w:rPr>
                <w:kern w:val="0"/>
                <w:sz w:val="24"/>
                <w:szCs w:val="24"/>
              </w:rPr>
            </w:pPr>
            <w:r>
              <w:rPr>
                <w:rFonts w:hint="eastAsia"/>
                <w:kern w:val="0"/>
                <w:sz w:val="24"/>
                <w:szCs w:val="24"/>
              </w:rPr>
              <w:t>根据需要验收的内容，提出切实可行的验收流程。对合同规定的各项验收指标，提出明确的验收前提条件和验收依据及标准，列明需要移交和交付的各类文档及产出物。对验收中可能发现的问题，供应商应提出有效解决办法和补救措施等内容。</w:t>
            </w:r>
          </w:p>
          <w:p w14:paraId="4B04ADF6">
            <w:pPr>
              <w:widowControl/>
              <w:adjustRightInd w:val="0"/>
              <w:snapToGrid w:val="0"/>
              <w:rPr>
                <w:kern w:val="0"/>
                <w:sz w:val="24"/>
                <w:szCs w:val="24"/>
              </w:rPr>
            </w:pPr>
            <w:r>
              <w:rPr>
                <w:kern w:val="0"/>
                <w:sz w:val="24"/>
                <w:szCs w:val="24"/>
              </w:rPr>
              <w:t>满足招标文件要求，无瑕疵：</w:t>
            </w:r>
            <w:r>
              <w:rPr>
                <w:rFonts w:hint="eastAsia"/>
                <w:kern w:val="0"/>
                <w:sz w:val="24"/>
                <w:szCs w:val="24"/>
              </w:rPr>
              <w:t>10</w:t>
            </w:r>
            <w:r>
              <w:rPr>
                <w:kern w:val="0"/>
                <w:sz w:val="24"/>
                <w:szCs w:val="24"/>
              </w:rPr>
              <w:t>分；</w:t>
            </w:r>
          </w:p>
          <w:p w14:paraId="4CAFC1FB">
            <w:pPr>
              <w:widowControl/>
              <w:adjustRightInd w:val="0"/>
              <w:snapToGrid w:val="0"/>
              <w:rPr>
                <w:kern w:val="0"/>
                <w:sz w:val="24"/>
                <w:szCs w:val="24"/>
              </w:rPr>
            </w:pPr>
            <w:r>
              <w:rPr>
                <w:kern w:val="0"/>
                <w:sz w:val="24"/>
                <w:szCs w:val="24"/>
              </w:rPr>
              <w:t>方案内容存在1处瑕疵：</w:t>
            </w:r>
            <w:r>
              <w:rPr>
                <w:rFonts w:hint="eastAsia"/>
                <w:kern w:val="0"/>
                <w:sz w:val="24"/>
                <w:szCs w:val="24"/>
              </w:rPr>
              <w:t>7.5</w:t>
            </w:r>
            <w:r>
              <w:rPr>
                <w:kern w:val="0"/>
                <w:sz w:val="24"/>
                <w:szCs w:val="24"/>
              </w:rPr>
              <w:t>分；</w:t>
            </w:r>
          </w:p>
          <w:p w14:paraId="245B726D">
            <w:pPr>
              <w:widowControl/>
              <w:adjustRightInd w:val="0"/>
              <w:snapToGrid w:val="0"/>
              <w:rPr>
                <w:kern w:val="0"/>
                <w:sz w:val="24"/>
                <w:szCs w:val="24"/>
              </w:rPr>
            </w:pPr>
            <w:r>
              <w:rPr>
                <w:kern w:val="0"/>
                <w:sz w:val="24"/>
                <w:szCs w:val="24"/>
              </w:rPr>
              <w:t>方案内容存在2处瑕疵：</w:t>
            </w:r>
            <w:r>
              <w:rPr>
                <w:rFonts w:hint="eastAsia"/>
                <w:kern w:val="0"/>
                <w:sz w:val="24"/>
                <w:szCs w:val="24"/>
              </w:rPr>
              <w:t>5</w:t>
            </w:r>
            <w:r>
              <w:rPr>
                <w:kern w:val="0"/>
                <w:sz w:val="24"/>
                <w:szCs w:val="24"/>
              </w:rPr>
              <w:t>分；</w:t>
            </w:r>
          </w:p>
          <w:p w14:paraId="5EC44EB1">
            <w:pPr>
              <w:widowControl/>
              <w:adjustRightInd w:val="0"/>
              <w:snapToGrid w:val="0"/>
              <w:rPr>
                <w:kern w:val="0"/>
                <w:sz w:val="24"/>
                <w:szCs w:val="24"/>
              </w:rPr>
            </w:pPr>
            <w:r>
              <w:rPr>
                <w:kern w:val="0"/>
                <w:sz w:val="24"/>
                <w:szCs w:val="24"/>
              </w:rPr>
              <w:t>方案内容存在3处瑕疵：</w:t>
            </w:r>
            <w:r>
              <w:rPr>
                <w:rFonts w:hint="eastAsia"/>
                <w:kern w:val="0"/>
                <w:sz w:val="24"/>
                <w:szCs w:val="24"/>
              </w:rPr>
              <w:t>2.5</w:t>
            </w:r>
            <w:r>
              <w:rPr>
                <w:kern w:val="0"/>
                <w:sz w:val="24"/>
                <w:szCs w:val="24"/>
              </w:rPr>
              <w:t>分；</w:t>
            </w:r>
          </w:p>
          <w:p w14:paraId="4CCF8022">
            <w:pPr>
              <w:widowControl/>
              <w:adjustRightInd w:val="0"/>
              <w:snapToGrid w:val="0"/>
              <w:rPr>
                <w:kern w:val="0"/>
                <w:sz w:val="24"/>
                <w:szCs w:val="24"/>
              </w:rPr>
            </w:pPr>
            <w:r>
              <w:rPr>
                <w:kern w:val="0"/>
                <w:sz w:val="24"/>
                <w:szCs w:val="24"/>
              </w:rPr>
              <w:t>未提供方案或不满足招标文件要求或内容存在4处及以上瑕疵：0分；</w:t>
            </w:r>
          </w:p>
          <w:p w14:paraId="6A680B42">
            <w:pPr>
              <w:widowControl/>
              <w:adjustRightInd w:val="0"/>
              <w:snapToGrid w:val="0"/>
              <w:rPr>
                <w:sz w:val="24"/>
              </w:rPr>
            </w:pPr>
            <w:r>
              <w:rPr>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tcBorders>
              <w:top w:val="single" w:color="auto" w:sz="4" w:space="0"/>
              <w:left w:val="single" w:color="auto" w:sz="4" w:space="0"/>
              <w:bottom w:val="single" w:color="auto" w:sz="4" w:space="0"/>
              <w:right w:val="single" w:color="auto" w:sz="4" w:space="0"/>
            </w:tcBorders>
            <w:vAlign w:val="center"/>
          </w:tcPr>
          <w:p w14:paraId="140F93D5">
            <w:pPr>
              <w:widowControl/>
              <w:adjustRightInd w:val="0"/>
              <w:snapToGrid w:val="0"/>
              <w:jc w:val="center"/>
              <w:rPr>
                <w:kern w:val="0"/>
                <w:sz w:val="24"/>
                <w:szCs w:val="24"/>
              </w:rPr>
            </w:pPr>
            <w:r>
              <w:rPr>
                <w:rFonts w:hint="eastAsia"/>
                <w:kern w:val="0"/>
                <w:sz w:val="24"/>
                <w:szCs w:val="24"/>
              </w:rPr>
              <w:t>10</w:t>
            </w:r>
          </w:p>
        </w:tc>
      </w:tr>
      <w:tr w14:paraId="5330B3F2">
        <w:trPr>
          <w:trHeight w:val="509" w:hRule="atLeast"/>
          <w:jc w:val="center"/>
        </w:trPr>
        <w:tc>
          <w:tcPr>
            <w:tcW w:w="9393" w:type="dxa"/>
            <w:gridSpan w:val="3"/>
            <w:tcBorders>
              <w:top w:val="single" w:color="auto" w:sz="4" w:space="0"/>
              <w:left w:val="single" w:color="auto" w:sz="4" w:space="0"/>
              <w:bottom w:val="single" w:color="auto" w:sz="4" w:space="0"/>
              <w:right w:val="single" w:color="auto" w:sz="4" w:space="0"/>
            </w:tcBorders>
            <w:noWrap/>
            <w:vAlign w:val="center"/>
          </w:tcPr>
          <w:p w14:paraId="1BEB6800">
            <w:pPr>
              <w:widowControl/>
              <w:adjustRightInd w:val="0"/>
              <w:snapToGrid w:val="0"/>
              <w:jc w:val="center"/>
              <w:rPr>
                <w:sz w:val="24"/>
              </w:rPr>
            </w:pPr>
            <w:r>
              <w:rPr>
                <w:sz w:val="24"/>
              </w:rPr>
              <w:t>合计</w:t>
            </w:r>
          </w:p>
        </w:tc>
        <w:tc>
          <w:tcPr>
            <w:tcW w:w="1143" w:type="dxa"/>
            <w:tcBorders>
              <w:top w:val="single" w:color="auto" w:sz="4" w:space="0"/>
              <w:left w:val="single" w:color="auto" w:sz="4" w:space="0"/>
              <w:bottom w:val="single" w:color="auto" w:sz="4" w:space="0"/>
              <w:right w:val="single" w:color="auto" w:sz="4" w:space="0"/>
            </w:tcBorders>
            <w:vAlign w:val="center"/>
          </w:tcPr>
          <w:p w14:paraId="6681F1EE">
            <w:pPr>
              <w:widowControl/>
              <w:adjustRightInd w:val="0"/>
              <w:snapToGrid w:val="0"/>
              <w:jc w:val="center"/>
              <w:rPr>
                <w:kern w:val="0"/>
                <w:sz w:val="24"/>
                <w:szCs w:val="24"/>
              </w:rPr>
            </w:pPr>
            <w:r>
              <w:rPr>
                <w:kern w:val="0"/>
                <w:sz w:val="24"/>
                <w:szCs w:val="24"/>
              </w:rPr>
              <w:t>100</w:t>
            </w:r>
          </w:p>
        </w:tc>
      </w:tr>
    </w:tbl>
    <w:p w14:paraId="0716BB28">
      <w:pPr>
        <w:spacing w:line="360" w:lineRule="auto"/>
        <w:ind w:firstLine="448" w:firstLineChars="200"/>
        <w:outlineLvl w:val="0"/>
        <w:rPr>
          <w:sz w:val="24"/>
        </w:rPr>
      </w:pPr>
      <w:r>
        <w:rPr>
          <w:sz w:val="24"/>
        </w:rPr>
        <w:t>四、投标文件内容要求</w:t>
      </w:r>
    </w:p>
    <w:p w14:paraId="45B9EA17">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075D69CE">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7147945F">
      <w:pPr>
        <w:widowControl/>
        <w:jc w:val="left"/>
        <w:rPr>
          <w:b/>
          <w:sz w:val="24"/>
        </w:rPr>
      </w:pPr>
      <w:r>
        <w:rPr>
          <w:b/>
          <w:sz w:val="24"/>
        </w:rPr>
        <w:br w:type="page"/>
      </w:r>
    </w:p>
    <w:p w14:paraId="485F5DCD">
      <w:pPr>
        <w:spacing w:line="360" w:lineRule="auto"/>
        <w:ind w:firstLine="448" w:firstLineChars="200"/>
        <w:jc w:val="center"/>
        <w:outlineLvl w:val="0"/>
        <w:rPr>
          <w:b/>
          <w:sz w:val="24"/>
        </w:rPr>
      </w:pPr>
      <w:r>
        <w:rPr>
          <w:b/>
          <w:sz w:val="24"/>
        </w:rPr>
        <w:t>项目需求书</w:t>
      </w:r>
    </w:p>
    <w:p w14:paraId="383B9C14">
      <w:pPr>
        <w:spacing w:line="360" w:lineRule="auto"/>
        <w:ind w:firstLine="448" w:firstLineChars="200"/>
        <w:outlineLvl w:val="0"/>
        <w:rPr>
          <w:sz w:val="24"/>
        </w:rPr>
      </w:pPr>
      <w:r>
        <w:rPr>
          <w:rFonts w:hint="eastAsia"/>
          <w:sz w:val="24"/>
        </w:rPr>
        <w:t>本项目属于软件和信息技术服务业</w:t>
      </w:r>
    </w:p>
    <w:p w14:paraId="24BAE958">
      <w:pPr>
        <w:spacing w:line="360" w:lineRule="auto"/>
        <w:ind w:firstLine="448" w:firstLineChars="200"/>
        <w:outlineLvl w:val="0"/>
        <w:rPr>
          <w:sz w:val="24"/>
        </w:rPr>
      </w:pPr>
      <w:r>
        <w:rPr>
          <w:sz w:val="24"/>
        </w:rPr>
        <w:t>一、项目背景</w:t>
      </w:r>
    </w:p>
    <w:p w14:paraId="526F6131">
      <w:pPr>
        <w:spacing w:line="360" w:lineRule="auto"/>
        <w:ind w:firstLine="448" w:firstLineChars="200"/>
        <w:outlineLvl w:val="0"/>
        <w:rPr>
          <w:sz w:val="24"/>
        </w:rPr>
      </w:pPr>
      <w:r>
        <w:rPr>
          <w:rFonts w:hint="eastAsia"/>
          <w:sz w:val="24"/>
        </w:rPr>
        <w:t>1.全国统一规范电子税务局是采购人税收业务类核心系统之一，是智慧税务建设的核心载体之一，是对外办税缴费、对内管理监督的门户，包含WEB-PC端、APP移动端和税务端，承担了采购人网上办税、公众查询、消息提醒等服务，包括信息报告、税费服务、税务执法、税收监管、内部事项等业务域功能。对外面向纳税人、缴费人，对内面向税务人提供服务，实现涉税数据一次采集、税费业务一并办理、税费风险一体监督，促进执法、服务、监管深度融合，成为主要支撑法人企业等组织和机构办理相关涉税事项的数字化税务系统。</w:t>
      </w:r>
    </w:p>
    <w:p w14:paraId="1323B84F">
      <w:pPr>
        <w:spacing w:line="360" w:lineRule="auto"/>
        <w:ind w:firstLine="448" w:firstLineChars="200"/>
        <w:outlineLvl w:val="0"/>
        <w:rPr>
          <w:sz w:val="24"/>
        </w:rPr>
      </w:pPr>
      <w:r>
        <w:rPr>
          <w:rFonts w:hint="eastAsia"/>
          <w:sz w:val="24"/>
        </w:rPr>
        <w:t>2.电子税务局特色功能作为对纳税人和缴费人网上税费办理服务的重要补充和支撑，承担了天津市电子税务局代收代缴、社保业务办理等事项，包括特色功能（可信对接模块）、特色功能（社保自然人模块）、特色功能（代收代缴车船税模块）、特色功能（社保单位模块）等子系统，包含代收代缴申报、代收代缴缴款、单位社保费申报缴纳、纳税凭证转开（社保费）开具、个人社保缴费办理、可信信息同步等功能，对内向税务人提供查询服务，对外面向纳税人提供业务办理和查询服务。</w:t>
      </w:r>
    </w:p>
    <w:p w14:paraId="5C3244A8">
      <w:pPr>
        <w:spacing w:line="360" w:lineRule="auto"/>
        <w:ind w:firstLine="448" w:firstLineChars="200"/>
        <w:outlineLvl w:val="0"/>
        <w:rPr>
          <w:sz w:val="24"/>
        </w:rPr>
      </w:pPr>
      <w:r>
        <w:rPr>
          <w:rFonts w:hint="eastAsia"/>
          <w:sz w:val="24"/>
        </w:rPr>
        <w:t>3.电子发票服务平台是采购人税收业务类核心系统之一，承担了采购人电子发票业务，包括电子发票业务、乐企直接申报等功能，为在天津地区发生涉票业务的纳税人提供服务，满足纳税人的全访问服务需求。</w:t>
      </w:r>
    </w:p>
    <w:p w14:paraId="78484034">
      <w:pPr>
        <w:spacing w:line="360" w:lineRule="auto"/>
        <w:ind w:firstLine="448" w:firstLineChars="200"/>
        <w:outlineLvl w:val="0"/>
        <w:rPr>
          <w:sz w:val="24"/>
        </w:rPr>
      </w:pPr>
      <w:r>
        <w:rPr>
          <w:rFonts w:hint="eastAsia"/>
          <w:sz w:val="24"/>
        </w:rPr>
        <w:t>4.征纳互动服务是采购人税收业务类核心系统之一，该系统以税收大数据为驱动力，依托云计算、大数据、人工智能等技术，构建“集中部署+智能应答+全程互动+送问办询评一体化”的新型征纳互动模式，满足纳税人的全访问服务需求，推动税务部门与纳税人之间的互动服务从以政策业务为主向政策业务和技术操作全覆盖转变、从解答问题到解决问题转变、从被动等待服务向主动提供服务转变、从人工服务向智能服务转变，不断提升办税服务便利水平。</w:t>
      </w:r>
    </w:p>
    <w:p w14:paraId="3DBC0C36">
      <w:pPr>
        <w:spacing w:line="360" w:lineRule="auto"/>
        <w:ind w:firstLine="448" w:firstLineChars="200"/>
        <w:outlineLvl w:val="0"/>
        <w:rPr>
          <w:sz w:val="24"/>
        </w:rPr>
      </w:pPr>
      <w:r>
        <w:rPr>
          <w:rFonts w:hint="eastAsia"/>
          <w:sz w:val="24"/>
        </w:rPr>
        <w:t>5.税务地理信息应用是采购人税收业务类核心系统之一，依托该系统可提升财产和行为税治理能力和治理水平，有效发挥地理信息技术在税收领域的空间化管理及应用能力。该系统运行是否正常将直接影响全国统一规范电子税务局和数据（公共）支撑服务平台等系统相关业务的正常使用。</w:t>
      </w:r>
    </w:p>
    <w:p w14:paraId="5C663D62">
      <w:pPr>
        <w:spacing w:line="360" w:lineRule="auto"/>
        <w:ind w:firstLine="448" w:firstLineChars="200"/>
        <w:outlineLvl w:val="0"/>
        <w:rPr>
          <w:sz w:val="24"/>
        </w:rPr>
      </w:pPr>
      <w:r>
        <w:rPr>
          <w:rFonts w:hint="eastAsia"/>
          <w:sz w:val="24"/>
        </w:rPr>
        <w:t>为保障上述系统安全平稳运行，提高运维技术水平，更好地为纳税人和税务人提供服务，确保各类运维问题及时响应和有效解决，须开展该系统运行维护项目采购。</w:t>
      </w:r>
    </w:p>
    <w:p w14:paraId="0F3BE51B">
      <w:pPr>
        <w:spacing w:line="360" w:lineRule="auto"/>
        <w:ind w:firstLine="448" w:firstLineChars="200"/>
        <w:outlineLvl w:val="0"/>
        <w:rPr>
          <w:sz w:val="24"/>
        </w:rPr>
      </w:pPr>
      <w:r>
        <w:rPr>
          <w:rFonts w:hint="eastAsia"/>
          <w:sz w:val="24"/>
        </w:rPr>
        <w:t>二、项目建设思路</w:t>
      </w:r>
    </w:p>
    <w:p w14:paraId="460A0709">
      <w:pPr>
        <w:spacing w:line="360" w:lineRule="auto"/>
        <w:ind w:firstLine="448" w:firstLineChars="200"/>
        <w:outlineLvl w:val="0"/>
        <w:rPr>
          <w:sz w:val="24"/>
        </w:rPr>
      </w:pPr>
      <w:r>
        <w:rPr>
          <w:rFonts w:hint="eastAsia"/>
          <w:sz w:val="24"/>
        </w:rPr>
        <w:t xml:space="preserve"> 确保金税四期全国统一规范电子税务局、电子税务局特色功能、电子发票服务平台、征纳互动服务、税务地理信息应用等系统得到及时、高效、全方位的售后服务与技术支持，组建本系统业务和技术支持团队，为采购人提供优质的本地化运维服务，服从采购人的统一调度与管理，确保本系统7×24小时稳定高效运行。</w:t>
      </w:r>
    </w:p>
    <w:p w14:paraId="2F51033A">
      <w:pPr>
        <w:spacing w:line="360" w:lineRule="auto"/>
        <w:ind w:firstLine="448" w:firstLineChars="200"/>
        <w:outlineLvl w:val="0"/>
        <w:rPr>
          <w:sz w:val="24"/>
        </w:rPr>
      </w:pPr>
      <w:r>
        <w:rPr>
          <w:rFonts w:hint="eastAsia"/>
          <w:sz w:val="24"/>
        </w:rPr>
        <w:t>三、采购内容</w:t>
      </w:r>
    </w:p>
    <w:p w14:paraId="04E85BA9">
      <w:pPr>
        <w:spacing w:line="360" w:lineRule="auto"/>
        <w:ind w:firstLine="448" w:firstLineChars="200"/>
        <w:outlineLvl w:val="0"/>
        <w:rPr>
          <w:sz w:val="24"/>
        </w:rPr>
      </w:pPr>
      <w:r>
        <w:rPr>
          <w:rFonts w:hint="eastAsia"/>
          <w:sz w:val="24"/>
        </w:rPr>
        <w:t>本项目涉及采购金税四期全国统一规范电子税务局、电子税务局特色功能、电子发票服务平台、征纳互动服务、税务地理信息应用等系统运行维护服务。合计购买不少于52000工时的运维服务，其中高级岗位不少于14000工时，中级岗位不少于14000工时，初级岗位不少于12000工时，其他岗位不少于12000工时，服务期限为合同规定的服务起始之日起6个月的服务期（特殊情况以合同为准）。</w:t>
      </w:r>
    </w:p>
    <w:p w14:paraId="65D167E9">
      <w:pPr>
        <w:spacing w:line="360" w:lineRule="auto"/>
        <w:ind w:firstLine="448" w:firstLineChars="200"/>
        <w:outlineLvl w:val="0"/>
        <w:rPr>
          <w:sz w:val="24"/>
        </w:rPr>
      </w:pPr>
      <w:r>
        <w:rPr>
          <w:rFonts w:hint="eastAsia"/>
          <w:sz w:val="24"/>
        </w:rPr>
        <w:t>其中电子税务局（应用总集成、发票代开、财产行为税申报等部分）占比约12.9%，电子税务局（信息报告、出口退税、流转税申报等部分）占比约20.3%，电子税务局（企业所得税、非税申报和金三代理等部分）占比约12.9%，特色功能（可信对接和社保单位等模块）占比约14.5%、特色功能（社保自然人等模块）占比约4.7%、特色功能（车船税等模块）占比约7.2%，电子发票服务平台占比约14.9%，征纳互动服务占比约10.0%，税务地理信息应用占比约2.6%。</w:t>
      </w:r>
    </w:p>
    <w:p w14:paraId="7BC3548F">
      <w:pPr>
        <w:spacing w:line="360" w:lineRule="auto"/>
        <w:ind w:firstLine="448" w:firstLineChars="200"/>
        <w:outlineLvl w:val="0"/>
        <w:rPr>
          <w:sz w:val="24"/>
        </w:rPr>
      </w:pPr>
      <w:r>
        <w:rPr>
          <w:rFonts w:hint="eastAsia"/>
          <w:sz w:val="24"/>
        </w:rPr>
        <w:t>按照总局和市局的要求，对本项目涉及系统提供业务和技术支持服务，对可能发生的异常做到科学预判，对已经发生的问题做到及时处理，对已经解决的问题做到分析总结，定期出具系统运行维护报告。业务支持服务包括特有业务运维服务、业务参数变更、业务逻辑分析、业务问题处理、后台数据运维、运维知识库管理、数据统计分析以及其他业务运维工作。技术支持服务包括特有技术运维服务、运行监控、健康检查、风险排查、安全加固、系统优化、补丁升级、重大时期运行保障、故障处理、紧急情况处置、周边系统对接、系统联调测试、技术问题管理、系统迁移、系统备份与恢复以及其他技术运维工作。</w:t>
      </w:r>
    </w:p>
    <w:p w14:paraId="7C3461F5">
      <w:pPr>
        <w:spacing w:line="360" w:lineRule="auto"/>
        <w:ind w:firstLine="448" w:firstLineChars="200"/>
        <w:outlineLvl w:val="0"/>
        <w:rPr>
          <w:sz w:val="24"/>
        </w:rPr>
      </w:pPr>
      <w:r>
        <w:rPr>
          <w:rFonts w:hint="eastAsia"/>
          <w:sz w:val="24"/>
        </w:rPr>
        <w:t>四、实施范围要求</w:t>
      </w:r>
    </w:p>
    <w:p w14:paraId="73A7001E">
      <w:pPr>
        <w:spacing w:line="360" w:lineRule="auto"/>
        <w:ind w:firstLine="448" w:firstLineChars="200"/>
        <w:outlineLvl w:val="0"/>
        <w:rPr>
          <w:sz w:val="24"/>
        </w:rPr>
      </w:pPr>
      <w:r>
        <w:rPr>
          <w:rFonts w:hint="eastAsia"/>
          <w:sz w:val="24"/>
        </w:rPr>
        <w:t>本项目运维实施范围包括金税四期全国统一规范电子税务局、电子税务局特色功能、电子发票服务平台、征纳互动服务、税务地理信息应用等系统。</w:t>
      </w:r>
    </w:p>
    <w:p w14:paraId="23437AA4">
      <w:pPr>
        <w:spacing w:line="360" w:lineRule="auto"/>
        <w:ind w:firstLine="448" w:firstLineChars="200"/>
        <w:outlineLvl w:val="0"/>
        <w:rPr>
          <w:sz w:val="24"/>
        </w:rPr>
      </w:pPr>
      <w:r>
        <w:rPr>
          <w:rFonts w:hint="eastAsia"/>
          <w:sz w:val="24"/>
        </w:rPr>
        <w:t>1.全国统一规范电子税务局</w:t>
      </w:r>
    </w:p>
    <w:p w14:paraId="4FDC6630">
      <w:pPr>
        <w:spacing w:line="360" w:lineRule="auto"/>
        <w:ind w:firstLine="448" w:firstLineChars="200"/>
        <w:outlineLvl w:val="0"/>
        <w:rPr>
          <w:sz w:val="24"/>
        </w:rPr>
      </w:pPr>
      <w:r>
        <w:rPr>
          <w:rFonts w:hint="eastAsia"/>
          <w:sz w:val="24"/>
        </w:rPr>
        <w:t>该系统包括生产环境和预生产环境，共使用139台服务器，包括生产应用服务器82台、生产数据库服务器14台（MariaDB 1台，MongoDB 1台，Redis 7台，TDSQL_MySQL 4台，CTSDB 1台）、其他软件服务器4台（TDMQ）。预生产应用服务器23台，数据库服务器12台（MariaDB 1台，MongoDB 1台，Redis 7台，TDSQL_MySQL 2台，CTSDB 1台）、其他软件服务器4台（TDMQ）。该系统包含400余个功能模块，主要为信息报告、税费服务、税务执法、税收监管、内部事项等。</w:t>
      </w:r>
    </w:p>
    <w:p w14:paraId="2E7E5FE8">
      <w:pPr>
        <w:spacing w:line="360" w:lineRule="auto"/>
        <w:ind w:firstLine="448" w:firstLineChars="200"/>
        <w:outlineLvl w:val="0"/>
        <w:rPr>
          <w:sz w:val="24"/>
        </w:rPr>
      </w:pPr>
      <w:r>
        <w:rPr>
          <w:rFonts w:hint="eastAsia"/>
          <w:sz w:val="24"/>
        </w:rPr>
        <w:t>全国统一规范电子税务局周边对接系统主要包括数据（公共）支撑服务平台、统一身份管理平台、增值税发票电子底账系统、核心征管系统、电子发票服务平台、征纳互动服务、税务地理信息应用系统等。</w:t>
      </w:r>
    </w:p>
    <w:p w14:paraId="03BEC6F4">
      <w:pPr>
        <w:spacing w:line="360" w:lineRule="auto"/>
        <w:ind w:firstLine="448" w:firstLineChars="200"/>
        <w:outlineLvl w:val="0"/>
        <w:rPr>
          <w:sz w:val="24"/>
        </w:rPr>
      </w:pPr>
      <w:r>
        <w:rPr>
          <w:rFonts w:hint="eastAsia"/>
          <w:sz w:val="24"/>
        </w:rPr>
        <w:t>2.电子税务局特色功能</w:t>
      </w:r>
    </w:p>
    <w:p w14:paraId="0F39B97B">
      <w:pPr>
        <w:spacing w:line="360" w:lineRule="auto"/>
        <w:ind w:firstLine="448" w:firstLineChars="200"/>
        <w:outlineLvl w:val="0"/>
        <w:rPr>
          <w:sz w:val="24"/>
        </w:rPr>
      </w:pPr>
      <w:r>
        <w:rPr>
          <w:rFonts w:hint="eastAsia"/>
          <w:sz w:val="24"/>
        </w:rPr>
        <w:t>该系统包括生产环境和预生产环境，主要功能包括：特色功能（可信对接模块）（包含特色专区菜单维护、缴款平台、可信同步核心征管人员信息、维持可信令牌服务、发票信息比对、外部信息前置交换系统、一窗通等）、特色功能（社保自然人模块）、特色功能（代收代缴车船税模块）、特色功能（社保单位模块）（包含单位纳税人社保费业务功能）、特色功能（税务人端查询）。</w:t>
      </w:r>
    </w:p>
    <w:p w14:paraId="55BA7297">
      <w:pPr>
        <w:spacing w:line="360" w:lineRule="auto"/>
        <w:ind w:firstLine="448" w:firstLineChars="200"/>
        <w:outlineLvl w:val="0"/>
        <w:rPr>
          <w:sz w:val="24"/>
        </w:rPr>
      </w:pPr>
      <w:r>
        <w:rPr>
          <w:rFonts w:hint="eastAsia"/>
          <w:sz w:val="24"/>
        </w:rPr>
        <w:t>电子税务局特色功能系统周边对接系统主要包括全国统一规范电子税务局、核心征管系统、自然人电子税务局、集成平台、门户网站存在对接或集成关系。</w:t>
      </w:r>
    </w:p>
    <w:p w14:paraId="3ABD6326">
      <w:pPr>
        <w:spacing w:line="360" w:lineRule="auto"/>
        <w:ind w:firstLine="448" w:firstLineChars="200"/>
        <w:outlineLvl w:val="0"/>
        <w:rPr>
          <w:sz w:val="24"/>
        </w:rPr>
      </w:pPr>
      <w:r>
        <w:rPr>
          <w:rFonts w:hint="eastAsia"/>
          <w:sz w:val="24"/>
        </w:rPr>
        <w:t>3.电子发票服务平台</w:t>
      </w:r>
    </w:p>
    <w:p w14:paraId="60002979">
      <w:pPr>
        <w:spacing w:line="360" w:lineRule="auto"/>
        <w:ind w:firstLine="448" w:firstLineChars="200"/>
        <w:outlineLvl w:val="0"/>
        <w:rPr>
          <w:sz w:val="24"/>
        </w:rPr>
      </w:pPr>
      <w:r>
        <w:rPr>
          <w:rFonts w:hint="eastAsia"/>
          <w:sz w:val="24"/>
        </w:rPr>
        <w:t>该系统包括生产环境和预生产环境，共使用196台服务器，包括生产服务器176台、预生产服务器20台，含应用服务器170台、数据库服务器9台、其他软件服务器17台等。该系统包含166个功能模块，涉及纳税人端、税务人端开票、用票、管票、查询等业务，主要包括蓝字发票开具、红字发票开具、发票勾选、乐企开通和使用等功能。</w:t>
      </w:r>
    </w:p>
    <w:p w14:paraId="08333BFE">
      <w:pPr>
        <w:spacing w:line="360" w:lineRule="auto"/>
        <w:ind w:firstLine="448" w:firstLineChars="200"/>
        <w:outlineLvl w:val="0"/>
        <w:rPr>
          <w:sz w:val="24"/>
        </w:rPr>
      </w:pPr>
      <w:r>
        <w:rPr>
          <w:rFonts w:hint="eastAsia"/>
          <w:sz w:val="24"/>
        </w:rPr>
        <w:t>电子发票服务平台周边对接系统主要包括数据（公共）支撑服务平台、统一身份管理平台、增值税发票电子底账系统、核心征管系统、全国统一规范电子税务局、金税四期税务人端平台、异地协作平台等。</w:t>
      </w:r>
    </w:p>
    <w:p w14:paraId="3299E089">
      <w:pPr>
        <w:spacing w:line="360" w:lineRule="auto"/>
        <w:ind w:firstLine="448" w:firstLineChars="200"/>
        <w:outlineLvl w:val="0"/>
        <w:rPr>
          <w:sz w:val="24"/>
        </w:rPr>
      </w:pPr>
      <w:r>
        <w:rPr>
          <w:rFonts w:hint="eastAsia"/>
          <w:sz w:val="24"/>
        </w:rPr>
        <w:t>4.征纳互动服务</w:t>
      </w:r>
    </w:p>
    <w:p w14:paraId="52E8E072">
      <w:pPr>
        <w:spacing w:line="360" w:lineRule="auto"/>
        <w:ind w:firstLine="448" w:firstLineChars="200"/>
        <w:outlineLvl w:val="0"/>
        <w:rPr>
          <w:sz w:val="24"/>
        </w:rPr>
      </w:pPr>
      <w:r>
        <w:rPr>
          <w:rFonts w:hint="eastAsia"/>
          <w:sz w:val="24"/>
        </w:rPr>
        <w:t>该系统包括生产环境和预生产环境，共使用145台服务器，包括生产114服务器台、预生产31服务器台，含应用服务器121台、数据库服务器20台、其他软件服务器4台等。该系统主要包含精准推送、智能互动、依权办公、需求调查、网格化服务、知识库管理、运行监控等七大模块171个主要功能，为纳税人提供“问、办、查、评、送”的一体化服务，实现税务人员、企业纳税人和自然人三端高效互动。</w:t>
      </w:r>
    </w:p>
    <w:p w14:paraId="5A40E561">
      <w:pPr>
        <w:spacing w:line="360" w:lineRule="auto"/>
        <w:ind w:firstLine="448" w:firstLineChars="200"/>
        <w:outlineLvl w:val="0"/>
        <w:rPr>
          <w:sz w:val="24"/>
        </w:rPr>
      </w:pPr>
      <w:r>
        <w:rPr>
          <w:rFonts w:hint="eastAsia"/>
          <w:sz w:val="24"/>
        </w:rPr>
        <w:t>征纳互动服务系统周边对接系统主要包括电子发票服务平台、全国统一规范电子税务局、12366纳税缴费服务热线系统、公共服务短信平台等。</w:t>
      </w:r>
    </w:p>
    <w:p w14:paraId="316CB775">
      <w:pPr>
        <w:spacing w:line="360" w:lineRule="auto"/>
        <w:ind w:firstLine="448" w:firstLineChars="200"/>
        <w:outlineLvl w:val="0"/>
        <w:rPr>
          <w:sz w:val="24"/>
        </w:rPr>
      </w:pPr>
      <w:r>
        <w:rPr>
          <w:rFonts w:hint="eastAsia"/>
          <w:sz w:val="24"/>
        </w:rPr>
        <w:t>5.税务地理信息应用</w:t>
      </w:r>
    </w:p>
    <w:p w14:paraId="6016E5DF">
      <w:pPr>
        <w:spacing w:line="360" w:lineRule="auto"/>
        <w:ind w:firstLine="448" w:firstLineChars="200"/>
        <w:outlineLvl w:val="0"/>
        <w:rPr>
          <w:sz w:val="24"/>
        </w:rPr>
      </w:pPr>
      <w:r>
        <w:rPr>
          <w:rFonts w:hint="eastAsia"/>
          <w:sz w:val="24"/>
        </w:rPr>
        <w:t>该系统包括生产环境和预生产环境，共使用11台服务器，包括生产服务器7台、预生产服务器3台。该系统主要包含33个一级功能，121个二级功能，包括税务地理信息公共能力、税务地图、房土两税风险识别、财产行为决策支持、省局互联网区能力服务、外联网区共享介入、税务内外服务集成等功能。</w:t>
      </w:r>
    </w:p>
    <w:p w14:paraId="612B93B1">
      <w:pPr>
        <w:spacing w:line="360" w:lineRule="auto"/>
        <w:ind w:firstLine="448" w:firstLineChars="200"/>
        <w:outlineLvl w:val="0"/>
        <w:rPr>
          <w:sz w:val="24"/>
        </w:rPr>
      </w:pPr>
      <w:r>
        <w:rPr>
          <w:rFonts w:hint="eastAsia"/>
          <w:sz w:val="24"/>
        </w:rPr>
        <w:t>税务地理信息应用系统周边对接系统主要包括全国统一规范电子税务局、数据（公共）支撑服务平台等系统。</w:t>
      </w:r>
    </w:p>
    <w:p w14:paraId="76FEBC2A">
      <w:pPr>
        <w:spacing w:line="360" w:lineRule="auto"/>
        <w:ind w:firstLine="448" w:firstLineChars="200"/>
        <w:outlineLvl w:val="0"/>
        <w:rPr>
          <w:sz w:val="24"/>
        </w:rPr>
      </w:pPr>
      <w:r>
        <w:rPr>
          <w:rFonts w:hint="eastAsia"/>
          <w:sz w:val="24"/>
        </w:rPr>
        <w:t>五、系统情况</w:t>
      </w:r>
    </w:p>
    <w:p w14:paraId="1899DE1C">
      <w:pPr>
        <w:spacing w:line="360" w:lineRule="auto"/>
        <w:ind w:firstLine="448" w:firstLineChars="200"/>
        <w:outlineLvl w:val="0"/>
        <w:rPr>
          <w:sz w:val="24"/>
        </w:rPr>
      </w:pPr>
      <w:r>
        <w:rPr>
          <w:rFonts w:hint="eastAsia"/>
          <w:sz w:val="24"/>
        </w:rPr>
        <w:t>（一）现有软件系统的主要功能</w:t>
      </w:r>
    </w:p>
    <w:p w14:paraId="43A35CCF">
      <w:pPr>
        <w:spacing w:line="360" w:lineRule="auto"/>
        <w:ind w:firstLine="448" w:firstLineChars="200"/>
        <w:outlineLvl w:val="0"/>
        <w:rPr>
          <w:sz w:val="24"/>
        </w:rPr>
      </w:pPr>
      <w:r>
        <w:rPr>
          <w:rFonts w:hint="eastAsia"/>
          <w:sz w:val="24"/>
        </w:rPr>
        <w:t>本项目涉及系统包括金税四期全国统一规范电子税务局、电子税务局特色功能、电子发票服务平台、征纳互动服务、税务地理信息应用等系统。</w:t>
      </w:r>
    </w:p>
    <w:p w14:paraId="707D7274">
      <w:pPr>
        <w:spacing w:line="360" w:lineRule="auto"/>
        <w:ind w:firstLine="448" w:firstLineChars="200"/>
        <w:outlineLvl w:val="0"/>
        <w:rPr>
          <w:sz w:val="24"/>
        </w:rPr>
      </w:pPr>
      <w:r>
        <w:rPr>
          <w:rFonts w:hint="eastAsia"/>
          <w:sz w:val="24"/>
        </w:rPr>
        <w:t>1.全国统一规范电子税务局是采购人税收业务类核心系统之一，是智慧税务建设的核心载体之一，是对外办税缴费、对内管理监督的门户，包含WEB-PC端、APP移动端和税务端，承担了采购人网上办税、公众查询、消息提醒等服务，包括信息报告、税费服务、税务执法、税收监管、内部事项等业务域功能。对外面向纳税人、缴费人，对内面向税务人提供服务，实现涉税数据一次采集、税费业务一并办理、税费风险一体监督，促进执法、服务、监管深度融合，成为主要支撑法人企业等组织和机构办理相关涉税事项的数字化税务系统。</w:t>
      </w:r>
    </w:p>
    <w:p w14:paraId="3E7841EE">
      <w:pPr>
        <w:spacing w:line="360" w:lineRule="auto"/>
        <w:ind w:firstLine="448" w:firstLineChars="200"/>
        <w:outlineLvl w:val="0"/>
        <w:rPr>
          <w:sz w:val="24"/>
        </w:rPr>
      </w:pPr>
      <w:r>
        <w:rPr>
          <w:rFonts w:hint="eastAsia"/>
          <w:sz w:val="24"/>
        </w:rPr>
        <w:t>2.电子税务局特色功能作为对纳税人和缴费人网上税费办理服务的重要补充和支撑，承担了天津市电子税务局代收代缴、社保业务办理等事项，包括特色功能（可信对接模块）、特色功能（社保自然人模块）、特色功能（代收代缴车船税模块）、特色功能（社保单位模块）等子系统，包含代收代缴申报、代收代缴缴款、单位社保费申报缴纳、纳税凭证转开（社保费）开具、个人社保缴费办理、可信信息同步等功能，对内向税务人提供查询服务，对外面向纳税人提供业务办理和查询服务。</w:t>
      </w:r>
    </w:p>
    <w:p w14:paraId="1B891938">
      <w:pPr>
        <w:spacing w:line="360" w:lineRule="auto"/>
        <w:ind w:firstLine="448" w:firstLineChars="200"/>
        <w:outlineLvl w:val="0"/>
        <w:rPr>
          <w:sz w:val="24"/>
        </w:rPr>
      </w:pPr>
      <w:r>
        <w:rPr>
          <w:rFonts w:hint="eastAsia"/>
          <w:sz w:val="24"/>
        </w:rPr>
        <w:t>3.电子发票服务平台是采购人税收业务类核心系统之一，承担了采购人电子发票业务，包括电子发票业务、乐企直接申报等功能，为在天津地区发生涉票业务的纳税人提供服务，满足纳税人的全访问服务需求。</w:t>
      </w:r>
    </w:p>
    <w:p w14:paraId="0655CA77">
      <w:pPr>
        <w:spacing w:line="360" w:lineRule="auto"/>
        <w:ind w:firstLine="448" w:firstLineChars="200"/>
        <w:outlineLvl w:val="0"/>
        <w:rPr>
          <w:sz w:val="24"/>
        </w:rPr>
      </w:pPr>
      <w:r>
        <w:rPr>
          <w:rFonts w:hint="eastAsia"/>
          <w:sz w:val="24"/>
        </w:rPr>
        <w:t>4.征纳互动服务是采购人税收业务类核心系统之一，该系统以税收大数据为驱动力，依托云计算、大数据、人工智能等技术，构建“集中部署+智能应答+全程互动+送问办询评一体化”的新型征纳互动模式，满足纳税人的全访问服务需求，推动税务部门与纳税人之间的互动服务从以政策业务为主向政策业务和技术操作全覆盖转变、从解答问题到解决问题转变、从被动等待服务向主动提供服务转变、从人工服务向智能服务转变，不断提升办税服务便利水平。</w:t>
      </w:r>
    </w:p>
    <w:p w14:paraId="6148B487">
      <w:pPr>
        <w:spacing w:line="360" w:lineRule="auto"/>
        <w:ind w:firstLine="448" w:firstLineChars="200"/>
        <w:outlineLvl w:val="0"/>
        <w:rPr>
          <w:sz w:val="24"/>
        </w:rPr>
      </w:pPr>
      <w:r>
        <w:rPr>
          <w:rFonts w:hint="eastAsia"/>
          <w:sz w:val="24"/>
        </w:rPr>
        <w:t>5.税务地理信息应用是采购人税收业务类核心系统之一，依托该系统可提升财产和行为税治理能力和治理水平，有效发挥地理信息技术在税收领域的空间化管理及应用能力。该系统运行是否正常将直接影响全国统一规范电子税务局和数据（公共）支撑服务平台等系统相关业务的正常使用。</w:t>
      </w:r>
    </w:p>
    <w:p w14:paraId="5B9F176E">
      <w:pPr>
        <w:spacing w:line="360" w:lineRule="auto"/>
        <w:ind w:firstLine="448" w:firstLineChars="200"/>
        <w:outlineLvl w:val="0"/>
        <w:rPr>
          <w:sz w:val="24"/>
        </w:rPr>
      </w:pPr>
      <w:r>
        <w:rPr>
          <w:rFonts w:hint="eastAsia"/>
          <w:sz w:val="24"/>
        </w:rPr>
        <w:t>（二）业务和技术体系架构及部署</w:t>
      </w:r>
    </w:p>
    <w:p w14:paraId="0A7832E4">
      <w:pPr>
        <w:spacing w:line="360" w:lineRule="auto"/>
        <w:ind w:firstLine="448" w:firstLineChars="200"/>
        <w:outlineLvl w:val="0"/>
        <w:rPr>
          <w:sz w:val="24"/>
        </w:rPr>
      </w:pPr>
      <w:r>
        <w:rPr>
          <w:rFonts w:hint="eastAsia"/>
          <w:sz w:val="24"/>
        </w:rPr>
        <w:t>1.全国统一规范电子税务局</w:t>
      </w:r>
    </w:p>
    <w:p w14:paraId="6C9F1EF4">
      <w:pPr>
        <w:spacing w:line="360" w:lineRule="auto"/>
        <w:ind w:firstLine="448" w:firstLineChars="200"/>
        <w:outlineLvl w:val="0"/>
        <w:rPr>
          <w:sz w:val="24"/>
        </w:rPr>
      </w:pPr>
      <w:r>
        <w:rPr>
          <w:rFonts w:hint="eastAsia"/>
          <w:sz w:val="24"/>
        </w:rPr>
        <w:t>该系统包括生产环境和预生产环境，共使用139台服务器，包括生产应用服务器82台、生产数据库服务器14台（MariaDB 1台，MongoDB 1台，Redis 7台，TDSQL_MySQL 4台，CTSDB 1台）、其他软件服务器4台（TDMQ）。预生产应用服务器23台，数据库服务器12台（MariaDB 1台，MongoDB 1台，Redis 7台，TDSQL_MySQL 2台，CTSDB 1台）、其他软件服务器4台（TDMQ）。该系统包含400余个功能模块，主要为信息报告、税费服务、税务执法、税收监管、内部事项等。</w:t>
      </w:r>
    </w:p>
    <w:p w14:paraId="744317BD">
      <w:pPr>
        <w:spacing w:line="360" w:lineRule="auto"/>
        <w:ind w:firstLine="448" w:firstLineChars="200"/>
        <w:outlineLvl w:val="0"/>
        <w:rPr>
          <w:sz w:val="24"/>
        </w:rPr>
      </w:pPr>
      <w:r>
        <w:rPr>
          <w:rFonts w:hint="eastAsia"/>
          <w:sz w:val="24"/>
        </w:rPr>
        <w:t>全国统一规范电子税务局周边对接系统主要包括数据（公共）支撑服务平台、统一身份管理平台、增值税发票电子底账系统、核心征管系统、电子发票服务平台、征纳互动服务、税务地理信息应用系统等。</w:t>
      </w:r>
    </w:p>
    <w:p w14:paraId="1325BD95">
      <w:pPr>
        <w:spacing w:line="360" w:lineRule="auto"/>
        <w:ind w:firstLine="448" w:firstLineChars="200"/>
        <w:outlineLvl w:val="0"/>
        <w:rPr>
          <w:sz w:val="24"/>
        </w:rPr>
      </w:pPr>
      <w:r>
        <w:rPr>
          <w:rFonts w:hint="eastAsia"/>
          <w:sz w:val="24"/>
        </w:rPr>
        <w:t>2.电子税务局特色功能</w:t>
      </w:r>
    </w:p>
    <w:p w14:paraId="72888D6E">
      <w:pPr>
        <w:spacing w:line="360" w:lineRule="auto"/>
        <w:ind w:firstLine="448" w:firstLineChars="200"/>
        <w:outlineLvl w:val="0"/>
        <w:rPr>
          <w:sz w:val="24"/>
        </w:rPr>
      </w:pPr>
      <w:r>
        <w:rPr>
          <w:rFonts w:hint="eastAsia"/>
          <w:sz w:val="24"/>
        </w:rPr>
        <w:t>该系统包括生产环境和预生产环境，主要功能包括：特色功能（可信对接模块）（包含特色专区菜单维护、缴款平台、可信同步核心征管人员信息、维持可信令牌服务、发票信息比对、外部信息前置交换系统、一窗通等）、特色功能（社保自然人模块）、特色功能（代收代缴车船税模块）、特色功能（社保单位模块）（包含单位纳税人社保费业务功能）、特色功能（税务人端查询）。</w:t>
      </w:r>
    </w:p>
    <w:p w14:paraId="383B3CFB">
      <w:pPr>
        <w:spacing w:line="360" w:lineRule="auto"/>
        <w:ind w:firstLine="448" w:firstLineChars="200"/>
        <w:outlineLvl w:val="0"/>
        <w:rPr>
          <w:sz w:val="24"/>
        </w:rPr>
      </w:pPr>
      <w:r>
        <w:rPr>
          <w:rFonts w:hint="eastAsia"/>
          <w:sz w:val="24"/>
        </w:rPr>
        <w:t>电子税务局特色功能系统周边对接系统主要包括全国统一规范电子税务局、核心征管系统、自然人电子税务局、集成平台、门户网站存在对接或集成关系。</w:t>
      </w:r>
    </w:p>
    <w:p w14:paraId="59BB1C24">
      <w:pPr>
        <w:spacing w:line="360" w:lineRule="auto"/>
        <w:ind w:firstLine="448" w:firstLineChars="200"/>
        <w:outlineLvl w:val="0"/>
        <w:rPr>
          <w:sz w:val="24"/>
        </w:rPr>
      </w:pPr>
      <w:r>
        <w:rPr>
          <w:rFonts w:hint="eastAsia"/>
          <w:sz w:val="24"/>
        </w:rPr>
        <w:t>3.电子发票服务平台</w:t>
      </w:r>
    </w:p>
    <w:p w14:paraId="6F61BDAD">
      <w:pPr>
        <w:spacing w:line="360" w:lineRule="auto"/>
        <w:ind w:firstLine="448" w:firstLineChars="200"/>
        <w:outlineLvl w:val="0"/>
        <w:rPr>
          <w:sz w:val="24"/>
        </w:rPr>
      </w:pPr>
      <w:r>
        <w:rPr>
          <w:rFonts w:hint="eastAsia"/>
          <w:sz w:val="24"/>
        </w:rPr>
        <w:t>该系统包括生产环境和预生产环境，共使用196台服务器，包括生产服务器176台、预生产服务器20台，含应用服务器170台、数据库服务器9台、其他软件服务器17台等。该系统包含166个功能模块，涉及纳税人端、税务人端开票、用票、管票、查询等业务，主要包括蓝字发票开具、红字发票开具、发票勾选、乐企开通和使用等功能。</w:t>
      </w:r>
    </w:p>
    <w:p w14:paraId="255A8165">
      <w:pPr>
        <w:spacing w:line="360" w:lineRule="auto"/>
        <w:ind w:firstLine="448" w:firstLineChars="200"/>
        <w:outlineLvl w:val="0"/>
        <w:rPr>
          <w:sz w:val="24"/>
        </w:rPr>
      </w:pPr>
      <w:r>
        <w:rPr>
          <w:rFonts w:hint="eastAsia"/>
          <w:sz w:val="24"/>
        </w:rPr>
        <w:t>电子发票服务平台周边对接系统主要包括数据（公共）支撑服务平台、统一身份管理平台、增值税发票电子底账系统、核心征管系统、全国统一规范电子税务局、金税四期税务人端平台、异地协作平台等。</w:t>
      </w:r>
    </w:p>
    <w:p w14:paraId="76E47536">
      <w:pPr>
        <w:spacing w:line="360" w:lineRule="auto"/>
        <w:ind w:firstLine="448" w:firstLineChars="200"/>
        <w:outlineLvl w:val="0"/>
        <w:rPr>
          <w:sz w:val="24"/>
        </w:rPr>
      </w:pPr>
      <w:r>
        <w:rPr>
          <w:rFonts w:hint="eastAsia"/>
          <w:sz w:val="24"/>
        </w:rPr>
        <w:t>4.征纳互动服务</w:t>
      </w:r>
    </w:p>
    <w:p w14:paraId="164BA226">
      <w:pPr>
        <w:spacing w:line="360" w:lineRule="auto"/>
        <w:ind w:firstLine="448" w:firstLineChars="200"/>
        <w:outlineLvl w:val="0"/>
        <w:rPr>
          <w:sz w:val="24"/>
        </w:rPr>
      </w:pPr>
      <w:r>
        <w:rPr>
          <w:rFonts w:hint="eastAsia"/>
          <w:sz w:val="24"/>
        </w:rPr>
        <w:t>该系统包括生产环境和预生产环境，共使用145台服务器，包括生产114服务器台、预生产31服务器台，含应用服务器121台、数据库服务器20台、其他软件服务器4台等。该系统主要包含精准推送、智能互动、依权办公、需求调查、网格化服务、知识库管理、运行监控等七大模块171个主要功能，为纳税人提供“问、办、查、评、送”的一体化服务，实现税务人员、企业纳税人和自然人三端高效互动。</w:t>
      </w:r>
    </w:p>
    <w:p w14:paraId="0612BE0E">
      <w:pPr>
        <w:spacing w:line="360" w:lineRule="auto"/>
        <w:ind w:firstLine="448" w:firstLineChars="200"/>
        <w:outlineLvl w:val="0"/>
        <w:rPr>
          <w:sz w:val="24"/>
        </w:rPr>
      </w:pPr>
      <w:r>
        <w:rPr>
          <w:rFonts w:hint="eastAsia"/>
          <w:sz w:val="24"/>
        </w:rPr>
        <w:t>征纳互动服务系统周边对接系统主要包括电子发票服务平台、全国统一规范电子税务局、12366纳税缴费服务热线系统、公共服务短信平台等。</w:t>
      </w:r>
    </w:p>
    <w:p w14:paraId="29303504">
      <w:pPr>
        <w:spacing w:line="360" w:lineRule="auto"/>
        <w:ind w:firstLine="448" w:firstLineChars="200"/>
        <w:outlineLvl w:val="0"/>
        <w:rPr>
          <w:sz w:val="24"/>
        </w:rPr>
      </w:pPr>
      <w:r>
        <w:rPr>
          <w:rFonts w:hint="eastAsia"/>
          <w:sz w:val="24"/>
        </w:rPr>
        <w:t>5.税务地理信息应用</w:t>
      </w:r>
    </w:p>
    <w:p w14:paraId="07FE4A4D">
      <w:pPr>
        <w:spacing w:line="360" w:lineRule="auto"/>
        <w:ind w:firstLine="448" w:firstLineChars="200"/>
        <w:outlineLvl w:val="0"/>
        <w:rPr>
          <w:sz w:val="24"/>
        </w:rPr>
      </w:pPr>
      <w:r>
        <w:rPr>
          <w:rFonts w:hint="eastAsia"/>
          <w:sz w:val="24"/>
        </w:rPr>
        <w:t>该系统包括生产环境和预生产环境，共使用11台服务器，包括生产服务器7台、预生产服务器3台。该系统主要包含33个一级功能，121个二级功能，包括税务地理信息公共能力、税务地图、房土两税风险识别、财产行为决策支持、省局互联网区能力服务、外联网区共享介入、税务内外服务集成等功能。</w:t>
      </w:r>
    </w:p>
    <w:p w14:paraId="0A5F9D6F">
      <w:pPr>
        <w:spacing w:line="360" w:lineRule="auto"/>
        <w:ind w:firstLine="448" w:firstLineChars="200"/>
        <w:outlineLvl w:val="0"/>
        <w:rPr>
          <w:sz w:val="24"/>
        </w:rPr>
      </w:pPr>
      <w:r>
        <w:rPr>
          <w:rFonts w:hint="eastAsia"/>
          <w:sz w:val="24"/>
        </w:rPr>
        <w:t>税务地理信息应用系统周边对接系统主要包括全国统一规范电子税务局、数据（公共）支撑服务平台等系统。</w:t>
      </w:r>
    </w:p>
    <w:p w14:paraId="5483F363">
      <w:pPr>
        <w:spacing w:line="360" w:lineRule="auto"/>
        <w:ind w:firstLine="448" w:firstLineChars="200"/>
        <w:outlineLvl w:val="0"/>
        <w:rPr>
          <w:sz w:val="24"/>
        </w:rPr>
      </w:pPr>
      <w:r>
        <w:rPr>
          <w:rFonts w:hint="eastAsia"/>
          <w:sz w:val="24"/>
        </w:rPr>
        <w:t>六、总体要求</w:t>
      </w:r>
    </w:p>
    <w:p w14:paraId="6E03F8D3">
      <w:pPr>
        <w:spacing w:line="360" w:lineRule="auto"/>
        <w:ind w:firstLine="448" w:firstLineChars="200"/>
        <w:outlineLvl w:val="0"/>
        <w:rPr>
          <w:sz w:val="24"/>
        </w:rPr>
      </w:pPr>
      <w:r>
        <w:rPr>
          <w:rFonts w:hint="eastAsia"/>
          <w:sz w:val="24"/>
        </w:rPr>
        <w:t>供应商按采购人需求组建本项目涉及系统运维团队提供运维支持服务，在采购人运维统筹机制下开展工作，提供与支持服务人员配套的内部支持体系，以确保现场支持工作有效进行，保证服务质量。运维人员依托运维平台、热线电话等渠道，及时解决纳税人和税务人员在操作本系统中遇到的各种操作类、数据类问题，为协调解决各种政策调整和业务流程之间的矛盾提供支持，全面保障本系统内部各项事务性工作的高效稳定运行。</w:t>
      </w:r>
    </w:p>
    <w:p w14:paraId="7F9AD870">
      <w:pPr>
        <w:spacing w:line="360" w:lineRule="auto"/>
        <w:ind w:firstLine="448" w:firstLineChars="200"/>
        <w:outlineLvl w:val="0"/>
        <w:rPr>
          <w:sz w:val="24"/>
        </w:rPr>
      </w:pPr>
      <w:r>
        <w:rPr>
          <w:rFonts w:hint="eastAsia"/>
          <w:sz w:val="24"/>
        </w:rPr>
        <w:t>按照总局和市局的要求，供应商对本系统提供业务和技术支持服务，对可能发生的异常做到科学预判，对已经发生的问题做到及时处理，对已经解决的问题做到分析总结，定期出具系统运行维护报告。业务支持服务包括特有业务运维服务、业务参数变更、业务逻辑分析、业务问题处理、后台数据运维、运维知识库管理、数据统计分析以及其他业务运维工作。技术支持服务包括特有技术运维服务、运行监控、健康检查、风险排查、安全加固、系统优化、补丁升级、重大时期运行保障、故障处理、紧急情况处置、周边系统对接、系统联调测试、技术问题管理、系统迁移、系统备份与恢复以及其他技术运维工作。</w:t>
      </w:r>
    </w:p>
    <w:p w14:paraId="38958B3B">
      <w:pPr>
        <w:spacing w:line="360" w:lineRule="auto"/>
        <w:ind w:firstLine="448" w:firstLineChars="200"/>
        <w:outlineLvl w:val="0"/>
        <w:rPr>
          <w:sz w:val="24"/>
        </w:rPr>
      </w:pPr>
      <w:r>
        <w:rPr>
          <w:rFonts w:hint="eastAsia"/>
          <w:sz w:val="24"/>
        </w:rPr>
        <w:t>七、具体要求</w:t>
      </w:r>
    </w:p>
    <w:p w14:paraId="2A824680">
      <w:pPr>
        <w:spacing w:line="360" w:lineRule="auto"/>
        <w:ind w:firstLine="448" w:firstLineChars="200"/>
        <w:outlineLvl w:val="0"/>
        <w:rPr>
          <w:sz w:val="24"/>
        </w:rPr>
      </w:pPr>
      <w:r>
        <w:rPr>
          <w:rFonts w:hint="eastAsia"/>
          <w:sz w:val="24"/>
        </w:rPr>
        <w:t>（一）业务运维部分</w:t>
      </w:r>
    </w:p>
    <w:p w14:paraId="21556A57">
      <w:pPr>
        <w:spacing w:line="360" w:lineRule="auto"/>
        <w:ind w:firstLine="448" w:firstLineChars="200"/>
        <w:outlineLvl w:val="0"/>
        <w:rPr>
          <w:sz w:val="24"/>
        </w:rPr>
      </w:pPr>
      <w:r>
        <w:rPr>
          <w:rFonts w:hint="eastAsia"/>
          <w:sz w:val="24"/>
        </w:rPr>
        <w:t>1. 日常运维</w:t>
      </w:r>
    </w:p>
    <w:p w14:paraId="0805135F">
      <w:pPr>
        <w:spacing w:line="360" w:lineRule="auto"/>
        <w:ind w:firstLine="448" w:firstLineChars="200"/>
        <w:outlineLvl w:val="0"/>
        <w:rPr>
          <w:sz w:val="24"/>
        </w:rPr>
      </w:pPr>
      <w:r>
        <w:rPr>
          <w:rFonts w:hint="eastAsia"/>
          <w:sz w:val="24"/>
        </w:rPr>
        <w:t>⑴运维方式</w:t>
      </w:r>
    </w:p>
    <w:p w14:paraId="11A56FD9">
      <w:pPr>
        <w:spacing w:line="360" w:lineRule="auto"/>
        <w:ind w:firstLine="448" w:firstLineChars="200"/>
        <w:outlineLvl w:val="0"/>
        <w:rPr>
          <w:sz w:val="24"/>
        </w:rPr>
      </w:pPr>
      <w:r>
        <w:rPr>
          <w:rFonts w:hint="eastAsia"/>
          <w:sz w:val="24"/>
        </w:rPr>
        <w:t>对本项目系统提供日常运维服务，日常运维的服务方式，包括但不限于热线电话、即时通讯软件、运维平台、线上线下会议等。</w:t>
      </w:r>
    </w:p>
    <w:p w14:paraId="4378CD08">
      <w:pPr>
        <w:spacing w:line="360" w:lineRule="auto"/>
        <w:ind w:firstLine="448" w:firstLineChars="200"/>
        <w:outlineLvl w:val="0"/>
        <w:rPr>
          <w:sz w:val="24"/>
        </w:rPr>
      </w:pPr>
      <w:r>
        <w:rPr>
          <w:rFonts w:hint="eastAsia"/>
          <w:sz w:val="24"/>
        </w:rPr>
        <w:t>①在线支持：主要通过电话、即时通讯软件对采购人各部门用户提报的服务请求进行快速响应和答复。</w:t>
      </w:r>
    </w:p>
    <w:p w14:paraId="29F7A8C8">
      <w:pPr>
        <w:spacing w:line="360" w:lineRule="auto"/>
        <w:ind w:firstLine="448" w:firstLineChars="200"/>
        <w:outlineLvl w:val="0"/>
        <w:rPr>
          <w:sz w:val="24"/>
        </w:rPr>
      </w:pPr>
      <w:r>
        <w:rPr>
          <w:rFonts w:hint="eastAsia"/>
          <w:sz w:val="24"/>
        </w:rPr>
        <w:t>②运维平台：通过采购人指定的运维管理平台回答和处理本项目系统相关问题，或通过税务系统内部网络，远程监控、诊断和解决用户提出的问题和故障。</w:t>
      </w:r>
    </w:p>
    <w:p w14:paraId="692F072C">
      <w:pPr>
        <w:spacing w:line="360" w:lineRule="auto"/>
        <w:ind w:firstLine="448" w:firstLineChars="200"/>
        <w:outlineLvl w:val="0"/>
        <w:rPr>
          <w:sz w:val="24"/>
        </w:rPr>
      </w:pPr>
      <w:r>
        <w:rPr>
          <w:rFonts w:hint="eastAsia"/>
          <w:sz w:val="24"/>
        </w:rPr>
        <w:t>③其他日常运维：根据采购人要求或供应商申请，并经采购人审核同意的其他服务方式。</w:t>
      </w:r>
    </w:p>
    <w:p w14:paraId="62924D73">
      <w:pPr>
        <w:spacing w:line="360" w:lineRule="auto"/>
        <w:ind w:firstLine="448" w:firstLineChars="200"/>
        <w:outlineLvl w:val="0"/>
        <w:rPr>
          <w:sz w:val="24"/>
        </w:rPr>
      </w:pPr>
      <w:r>
        <w:rPr>
          <w:rFonts w:hint="eastAsia"/>
          <w:sz w:val="24"/>
        </w:rPr>
        <w:t>⑵工作内容</w:t>
      </w:r>
    </w:p>
    <w:p w14:paraId="1A7E3B9D">
      <w:pPr>
        <w:spacing w:line="360" w:lineRule="auto"/>
        <w:ind w:firstLine="448" w:firstLineChars="200"/>
        <w:outlineLvl w:val="0"/>
        <w:rPr>
          <w:sz w:val="24"/>
        </w:rPr>
      </w:pPr>
      <w:r>
        <w:rPr>
          <w:rFonts w:hint="eastAsia"/>
          <w:sz w:val="24"/>
        </w:rPr>
        <w:t>运维人员根据各渠道接收的本项目系统用户问题，开展及时有效处理，负责全程跟踪问题的处理过程以确保在最短的时间内找到问题的解决方案。针对应用系统的配置参数维护、业务处理方法、业务处理原理、业务处理流程等在软件功能上反映的问题，提供及时全面的解答。辅助相关业务人员完成系统的运行操作。</w:t>
      </w:r>
    </w:p>
    <w:p w14:paraId="3F7CE3F6">
      <w:pPr>
        <w:spacing w:line="360" w:lineRule="auto"/>
        <w:ind w:firstLine="448" w:firstLineChars="200"/>
        <w:outlineLvl w:val="0"/>
        <w:rPr>
          <w:sz w:val="24"/>
        </w:rPr>
      </w:pPr>
      <w:r>
        <w:rPr>
          <w:rFonts w:hint="eastAsia"/>
          <w:sz w:val="24"/>
        </w:rPr>
        <w:t>安排专人每天跟踪各业务域问题的处理情况，对于操作类和数据类问题原则上要求当天处理解决。对于没有当天解决的问题，了解具体原因和情况，及时协调二线获取支持，必要时安排运维人员加班处理，使问题能够得到及时处理，避免问题的积压堆积。</w:t>
      </w:r>
    </w:p>
    <w:p w14:paraId="62ED9092">
      <w:pPr>
        <w:spacing w:line="360" w:lineRule="auto"/>
        <w:ind w:firstLine="448" w:firstLineChars="200"/>
        <w:outlineLvl w:val="0"/>
        <w:rPr>
          <w:sz w:val="24"/>
        </w:rPr>
      </w:pPr>
      <w:r>
        <w:rPr>
          <w:rFonts w:hint="eastAsia"/>
          <w:sz w:val="24"/>
        </w:rPr>
        <w:t>⑶知识库管理</w:t>
      </w:r>
    </w:p>
    <w:p w14:paraId="27636071">
      <w:pPr>
        <w:spacing w:line="360" w:lineRule="auto"/>
        <w:ind w:firstLine="448" w:firstLineChars="200"/>
        <w:outlineLvl w:val="0"/>
        <w:rPr>
          <w:sz w:val="24"/>
        </w:rPr>
      </w:pPr>
      <w:r>
        <w:rPr>
          <w:rFonts w:hint="eastAsia"/>
          <w:sz w:val="24"/>
        </w:rPr>
        <w:t>对于采购人反馈本项目系统问题，属于操作中出现的常见问题，统一由运维人员收集汇总，整理后形成常见问题解决手册。每周对问题情况进行统计，由项目经理向采购人反馈问题处理情况，提出改进方案。</w:t>
      </w:r>
    </w:p>
    <w:p w14:paraId="14D355F3">
      <w:pPr>
        <w:spacing w:line="360" w:lineRule="auto"/>
        <w:ind w:firstLine="448" w:firstLineChars="200"/>
        <w:outlineLvl w:val="0"/>
        <w:rPr>
          <w:sz w:val="24"/>
        </w:rPr>
      </w:pPr>
      <w:r>
        <w:rPr>
          <w:rFonts w:hint="eastAsia"/>
          <w:sz w:val="24"/>
        </w:rPr>
        <w:t>根据本项目系统问题处理层级建立运维知识库，将业务知识、操作知识、常见问题、重大紧急事件、故障解决方案等工作资料进行整理、归纳，形成相关知识存入运行维护知识库，制作文字文档和音视频教程和培训资料，以供采购人各层级人员使用。将采购人知识库文档按需提交总局，接收总局下发知识库文档并组织采购人各层级人员学习。</w:t>
      </w:r>
    </w:p>
    <w:p w14:paraId="0DBED0F4">
      <w:pPr>
        <w:spacing w:line="360" w:lineRule="auto"/>
        <w:ind w:firstLine="448" w:firstLineChars="200"/>
        <w:outlineLvl w:val="0"/>
        <w:rPr>
          <w:sz w:val="24"/>
        </w:rPr>
      </w:pPr>
      <w:r>
        <w:rPr>
          <w:rFonts w:hint="eastAsia"/>
          <w:sz w:val="24"/>
        </w:rPr>
        <w:t>⑷质量监督</w:t>
      </w:r>
    </w:p>
    <w:p w14:paraId="24378F2B">
      <w:pPr>
        <w:spacing w:line="360" w:lineRule="auto"/>
        <w:ind w:firstLine="448" w:firstLineChars="200"/>
        <w:outlineLvl w:val="0"/>
        <w:rPr>
          <w:sz w:val="24"/>
        </w:rPr>
      </w:pPr>
      <w:r>
        <w:rPr>
          <w:rFonts w:hint="eastAsia"/>
          <w:sz w:val="24"/>
        </w:rPr>
        <w:t>安排专人检查本项目系统各业务域问题的处理质量，接收采购人反馈的问题处理质量情况。对处理质量较差的问题进行分析，找出根本原因，提出解决办法。如果是运维人员的原因造成问题处理不完善，运维项目经理应对运维人员进行指导或轮岗，逐步提升问题处理质量。</w:t>
      </w:r>
    </w:p>
    <w:p w14:paraId="6E8E2B99">
      <w:pPr>
        <w:spacing w:line="360" w:lineRule="auto"/>
        <w:ind w:firstLine="448" w:firstLineChars="200"/>
        <w:outlineLvl w:val="0"/>
        <w:rPr>
          <w:sz w:val="24"/>
        </w:rPr>
      </w:pPr>
      <w:r>
        <w:rPr>
          <w:rFonts w:hint="eastAsia"/>
          <w:sz w:val="24"/>
        </w:rPr>
        <w:t>2.派出运维</w:t>
      </w:r>
    </w:p>
    <w:p w14:paraId="369A510F">
      <w:pPr>
        <w:spacing w:line="360" w:lineRule="auto"/>
        <w:ind w:firstLine="448" w:firstLineChars="200"/>
        <w:outlineLvl w:val="0"/>
        <w:rPr>
          <w:sz w:val="24"/>
        </w:rPr>
      </w:pPr>
      <w:r>
        <w:rPr>
          <w:rFonts w:hint="eastAsia"/>
          <w:sz w:val="24"/>
        </w:rPr>
        <w:t>对本项目系统提供派出运维服务，派出运维的服务方式，包括但不限于紧急现场支持、定期巡回运维等。</w:t>
      </w:r>
    </w:p>
    <w:p w14:paraId="26A2502E">
      <w:pPr>
        <w:spacing w:line="360" w:lineRule="auto"/>
        <w:ind w:firstLine="448" w:firstLineChars="200"/>
        <w:outlineLvl w:val="0"/>
        <w:rPr>
          <w:sz w:val="24"/>
        </w:rPr>
      </w:pPr>
      <w:r>
        <w:rPr>
          <w:rFonts w:hint="eastAsia"/>
          <w:sz w:val="24"/>
        </w:rPr>
        <w:t>①紧急现场支持：根据采购人的要求到达基层用户现场，解决事出紧急或无法通过常规方法（在线支持和运维平台）解决的服务请求。</w:t>
      </w:r>
    </w:p>
    <w:p w14:paraId="60476D77">
      <w:pPr>
        <w:spacing w:line="360" w:lineRule="auto"/>
        <w:ind w:firstLine="448" w:firstLineChars="200"/>
        <w:outlineLvl w:val="0"/>
        <w:rPr>
          <w:sz w:val="24"/>
        </w:rPr>
      </w:pPr>
      <w:r>
        <w:rPr>
          <w:rFonts w:hint="eastAsia"/>
          <w:sz w:val="24"/>
        </w:rPr>
        <w:t>②定期巡回运维：深入基层了解系统实际运转情况，倾听基层心声，从实际工作出友，收集系统优化建议。整理优化建议，向二线开发部门反馈，共同对系统进行完善，不断提升系统管理、业务逻辑的严谨性，使系统操作更为人性化。</w:t>
      </w:r>
    </w:p>
    <w:p w14:paraId="352369FC">
      <w:pPr>
        <w:spacing w:line="360" w:lineRule="auto"/>
        <w:ind w:firstLine="448" w:firstLineChars="200"/>
        <w:outlineLvl w:val="0"/>
        <w:rPr>
          <w:sz w:val="24"/>
        </w:rPr>
      </w:pPr>
      <w:r>
        <w:rPr>
          <w:rFonts w:hint="eastAsia"/>
          <w:sz w:val="24"/>
        </w:rPr>
        <w:t>③其他派出运维：根据采购人要求或供应商申请，并经采购人审核同意的其他服务方式。</w:t>
      </w:r>
    </w:p>
    <w:p w14:paraId="73BF9E12">
      <w:pPr>
        <w:spacing w:line="360" w:lineRule="auto"/>
        <w:ind w:firstLine="448" w:firstLineChars="200"/>
        <w:outlineLvl w:val="0"/>
        <w:rPr>
          <w:sz w:val="24"/>
        </w:rPr>
      </w:pPr>
      <w:r>
        <w:rPr>
          <w:rFonts w:hint="eastAsia"/>
          <w:sz w:val="24"/>
        </w:rPr>
        <w:t>3.数据运维</w:t>
      </w:r>
    </w:p>
    <w:p w14:paraId="16B65A4D">
      <w:pPr>
        <w:spacing w:line="360" w:lineRule="auto"/>
        <w:ind w:firstLine="448" w:firstLineChars="200"/>
        <w:outlineLvl w:val="0"/>
        <w:rPr>
          <w:sz w:val="24"/>
        </w:rPr>
      </w:pPr>
      <w:r>
        <w:rPr>
          <w:rFonts w:hint="eastAsia"/>
          <w:sz w:val="24"/>
        </w:rPr>
        <w:t>在采购人的授权下，运维人员按照运维管理规范进行本项目系统数据运维。</w:t>
      </w:r>
    </w:p>
    <w:p w14:paraId="14ACB960">
      <w:pPr>
        <w:spacing w:line="360" w:lineRule="auto"/>
        <w:ind w:firstLine="448" w:firstLineChars="200"/>
        <w:outlineLvl w:val="0"/>
        <w:rPr>
          <w:sz w:val="24"/>
        </w:rPr>
      </w:pPr>
      <w:r>
        <w:rPr>
          <w:rFonts w:hint="eastAsia"/>
          <w:sz w:val="24"/>
        </w:rPr>
        <w:t>⑴工作范围</w:t>
      </w:r>
    </w:p>
    <w:p w14:paraId="405967E6">
      <w:pPr>
        <w:spacing w:line="360" w:lineRule="auto"/>
        <w:ind w:firstLine="448" w:firstLineChars="200"/>
        <w:outlineLvl w:val="0"/>
        <w:rPr>
          <w:sz w:val="24"/>
        </w:rPr>
      </w:pPr>
      <w:r>
        <w:rPr>
          <w:rFonts w:hint="eastAsia"/>
          <w:sz w:val="24"/>
        </w:rPr>
        <w:t>①数据修改，包括数据迁移引起的错误数据修复。应用系统错误引起的数据修复。缺少补偿业务，无法采用应用系统处理的操作错误数据修复。其他系统操作引起的错误数据修改。</w:t>
      </w:r>
    </w:p>
    <w:p w14:paraId="5B4984E5">
      <w:pPr>
        <w:spacing w:line="360" w:lineRule="auto"/>
        <w:ind w:firstLine="448" w:firstLineChars="200"/>
        <w:outlineLvl w:val="0"/>
        <w:rPr>
          <w:sz w:val="24"/>
        </w:rPr>
      </w:pPr>
      <w:r>
        <w:rPr>
          <w:rFonts w:hint="eastAsia"/>
          <w:sz w:val="24"/>
        </w:rPr>
        <w:t>②开展日常数据集成加工任务的监控、跟踪，每天产出数据集成日报。数据集成加工问题的分析、处理。对系统应用或用户反映出的数据问题进行分析、定位，驱动数据问题解决，保障数据质量及应用数据准确。</w:t>
      </w:r>
    </w:p>
    <w:p w14:paraId="5282482F">
      <w:pPr>
        <w:spacing w:line="360" w:lineRule="auto"/>
        <w:ind w:firstLine="448" w:firstLineChars="200"/>
        <w:outlineLvl w:val="0"/>
        <w:rPr>
          <w:sz w:val="24"/>
        </w:rPr>
      </w:pPr>
      <w:r>
        <w:rPr>
          <w:rFonts w:hint="eastAsia"/>
          <w:sz w:val="24"/>
        </w:rPr>
        <w:t>③供应商和运维人员应通过后台脚本及辅助工具进行数据质量监控，从被动到主动发现数据问题，并对问题数据分析及处理。</w:t>
      </w:r>
    </w:p>
    <w:p w14:paraId="70C71B28">
      <w:pPr>
        <w:spacing w:line="360" w:lineRule="auto"/>
        <w:ind w:firstLine="448" w:firstLineChars="200"/>
        <w:outlineLvl w:val="0"/>
        <w:rPr>
          <w:sz w:val="24"/>
        </w:rPr>
      </w:pPr>
      <w:r>
        <w:rPr>
          <w:rFonts w:hint="eastAsia"/>
          <w:sz w:val="24"/>
        </w:rPr>
        <w:t>⑵数据分类</w:t>
      </w:r>
    </w:p>
    <w:p w14:paraId="43D84EE3">
      <w:pPr>
        <w:spacing w:line="360" w:lineRule="auto"/>
        <w:ind w:firstLine="448" w:firstLineChars="200"/>
        <w:outlineLvl w:val="0"/>
        <w:rPr>
          <w:sz w:val="24"/>
        </w:rPr>
      </w:pPr>
      <w:r>
        <w:rPr>
          <w:rFonts w:hint="eastAsia"/>
          <w:sz w:val="24"/>
        </w:rPr>
        <w:t>本项目系统已经正式投入使用，正常情况下，数据均应该通过前台系统操作写入，但是以下数据只能通过编写脚本，在后台数据库修改数据：</w:t>
      </w:r>
    </w:p>
    <w:p w14:paraId="63FD498C">
      <w:pPr>
        <w:spacing w:line="360" w:lineRule="auto"/>
        <w:ind w:firstLine="448" w:firstLineChars="200"/>
        <w:outlineLvl w:val="0"/>
        <w:rPr>
          <w:sz w:val="24"/>
        </w:rPr>
      </w:pPr>
      <w:r>
        <w:rPr>
          <w:rFonts w:hint="eastAsia"/>
          <w:sz w:val="24"/>
        </w:rPr>
        <w:t>①数据迁移的错误数据：该类数据属于数据迁移遗留问题，系统前台不支持该类数据的修改，只能通过后台修改数据。采购人对该类数据负责，数据来源、数据产生原因、数据如何修改解释权均在采购人。</w:t>
      </w:r>
    </w:p>
    <w:p w14:paraId="3AD42088">
      <w:pPr>
        <w:spacing w:line="360" w:lineRule="auto"/>
        <w:ind w:firstLine="448" w:firstLineChars="200"/>
        <w:outlineLvl w:val="0"/>
        <w:rPr>
          <w:sz w:val="24"/>
        </w:rPr>
      </w:pPr>
      <w:r>
        <w:rPr>
          <w:rFonts w:hint="eastAsia"/>
          <w:sz w:val="24"/>
        </w:rPr>
        <w:t>②系统BUG产生的错误数据。该类是由于系统BUG产生的，正常的补偿业务无法对该类数据进行修正，只能通过后台修改数据。供应商对该类数据负责，除需编写脚本修正数据外，还需要分析错误数据产生原因，若需要可上报总局问题管控部门或本项目系统开发部门，通过升级补丁解决系统BUG。</w:t>
      </w:r>
    </w:p>
    <w:p w14:paraId="3B32605F">
      <w:pPr>
        <w:spacing w:line="360" w:lineRule="auto"/>
        <w:ind w:firstLine="448" w:firstLineChars="200"/>
        <w:outlineLvl w:val="0"/>
        <w:rPr>
          <w:sz w:val="24"/>
        </w:rPr>
      </w:pPr>
      <w:r>
        <w:rPr>
          <w:rFonts w:hint="eastAsia"/>
          <w:sz w:val="24"/>
        </w:rPr>
        <w:t>③异常操作或系统前台无补偿功能的异常数据。由于纳税人和税务人员误操作、异常操作引起的错误数据，系统前台无补偿功能无法对数据进行修改操作，只能通过后台编写脚本修改数据。采购人对该类数据负责，供应商按照采购人要求编写脚本修正数据。</w:t>
      </w:r>
    </w:p>
    <w:p w14:paraId="6947A743">
      <w:pPr>
        <w:spacing w:line="360" w:lineRule="auto"/>
        <w:ind w:firstLine="448" w:firstLineChars="200"/>
        <w:outlineLvl w:val="0"/>
        <w:rPr>
          <w:sz w:val="24"/>
        </w:rPr>
      </w:pPr>
      <w:r>
        <w:rPr>
          <w:rFonts w:hint="eastAsia"/>
          <w:sz w:val="24"/>
        </w:rPr>
        <w:t>⑶运维流程</w:t>
      </w:r>
    </w:p>
    <w:p w14:paraId="5D3CFD49">
      <w:pPr>
        <w:spacing w:line="360" w:lineRule="auto"/>
        <w:ind w:firstLine="448" w:firstLineChars="200"/>
        <w:outlineLvl w:val="0"/>
        <w:rPr>
          <w:sz w:val="24"/>
        </w:rPr>
      </w:pPr>
      <w:r>
        <w:rPr>
          <w:rFonts w:hint="eastAsia"/>
          <w:sz w:val="24"/>
        </w:rPr>
        <w:t>①运维人员根据问题分析定位制定数据运维方案、数据运维脚本并提交采购人审核。</w:t>
      </w:r>
    </w:p>
    <w:p w14:paraId="5AF6A585">
      <w:pPr>
        <w:spacing w:line="360" w:lineRule="auto"/>
        <w:ind w:firstLine="448" w:firstLineChars="200"/>
        <w:outlineLvl w:val="0"/>
        <w:rPr>
          <w:sz w:val="24"/>
        </w:rPr>
      </w:pPr>
      <w:r>
        <w:rPr>
          <w:rFonts w:hint="eastAsia"/>
          <w:sz w:val="24"/>
        </w:rPr>
        <w:t>②采购人对数据运维方案进行评估，对数据运维脚本进行审核，数据运维脚本执行授权。</w:t>
      </w:r>
    </w:p>
    <w:p w14:paraId="5D8DDCAE">
      <w:pPr>
        <w:spacing w:line="360" w:lineRule="auto"/>
        <w:ind w:firstLine="448" w:firstLineChars="200"/>
        <w:outlineLvl w:val="0"/>
        <w:rPr>
          <w:sz w:val="24"/>
        </w:rPr>
      </w:pPr>
      <w:r>
        <w:rPr>
          <w:rFonts w:hint="eastAsia"/>
          <w:sz w:val="24"/>
        </w:rPr>
        <w:t>③运维人员对原始数据进行备份，执行数据运维脚本，对运维后的数据进行验证，对运维脚本和相关资料进行归档。</w:t>
      </w:r>
    </w:p>
    <w:p w14:paraId="0D8C833A">
      <w:pPr>
        <w:spacing w:line="360" w:lineRule="auto"/>
        <w:ind w:firstLine="448" w:firstLineChars="200"/>
        <w:outlineLvl w:val="0"/>
        <w:rPr>
          <w:sz w:val="24"/>
        </w:rPr>
      </w:pPr>
      <w:r>
        <w:rPr>
          <w:rFonts w:hint="eastAsia"/>
          <w:sz w:val="24"/>
        </w:rPr>
        <w:t>4.数据查询</w:t>
      </w:r>
    </w:p>
    <w:p w14:paraId="14CBDC97">
      <w:pPr>
        <w:spacing w:line="360" w:lineRule="auto"/>
        <w:ind w:firstLine="448" w:firstLineChars="200"/>
        <w:outlineLvl w:val="0"/>
        <w:rPr>
          <w:sz w:val="24"/>
        </w:rPr>
      </w:pPr>
      <w:r>
        <w:rPr>
          <w:rFonts w:hint="eastAsia"/>
          <w:sz w:val="24"/>
        </w:rPr>
        <w:t>本项目系统现有功能无法完全满足的数据查询需求，需要运维人员通过编写数据库脚本，协助实施数据查询，以及后期数据的其他分析应用工作，以满足各单位各部门对本项目系统数据分析的需要。</w:t>
      </w:r>
    </w:p>
    <w:p w14:paraId="49EB3C5A">
      <w:pPr>
        <w:spacing w:line="360" w:lineRule="auto"/>
        <w:ind w:firstLine="448" w:firstLineChars="200"/>
        <w:outlineLvl w:val="0"/>
        <w:rPr>
          <w:sz w:val="24"/>
        </w:rPr>
      </w:pPr>
      <w:r>
        <w:rPr>
          <w:rFonts w:hint="eastAsia"/>
          <w:sz w:val="24"/>
        </w:rPr>
        <w:t>数据查询统计的需求主要来源于以下几个方面：</w:t>
      </w:r>
    </w:p>
    <w:p w14:paraId="56D843E6">
      <w:pPr>
        <w:spacing w:line="360" w:lineRule="auto"/>
        <w:ind w:firstLine="448" w:firstLineChars="200"/>
        <w:outlineLvl w:val="0"/>
        <w:rPr>
          <w:sz w:val="24"/>
        </w:rPr>
      </w:pPr>
      <w:r>
        <w:rPr>
          <w:rFonts w:hint="eastAsia"/>
          <w:sz w:val="24"/>
        </w:rPr>
        <w:t>⑴国家税务总局要求各省上报相关数据。</w:t>
      </w:r>
    </w:p>
    <w:p w14:paraId="2012FCE6">
      <w:pPr>
        <w:spacing w:line="360" w:lineRule="auto"/>
        <w:ind w:firstLine="448" w:firstLineChars="200"/>
        <w:outlineLvl w:val="0"/>
        <w:rPr>
          <w:sz w:val="24"/>
        </w:rPr>
      </w:pPr>
      <w:r>
        <w:rPr>
          <w:rFonts w:hint="eastAsia"/>
          <w:sz w:val="24"/>
        </w:rPr>
        <w:t>⑵采购人各部门提出的数据查询统计要求。</w:t>
      </w:r>
    </w:p>
    <w:p w14:paraId="4FAC1B4B">
      <w:pPr>
        <w:spacing w:line="360" w:lineRule="auto"/>
        <w:ind w:firstLine="448" w:firstLineChars="200"/>
        <w:outlineLvl w:val="0"/>
        <w:rPr>
          <w:sz w:val="24"/>
        </w:rPr>
      </w:pPr>
      <w:r>
        <w:rPr>
          <w:rFonts w:hint="eastAsia"/>
          <w:sz w:val="24"/>
        </w:rPr>
        <w:t>⑶各级部门领导需要临时掌握了解的税收数据。</w:t>
      </w:r>
    </w:p>
    <w:p w14:paraId="01D2EB47">
      <w:pPr>
        <w:spacing w:line="360" w:lineRule="auto"/>
        <w:ind w:firstLine="448" w:firstLineChars="200"/>
        <w:outlineLvl w:val="0"/>
        <w:rPr>
          <w:sz w:val="24"/>
        </w:rPr>
      </w:pPr>
      <w:r>
        <w:rPr>
          <w:rFonts w:hint="eastAsia"/>
          <w:sz w:val="24"/>
        </w:rPr>
        <w:t>⑷各级基层单位各部门提出的数据查询统计要求。</w:t>
      </w:r>
    </w:p>
    <w:p w14:paraId="3B773222">
      <w:pPr>
        <w:spacing w:line="360" w:lineRule="auto"/>
        <w:ind w:firstLine="448" w:firstLineChars="200"/>
        <w:outlineLvl w:val="0"/>
        <w:rPr>
          <w:sz w:val="24"/>
        </w:rPr>
      </w:pPr>
      <w:r>
        <w:rPr>
          <w:rFonts w:hint="eastAsia"/>
          <w:sz w:val="24"/>
        </w:rPr>
        <w:t>为确保各级部门能够及时准确的获取相关数据，供应商需要提供本项目系统最新数据字典，与采购人共同对查询口径进行分析，确保运维人员与需求人员对口径理解一致。查询前，运维人员应提供查询脚本，经采购人有关人员审核后再开展实际查询。若查询对系统压力较大，应在非工作时间和非系统运行高峰期开展查询和导出操作。查询完毕后，运维人员应导出数据结果，经采购人有关人员审核后，再按要求以邮件、运维平台或其它方式提交查询需求部门。</w:t>
      </w:r>
    </w:p>
    <w:p w14:paraId="50D09599">
      <w:pPr>
        <w:spacing w:line="360" w:lineRule="auto"/>
        <w:ind w:firstLine="448" w:firstLineChars="200"/>
        <w:outlineLvl w:val="0"/>
        <w:rPr>
          <w:sz w:val="24"/>
        </w:rPr>
      </w:pPr>
      <w:r>
        <w:rPr>
          <w:rFonts w:hint="eastAsia"/>
          <w:sz w:val="24"/>
        </w:rPr>
        <w:t>5.需求调研</w:t>
      </w:r>
    </w:p>
    <w:p w14:paraId="272C274D">
      <w:pPr>
        <w:spacing w:line="360" w:lineRule="auto"/>
        <w:ind w:firstLine="448" w:firstLineChars="200"/>
        <w:outlineLvl w:val="0"/>
        <w:rPr>
          <w:sz w:val="24"/>
        </w:rPr>
      </w:pPr>
      <w:r>
        <w:rPr>
          <w:rFonts w:hint="eastAsia"/>
          <w:sz w:val="24"/>
        </w:rPr>
        <w:t>根据采购人工作安排，配合进行本项目系统相关需求调研，参加采购人组织的应用系统方面会议或集中工作等。根据具体的地方需求结合本项目系统业务需求进行分析，出具可行的实现方案，同时辅助完成调研报告等工作。</w:t>
      </w:r>
    </w:p>
    <w:p w14:paraId="013C6FCC">
      <w:pPr>
        <w:spacing w:line="360" w:lineRule="auto"/>
        <w:ind w:firstLine="448" w:firstLineChars="200"/>
        <w:outlineLvl w:val="0"/>
        <w:rPr>
          <w:sz w:val="24"/>
        </w:rPr>
      </w:pPr>
      <w:r>
        <w:rPr>
          <w:rFonts w:hint="eastAsia"/>
          <w:sz w:val="24"/>
        </w:rPr>
        <w:t>涉及本项目系统调整的业务需求变化主要包括两个方面：因国家税务总局税收政策变化、流程调整的需求变更。因地方性政策调整、管理流程调整的需求变更。</w:t>
      </w:r>
    </w:p>
    <w:p w14:paraId="0889D249">
      <w:pPr>
        <w:spacing w:line="360" w:lineRule="auto"/>
        <w:ind w:firstLine="448" w:firstLineChars="200"/>
        <w:outlineLvl w:val="0"/>
        <w:rPr>
          <w:sz w:val="24"/>
        </w:rPr>
      </w:pPr>
      <w:r>
        <w:rPr>
          <w:rFonts w:hint="eastAsia"/>
          <w:sz w:val="24"/>
        </w:rPr>
        <w:t>⑴因总局税收政策变化、流程调整的需求变更</w:t>
      </w:r>
    </w:p>
    <w:p w14:paraId="6E220016">
      <w:pPr>
        <w:spacing w:line="360" w:lineRule="auto"/>
        <w:ind w:firstLine="448" w:firstLineChars="200"/>
        <w:outlineLvl w:val="0"/>
        <w:rPr>
          <w:sz w:val="24"/>
        </w:rPr>
      </w:pPr>
      <w:r>
        <w:rPr>
          <w:rFonts w:hint="eastAsia"/>
          <w:sz w:val="24"/>
        </w:rPr>
        <w:t>运维人员应第一时间了解需求，并与本项目系统设计开发团队沟通实现方案。充分考虑各应用系统间的影响、升级带来的系统逻辑调整、历史数据的衔接。针对各种情况给出说明及解决方案。发起专题会议，与其他相关厂商及采购人进行沟通，对方案进行完善，与本项目系统设计开发团队沟通开发计划及升级时间，并将注意事项、解决方案提交给采购人。</w:t>
      </w:r>
    </w:p>
    <w:p w14:paraId="7486FA67">
      <w:pPr>
        <w:spacing w:line="360" w:lineRule="auto"/>
        <w:ind w:firstLine="448" w:firstLineChars="200"/>
        <w:outlineLvl w:val="0"/>
        <w:rPr>
          <w:sz w:val="24"/>
        </w:rPr>
      </w:pPr>
      <w:r>
        <w:rPr>
          <w:rFonts w:hint="eastAsia"/>
          <w:sz w:val="24"/>
        </w:rPr>
        <w:t>⑵因地方性政策调整，管理流程调整的需求变更</w:t>
      </w:r>
    </w:p>
    <w:p w14:paraId="02D4737F">
      <w:pPr>
        <w:spacing w:line="360" w:lineRule="auto"/>
        <w:ind w:firstLine="448" w:firstLineChars="200"/>
        <w:outlineLvl w:val="0"/>
        <w:rPr>
          <w:sz w:val="24"/>
        </w:rPr>
      </w:pPr>
      <w:r>
        <w:rPr>
          <w:rFonts w:hint="eastAsia"/>
          <w:sz w:val="24"/>
        </w:rPr>
        <w:t>运维人员接收需求后，对需求进行补充和完善，进行初步需求分析。将需求进行分类、评估需求影响。</w:t>
      </w:r>
    </w:p>
    <w:p w14:paraId="688D304D">
      <w:pPr>
        <w:spacing w:line="360" w:lineRule="auto"/>
        <w:ind w:firstLine="448" w:firstLineChars="200"/>
        <w:outlineLvl w:val="0"/>
        <w:rPr>
          <w:sz w:val="24"/>
        </w:rPr>
      </w:pPr>
      <w:r>
        <w:rPr>
          <w:rFonts w:hint="eastAsia"/>
          <w:sz w:val="24"/>
        </w:rPr>
        <w:t>如果属于统发系统范围内的需求，与相关系统供应商一起评估是否向总局提交需求变更申请，协助采购人业务管理部门完成需求提报。如无需向总局提交需求变更申请，需联合相关系统供应商制定实施计划，共同完善系统，落实地方性政策调整变更需求。</w:t>
      </w:r>
    </w:p>
    <w:p w14:paraId="1F7A786E">
      <w:pPr>
        <w:spacing w:line="360" w:lineRule="auto"/>
        <w:ind w:firstLine="448" w:firstLineChars="200"/>
        <w:outlineLvl w:val="0"/>
        <w:rPr>
          <w:sz w:val="24"/>
        </w:rPr>
      </w:pPr>
      <w:r>
        <w:rPr>
          <w:rFonts w:hint="eastAsia"/>
          <w:sz w:val="24"/>
        </w:rPr>
        <w:t>如果属于地方特色软件或外部门系统范围内的需求，与相关系统建设厂商一起做好关联分析、开发计划、联调计划、测试计划、升级计划，与该系统承建商共同完成可行性方案，提交采购人进行审核。</w:t>
      </w:r>
    </w:p>
    <w:p w14:paraId="185572C9">
      <w:pPr>
        <w:spacing w:line="360" w:lineRule="auto"/>
        <w:ind w:firstLine="448" w:firstLineChars="200"/>
        <w:outlineLvl w:val="0"/>
        <w:rPr>
          <w:sz w:val="24"/>
        </w:rPr>
      </w:pPr>
      <w:r>
        <w:rPr>
          <w:rFonts w:hint="eastAsia"/>
          <w:sz w:val="24"/>
        </w:rPr>
        <w:t>6.集成服务</w:t>
      </w:r>
    </w:p>
    <w:p w14:paraId="77D9248A">
      <w:pPr>
        <w:spacing w:line="360" w:lineRule="auto"/>
        <w:ind w:firstLine="448" w:firstLineChars="200"/>
        <w:outlineLvl w:val="0"/>
        <w:rPr>
          <w:sz w:val="24"/>
        </w:rPr>
      </w:pPr>
      <w:r>
        <w:rPr>
          <w:rFonts w:hint="eastAsia"/>
          <w:sz w:val="24"/>
        </w:rPr>
        <w:t>在金税三期、金税四期总体框架之下，结合采购人现状，提供本项目系统相关集成服务。在面向多应用系统协调工作时，协助采购人协调各供应商之间的运维工作，开展问题协同分析、系统联调测试以及版本同步升级等工作。</w:t>
      </w:r>
    </w:p>
    <w:p w14:paraId="666C1D2E">
      <w:pPr>
        <w:spacing w:line="360" w:lineRule="auto"/>
        <w:ind w:firstLine="448" w:firstLineChars="200"/>
        <w:outlineLvl w:val="0"/>
        <w:rPr>
          <w:sz w:val="24"/>
        </w:rPr>
      </w:pPr>
      <w:r>
        <w:rPr>
          <w:rFonts w:hint="eastAsia"/>
          <w:sz w:val="24"/>
        </w:rPr>
        <w:t>深刻理解把握采购人业务、应用、数据、流程、界面集成关系和关键任务，通过制定和严格执行集成技术、实施、管理等各项方案，通过组织协调保障采购人应用系统协调、一致建设，形成一体化的采购人应用系统。</w:t>
      </w:r>
    </w:p>
    <w:p w14:paraId="71D37AB5">
      <w:pPr>
        <w:spacing w:line="360" w:lineRule="auto"/>
        <w:ind w:firstLine="448" w:firstLineChars="200"/>
        <w:outlineLvl w:val="0"/>
        <w:rPr>
          <w:sz w:val="24"/>
        </w:rPr>
      </w:pPr>
      <w:r>
        <w:rPr>
          <w:rFonts w:hint="eastAsia"/>
          <w:sz w:val="24"/>
        </w:rPr>
        <w:t>为了保证采购人税收管理信息系统在全国税收行业处于领先地位，供应商应凭借自己在计算机技术方面的优势，在采购人提出具体需求后，邀请信息化技术、税务行业的专家学者，为采购人税收管理信息系统提供咨询服务。</w:t>
      </w:r>
    </w:p>
    <w:p w14:paraId="7633A09F">
      <w:pPr>
        <w:spacing w:line="360" w:lineRule="auto"/>
        <w:ind w:firstLine="448" w:firstLineChars="200"/>
        <w:outlineLvl w:val="0"/>
        <w:rPr>
          <w:sz w:val="24"/>
        </w:rPr>
      </w:pPr>
      <w:r>
        <w:rPr>
          <w:rFonts w:hint="eastAsia"/>
          <w:sz w:val="24"/>
        </w:rPr>
        <w:t>7.特有业务运维服务</w:t>
      </w:r>
    </w:p>
    <w:p w14:paraId="25968547">
      <w:pPr>
        <w:spacing w:line="360" w:lineRule="auto"/>
        <w:ind w:firstLine="448" w:firstLineChars="200"/>
        <w:outlineLvl w:val="0"/>
        <w:rPr>
          <w:sz w:val="24"/>
        </w:rPr>
      </w:pPr>
      <w:r>
        <w:rPr>
          <w:rFonts w:hint="eastAsia"/>
          <w:sz w:val="24"/>
        </w:rPr>
        <w:t>（1）全国统一规范电子税务局</w:t>
      </w:r>
    </w:p>
    <w:p w14:paraId="1313BDBB">
      <w:pPr>
        <w:spacing w:line="360" w:lineRule="auto"/>
        <w:ind w:firstLine="448" w:firstLineChars="200"/>
        <w:outlineLvl w:val="0"/>
        <w:rPr>
          <w:sz w:val="24"/>
        </w:rPr>
      </w:pPr>
      <w:r>
        <w:rPr>
          <w:rFonts w:hint="eastAsia"/>
          <w:sz w:val="24"/>
        </w:rPr>
        <w:t>全国统一规范电子税务局业务运维覆盖纳税人端（WEB-PC端和APP移动端）、税务人端，涉及特有税费业务运维可划分为信息报告、税费服务、税收监管、税务执法、内部事项等5个业务域。</w:t>
      </w:r>
    </w:p>
    <w:p w14:paraId="4FF08FBD">
      <w:pPr>
        <w:spacing w:line="360" w:lineRule="auto"/>
        <w:ind w:firstLine="448" w:firstLineChars="200"/>
        <w:outlineLvl w:val="0"/>
        <w:rPr>
          <w:sz w:val="24"/>
        </w:rPr>
      </w:pPr>
      <w:r>
        <w:rPr>
          <w:rFonts w:hint="eastAsia"/>
          <w:sz w:val="24"/>
        </w:rPr>
        <w:t>①信息报告方面：协助采购人，完成纳税人基本情况信息、标签等内容的涉税事项的运维，包括涉税市场主体身份信息报告、跨区域涉税事项报告、增值税一般纳税人登记等。</w:t>
      </w:r>
    </w:p>
    <w:p w14:paraId="22B22E48">
      <w:pPr>
        <w:spacing w:line="360" w:lineRule="auto"/>
        <w:ind w:firstLine="448" w:firstLineChars="200"/>
        <w:outlineLvl w:val="0"/>
        <w:rPr>
          <w:sz w:val="24"/>
        </w:rPr>
      </w:pPr>
      <w:r>
        <w:rPr>
          <w:rFonts w:hint="eastAsia"/>
          <w:sz w:val="24"/>
        </w:rPr>
        <w:t>②税费服务方面：协助采购人，完成纳税人在办理事项过程中，税务机关提供的各类相关服务事项的运维，包括各税费种申报、延期申报核准、误收多缴退税等。</w:t>
      </w:r>
    </w:p>
    <w:p w14:paraId="57FAD564">
      <w:pPr>
        <w:spacing w:line="360" w:lineRule="auto"/>
        <w:ind w:firstLine="448" w:firstLineChars="200"/>
        <w:outlineLvl w:val="0"/>
        <w:rPr>
          <w:sz w:val="24"/>
        </w:rPr>
      </w:pPr>
      <w:r>
        <w:rPr>
          <w:rFonts w:hint="eastAsia"/>
          <w:sz w:val="24"/>
        </w:rPr>
        <w:t>③税务监管方面：协助采购人，完成各类税务监管事项的运维，包括非居民企业扣缴义务人指定、定期定额户核定及调整定额、特别纳税调整数据采集、非正常户解除、税稽查案源管理、纳税信用评价等。</w:t>
      </w:r>
    </w:p>
    <w:p w14:paraId="5785E197">
      <w:pPr>
        <w:spacing w:line="360" w:lineRule="auto"/>
        <w:ind w:firstLine="448" w:firstLineChars="200"/>
        <w:outlineLvl w:val="0"/>
        <w:rPr>
          <w:sz w:val="24"/>
        </w:rPr>
      </w:pPr>
      <w:r>
        <w:rPr>
          <w:rFonts w:hint="eastAsia"/>
          <w:sz w:val="24"/>
        </w:rPr>
        <w:t>④税务执法方面：协助采购人，完成涉税违法违规行为处理，法律救济等业务事项的运维，包括责令限期改正、简易程序处罚、税务行政处罚听证、复议申请管理、纳税服务投诉处理等。</w:t>
      </w:r>
    </w:p>
    <w:p w14:paraId="10ED977B">
      <w:pPr>
        <w:spacing w:line="360" w:lineRule="auto"/>
        <w:ind w:firstLine="448" w:firstLineChars="200"/>
        <w:outlineLvl w:val="0"/>
        <w:rPr>
          <w:sz w:val="24"/>
        </w:rPr>
      </w:pPr>
      <w:r>
        <w:rPr>
          <w:rFonts w:hint="eastAsia"/>
          <w:sz w:val="24"/>
        </w:rPr>
        <w:t>⑤内部事项方面：协助采购人，完成税务机关内部处理相关涉税事务的运维，包括税收预测、会计监督等。</w:t>
      </w:r>
    </w:p>
    <w:p w14:paraId="4AAABDDA">
      <w:pPr>
        <w:spacing w:line="360" w:lineRule="auto"/>
        <w:ind w:firstLine="448" w:firstLineChars="200"/>
        <w:outlineLvl w:val="0"/>
        <w:rPr>
          <w:sz w:val="24"/>
        </w:rPr>
      </w:pPr>
      <w:r>
        <w:rPr>
          <w:rFonts w:hint="eastAsia"/>
          <w:sz w:val="24"/>
        </w:rPr>
        <w:t>（2）电子税务局特色功能</w:t>
      </w:r>
    </w:p>
    <w:p w14:paraId="53172DEF">
      <w:pPr>
        <w:spacing w:line="360" w:lineRule="auto"/>
        <w:ind w:firstLine="448" w:firstLineChars="200"/>
        <w:outlineLvl w:val="0"/>
        <w:rPr>
          <w:sz w:val="24"/>
        </w:rPr>
      </w:pPr>
      <w:r>
        <w:rPr>
          <w:rFonts w:hint="eastAsia"/>
          <w:sz w:val="24"/>
        </w:rPr>
        <w:t>电子税务局特色功能业务运维覆盖纳税人端（WEB-PC端和APP移动端）、税务人端，涉及特有税费业务运维包括：</w:t>
      </w:r>
    </w:p>
    <w:p w14:paraId="5EC53B2D">
      <w:pPr>
        <w:spacing w:line="360" w:lineRule="auto"/>
        <w:ind w:firstLine="448" w:firstLineChars="200"/>
        <w:outlineLvl w:val="0"/>
        <w:rPr>
          <w:sz w:val="24"/>
        </w:rPr>
      </w:pPr>
      <w:r>
        <w:rPr>
          <w:rFonts w:hint="eastAsia"/>
          <w:sz w:val="24"/>
        </w:rPr>
        <w:t>①协助采购人加强对车船税代收代缴功能的运维工作，保障车船税代收代缴业务事项的数据安全和稳定运行，确保纳税人顺利办理车船税有关涉税事项。针对特色专区中代收代缴车船税申报、申报情况查询（代收代缴车船税）、银行缴款（代收代缴车船税）、缴款信息查询（代收代缴车船税）四个功能模块，日常运维工作如下：</w:t>
      </w:r>
    </w:p>
    <w:p w14:paraId="392423FC">
      <w:pPr>
        <w:spacing w:line="360" w:lineRule="auto"/>
        <w:ind w:firstLine="448" w:firstLineChars="200"/>
        <w:outlineLvl w:val="0"/>
        <w:rPr>
          <w:sz w:val="24"/>
        </w:rPr>
      </w:pPr>
      <w:r>
        <w:rPr>
          <w:rFonts w:hint="eastAsia"/>
          <w:sz w:val="24"/>
        </w:rPr>
        <w:t>A.代收代缴车船税申报：</w:t>
      </w:r>
    </w:p>
    <w:p w14:paraId="5E09A24D">
      <w:pPr>
        <w:spacing w:line="360" w:lineRule="auto"/>
        <w:ind w:firstLine="448" w:firstLineChars="200"/>
        <w:outlineLvl w:val="0"/>
        <w:rPr>
          <w:sz w:val="24"/>
        </w:rPr>
      </w:pPr>
      <w:r>
        <w:rPr>
          <w:rFonts w:hint="eastAsia"/>
          <w:sz w:val="24"/>
        </w:rPr>
        <w:t>协助采购人完成申报前的准备工作</w:t>
      </w:r>
    </w:p>
    <w:p w14:paraId="6701365D">
      <w:pPr>
        <w:spacing w:line="360" w:lineRule="auto"/>
        <w:ind w:firstLine="448" w:firstLineChars="200"/>
        <w:outlineLvl w:val="0"/>
        <w:rPr>
          <w:sz w:val="24"/>
        </w:rPr>
      </w:pPr>
      <w:r>
        <w:rPr>
          <w:rFonts w:hint="eastAsia"/>
          <w:sz w:val="24"/>
        </w:rPr>
        <w:t>每月10号前保险代收代缴数据可以批改退保等业务，可以允许税款的变化，每月10号锁定数据，不再允许保险批单退保。</w:t>
      </w:r>
    </w:p>
    <w:p w14:paraId="786A41E0">
      <w:pPr>
        <w:spacing w:line="360" w:lineRule="auto"/>
        <w:ind w:firstLine="448" w:firstLineChars="200"/>
        <w:outlineLvl w:val="0"/>
        <w:rPr>
          <w:sz w:val="24"/>
        </w:rPr>
      </w:pPr>
      <w:r>
        <w:rPr>
          <w:rFonts w:hint="eastAsia"/>
          <w:sz w:val="24"/>
        </w:rPr>
        <w:t>网络闪断原因或保险查询操作习惯等原因，存在保险重复代收代缴数据，税款解缴前需要排查保险公司代收数据并推送明细数据避免重复征收。</w:t>
      </w:r>
    </w:p>
    <w:p w14:paraId="232E5A1B">
      <w:pPr>
        <w:spacing w:line="360" w:lineRule="auto"/>
        <w:ind w:firstLine="448" w:firstLineChars="200"/>
        <w:outlineLvl w:val="0"/>
        <w:rPr>
          <w:sz w:val="24"/>
        </w:rPr>
      </w:pPr>
      <w:r>
        <w:rPr>
          <w:rFonts w:hint="eastAsia"/>
          <w:sz w:val="24"/>
        </w:rPr>
        <w:t>对数据查询，每月10号左右核对保险上月代收代缴的笔数和税款，即对账。</w:t>
      </w:r>
    </w:p>
    <w:p w14:paraId="7526553F">
      <w:pPr>
        <w:spacing w:line="360" w:lineRule="auto"/>
        <w:ind w:firstLine="448" w:firstLineChars="200"/>
        <w:outlineLvl w:val="0"/>
        <w:rPr>
          <w:sz w:val="24"/>
        </w:rPr>
      </w:pPr>
      <w:r>
        <w:rPr>
          <w:rFonts w:hint="eastAsia"/>
          <w:sz w:val="24"/>
        </w:rPr>
        <w:t>每月10号左右和各家保险公司对账，推送其保单号，牌照号，车辆识别代码，代收税款以及代收日期等关键信息，需要对数据查询并导出。</w:t>
      </w:r>
    </w:p>
    <w:p w14:paraId="28C860EB">
      <w:pPr>
        <w:spacing w:line="360" w:lineRule="auto"/>
        <w:ind w:firstLine="448" w:firstLineChars="200"/>
        <w:outlineLvl w:val="0"/>
        <w:rPr>
          <w:sz w:val="24"/>
        </w:rPr>
      </w:pPr>
      <w:r>
        <w:rPr>
          <w:rFonts w:hint="eastAsia"/>
          <w:sz w:val="24"/>
        </w:rPr>
        <w:t>针对自然人未在大厅做过登记的，对车主名称，证件号码，证件类型，国籍，行业代码，主管税务科所分局代码等信息进行简易登记，为税款解缴做准备。</w:t>
      </w:r>
    </w:p>
    <w:p w14:paraId="7BFC5D6A">
      <w:pPr>
        <w:spacing w:line="360" w:lineRule="auto"/>
        <w:ind w:firstLine="448" w:firstLineChars="200"/>
        <w:outlineLvl w:val="0"/>
        <w:rPr>
          <w:sz w:val="24"/>
        </w:rPr>
      </w:pPr>
      <w:r>
        <w:rPr>
          <w:rFonts w:hint="eastAsia"/>
          <w:sz w:val="24"/>
        </w:rPr>
        <w:t>针对保险代收代缴的外地车辆车船税信息，解缴前需要维护登记信息为外地车辆注册的对应登记信息。</w:t>
      </w:r>
    </w:p>
    <w:p w14:paraId="50BD976F">
      <w:pPr>
        <w:spacing w:line="360" w:lineRule="auto"/>
        <w:ind w:firstLine="448" w:firstLineChars="200"/>
        <w:outlineLvl w:val="0"/>
        <w:rPr>
          <w:sz w:val="24"/>
        </w:rPr>
      </w:pPr>
      <w:r>
        <w:rPr>
          <w:rFonts w:hint="eastAsia"/>
          <w:sz w:val="24"/>
        </w:rPr>
        <w:t>B.申报报错，需要协助采购人运维解决问题</w:t>
      </w:r>
    </w:p>
    <w:p w14:paraId="2229D3A2">
      <w:pPr>
        <w:spacing w:line="360" w:lineRule="auto"/>
        <w:ind w:firstLine="448" w:firstLineChars="200"/>
        <w:outlineLvl w:val="0"/>
        <w:rPr>
          <w:sz w:val="24"/>
        </w:rPr>
      </w:pPr>
      <w:r>
        <w:rPr>
          <w:rFonts w:hint="eastAsia"/>
          <w:sz w:val="24"/>
        </w:rPr>
        <w:t>针对保险重复代收代缴数据或在手机端以及大厅已申报过车船税信息的数据，税款解缴遇到的车架号重复问题，需要对该部分车辆车架号加标记处理确保解缴通过。</w:t>
      </w:r>
    </w:p>
    <w:p w14:paraId="440D5CE5">
      <w:pPr>
        <w:spacing w:line="360" w:lineRule="auto"/>
        <w:ind w:firstLine="448" w:firstLineChars="200"/>
        <w:outlineLvl w:val="0"/>
        <w:rPr>
          <w:sz w:val="24"/>
        </w:rPr>
      </w:pPr>
      <w:r>
        <w:rPr>
          <w:rFonts w:hint="eastAsia"/>
          <w:sz w:val="24"/>
        </w:rPr>
        <w:t>保险申报存在问题或网络超时或各保险会计解缴操作等原因导致数据锁定，重置已汇总数据到未申报状态，便于保险重新抽数。</w:t>
      </w:r>
    </w:p>
    <w:p w14:paraId="6D5C9B8F">
      <w:pPr>
        <w:spacing w:line="360" w:lineRule="auto"/>
        <w:ind w:firstLine="448" w:firstLineChars="200"/>
        <w:outlineLvl w:val="0"/>
        <w:rPr>
          <w:sz w:val="24"/>
        </w:rPr>
      </w:pPr>
      <w:r>
        <w:rPr>
          <w:rFonts w:hint="eastAsia"/>
          <w:sz w:val="24"/>
        </w:rPr>
        <w:t>申报情况查询（代收代缴车船税）：</w:t>
      </w:r>
    </w:p>
    <w:p w14:paraId="08B50F05">
      <w:pPr>
        <w:spacing w:line="360" w:lineRule="auto"/>
        <w:ind w:firstLine="448" w:firstLineChars="200"/>
        <w:outlineLvl w:val="0"/>
        <w:rPr>
          <w:sz w:val="24"/>
        </w:rPr>
      </w:pPr>
      <w:r>
        <w:rPr>
          <w:rFonts w:hint="eastAsia"/>
          <w:sz w:val="24"/>
        </w:rPr>
        <w:t>每月解缴期内，保险公司解缴完成后，需要进行申报情况查询，核实与预期应解缴的总车辆数和总税款数是否一致，不一致与税源比较差异，找出不同，再次进行代收代缴车船税申报。配合保险公司找出差异。</w:t>
      </w:r>
    </w:p>
    <w:p w14:paraId="315ADAB3">
      <w:pPr>
        <w:spacing w:line="360" w:lineRule="auto"/>
        <w:ind w:firstLine="448" w:firstLineChars="200"/>
        <w:outlineLvl w:val="0"/>
        <w:rPr>
          <w:sz w:val="24"/>
        </w:rPr>
      </w:pPr>
      <w:r>
        <w:rPr>
          <w:rFonts w:hint="eastAsia"/>
          <w:sz w:val="24"/>
        </w:rPr>
        <w:t>银行缴款（代收代缴车船税）：</w:t>
      </w:r>
    </w:p>
    <w:p w14:paraId="0ED3AF0C">
      <w:pPr>
        <w:spacing w:line="360" w:lineRule="auto"/>
        <w:ind w:firstLine="448" w:firstLineChars="200"/>
        <w:outlineLvl w:val="0"/>
        <w:rPr>
          <w:sz w:val="24"/>
        </w:rPr>
      </w:pPr>
      <w:r>
        <w:rPr>
          <w:rFonts w:hint="eastAsia"/>
          <w:sz w:val="24"/>
        </w:rPr>
        <w:t>代收代缴车船税申报完成后，比对是否和预期一致，不一致的找出差异。配合保险公司找出差异。</w:t>
      </w:r>
    </w:p>
    <w:p w14:paraId="12C3CA41">
      <w:pPr>
        <w:spacing w:line="360" w:lineRule="auto"/>
        <w:ind w:firstLine="448" w:firstLineChars="200"/>
        <w:outlineLvl w:val="0"/>
        <w:rPr>
          <w:sz w:val="24"/>
        </w:rPr>
      </w:pPr>
      <w:r>
        <w:rPr>
          <w:rFonts w:hint="eastAsia"/>
          <w:sz w:val="24"/>
        </w:rPr>
        <w:t>缴款信息查询（代收代缴车船税）：</w:t>
      </w:r>
    </w:p>
    <w:p w14:paraId="7457337A">
      <w:pPr>
        <w:spacing w:line="360" w:lineRule="auto"/>
        <w:ind w:firstLine="448" w:firstLineChars="200"/>
        <w:outlineLvl w:val="0"/>
        <w:rPr>
          <w:sz w:val="24"/>
        </w:rPr>
      </w:pPr>
      <w:r>
        <w:rPr>
          <w:rFonts w:hint="eastAsia"/>
          <w:sz w:val="24"/>
        </w:rPr>
        <w:t>每月解缴期内，保险公司解缴完成后，进行缴款信息查询，比对与预期应解缴的总税款数是否一致，不一致与税源比较差异，找出不同，再次进行代收代缴车船税税款缴纳。配合保险公司找出差异。</w:t>
      </w:r>
    </w:p>
    <w:p w14:paraId="0E36F38A">
      <w:pPr>
        <w:spacing w:line="360" w:lineRule="auto"/>
        <w:ind w:firstLine="448" w:firstLineChars="200"/>
        <w:outlineLvl w:val="0"/>
        <w:rPr>
          <w:sz w:val="24"/>
        </w:rPr>
      </w:pPr>
      <w:r>
        <w:rPr>
          <w:rFonts w:hint="eastAsia"/>
          <w:sz w:val="24"/>
        </w:rPr>
        <w:t>其他日常运维工作：</w:t>
      </w:r>
    </w:p>
    <w:p w14:paraId="29A5AA06">
      <w:pPr>
        <w:spacing w:line="360" w:lineRule="auto"/>
        <w:ind w:firstLine="448" w:firstLineChars="200"/>
        <w:outlineLvl w:val="0"/>
        <w:rPr>
          <w:sz w:val="24"/>
        </w:rPr>
      </w:pPr>
      <w:r>
        <w:rPr>
          <w:rFonts w:hint="eastAsia"/>
          <w:sz w:val="24"/>
        </w:rPr>
        <w:t>每月需要根据本地车辆、外地车辆、自然人车辆和企业车辆等调库原则进行调库，导出excel进行展示；</w:t>
      </w:r>
    </w:p>
    <w:p w14:paraId="3337AF25">
      <w:pPr>
        <w:spacing w:line="360" w:lineRule="auto"/>
        <w:ind w:firstLine="448" w:firstLineChars="200"/>
        <w:outlineLvl w:val="0"/>
        <w:rPr>
          <w:sz w:val="24"/>
        </w:rPr>
      </w:pPr>
      <w:r>
        <w:rPr>
          <w:rFonts w:hint="eastAsia"/>
          <w:sz w:val="24"/>
        </w:rPr>
        <w:t>每个月对最新批次的新能源车辆目录进行维护；</w:t>
      </w:r>
    </w:p>
    <w:p w14:paraId="6CE5C095">
      <w:pPr>
        <w:spacing w:line="360" w:lineRule="auto"/>
        <w:ind w:firstLine="448" w:firstLineChars="200"/>
        <w:outlineLvl w:val="0"/>
        <w:rPr>
          <w:sz w:val="24"/>
        </w:rPr>
      </w:pPr>
      <w:r>
        <w:rPr>
          <w:rFonts w:hint="eastAsia"/>
          <w:sz w:val="24"/>
        </w:rPr>
        <w:t>涉及车船税收入分析、增减变化、保险补缴税款进度、总局新能源报表、京津冀数据分析等报表的查询和展示；</w:t>
      </w:r>
    </w:p>
    <w:p w14:paraId="0AF480C1">
      <w:pPr>
        <w:spacing w:line="360" w:lineRule="auto"/>
        <w:ind w:firstLine="448" w:firstLineChars="200"/>
        <w:outlineLvl w:val="0"/>
        <w:rPr>
          <w:sz w:val="24"/>
        </w:rPr>
      </w:pPr>
      <w:r>
        <w:rPr>
          <w:rFonts w:hint="eastAsia"/>
          <w:sz w:val="24"/>
        </w:rPr>
        <w:t>对于保险公司日常出现的出单、批单、退保等业务出现阻断提的运维单进行回复；</w:t>
      </w:r>
    </w:p>
    <w:p w14:paraId="120C7D10">
      <w:pPr>
        <w:spacing w:line="360" w:lineRule="auto"/>
        <w:ind w:firstLine="448" w:firstLineChars="200"/>
        <w:outlineLvl w:val="0"/>
        <w:rPr>
          <w:sz w:val="24"/>
        </w:rPr>
      </w:pPr>
      <w:r>
        <w:rPr>
          <w:rFonts w:hint="eastAsia"/>
          <w:sz w:val="24"/>
        </w:rPr>
        <w:t>对车辆漏税补收的，针对外地完税或已经过户的，后台进行运维。</w:t>
      </w:r>
    </w:p>
    <w:p w14:paraId="3BCBB0BD">
      <w:pPr>
        <w:spacing w:line="360" w:lineRule="auto"/>
        <w:ind w:firstLine="448" w:firstLineChars="200"/>
        <w:outlineLvl w:val="0"/>
        <w:rPr>
          <w:sz w:val="24"/>
        </w:rPr>
      </w:pPr>
      <w:r>
        <w:rPr>
          <w:rFonts w:hint="eastAsia"/>
          <w:sz w:val="24"/>
        </w:rPr>
        <w:t>②协助采购人加强对单位社保费业务功能的运维工作，保障单位社保费业务功能的数据安全和稳定运行，确保纳税人顺利办理单位社保费有关涉费事项。按照总局电子税务局社保费业务规范要求，天津市电子税务局支持用人单位单位社保费申报、缴费等核心业务的全程网上办理；用人单位选择“地方特色”专区下的“社保业务”即可办理社保费相关业务，运维涉及功能包括：</w:t>
      </w:r>
    </w:p>
    <w:p w14:paraId="44DA5D31">
      <w:pPr>
        <w:spacing w:line="360" w:lineRule="auto"/>
        <w:ind w:firstLine="448" w:firstLineChars="200"/>
        <w:outlineLvl w:val="0"/>
        <w:rPr>
          <w:sz w:val="24"/>
        </w:rPr>
      </w:pPr>
      <w:r>
        <w:rPr>
          <w:rFonts w:hint="eastAsia"/>
          <w:sz w:val="24"/>
        </w:rPr>
        <w:t>A.参保缴费信息关联：</w:t>
      </w:r>
    </w:p>
    <w:p w14:paraId="006F651D">
      <w:pPr>
        <w:spacing w:line="360" w:lineRule="auto"/>
        <w:ind w:firstLine="448" w:firstLineChars="200"/>
        <w:outlineLvl w:val="0"/>
        <w:rPr>
          <w:sz w:val="24"/>
        </w:rPr>
      </w:pPr>
      <w:r>
        <w:rPr>
          <w:rFonts w:hint="eastAsia"/>
          <w:sz w:val="24"/>
        </w:rPr>
        <w:t>用人单位通过“参保缴费信息关联”功能，显示已关联的参保险种信息，如有未关联的参保险种信息，用人单位可以自行添加。实现用人单位在人社局和医保局登记的参保险种信息与税务系统进行关联，关联后用人单位可以在网上办理单位员工的工资申报和社保费申报缴费。</w:t>
      </w:r>
    </w:p>
    <w:p w14:paraId="0365DE57">
      <w:pPr>
        <w:spacing w:line="360" w:lineRule="auto"/>
        <w:ind w:firstLine="448" w:firstLineChars="200"/>
        <w:outlineLvl w:val="0"/>
        <w:rPr>
          <w:sz w:val="24"/>
        </w:rPr>
      </w:pPr>
      <w:r>
        <w:rPr>
          <w:rFonts w:hint="eastAsia"/>
          <w:sz w:val="24"/>
        </w:rPr>
        <w:t>B.参保缴费信息关联查询：</w:t>
      </w:r>
    </w:p>
    <w:p w14:paraId="01BD153B">
      <w:pPr>
        <w:spacing w:line="360" w:lineRule="auto"/>
        <w:ind w:firstLine="448" w:firstLineChars="200"/>
        <w:outlineLvl w:val="0"/>
        <w:rPr>
          <w:sz w:val="24"/>
        </w:rPr>
      </w:pPr>
      <w:r>
        <w:rPr>
          <w:rFonts w:hint="eastAsia"/>
          <w:sz w:val="24"/>
        </w:rPr>
        <w:t>用人单位通过“参保缴费信息关联查询”功能，可以查询名下所有单位编号关联登记的单位信息。</w:t>
      </w:r>
    </w:p>
    <w:p w14:paraId="1D450E6A">
      <w:pPr>
        <w:spacing w:line="360" w:lineRule="auto"/>
        <w:ind w:firstLine="448" w:firstLineChars="200"/>
        <w:outlineLvl w:val="0"/>
        <w:rPr>
          <w:sz w:val="24"/>
        </w:rPr>
      </w:pPr>
      <w:r>
        <w:rPr>
          <w:rFonts w:hint="eastAsia"/>
          <w:sz w:val="24"/>
        </w:rPr>
        <w:t>C.年度缴费工资申报及调整：</w:t>
      </w:r>
    </w:p>
    <w:p w14:paraId="45423DAA">
      <w:pPr>
        <w:spacing w:line="360" w:lineRule="auto"/>
        <w:ind w:firstLine="448" w:firstLineChars="200"/>
        <w:outlineLvl w:val="0"/>
        <w:rPr>
          <w:sz w:val="24"/>
        </w:rPr>
      </w:pPr>
      <w:r>
        <w:rPr>
          <w:rFonts w:hint="eastAsia"/>
          <w:sz w:val="24"/>
        </w:rPr>
        <w:t>用人单位通过“年度缴费工资申报及调整”功能，实现用人单位申报或调整申报单位员工的参保缴费工资。通过添加全量缴费职工和外部文件导入两种方式，满足用人单位自行选择申报单位员工的需求。</w:t>
      </w:r>
    </w:p>
    <w:p w14:paraId="30F8A0C9">
      <w:pPr>
        <w:spacing w:line="360" w:lineRule="auto"/>
        <w:ind w:firstLine="448" w:firstLineChars="200"/>
        <w:outlineLvl w:val="0"/>
        <w:rPr>
          <w:sz w:val="24"/>
        </w:rPr>
      </w:pPr>
      <w:r>
        <w:rPr>
          <w:rFonts w:hint="eastAsia"/>
          <w:sz w:val="24"/>
        </w:rPr>
        <w:t>D.日常缴费确认申报：</w:t>
      </w:r>
    </w:p>
    <w:p w14:paraId="35A7AD49">
      <w:pPr>
        <w:spacing w:line="360" w:lineRule="auto"/>
        <w:ind w:firstLine="448" w:firstLineChars="200"/>
        <w:outlineLvl w:val="0"/>
        <w:rPr>
          <w:sz w:val="24"/>
        </w:rPr>
      </w:pPr>
      <w:r>
        <w:rPr>
          <w:rFonts w:hint="eastAsia"/>
          <w:sz w:val="24"/>
        </w:rPr>
        <w:t>用人单位通过“日常缴费确认申报”功能，实现用人单位申报单位员工及退休职工的全部参保险种。用人单位可以选择申报当月或全部未申报信息，每月税务系统自动生成申报预处理信息，方便用人单位确认和操作。</w:t>
      </w:r>
    </w:p>
    <w:p w14:paraId="7BF56093">
      <w:pPr>
        <w:spacing w:line="360" w:lineRule="auto"/>
        <w:ind w:firstLine="448" w:firstLineChars="200"/>
        <w:outlineLvl w:val="0"/>
        <w:rPr>
          <w:sz w:val="24"/>
        </w:rPr>
      </w:pPr>
      <w:r>
        <w:rPr>
          <w:rFonts w:hint="eastAsia"/>
          <w:sz w:val="24"/>
        </w:rPr>
        <w:t>E.日常缴费确认申报-退休职工：</w:t>
      </w:r>
    </w:p>
    <w:p w14:paraId="6D833A20">
      <w:pPr>
        <w:spacing w:line="360" w:lineRule="auto"/>
        <w:ind w:firstLine="448" w:firstLineChars="200"/>
        <w:outlineLvl w:val="0"/>
        <w:rPr>
          <w:sz w:val="24"/>
        </w:rPr>
      </w:pPr>
      <w:r>
        <w:rPr>
          <w:rFonts w:hint="eastAsia"/>
          <w:sz w:val="24"/>
        </w:rPr>
        <w:t>用人单位通过“日常缴费确认申报-退休职工”功能，实现用人单位单独申报单位退休职工的全部参保险种。税务系统自动判断申报员工是否达到退休年龄，获取退休职工核定信息无误后一键申报。</w:t>
      </w:r>
    </w:p>
    <w:p w14:paraId="3360CED5">
      <w:pPr>
        <w:spacing w:line="360" w:lineRule="auto"/>
        <w:ind w:firstLine="448" w:firstLineChars="200"/>
        <w:outlineLvl w:val="0"/>
        <w:rPr>
          <w:sz w:val="24"/>
        </w:rPr>
      </w:pPr>
      <w:r>
        <w:rPr>
          <w:rFonts w:hint="eastAsia"/>
          <w:sz w:val="24"/>
        </w:rPr>
        <w:t>F.特殊缴费确认申报：</w:t>
      </w:r>
    </w:p>
    <w:p w14:paraId="77DF6B72">
      <w:pPr>
        <w:spacing w:line="360" w:lineRule="auto"/>
        <w:ind w:firstLine="448" w:firstLineChars="200"/>
        <w:outlineLvl w:val="0"/>
        <w:rPr>
          <w:sz w:val="24"/>
        </w:rPr>
      </w:pPr>
      <w:r>
        <w:rPr>
          <w:rFonts w:hint="eastAsia"/>
          <w:sz w:val="24"/>
        </w:rPr>
        <w:t>用人单位通过“特殊缴费确认申报”功能，进行补缴历史欠费信息、退休补收、政策性补缴等特殊缴费，由人社部门受理后生成征集信息，税务系统获取到信息后用人单位即可进行申报。</w:t>
      </w:r>
    </w:p>
    <w:p w14:paraId="3E0446D8">
      <w:pPr>
        <w:spacing w:line="360" w:lineRule="auto"/>
        <w:ind w:firstLine="448" w:firstLineChars="200"/>
        <w:outlineLvl w:val="0"/>
        <w:rPr>
          <w:sz w:val="24"/>
        </w:rPr>
      </w:pPr>
      <w:r>
        <w:rPr>
          <w:rFonts w:hint="eastAsia"/>
          <w:sz w:val="24"/>
        </w:rPr>
        <w:t>G.申报记录查询：</w:t>
      </w:r>
    </w:p>
    <w:p w14:paraId="2D8C09CD">
      <w:pPr>
        <w:spacing w:line="360" w:lineRule="auto"/>
        <w:ind w:firstLine="448" w:firstLineChars="200"/>
        <w:outlineLvl w:val="0"/>
        <w:rPr>
          <w:sz w:val="24"/>
        </w:rPr>
      </w:pPr>
      <w:r>
        <w:rPr>
          <w:rFonts w:hint="eastAsia"/>
          <w:sz w:val="24"/>
        </w:rPr>
        <w:t>用人单位通过“申报记录查询”功能，查询通过日常缴费确认申报或特殊缴费确认申报的操作结果。申报成功且未缴款情况下，用人单位如果申报有误，可以选择对应申报记录进行作废申报。</w:t>
      </w:r>
    </w:p>
    <w:p w14:paraId="4FA8B66B">
      <w:pPr>
        <w:spacing w:line="360" w:lineRule="auto"/>
        <w:ind w:firstLine="448" w:firstLineChars="200"/>
        <w:outlineLvl w:val="0"/>
        <w:rPr>
          <w:sz w:val="24"/>
        </w:rPr>
      </w:pPr>
      <w:r>
        <w:rPr>
          <w:rFonts w:hint="eastAsia"/>
          <w:sz w:val="24"/>
        </w:rPr>
        <w:t>H.三方协议缴费：</w:t>
      </w:r>
    </w:p>
    <w:p w14:paraId="77DF1F64">
      <w:pPr>
        <w:spacing w:line="360" w:lineRule="auto"/>
        <w:ind w:firstLine="448" w:firstLineChars="200"/>
        <w:outlineLvl w:val="0"/>
        <w:rPr>
          <w:sz w:val="24"/>
        </w:rPr>
      </w:pPr>
      <w:r>
        <w:rPr>
          <w:rFonts w:hint="eastAsia"/>
          <w:sz w:val="24"/>
        </w:rPr>
        <w:t>用人单位通过“三方协议缴费”功能，在已签订三方协议的情况下，并且社保费已申报成功的前提下进行缴费。如果纳税人签订多个三方协议，需要自行选择后再进行缴费操作。</w:t>
      </w:r>
    </w:p>
    <w:p w14:paraId="15FE3727">
      <w:pPr>
        <w:spacing w:line="360" w:lineRule="auto"/>
        <w:ind w:firstLine="448" w:firstLineChars="200"/>
        <w:outlineLvl w:val="0"/>
        <w:rPr>
          <w:sz w:val="24"/>
        </w:rPr>
      </w:pPr>
      <w:r>
        <w:rPr>
          <w:rFonts w:hint="eastAsia"/>
          <w:sz w:val="24"/>
        </w:rPr>
        <w:t>I.银行端查询缴费凭证打印：</w:t>
      </w:r>
    </w:p>
    <w:p w14:paraId="19AF3A7C">
      <w:pPr>
        <w:spacing w:line="360" w:lineRule="auto"/>
        <w:ind w:firstLine="448" w:firstLineChars="200"/>
        <w:outlineLvl w:val="0"/>
        <w:rPr>
          <w:sz w:val="24"/>
        </w:rPr>
      </w:pPr>
      <w:r>
        <w:rPr>
          <w:rFonts w:hint="eastAsia"/>
          <w:sz w:val="24"/>
        </w:rPr>
        <w:t>用人单位通过“银行端查询缴费凭证打印”功能，实现用人单位打印银行端查询缴税凭证，携带打印凭证到税务大厅或银行办理缴费。未缴费成功的情况下支持重复打印。</w:t>
      </w:r>
    </w:p>
    <w:p w14:paraId="2857054D">
      <w:pPr>
        <w:spacing w:line="360" w:lineRule="auto"/>
        <w:ind w:firstLine="448" w:firstLineChars="200"/>
        <w:outlineLvl w:val="0"/>
        <w:rPr>
          <w:sz w:val="24"/>
        </w:rPr>
      </w:pPr>
      <w:r>
        <w:rPr>
          <w:rFonts w:hint="eastAsia"/>
          <w:sz w:val="24"/>
        </w:rPr>
        <w:t>J.缴费情况查询：</w:t>
      </w:r>
    </w:p>
    <w:p w14:paraId="604AC7EE">
      <w:pPr>
        <w:spacing w:line="360" w:lineRule="auto"/>
        <w:ind w:firstLine="448" w:firstLineChars="200"/>
        <w:outlineLvl w:val="0"/>
        <w:rPr>
          <w:sz w:val="24"/>
        </w:rPr>
      </w:pPr>
      <w:r>
        <w:rPr>
          <w:rFonts w:hint="eastAsia"/>
          <w:sz w:val="24"/>
        </w:rPr>
        <w:t>用人单位通过“缴费情况查询”功能，实现用人单位通过三方协议缴费或银行端查询缴费凭证打印的操作结果进行查询。实时获取社保费征收子系统用人单位的缴费情况。</w:t>
      </w:r>
    </w:p>
    <w:p w14:paraId="293CA7C5">
      <w:pPr>
        <w:spacing w:line="360" w:lineRule="auto"/>
        <w:ind w:firstLine="448" w:firstLineChars="200"/>
        <w:outlineLvl w:val="0"/>
        <w:rPr>
          <w:sz w:val="24"/>
        </w:rPr>
      </w:pPr>
      <w:r>
        <w:rPr>
          <w:rFonts w:hint="eastAsia"/>
          <w:sz w:val="24"/>
        </w:rPr>
        <w:t>K.纳税凭证转开（社保费）开具：</w:t>
      </w:r>
    </w:p>
    <w:p w14:paraId="1B23636F">
      <w:pPr>
        <w:spacing w:line="360" w:lineRule="auto"/>
        <w:ind w:firstLine="448" w:firstLineChars="200"/>
        <w:outlineLvl w:val="0"/>
        <w:rPr>
          <w:sz w:val="24"/>
        </w:rPr>
      </w:pPr>
      <w:r>
        <w:rPr>
          <w:rFonts w:hint="eastAsia"/>
          <w:sz w:val="24"/>
        </w:rPr>
        <w:t>用人单位通过“纳税凭证转开（社保费）开具”功能，实现用人单位申请开具并打印已经缴费成功的纳税凭证。只允许用人单位首次申请并提供打印。</w:t>
      </w:r>
    </w:p>
    <w:p w14:paraId="0E2DD86F">
      <w:pPr>
        <w:spacing w:line="360" w:lineRule="auto"/>
        <w:ind w:firstLine="448" w:firstLineChars="200"/>
        <w:outlineLvl w:val="0"/>
        <w:rPr>
          <w:sz w:val="24"/>
        </w:rPr>
      </w:pPr>
      <w:r>
        <w:rPr>
          <w:rFonts w:hint="eastAsia"/>
          <w:sz w:val="24"/>
        </w:rPr>
        <w:t>L.纳税凭证转开（社保费）补开：</w:t>
      </w:r>
    </w:p>
    <w:p w14:paraId="159AAF29">
      <w:pPr>
        <w:spacing w:line="360" w:lineRule="auto"/>
        <w:ind w:firstLine="448" w:firstLineChars="200"/>
        <w:outlineLvl w:val="0"/>
        <w:rPr>
          <w:sz w:val="24"/>
        </w:rPr>
      </w:pPr>
      <w:r>
        <w:rPr>
          <w:rFonts w:hint="eastAsia"/>
          <w:sz w:val="24"/>
        </w:rPr>
        <w:t>用人单位通过“纳税凭证转开（社保费）补开”功能，实现用人单位已申请并并打印过已经缴费成功的纳税凭证，需要重新申请并打印的情况。</w:t>
      </w:r>
    </w:p>
    <w:p w14:paraId="67E512AC">
      <w:pPr>
        <w:spacing w:line="360" w:lineRule="auto"/>
        <w:ind w:firstLine="448" w:firstLineChars="200"/>
        <w:outlineLvl w:val="0"/>
        <w:rPr>
          <w:sz w:val="24"/>
        </w:rPr>
      </w:pPr>
      <w:r>
        <w:rPr>
          <w:rFonts w:hint="eastAsia"/>
          <w:sz w:val="24"/>
        </w:rPr>
        <w:t>M.菜单授权：</w:t>
      </w:r>
    </w:p>
    <w:p w14:paraId="1E9F8A33">
      <w:pPr>
        <w:spacing w:line="360" w:lineRule="auto"/>
        <w:ind w:firstLine="448" w:firstLineChars="200"/>
        <w:outlineLvl w:val="0"/>
        <w:rPr>
          <w:sz w:val="24"/>
        </w:rPr>
      </w:pPr>
      <w:r>
        <w:rPr>
          <w:rFonts w:hint="eastAsia"/>
          <w:sz w:val="24"/>
        </w:rPr>
        <w:t>用人单位通过“菜单授权”功能，实现用人单位使用法人或财务负责人身份登录天津市电子税务局后，给办税人员增加或修改“年度缴费工资申报及调整”和“社保费管理客户端密码重置”功能的使用权限。</w:t>
      </w:r>
    </w:p>
    <w:p w14:paraId="60E38D11">
      <w:pPr>
        <w:spacing w:line="360" w:lineRule="auto"/>
        <w:ind w:firstLine="448" w:firstLineChars="200"/>
        <w:outlineLvl w:val="0"/>
        <w:rPr>
          <w:sz w:val="24"/>
        </w:rPr>
      </w:pPr>
      <w:r>
        <w:rPr>
          <w:rFonts w:hint="eastAsia"/>
          <w:sz w:val="24"/>
        </w:rPr>
        <w:t>N.社保费管理客户端密码重置：</w:t>
      </w:r>
    </w:p>
    <w:p w14:paraId="74525A0B">
      <w:pPr>
        <w:spacing w:line="360" w:lineRule="auto"/>
        <w:ind w:firstLine="448" w:firstLineChars="200"/>
        <w:outlineLvl w:val="0"/>
        <w:rPr>
          <w:sz w:val="24"/>
        </w:rPr>
      </w:pPr>
      <w:r>
        <w:rPr>
          <w:rFonts w:hint="eastAsia"/>
          <w:sz w:val="24"/>
        </w:rPr>
        <w:t>用人单位通过“社保费管理客户端密码重置”功能，实现用人单位重置社保费管理客户端的登录密码。</w:t>
      </w:r>
    </w:p>
    <w:p w14:paraId="2FD69EE1">
      <w:pPr>
        <w:spacing w:line="360" w:lineRule="auto"/>
        <w:ind w:firstLine="448" w:firstLineChars="200"/>
        <w:outlineLvl w:val="0"/>
        <w:rPr>
          <w:sz w:val="24"/>
        </w:rPr>
      </w:pPr>
      <w:r>
        <w:rPr>
          <w:rFonts w:hint="eastAsia"/>
          <w:sz w:val="24"/>
        </w:rPr>
        <w:t>③协助采购人加强对自然人社保费业务功能的运维工作，保障自然人社保费业务功能的数据安全和稳定运行，确保纳税人顺利办理自然人社保费有关涉费事项。按照总局电子税务局社保费业务规范要求，天津市电子税务局支持自然人进行社保费申报、缴费等核心业务的全程网上办理，自然人可通过电子税务局Web端、App端进入电子税务局办理社保费业务；灵活就业人员、城乡居民选择“地方特色”专区下的“个人业务”即可办理社保费相关业务，运维涉及功能包括：</w:t>
      </w:r>
    </w:p>
    <w:p w14:paraId="7A797DDB">
      <w:pPr>
        <w:spacing w:line="360" w:lineRule="auto"/>
        <w:ind w:firstLine="448" w:firstLineChars="200"/>
        <w:outlineLvl w:val="0"/>
        <w:rPr>
          <w:sz w:val="24"/>
        </w:rPr>
      </w:pPr>
      <w:r>
        <w:rPr>
          <w:rFonts w:hint="eastAsia"/>
          <w:sz w:val="24"/>
        </w:rPr>
        <w:t>A.城乡居民养老正常缴费（当年）：</w:t>
      </w:r>
    </w:p>
    <w:p w14:paraId="02BD1A14">
      <w:pPr>
        <w:spacing w:line="360" w:lineRule="auto"/>
        <w:ind w:firstLine="448" w:firstLineChars="200"/>
        <w:outlineLvl w:val="0"/>
        <w:rPr>
          <w:sz w:val="24"/>
        </w:rPr>
      </w:pPr>
      <w:r>
        <w:rPr>
          <w:rFonts w:hint="eastAsia"/>
          <w:sz w:val="24"/>
        </w:rPr>
        <w:t>城乡居民通过“城乡居民养老正常缴费（当年）”功能，填写办理对象、姓名、身份证件类型、身份证号码、国籍，进入下一步选择想要申报缴纳的应缴费额以及缴款方式，从而完成当前年度城乡居民养老保险的社保费申报缴费业务。</w:t>
      </w:r>
    </w:p>
    <w:p w14:paraId="721BDC53">
      <w:pPr>
        <w:spacing w:line="360" w:lineRule="auto"/>
        <w:ind w:firstLine="448" w:firstLineChars="200"/>
        <w:outlineLvl w:val="0"/>
        <w:rPr>
          <w:sz w:val="24"/>
        </w:rPr>
      </w:pPr>
      <w:r>
        <w:rPr>
          <w:rFonts w:hint="eastAsia"/>
          <w:sz w:val="24"/>
        </w:rPr>
        <w:t>B.城乡居民养老趸缴缴费（到龄补年限）：</w:t>
      </w:r>
    </w:p>
    <w:p w14:paraId="08E29148">
      <w:pPr>
        <w:spacing w:line="360" w:lineRule="auto"/>
        <w:ind w:firstLine="448" w:firstLineChars="200"/>
        <w:outlineLvl w:val="0"/>
        <w:rPr>
          <w:sz w:val="24"/>
        </w:rPr>
      </w:pPr>
      <w:r>
        <w:rPr>
          <w:rFonts w:hint="eastAsia"/>
          <w:sz w:val="24"/>
        </w:rPr>
        <w:t>城乡居民通过“城乡居民养老趸缴缴费（到龄补年限）”功能，填写办理对象、姓名、身份证件类型、身份证号码、国籍，进入下一步选择待申报缴纳的缴费数据以及缴款方式，从而完成到龄补年限城乡居民养老保险的社保费申报缴费业务。</w:t>
      </w:r>
    </w:p>
    <w:p w14:paraId="3A1680E4">
      <w:pPr>
        <w:spacing w:line="360" w:lineRule="auto"/>
        <w:ind w:firstLine="448" w:firstLineChars="200"/>
        <w:outlineLvl w:val="0"/>
        <w:rPr>
          <w:sz w:val="24"/>
        </w:rPr>
      </w:pPr>
      <w:r>
        <w:rPr>
          <w:rFonts w:hint="eastAsia"/>
          <w:sz w:val="24"/>
        </w:rPr>
        <w:t>C.城乡居民医疗缴费（次年）：</w:t>
      </w:r>
    </w:p>
    <w:p w14:paraId="4D16634A">
      <w:pPr>
        <w:spacing w:line="360" w:lineRule="auto"/>
        <w:ind w:firstLine="448" w:firstLineChars="200"/>
        <w:outlineLvl w:val="0"/>
        <w:rPr>
          <w:sz w:val="24"/>
        </w:rPr>
      </w:pPr>
      <w:r>
        <w:rPr>
          <w:rFonts w:hint="eastAsia"/>
          <w:sz w:val="24"/>
        </w:rPr>
        <w:t>城乡居民通过“城乡居民医疗缴费（次年）”功能，填写办理对象、姓名、身份证件类型、身份证号码、国籍，进入下一步选择待申报缴纳的应缴费额以及缴款方式，从而完成次年年度城乡居民</w:t>
      </w:r>
      <w:r>
        <w:rPr>
          <w:rFonts w:hint="eastAsia"/>
          <w:sz w:val="24"/>
          <w:lang w:val="en-US" w:eastAsia="zh-CN"/>
        </w:rPr>
        <w:t>基本</w:t>
      </w:r>
      <w:r>
        <w:rPr>
          <w:rFonts w:hint="eastAsia"/>
          <w:sz w:val="24"/>
        </w:rPr>
        <w:t>医疗保险的社保费申报缴费业务。</w:t>
      </w:r>
    </w:p>
    <w:p w14:paraId="38AFD27F">
      <w:pPr>
        <w:spacing w:line="360" w:lineRule="auto"/>
        <w:ind w:firstLine="448" w:firstLineChars="200"/>
        <w:outlineLvl w:val="0"/>
        <w:rPr>
          <w:sz w:val="24"/>
        </w:rPr>
      </w:pPr>
      <w:r>
        <w:rPr>
          <w:rFonts w:hint="eastAsia"/>
          <w:sz w:val="24"/>
        </w:rPr>
        <w:t>D.城乡居民医疗缴费（当年）：</w:t>
      </w:r>
    </w:p>
    <w:p w14:paraId="096D83C1">
      <w:pPr>
        <w:spacing w:line="360" w:lineRule="auto"/>
        <w:ind w:firstLine="448" w:firstLineChars="200"/>
        <w:outlineLvl w:val="0"/>
        <w:rPr>
          <w:sz w:val="24"/>
        </w:rPr>
      </w:pPr>
      <w:r>
        <w:rPr>
          <w:rFonts w:hint="eastAsia"/>
          <w:sz w:val="24"/>
        </w:rPr>
        <w:t>城乡居民通过“城乡居民医疗缴费（当年）”功能，填写办理对象、姓名、身份证件类型、身份证号码、国籍，进入下一步选择待申报缴纳的应缴费额以及缴款方式，从而完成当年年度城乡居民</w:t>
      </w:r>
      <w:r>
        <w:rPr>
          <w:rFonts w:hint="eastAsia"/>
          <w:sz w:val="24"/>
          <w:lang w:val="en-US" w:eastAsia="zh-CN"/>
        </w:rPr>
        <w:t>基本</w:t>
      </w:r>
      <w:r>
        <w:rPr>
          <w:rFonts w:hint="eastAsia"/>
          <w:sz w:val="24"/>
        </w:rPr>
        <w:t>医疗保险的社保费申报缴费业务。</w:t>
      </w:r>
    </w:p>
    <w:p w14:paraId="41A5D0E8">
      <w:pPr>
        <w:spacing w:line="360" w:lineRule="auto"/>
        <w:ind w:firstLine="448" w:firstLineChars="200"/>
        <w:outlineLvl w:val="0"/>
        <w:rPr>
          <w:sz w:val="24"/>
        </w:rPr>
      </w:pPr>
      <w:r>
        <w:rPr>
          <w:rFonts w:hint="eastAsia"/>
          <w:sz w:val="24"/>
        </w:rPr>
        <w:t>E.灵活就业人员正常缴费（当年当月及以后）：</w:t>
      </w:r>
    </w:p>
    <w:p w14:paraId="6215A252">
      <w:pPr>
        <w:spacing w:line="360" w:lineRule="auto"/>
        <w:ind w:firstLine="448" w:firstLineChars="200"/>
        <w:outlineLvl w:val="0"/>
        <w:rPr>
          <w:sz w:val="24"/>
        </w:rPr>
      </w:pPr>
      <w:r>
        <w:rPr>
          <w:rFonts w:hint="eastAsia"/>
          <w:sz w:val="24"/>
        </w:rPr>
        <w:t>灵活就业人员通过“灵活就业人员正常缴费（当年当月及以后）”功能，填写办理对象、姓名、身份证件类型、身份证号码、国籍，进入下一步选择待申报缴纳的险种以及费款所属期，再选择缴款方式，从而完成当年（本月及以后月份）任意费款所属期的灵活就业人员医疗保险以及养老保险的社保费申报缴费业务。</w:t>
      </w:r>
    </w:p>
    <w:p w14:paraId="2FC9C030">
      <w:pPr>
        <w:spacing w:line="360" w:lineRule="auto"/>
        <w:ind w:firstLine="448" w:firstLineChars="200"/>
        <w:outlineLvl w:val="0"/>
        <w:rPr>
          <w:sz w:val="24"/>
        </w:rPr>
      </w:pPr>
      <w:r>
        <w:rPr>
          <w:rFonts w:hint="eastAsia"/>
          <w:sz w:val="24"/>
        </w:rPr>
        <w:t>F.灵活就业人员补缴缴费（当年上月及以前）：</w:t>
      </w:r>
    </w:p>
    <w:p w14:paraId="1647B9C0">
      <w:pPr>
        <w:spacing w:line="360" w:lineRule="auto"/>
        <w:ind w:firstLine="448" w:firstLineChars="200"/>
        <w:outlineLvl w:val="0"/>
        <w:rPr>
          <w:sz w:val="24"/>
        </w:rPr>
      </w:pPr>
      <w:r>
        <w:rPr>
          <w:rFonts w:hint="eastAsia"/>
          <w:sz w:val="24"/>
        </w:rPr>
        <w:t>灵活就业人员通过“灵活就业人员补缴缴费（当年上月及以前）”功能，填写办理对象、姓名、身份证件类型、身份证号码、国籍，进入下一步选择待申报缴纳的险种以及费款所属期，再选择缴款方式，从而完成当年（上月及以前月份）任意费款所属期的灵活就业人员医疗保险以及养老保险的社保费申报缴费业务。</w:t>
      </w:r>
    </w:p>
    <w:p w14:paraId="70BFC4D8">
      <w:pPr>
        <w:spacing w:line="360" w:lineRule="auto"/>
        <w:ind w:firstLine="448" w:firstLineChars="200"/>
        <w:outlineLvl w:val="0"/>
        <w:rPr>
          <w:sz w:val="24"/>
        </w:rPr>
      </w:pPr>
      <w:r>
        <w:rPr>
          <w:rFonts w:hint="eastAsia"/>
          <w:sz w:val="24"/>
        </w:rPr>
        <w:t>G.灵活就业人员补缴缴费（往年医疗）：</w:t>
      </w:r>
    </w:p>
    <w:p w14:paraId="1B030C3E">
      <w:pPr>
        <w:spacing w:line="360" w:lineRule="auto"/>
        <w:ind w:firstLine="448" w:firstLineChars="200"/>
        <w:outlineLvl w:val="0"/>
        <w:rPr>
          <w:sz w:val="24"/>
        </w:rPr>
      </w:pPr>
      <w:r>
        <w:rPr>
          <w:rFonts w:hint="eastAsia"/>
          <w:sz w:val="24"/>
        </w:rPr>
        <w:t>灵活就业人员通过“灵活就业人员补缴缴费（往年医疗）”功能，选择待申报缴纳的险种以及费款所属期，再选择缴款方式，从而完成去年及以前年份任意费款所属期的灵活就业人员医疗保险的社保费申报缴费业务。</w:t>
      </w:r>
    </w:p>
    <w:p w14:paraId="39B5B072">
      <w:pPr>
        <w:spacing w:line="360" w:lineRule="auto"/>
        <w:ind w:firstLine="448" w:firstLineChars="200"/>
        <w:outlineLvl w:val="0"/>
        <w:rPr>
          <w:sz w:val="24"/>
        </w:rPr>
      </w:pPr>
      <w:r>
        <w:rPr>
          <w:rFonts w:hint="eastAsia"/>
          <w:sz w:val="24"/>
        </w:rPr>
        <w:t>H.灵活就业人员趸缴缴费（到龄补年限）：</w:t>
      </w:r>
    </w:p>
    <w:p w14:paraId="486D7C87">
      <w:pPr>
        <w:spacing w:line="360" w:lineRule="auto"/>
        <w:ind w:firstLine="448" w:firstLineChars="200"/>
        <w:outlineLvl w:val="0"/>
        <w:rPr>
          <w:sz w:val="24"/>
        </w:rPr>
      </w:pPr>
      <w:r>
        <w:rPr>
          <w:rFonts w:hint="eastAsia"/>
          <w:sz w:val="24"/>
        </w:rPr>
        <w:t>灵活就业人员通过“灵活就业人员趸缴缴费（到龄补年限）”功能，填写办理对象、姓名、身份证件类型、身份证号码、国籍，进入下一步选择待申报缴纳的缴费数据以及缴款方式，从而完成到龄补年限灵活就业人员医疗保险以及养老保险的社保费申报缴费业务。</w:t>
      </w:r>
    </w:p>
    <w:p w14:paraId="58F7D543">
      <w:pPr>
        <w:spacing w:line="360" w:lineRule="auto"/>
        <w:ind w:firstLine="448" w:firstLineChars="200"/>
        <w:outlineLvl w:val="0"/>
        <w:rPr>
          <w:sz w:val="24"/>
        </w:rPr>
      </w:pPr>
      <w:r>
        <w:rPr>
          <w:rFonts w:hint="eastAsia"/>
          <w:sz w:val="24"/>
        </w:rPr>
        <w:t>I.第三方支付订单查询：</w:t>
      </w:r>
    </w:p>
    <w:p w14:paraId="5BB36127">
      <w:pPr>
        <w:spacing w:line="360" w:lineRule="auto"/>
        <w:ind w:firstLine="448" w:firstLineChars="200"/>
        <w:outlineLvl w:val="0"/>
        <w:rPr>
          <w:sz w:val="24"/>
        </w:rPr>
      </w:pPr>
      <w:r>
        <w:rPr>
          <w:rFonts w:hint="eastAsia"/>
          <w:sz w:val="24"/>
        </w:rPr>
        <w:t>自然人通过“第三方支付订单查询”功能，选择“按订单生成日期”或者“按费款所属期”，查询本渠道本人及他人第三方支付完成缴费后的订单状态，查询是否扣款，扣款成功还是失败，或者订单是否失效。</w:t>
      </w:r>
    </w:p>
    <w:p w14:paraId="64D6D8D8">
      <w:pPr>
        <w:spacing w:line="360" w:lineRule="auto"/>
        <w:ind w:firstLine="448" w:firstLineChars="200"/>
        <w:outlineLvl w:val="0"/>
        <w:rPr>
          <w:sz w:val="24"/>
        </w:rPr>
      </w:pPr>
      <w:r>
        <w:rPr>
          <w:rFonts w:hint="eastAsia"/>
          <w:sz w:val="24"/>
        </w:rPr>
        <w:t>J.社保费电子缴款单：</w:t>
      </w:r>
    </w:p>
    <w:p w14:paraId="0E71C398">
      <w:pPr>
        <w:spacing w:line="360" w:lineRule="auto"/>
        <w:ind w:firstLine="448" w:firstLineChars="200"/>
        <w:outlineLvl w:val="0"/>
        <w:rPr>
          <w:sz w:val="24"/>
        </w:rPr>
      </w:pPr>
      <w:r>
        <w:rPr>
          <w:rFonts w:hint="eastAsia"/>
          <w:sz w:val="24"/>
        </w:rPr>
        <w:t>自然人通过“社保费电子缴款单”功能，选择“缴费日期起”和“缴费日期止”，查询本渠道本人及他人已缴费成功的电子缴款单，web端可点击查看和下载保存pdf版，app端长按可保存为图片。</w:t>
      </w:r>
    </w:p>
    <w:p w14:paraId="7C50910F">
      <w:pPr>
        <w:spacing w:line="360" w:lineRule="auto"/>
        <w:ind w:firstLine="448" w:firstLineChars="200"/>
        <w:outlineLvl w:val="0"/>
        <w:rPr>
          <w:sz w:val="24"/>
        </w:rPr>
      </w:pPr>
      <w:r>
        <w:rPr>
          <w:rFonts w:hint="eastAsia"/>
          <w:sz w:val="24"/>
        </w:rPr>
        <w:t>K.开具社保缴费证明：</w:t>
      </w:r>
    </w:p>
    <w:p w14:paraId="0A45E703">
      <w:pPr>
        <w:spacing w:line="360" w:lineRule="auto"/>
        <w:ind w:firstLine="448" w:firstLineChars="200"/>
        <w:outlineLvl w:val="0"/>
        <w:rPr>
          <w:sz w:val="24"/>
        </w:rPr>
      </w:pPr>
      <w:r>
        <w:rPr>
          <w:rFonts w:hint="eastAsia"/>
          <w:sz w:val="24"/>
        </w:rPr>
        <w:t>自然人可以通过“开具社保缴费证明”功能，选择“费款所属期起”或者“费款所属期止”，查询本渠道本人缴费记录数据，申请开具社保缴费证明。</w:t>
      </w:r>
    </w:p>
    <w:p w14:paraId="0B57FCE6">
      <w:pPr>
        <w:spacing w:line="360" w:lineRule="auto"/>
        <w:ind w:firstLine="448" w:firstLineChars="200"/>
        <w:outlineLvl w:val="0"/>
        <w:rPr>
          <w:sz w:val="24"/>
        </w:rPr>
      </w:pPr>
      <w:r>
        <w:rPr>
          <w:rFonts w:hint="eastAsia"/>
          <w:sz w:val="24"/>
        </w:rPr>
        <w:t>L.社保费缴费证明下载：</w:t>
      </w:r>
    </w:p>
    <w:p w14:paraId="35A6DA13">
      <w:pPr>
        <w:spacing w:line="360" w:lineRule="auto"/>
        <w:ind w:firstLine="448" w:firstLineChars="200"/>
        <w:outlineLvl w:val="0"/>
        <w:rPr>
          <w:sz w:val="24"/>
        </w:rPr>
      </w:pPr>
      <w:r>
        <w:rPr>
          <w:rFonts w:hint="eastAsia"/>
          <w:sz w:val="24"/>
        </w:rPr>
        <w:t>自然人可以通过“社保费缴费证明下载”功能，查看本渠道本人社会保险费缴费证明，Web端可点击查看和下载保存PDF版，App端长按可保存为图片。</w:t>
      </w:r>
    </w:p>
    <w:p w14:paraId="0A2715F9">
      <w:pPr>
        <w:spacing w:line="360" w:lineRule="auto"/>
        <w:ind w:firstLine="448" w:firstLineChars="200"/>
        <w:outlineLvl w:val="0"/>
        <w:rPr>
          <w:sz w:val="24"/>
        </w:rPr>
      </w:pPr>
      <w:r>
        <w:rPr>
          <w:rFonts w:hint="eastAsia"/>
          <w:sz w:val="24"/>
        </w:rPr>
        <w:t>M.社保费缴费证明查验：</w:t>
      </w:r>
    </w:p>
    <w:p w14:paraId="6E3E9ADB">
      <w:pPr>
        <w:spacing w:line="360" w:lineRule="auto"/>
        <w:ind w:firstLine="448" w:firstLineChars="200"/>
        <w:outlineLvl w:val="0"/>
        <w:rPr>
          <w:sz w:val="24"/>
        </w:rPr>
      </w:pPr>
      <w:r>
        <w:rPr>
          <w:rFonts w:hint="eastAsia"/>
          <w:sz w:val="24"/>
        </w:rPr>
        <w:t>自然人可以通过“社保费缴费证明查验”功能，输入纳税人识别号、证明验证码、随机验证码，校验社保费缴费证明是否合格。</w:t>
      </w:r>
    </w:p>
    <w:p w14:paraId="68CDB9D6">
      <w:pPr>
        <w:spacing w:line="360" w:lineRule="auto"/>
        <w:ind w:firstLine="448" w:firstLineChars="200"/>
        <w:outlineLvl w:val="0"/>
        <w:rPr>
          <w:sz w:val="24"/>
        </w:rPr>
      </w:pPr>
      <w:r>
        <w:rPr>
          <w:rFonts w:hint="eastAsia"/>
          <w:sz w:val="24"/>
        </w:rPr>
        <w:t>N.存款账号账户信息备案：</w:t>
      </w:r>
    </w:p>
    <w:p w14:paraId="2C4A5427">
      <w:pPr>
        <w:spacing w:line="360" w:lineRule="auto"/>
        <w:ind w:firstLine="448" w:firstLineChars="200"/>
        <w:outlineLvl w:val="0"/>
        <w:rPr>
          <w:sz w:val="24"/>
        </w:rPr>
      </w:pPr>
      <w:r>
        <w:rPr>
          <w:rFonts w:hint="eastAsia"/>
          <w:sz w:val="24"/>
        </w:rPr>
        <w:t>自然人通过“存款账号账户信息备案”功能，新增退费账户信息，并且可以查询新增后的退费账户信息。</w:t>
      </w:r>
    </w:p>
    <w:p w14:paraId="6C33331C">
      <w:pPr>
        <w:spacing w:line="360" w:lineRule="auto"/>
        <w:ind w:firstLine="448" w:firstLineChars="200"/>
        <w:outlineLvl w:val="0"/>
        <w:rPr>
          <w:sz w:val="24"/>
        </w:rPr>
      </w:pPr>
      <w:r>
        <w:rPr>
          <w:rFonts w:hint="eastAsia"/>
          <w:sz w:val="24"/>
        </w:rPr>
        <w:t>O.退费情况查询：</w:t>
      </w:r>
    </w:p>
    <w:p w14:paraId="3B713B85">
      <w:pPr>
        <w:spacing w:line="360" w:lineRule="auto"/>
        <w:ind w:firstLine="448" w:firstLineChars="200"/>
        <w:outlineLvl w:val="0"/>
        <w:rPr>
          <w:sz w:val="24"/>
        </w:rPr>
      </w:pPr>
      <w:r>
        <w:rPr>
          <w:rFonts w:hint="eastAsia"/>
          <w:sz w:val="24"/>
        </w:rPr>
        <w:t>自然人通过“退费情况查询”功能，选择“申请日期起”和“申请日期止”，查询本渠道本人已申请退费的记录数据。</w:t>
      </w:r>
    </w:p>
    <w:p w14:paraId="1D563E84">
      <w:pPr>
        <w:spacing w:line="360" w:lineRule="auto"/>
        <w:ind w:firstLine="448" w:firstLineChars="200"/>
        <w:outlineLvl w:val="0"/>
        <w:rPr>
          <w:sz w:val="24"/>
        </w:rPr>
      </w:pPr>
      <w:r>
        <w:rPr>
          <w:rFonts w:hint="eastAsia"/>
          <w:sz w:val="24"/>
        </w:rPr>
        <w:t>（3）电子发票服务平台</w:t>
      </w:r>
    </w:p>
    <w:p w14:paraId="1F3A4FB2">
      <w:pPr>
        <w:spacing w:line="360" w:lineRule="auto"/>
        <w:ind w:firstLine="448" w:firstLineChars="200"/>
        <w:outlineLvl w:val="0"/>
        <w:rPr>
          <w:sz w:val="24"/>
        </w:rPr>
      </w:pPr>
      <w:r>
        <w:rPr>
          <w:rFonts w:hint="eastAsia"/>
          <w:sz w:val="24"/>
        </w:rPr>
        <w:t>电子发票服务平台业务运维覆盖纳税人端（WEB-PC端和APP移动端）、税务人端，涉及特有税费业务运维包括：</w:t>
      </w:r>
    </w:p>
    <w:p w14:paraId="5838B188">
      <w:pPr>
        <w:spacing w:line="360" w:lineRule="auto"/>
        <w:ind w:firstLine="448" w:firstLineChars="200"/>
        <w:outlineLvl w:val="0"/>
        <w:rPr>
          <w:sz w:val="24"/>
        </w:rPr>
      </w:pPr>
      <w:r>
        <w:rPr>
          <w:sz w:val="24"/>
        </w:rPr>
        <w:fldChar w:fldCharType="begin"/>
      </w:r>
      <w:r>
        <w:rPr>
          <w:sz w:val="24"/>
        </w:rPr>
        <w:instrText xml:space="preserve"> </w:instrText>
      </w:r>
      <w:r>
        <w:rPr>
          <w:rFonts w:hint="eastAsia"/>
          <w:sz w:val="24"/>
        </w:rPr>
        <w:instrText xml:space="preserve">eq \o\ac(○,1)</w:instrText>
      </w:r>
      <w:r>
        <w:rPr>
          <w:sz w:val="24"/>
        </w:rPr>
        <w:fldChar w:fldCharType="end"/>
      </w:r>
      <w:r>
        <w:rPr>
          <w:rFonts w:hint="eastAsia"/>
          <w:sz w:val="24"/>
        </w:rPr>
        <w:t>蓝票开具：协助采购人，根据业务需求，排查纳税人蓝票开票情况，保障纳税人能够正常开具发票。</w:t>
      </w:r>
    </w:p>
    <w:p w14:paraId="19DF3582">
      <w:pPr>
        <w:spacing w:line="360" w:lineRule="auto"/>
        <w:ind w:firstLine="448" w:firstLineChars="200"/>
        <w:outlineLvl w:val="0"/>
        <w:rPr>
          <w:sz w:val="24"/>
        </w:rPr>
      </w:pPr>
      <w:r>
        <w:rPr>
          <w:sz w:val="24"/>
        </w:rPr>
        <w:fldChar w:fldCharType="begin"/>
      </w:r>
      <w:r>
        <w:rPr>
          <w:sz w:val="24"/>
        </w:rPr>
        <w:instrText xml:space="preserve"> </w:instrText>
      </w:r>
      <w:r>
        <w:rPr>
          <w:rFonts w:hint="eastAsia"/>
          <w:sz w:val="24"/>
        </w:rPr>
        <w:instrText xml:space="preserve">eq \o\ac(○,2)</w:instrText>
      </w:r>
      <w:r>
        <w:rPr>
          <w:sz w:val="24"/>
        </w:rPr>
        <w:fldChar w:fldCharType="end"/>
      </w:r>
      <w:r>
        <w:rPr>
          <w:rFonts w:hint="eastAsia"/>
          <w:sz w:val="24"/>
        </w:rPr>
        <w:t>红票开具：协助采购人，根据业务需求，排查纳税人红票开票情况，保障纳税人能够正常作废发票。</w:t>
      </w:r>
    </w:p>
    <w:p w14:paraId="30CA6538">
      <w:pPr>
        <w:spacing w:line="360" w:lineRule="auto"/>
        <w:ind w:firstLine="448" w:firstLineChars="200"/>
        <w:outlineLvl w:val="0"/>
        <w:rPr>
          <w:sz w:val="24"/>
        </w:rPr>
      </w:pPr>
      <w:r>
        <w:rPr>
          <w:sz w:val="24"/>
        </w:rPr>
        <w:fldChar w:fldCharType="begin"/>
      </w:r>
      <w:r>
        <w:rPr>
          <w:sz w:val="24"/>
        </w:rPr>
        <w:instrText xml:space="preserve"> </w:instrText>
      </w:r>
      <w:r>
        <w:rPr>
          <w:rFonts w:hint="eastAsia"/>
          <w:sz w:val="24"/>
        </w:rPr>
        <w:instrText xml:space="preserve">eq \o\ac(○,3)</w:instrText>
      </w:r>
      <w:r>
        <w:rPr>
          <w:sz w:val="24"/>
        </w:rPr>
        <w:fldChar w:fldCharType="end"/>
      </w:r>
      <w:r>
        <w:rPr>
          <w:rFonts w:hint="eastAsia"/>
          <w:sz w:val="24"/>
        </w:rPr>
        <w:t>发票用途确认：协助采购人，根据业务需求，排查纳税人发票勾选情况，保障纳税人能够正常进行下一步涉税业务。</w:t>
      </w:r>
    </w:p>
    <w:p w14:paraId="057C9A63">
      <w:pPr>
        <w:spacing w:line="360" w:lineRule="auto"/>
        <w:ind w:firstLine="448" w:firstLineChars="200"/>
        <w:outlineLvl w:val="0"/>
        <w:rPr>
          <w:sz w:val="24"/>
        </w:rPr>
      </w:pPr>
      <w:r>
        <w:rPr>
          <w:sz w:val="24"/>
        </w:rPr>
        <w:fldChar w:fldCharType="begin"/>
      </w:r>
      <w:r>
        <w:rPr>
          <w:sz w:val="24"/>
        </w:rPr>
        <w:instrText xml:space="preserve"> </w:instrText>
      </w:r>
      <w:r>
        <w:rPr>
          <w:rFonts w:hint="eastAsia"/>
          <w:sz w:val="24"/>
        </w:rPr>
        <w:instrText xml:space="preserve">eq \o\ac(○,4)</w:instrText>
      </w:r>
      <w:r>
        <w:rPr>
          <w:sz w:val="24"/>
        </w:rPr>
        <w:fldChar w:fldCharType="end"/>
      </w:r>
      <w:r>
        <w:rPr>
          <w:rFonts w:hint="eastAsia"/>
          <w:sz w:val="24"/>
        </w:rPr>
        <w:t>授信额度调整：协助采购人，根据业务需求，排查纳税人相关数据情况，保障纳税人能够正常进行授信额度调整。</w:t>
      </w:r>
    </w:p>
    <w:p w14:paraId="72A56DBE">
      <w:pPr>
        <w:spacing w:line="360" w:lineRule="auto"/>
        <w:ind w:firstLine="448" w:firstLineChars="200"/>
        <w:outlineLvl w:val="0"/>
        <w:rPr>
          <w:sz w:val="24"/>
        </w:rPr>
      </w:pPr>
      <w:r>
        <w:rPr>
          <w:sz w:val="24"/>
        </w:rPr>
        <w:fldChar w:fldCharType="begin"/>
      </w:r>
      <w:r>
        <w:rPr>
          <w:sz w:val="24"/>
        </w:rPr>
        <w:instrText xml:space="preserve"> </w:instrText>
      </w:r>
      <w:r>
        <w:rPr>
          <w:rFonts w:hint="eastAsia"/>
          <w:sz w:val="24"/>
        </w:rPr>
        <w:instrText xml:space="preserve">eq \o\ac(○,5)</w:instrText>
      </w:r>
      <w:r>
        <w:rPr>
          <w:sz w:val="24"/>
        </w:rPr>
        <w:fldChar w:fldCharType="end"/>
      </w:r>
      <w:r>
        <w:rPr>
          <w:rFonts w:hint="eastAsia"/>
          <w:sz w:val="24"/>
        </w:rPr>
        <w:t>乐企权限开通：辅助采购人评估纳税人乐企接入形式，按照采购人要求开通纳税人乐企访问权限，保障纳税人正常使用乐企相关功能。</w:t>
      </w:r>
    </w:p>
    <w:p w14:paraId="1DE9ECAD">
      <w:pPr>
        <w:spacing w:line="360" w:lineRule="auto"/>
        <w:ind w:firstLine="448" w:firstLineChars="200"/>
        <w:outlineLvl w:val="0"/>
        <w:rPr>
          <w:sz w:val="24"/>
        </w:rPr>
      </w:pPr>
      <w:r>
        <w:rPr>
          <w:sz w:val="24"/>
        </w:rPr>
        <w:fldChar w:fldCharType="begin"/>
      </w:r>
      <w:r>
        <w:rPr>
          <w:sz w:val="24"/>
        </w:rPr>
        <w:instrText xml:space="preserve"> </w:instrText>
      </w:r>
      <w:r>
        <w:rPr>
          <w:rFonts w:hint="eastAsia"/>
          <w:sz w:val="24"/>
        </w:rPr>
        <w:instrText xml:space="preserve">eq \o\ac(○,6)</w:instrText>
      </w:r>
      <w:r>
        <w:rPr>
          <w:sz w:val="24"/>
        </w:rPr>
        <w:fldChar w:fldCharType="end"/>
      </w:r>
      <w:r>
        <w:rPr>
          <w:rFonts w:hint="eastAsia"/>
          <w:sz w:val="24"/>
        </w:rPr>
        <w:t>乐企数据迁移：协助采购人，依申请迁移纳税人乐企相关数据包括发票、申报信息等。</w:t>
      </w:r>
    </w:p>
    <w:p w14:paraId="660872DB">
      <w:pPr>
        <w:spacing w:line="360" w:lineRule="auto"/>
        <w:ind w:firstLine="448" w:firstLineChars="200"/>
        <w:outlineLvl w:val="0"/>
        <w:rPr>
          <w:sz w:val="24"/>
        </w:rPr>
      </w:pPr>
      <w:r>
        <w:rPr>
          <w:rFonts w:hint="eastAsia"/>
          <w:sz w:val="24"/>
        </w:rPr>
        <w:t>（4）征纳互动服务</w:t>
      </w:r>
    </w:p>
    <w:p w14:paraId="6AA469E0">
      <w:pPr>
        <w:spacing w:line="360" w:lineRule="auto"/>
        <w:ind w:firstLine="448" w:firstLineChars="200"/>
        <w:outlineLvl w:val="0"/>
        <w:rPr>
          <w:sz w:val="24"/>
        </w:rPr>
      </w:pPr>
      <w:r>
        <w:rPr>
          <w:rFonts w:hint="eastAsia"/>
          <w:sz w:val="24"/>
        </w:rPr>
        <w:t>征纳互动服务业务运维覆盖纳税人端（WEB-PC端和APP移动端）、税务人端，涉及特色业务运维包括：</w:t>
      </w:r>
    </w:p>
    <w:p w14:paraId="553B53E1">
      <w:pPr>
        <w:spacing w:line="360" w:lineRule="auto"/>
        <w:ind w:firstLine="448" w:firstLineChars="200"/>
        <w:outlineLvl w:val="0"/>
        <w:rPr>
          <w:sz w:val="24"/>
        </w:rPr>
      </w:pPr>
      <w:r>
        <w:rPr>
          <w:sz w:val="24"/>
        </w:rPr>
        <w:fldChar w:fldCharType="begin"/>
      </w:r>
      <w:r>
        <w:rPr>
          <w:sz w:val="24"/>
        </w:rPr>
        <w:instrText xml:space="preserve"> </w:instrText>
      </w:r>
      <w:r>
        <w:rPr>
          <w:rFonts w:hint="eastAsia"/>
          <w:sz w:val="24"/>
        </w:rPr>
        <w:instrText xml:space="preserve">eq \o\ac(○,</w:instrText>
      </w:r>
      <w:r>
        <w:rPr>
          <w:rFonts w:hint="eastAsia"/>
          <w:position w:val="3"/>
          <w:sz w:val="16"/>
        </w:rPr>
        <w:instrText xml:space="preserve">1</w:instrText>
      </w:r>
      <w:r>
        <w:rPr>
          <w:rFonts w:hint="eastAsia"/>
          <w:sz w:val="24"/>
        </w:rPr>
        <w:instrText xml:space="preserve">)</w:instrText>
      </w:r>
      <w:r>
        <w:rPr>
          <w:sz w:val="24"/>
        </w:rPr>
        <w:fldChar w:fldCharType="end"/>
      </w:r>
      <w:r>
        <w:rPr>
          <w:rFonts w:hint="eastAsia"/>
          <w:sz w:val="24"/>
        </w:rPr>
        <w:t>精准推送：协助采购人，根据定制需求，对纳税人的身份属性、需求偏好、办税轨迹等指标开展行为特征分析，做好分析模型维护、定时任务配置与运行监控等工作。</w:t>
      </w:r>
    </w:p>
    <w:p w14:paraId="7EBE0278">
      <w:pPr>
        <w:spacing w:line="360" w:lineRule="auto"/>
        <w:ind w:firstLine="448" w:firstLineChars="200"/>
        <w:outlineLvl w:val="0"/>
        <w:rPr>
          <w:sz w:val="24"/>
        </w:rPr>
      </w:pPr>
      <w:r>
        <w:rPr>
          <w:sz w:val="24"/>
        </w:rPr>
        <w:fldChar w:fldCharType="begin"/>
      </w:r>
      <w:r>
        <w:rPr>
          <w:sz w:val="24"/>
        </w:rPr>
        <w:instrText xml:space="preserve"> </w:instrText>
      </w:r>
      <w:r>
        <w:rPr>
          <w:rFonts w:hint="eastAsia"/>
          <w:sz w:val="24"/>
        </w:rPr>
        <w:instrText xml:space="preserve">eq \o\ac(○,</w:instrText>
      </w:r>
      <w:r>
        <w:rPr>
          <w:rFonts w:hint="eastAsia"/>
          <w:position w:val="3"/>
          <w:sz w:val="16"/>
        </w:rPr>
        <w:instrText xml:space="preserve">2</w:instrText>
      </w:r>
      <w:r>
        <w:rPr>
          <w:rFonts w:hint="eastAsia"/>
          <w:sz w:val="24"/>
        </w:rPr>
        <w:instrText xml:space="preserve">)</w:instrText>
      </w:r>
      <w:r>
        <w:rPr>
          <w:sz w:val="24"/>
        </w:rPr>
        <w:fldChar w:fldCharType="end"/>
      </w:r>
      <w:r>
        <w:rPr>
          <w:rFonts w:hint="eastAsia"/>
          <w:sz w:val="24"/>
        </w:rPr>
        <w:t>智能互动：协助采购人，开展智能机器人AI税务模型训练和维护，实现智能应答、智能会话、智能外呼、智能分派、智能归集等功能要求，满足纳税人与税务人员通过PC端、移动端等多种互动通道以电话、文本、语音、视频等形式发起的互动交流。</w:t>
      </w:r>
    </w:p>
    <w:p w14:paraId="5F476E8E">
      <w:pPr>
        <w:spacing w:line="360" w:lineRule="auto"/>
        <w:ind w:firstLine="448" w:firstLineChars="200"/>
        <w:outlineLvl w:val="0"/>
        <w:rPr>
          <w:sz w:val="24"/>
        </w:rPr>
      </w:pPr>
      <w:r>
        <w:rPr>
          <w:sz w:val="24"/>
        </w:rPr>
        <w:fldChar w:fldCharType="begin"/>
      </w:r>
      <w:r>
        <w:rPr>
          <w:sz w:val="24"/>
        </w:rPr>
        <w:instrText xml:space="preserve"> </w:instrText>
      </w:r>
      <w:r>
        <w:rPr>
          <w:rFonts w:hint="eastAsia"/>
          <w:sz w:val="24"/>
        </w:rPr>
        <w:instrText xml:space="preserve">eq \o\ac(○,</w:instrText>
      </w:r>
      <w:r>
        <w:rPr>
          <w:rFonts w:hint="eastAsia"/>
          <w:position w:val="3"/>
          <w:sz w:val="16"/>
        </w:rPr>
        <w:instrText xml:space="preserve">3</w:instrText>
      </w:r>
      <w:r>
        <w:rPr>
          <w:rFonts w:hint="eastAsia"/>
          <w:sz w:val="24"/>
        </w:rPr>
        <w:instrText xml:space="preserve">)</w:instrText>
      </w:r>
      <w:r>
        <w:rPr>
          <w:sz w:val="24"/>
        </w:rPr>
        <w:fldChar w:fldCharType="end"/>
      </w:r>
      <w:r>
        <w:rPr>
          <w:rFonts w:hint="eastAsia"/>
          <w:sz w:val="24"/>
        </w:rPr>
        <w:t>智能知识库：协助采购人，以涉税业务事项和场景为主线，将自然语言处理，知识库管理体系和数据库有机结合，维护和更新知识问答对，为智能互动提供知识来源，形成供智能机器人使用的智能问答知识库。</w:t>
      </w:r>
    </w:p>
    <w:p w14:paraId="739B95C7">
      <w:pPr>
        <w:spacing w:line="360" w:lineRule="auto"/>
        <w:ind w:firstLine="448" w:firstLineChars="200"/>
        <w:outlineLvl w:val="0"/>
        <w:rPr>
          <w:sz w:val="24"/>
        </w:rPr>
      </w:pPr>
      <w:r>
        <w:rPr>
          <w:rFonts w:hint="eastAsia"/>
          <w:sz w:val="24"/>
        </w:rPr>
        <w:t>（5）税务地理信息应用</w:t>
      </w:r>
    </w:p>
    <w:p w14:paraId="62DAD6D1">
      <w:pPr>
        <w:spacing w:line="360" w:lineRule="auto"/>
        <w:ind w:firstLine="448" w:firstLineChars="200"/>
        <w:outlineLvl w:val="0"/>
        <w:rPr>
          <w:sz w:val="24"/>
        </w:rPr>
      </w:pPr>
      <w:r>
        <w:rPr>
          <w:rFonts w:hint="eastAsia"/>
          <w:sz w:val="24"/>
        </w:rPr>
        <w:t>税务地理信息应用业务运维覆盖纳税人端（WEB-PC端和APP移动端）、税务人端，涉及特色业务运维包括：</w:t>
      </w:r>
    </w:p>
    <w:p w14:paraId="454EDE05">
      <w:pPr>
        <w:spacing w:line="360" w:lineRule="auto"/>
        <w:ind w:firstLine="448" w:firstLineChars="200"/>
        <w:outlineLvl w:val="0"/>
        <w:rPr>
          <w:sz w:val="24"/>
        </w:rPr>
      </w:pPr>
      <w:r>
        <w:rPr>
          <w:rFonts w:hint="eastAsia"/>
          <w:sz w:val="24"/>
        </w:rPr>
        <w:t>①地理信息维护</w:t>
      </w:r>
    </w:p>
    <w:p w14:paraId="634721EF">
      <w:pPr>
        <w:spacing w:line="360" w:lineRule="auto"/>
        <w:ind w:firstLine="448" w:firstLineChars="200"/>
        <w:outlineLvl w:val="0"/>
        <w:rPr>
          <w:sz w:val="24"/>
        </w:rPr>
      </w:pPr>
      <w:r>
        <w:rPr>
          <w:rFonts w:hint="eastAsia"/>
          <w:sz w:val="24"/>
        </w:rPr>
        <w:t>A.依据采购人从其他部门协商获取到的街道乡镇地理信息数据进行数据备份、数据加工、数据效验、数据更新等工作，以便信电子税务局等系统调取使用。</w:t>
      </w:r>
    </w:p>
    <w:p w14:paraId="73012E97">
      <w:pPr>
        <w:spacing w:line="360" w:lineRule="auto"/>
        <w:ind w:firstLine="448" w:firstLineChars="200"/>
        <w:outlineLvl w:val="0"/>
        <w:rPr>
          <w:sz w:val="24"/>
        </w:rPr>
      </w:pPr>
      <w:r>
        <w:rPr>
          <w:rFonts w:hint="eastAsia"/>
          <w:sz w:val="24"/>
        </w:rPr>
        <w:t>B.系统运行期间，依托实际情况对税务区划图层以及土地等级图层的更新及修改工作。</w:t>
      </w:r>
    </w:p>
    <w:p w14:paraId="5298B058">
      <w:pPr>
        <w:spacing w:line="360" w:lineRule="auto"/>
        <w:ind w:firstLine="448" w:firstLineChars="200"/>
        <w:outlineLvl w:val="0"/>
        <w:rPr>
          <w:sz w:val="24"/>
        </w:rPr>
      </w:pPr>
      <w:r>
        <w:rPr>
          <w:rFonts w:hint="eastAsia"/>
          <w:sz w:val="24"/>
        </w:rPr>
        <w:t>C.负责对数据备份的结果进行测试验证，保证备份数据的完整性以及有效性。</w:t>
      </w:r>
    </w:p>
    <w:p w14:paraId="0A24E328">
      <w:pPr>
        <w:spacing w:line="360" w:lineRule="auto"/>
        <w:ind w:firstLine="448" w:firstLineChars="200"/>
        <w:outlineLvl w:val="0"/>
        <w:rPr>
          <w:sz w:val="24"/>
        </w:rPr>
      </w:pPr>
      <w:r>
        <w:rPr>
          <w:rFonts w:hint="eastAsia"/>
          <w:sz w:val="24"/>
        </w:rPr>
        <w:t>②地理信息集成</w:t>
      </w:r>
    </w:p>
    <w:p w14:paraId="5FFB9993">
      <w:pPr>
        <w:spacing w:line="360" w:lineRule="auto"/>
        <w:ind w:firstLine="448" w:firstLineChars="200"/>
        <w:outlineLvl w:val="0"/>
        <w:rPr>
          <w:sz w:val="24"/>
        </w:rPr>
      </w:pPr>
      <w:r>
        <w:rPr>
          <w:rFonts w:hint="eastAsia"/>
          <w:sz w:val="24"/>
        </w:rPr>
        <w:t>A.将天津市共享使用的地方政府电子地图、地名地址以及其他数据（土地调查、不动产等级、楼盘表）等精度更高，更满足本地实际需要的数据，通过部署在政务外网的前置共享接入及税务专网，由部署在总局的分布式共享调度中心统筹管理，运维人员做好数据接入集成联调工作。</w:t>
      </w:r>
    </w:p>
    <w:p w14:paraId="6A366483">
      <w:pPr>
        <w:spacing w:line="360" w:lineRule="auto"/>
        <w:ind w:firstLine="448" w:firstLineChars="200"/>
        <w:outlineLvl w:val="0"/>
        <w:rPr>
          <w:sz w:val="24"/>
        </w:rPr>
      </w:pPr>
      <w:r>
        <w:rPr>
          <w:rFonts w:hint="eastAsia"/>
          <w:sz w:val="24"/>
        </w:rPr>
        <w:t>B.互联网区的能力服务向第三方业务系统提供地理信息类公共能力，配合第三方系统进行集成联调。例如给新电子税局提供税务区划、土地等级、行政及遥感影像等电子地图集成服务，支撑“地址智能采集”“土地增值税项目范围圈绘采集”“城镇土地使用税土地测量计算器”“城镇土地使用税税源采集及算税”“环境保护税排污口采集”等可视化专题能力。</w:t>
      </w:r>
    </w:p>
    <w:p w14:paraId="0D905901">
      <w:pPr>
        <w:spacing w:line="360" w:lineRule="auto"/>
        <w:ind w:firstLine="448" w:firstLineChars="200"/>
        <w:outlineLvl w:val="0"/>
        <w:rPr>
          <w:sz w:val="24"/>
        </w:rPr>
      </w:pPr>
      <w:r>
        <w:rPr>
          <w:rFonts w:hint="eastAsia"/>
          <w:sz w:val="24"/>
        </w:rPr>
        <w:t>8.高峰运维</w:t>
      </w:r>
    </w:p>
    <w:p w14:paraId="0F537561">
      <w:pPr>
        <w:spacing w:line="360" w:lineRule="auto"/>
        <w:ind w:firstLine="448" w:firstLineChars="200"/>
        <w:outlineLvl w:val="0"/>
        <w:rPr>
          <w:sz w:val="24"/>
        </w:rPr>
      </w:pPr>
      <w:r>
        <w:rPr>
          <w:rFonts w:hint="eastAsia"/>
          <w:sz w:val="24"/>
        </w:rPr>
        <w:t>当系统处于业务繁忙高峰期，如征期高峰（征期最后2天）、月末升级和月结初始化（每月最后2天）等，需根据采购人要求，额外动态增加人力资源，确保按时完成业务和技术运维需求。</w:t>
      </w:r>
    </w:p>
    <w:p w14:paraId="309BC1C3">
      <w:pPr>
        <w:spacing w:line="360" w:lineRule="auto"/>
        <w:ind w:firstLine="448" w:firstLineChars="200"/>
        <w:outlineLvl w:val="0"/>
        <w:rPr>
          <w:sz w:val="24"/>
        </w:rPr>
      </w:pPr>
      <w:r>
        <w:rPr>
          <w:rFonts w:hint="eastAsia"/>
          <w:sz w:val="24"/>
        </w:rPr>
        <w:t>（二）技术运维部分</w:t>
      </w:r>
    </w:p>
    <w:p w14:paraId="6859270E">
      <w:pPr>
        <w:spacing w:line="360" w:lineRule="auto"/>
        <w:ind w:firstLine="448" w:firstLineChars="200"/>
        <w:outlineLvl w:val="0"/>
        <w:rPr>
          <w:sz w:val="24"/>
        </w:rPr>
      </w:pPr>
      <w:r>
        <w:rPr>
          <w:rFonts w:hint="eastAsia"/>
          <w:sz w:val="24"/>
        </w:rPr>
        <w:t>1.环境保障</w:t>
      </w:r>
    </w:p>
    <w:p w14:paraId="6A577DAF">
      <w:pPr>
        <w:spacing w:line="360" w:lineRule="auto"/>
        <w:ind w:firstLine="448" w:firstLineChars="200"/>
        <w:outlineLvl w:val="0"/>
        <w:rPr>
          <w:sz w:val="24"/>
        </w:rPr>
      </w:pPr>
      <w:r>
        <w:rPr>
          <w:rFonts w:hint="eastAsia"/>
          <w:sz w:val="24"/>
        </w:rPr>
        <w:t>环境保障要求运维人员对本项目系统运行环境和平台定期进行监控检查，做到风险预警、风险规避。运维人员通过检查本项目系统使用的中间件、数据库、存储、数据同步软件等软硬件环境，做到提早判别各种风险，对风险疑虑应及时进行处理。</w:t>
      </w:r>
    </w:p>
    <w:p w14:paraId="5BE606D3">
      <w:pPr>
        <w:spacing w:line="360" w:lineRule="auto"/>
        <w:ind w:firstLine="448" w:firstLineChars="200"/>
        <w:outlineLvl w:val="0"/>
        <w:rPr>
          <w:sz w:val="24"/>
        </w:rPr>
      </w:pPr>
      <w:r>
        <w:rPr>
          <w:rFonts w:hint="eastAsia"/>
          <w:sz w:val="24"/>
        </w:rPr>
        <w:t>⑴日常检查</w:t>
      </w:r>
    </w:p>
    <w:p w14:paraId="3503060B">
      <w:pPr>
        <w:spacing w:line="360" w:lineRule="auto"/>
        <w:ind w:firstLine="448" w:firstLineChars="200"/>
        <w:outlineLvl w:val="0"/>
        <w:rPr>
          <w:sz w:val="24"/>
        </w:rPr>
      </w:pPr>
      <w:r>
        <w:rPr>
          <w:rFonts w:hint="eastAsia"/>
          <w:sz w:val="24"/>
        </w:rPr>
        <w:t>运维人员每个工作日早晨和下午上班前30分钟对整个应用系统生产环境的运行情况进行检查，如果出现异常应及时通知采购人管理人员，并组织异常处理和系统恢复。若本项目系统属于总局重点拨测监控系统，则按照约定时间加大巡检频次。监控检查包括：应用系统和数据库的运行情况。</w:t>
      </w:r>
    </w:p>
    <w:p w14:paraId="6DCBA62A">
      <w:pPr>
        <w:spacing w:line="360" w:lineRule="auto"/>
        <w:ind w:firstLine="448" w:firstLineChars="200"/>
        <w:outlineLvl w:val="0"/>
        <w:rPr>
          <w:sz w:val="24"/>
        </w:rPr>
      </w:pPr>
      <w:r>
        <w:rPr>
          <w:rFonts w:hint="eastAsia"/>
          <w:sz w:val="24"/>
        </w:rPr>
        <w:t>①应用系统：检查本项目系统应用集群各节点状态，如出现问题及时分析定位问题，第一时间处理问题。定时检查应用系统日志、清理冗余日志，并对异常日志进行分析查找问题根源，找出解决方案。</w:t>
      </w:r>
    </w:p>
    <w:p w14:paraId="25FBDA38">
      <w:pPr>
        <w:spacing w:line="360" w:lineRule="auto"/>
        <w:ind w:firstLine="448" w:firstLineChars="200"/>
        <w:outlineLvl w:val="0"/>
        <w:rPr>
          <w:sz w:val="24"/>
        </w:rPr>
      </w:pPr>
      <w:r>
        <w:rPr>
          <w:rFonts w:hint="eastAsia"/>
          <w:sz w:val="24"/>
        </w:rPr>
        <w:t>②数据库：检查本项目系统数据库是否运行正常，数据是否完整，读写速率是否正常，是否存在异常锁等情况。检查表空间、归档日志、索引和分区等配置空间是否足够支撑应用系统，是否存在慢SQL或异常占用语句。如出现问题，应及时与采购人进行沟通解决。</w:t>
      </w:r>
    </w:p>
    <w:p w14:paraId="0274F7EC">
      <w:pPr>
        <w:spacing w:line="360" w:lineRule="auto"/>
        <w:ind w:firstLine="448" w:firstLineChars="200"/>
        <w:outlineLvl w:val="0"/>
        <w:rPr>
          <w:sz w:val="24"/>
        </w:rPr>
      </w:pPr>
      <w:r>
        <w:rPr>
          <w:rFonts w:hint="eastAsia"/>
          <w:sz w:val="24"/>
        </w:rPr>
        <w:t>⑵专项检查</w:t>
      </w:r>
    </w:p>
    <w:p w14:paraId="4F7414D9">
      <w:pPr>
        <w:spacing w:line="360" w:lineRule="auto"/>
        <w:ind w:firstLine="448" w:firstLineChars="200"/>
        <w:outlineLvl w:val="0"/>
        <w:rPr>
          <w:sz w:val="24"/>
        </w:rPr>
      </w:pPr>
      <w:r>
        <w:rPr>
          <w:rFonts w:hint="eastAsia"/>
          <w:sz w:val="24"/>
        </w:rPr>
        <w:t>根据采购人要求对特定事项（如安全评测、安全检查等）进行专项检查前，或者在采购人认为可能对其业务运营产生重大影响的时刻来临之前（如大征期、重要时间节点等），提供重要事项深度巡检服务，提供专项检查报告，协助采购人提前发现问题，并提出避免风险发生所需采取的措施。</w:t>
      </w:r>
    </w:p>
    <w:p w14:paraId="2844D1A2">
      <w:pPr>
        <w:spacing w:line="360" w:lineRule="auto"/>
        <w:ind w:firstLine="448" w:firstLineChars="200"/>
        <w:outlineLvl w:val="0"/>
        <w:rPr>
          <w:sz w:val="24"/>
        </w:rPr>
      </w:pPr>
      <w:r>
        <w:rPr>
          <w:rFonts w:hint="eastAsia"/>
          <w:sz w:val="24"/>
        </w:rPr>
        <w:t>⑶故障处理</w:t>
      </w:r>
    </w:p>
    <w:p w14:paraId="12E6D324">
      <w:pPr>
        <w:spacing w:line="360" w:lineRule="auto"/>
        <w:ind w:firstLine="448" w:firstLineChars="200"/>
        <w:outlineLvl w:val="0"/>
        <w:rPr>
          <w:sz w:val="24"/>
        </w:rPr>
      </w:pPr>
      <w:r>
        <w:rPr>
          <w:rFonts w:hint="eastAsia"/>
          <w:sz w:val="24"/>
        </w:rPr>
        <w:t>①运维人员应及时处理本项目系统故障，或配合周边系统排查本项目系统接口故障问题。对于出现的系统故障，应在半小时内作出实质性反应，及时上报采购人系统负责人，组织运维人员定位和解决故障问题。如现场运维人员无法解决，应及时联系供应商二线工程师远程或到达故障现场进行处理解决。</w:t>
      </w:r>
    </w:p>
    <w:p w14:paraId="59A91BBD">
      <w:pPr>
        <w:spacing w:line="360" w:lineRule="auto"/>
        <w:ind w:firstLine="448" w:firstLineChars="200"/>
        <w:outlineLvl w:val="0"/>
        <w:rPr>
          <w:sz w:val="24"/>
        </w:rPr>
      </w:pPr>
      <w:r>
        <w:rPr>
          <w:rFonts w:hint="eastAsia"/>
          <w:sz w:val="24"/>
        </w:rPr>
        <w:t>②若由于不可抗力造成本项目系统出现严重故障，引起全市范围内业务系统中断，供应商应配合采购人召集资深专家和技术人员进行会诊，根据预先制定应急措施开展有效处理，力求将事件引发的损失减少到最小。</w:t>
      </w:r>
    </w:p>
    <w:p w14:paraId="4B998F54">
      <w:pPr>
        <w:spacing w:line="360" w:lineRule="auto"/>
        <w:ind w:firstLine="448" w:firstLineChars="200"/>
        <w:outlineLvl w:val="0"/>
        <w:rPr>
          <w:sz w:val="24"/>
        </w:rPr>
      </w:pPr>
      <w:r>
        <w:rPr>
          <w:rFonts w:hint="eastAsia"/>
          <w:sz w:val="24"/>
        </w:rPr>
        <w:t>③供应商应在重大问题解决后24小时内，提交问题处理报告，说明问题种类、问题原因、问题解决中使用的方法及造成的损失等情况。</w:t>
      </w:r>
    </w:p>
    <w:p w14:paraId="1A7AA1F9">
      <w:pPr>
        <w:spacing w:line="360" w:lineRule="auto"/>
        <w:ind w:firstLine="448" w:firstLineChars="200"/>
        <w:outlineLvl w:val="0"/>
        <w:rPr>
          <w:sz w:val="24"/>
        </w:rPr>
      </w:pPr>
      <w:r>
        <w:rPr>
          <w:rFonts w:hint="eastAsia"/>
          <w:sz w:val="24"/>
        </w:rPr>
        <w:t>⑷数据备份</w:t>
      </w:r>
    </w:p>
    <w:p w14:paraId="1D55522D">
      <w:pPr>
        <w:spacing w:line="360" w:lineRule="auto"/>
        <w:ind w:firstLine="448" w:firstLineChars="200"/>
        <w:outlineLvl w:val="0"/>
        <w:rPr>
          <w:sz w:val="24"/>
        </w:rPr>
      </w:pPr>
      <w:r>
        <w:rPr>
          <w:rFonts w:hint="eastAsia"/>
          <w:sz w:val="24"/>
        </w:rPr>
        <w:t>为保障数据安全，规避数据丢失风险，运维人员应配合采购人，按照系统备份统一规划，对本项目系统数据进行定期备份和恢复验证。税收业务类系统，应每天进行增量备份，每周进行全量备份，定期开展备份恢复演练。查询分析和行政办公类系统，应定期开展全量备份和备份恢复演练。</w:t>
      </w:r>
    </w:p>
    <w:p w14:paraId="5D061654">
      <w:pPr>
        <w:spacing w:line="360" w:lineRule="auto"/>
        <w:ind w:firstLine="448" w:firstLineChars="200"/>
        <w:outlineLvl w:val="0"/>
        <w:rPr>
          <w:sz w:val="24"/>
        </w:rPr>
      </w:pPr>
      <w:r>
        <w:rPr>
          <w:rFonts w:hint="eastAsia"/>
          <w:sz w:val="24"/>
        </w:rPr>
        <w:t>⑸系统调优</w:t>
      </w:r>
    </w:p>
    <w:p w14:paraId="6DB26AED">
      <w:pPr>
        <w:spacing w:line="360" w:lineRule="auto"/>
        <w:ind w:firstLine="448" w:firstLineChars="200"/>
        <w:outlineLvl w:val="0"/>
        <w:rPr>
          <w:sz w:val="24"/>
        </w:rPr>
      </w:pPr>
      <w:r>
        <w:rPr>
          <w:rFonts w:hint="eastAsia"/>
          <w:sz w:val="24"/>
        </w:rPr>
        <w:t>结合本项目系统运行要求，运维人员应对运行环境提出优化建议和应对方案。优化方案经采购人审核后，运维人员组织开展本项目系统优化，并指导相关系统厂商实施相应优化工作。包括：部署架构调优、中间件调优、存储调优、数据库调优、报表工具调优、备份系统调优等应用系统涉及的相关优化工作。</w:t>
      </w:r>
    </w:p>
    <w:p w14:paraId="0DC8CDF0">
      <w:pPr>
        <w:spacing w:line="360" w:lineRule="auto"/>
        <w:ind w:firstLine="448" w:firstLineChars="200"/>
        <w:outlineLvl w:val="0"/>
        <w:rPr>
          <w:sz w:val="24"/>
        </w:rPr>
      </w:pPr>
      <w:r>
        <w:rPr>
          <w:rFonts w:hint="eastAsia"/>
          <w:sz w:val="24"/>
        </w:rPr>
        <w:t>结合本项目系统运行要求，运维人员应对本项目系统相关数据库进行日常维护和优化调整，包括数据库系统级问题的分析解决，协助实施存储空间扩容，数据对象空间整理回收、执行计划优化、索引重构、分区调整、表数据分析等。</w:t>
      </w:r>
    </w:p>
    <w:p w14:paraId="169218E4">
      <w:pPr>
        <w:spacing w:line="360" w:lineRule="auto"/>
        <w:ind w:firstLine="448" w:firstLineChars="200"/>
        <w:outlineLvl w:val="0"/>
        <w:rPr>
          <w:sz w:val="24"/>
        </w:rPr>
      </w:pPr>
      <w:r>
        <w:rPr>
          <w:rFonts w:hint="eastAsia"/>
          <w:sz w:val="24"/>
        </w:rPr>
        <w:t>2.接口运维</w:t>
      </w:r>
    </w:p>
    <w:p w14:paraId="4BDCD771">
      <w:pPr>
        <w:spacing w:line="360" w:lineRule="auto"/>
        <w:ind w:firstLine="448" w:firstLineChars="200"/>
        <w:outlineLvl w:val="0"/>
        <w:rPr>
          <w:sz w:val="24"/>
        </w:rPr>
      </w:pPr>
      <w:r>
        <w:rPr>
          <w:rFonts w:hint="eastAsia"/>
          <w:sz w:val="24"/>
        </w:rPr>
        <w:t>接口运维服务是指为通过集成平台接入本项目系统的第三方系统提供接口调试的运维服务，包括总局统发系统、本地特色软件系统、外部门外单位系统等。</w:t>
      </w:r>
    </w:p>
    <w:p w14:paraId="11DA8686">
      <w:pPr>
        <w:spacing w:line="360" w:lineRule="auto"/>
        <w:ind w:firstLine="448" w:firstLineChars="200"/>
        <w:outlineLvl w:val="0"/>
        <w:rPr>
          <w:sz w:val="24"/>
        </w:rPr>
      </w:pPr>
      <w:r>
        <w:rPr>
          <w:rFonts w:hint="eastAsia"/>
          <w:sz w:val="24"/>
        </w:rPr>
        <w:t>当第三方系统与本项目系统业务交互存在问题时，运维人员应配合第三方软件公司进行问题分析和定位，向第三方软件公司提供问题解决方案，并对属于本项目系统接口的问题完善程序。</w:t>
      </w:r>
    </w:p>
    <w:p w14:paraId="474C9DDC">
      <w:pPr>
        <w:spacing w:line="360" w:lineRule="auto"/>
        <w:ind w:firstLine="448" w:firstLineChars="200"/>
        <w:outlineLvl w:val="0"/>
        <w:rPr>
          <w:sz w:val="24"/>
        </w:rPr>
      </w:pPr>
      <w:r>
        <w:rPr>
          <w:rFonts w:hint="eastAsia"/>
          <w:sz w:val="24"/>
        </w:rPr>
        <w:t>接口运维主要包括以下两方面的测试内容</w:t>
      </w:r>
    </w:p>
    <w:p w14:paraId="1757FB26">
      <w:pPr>
        <w:spacing w:line="360" w:lineRule="auto"/>
        <w:ind w:firstLine="448" w:firstLineChars="200"/>
        <w:outlineLvl w:val="0"/>
        <w:rPr>
          <w:sz w:val="24"/>
        </w:rPr>
      </w:pPr>
      <w:r>
        <w:rPr>
          <w:rFonts w:hint="eastAsia"/>
          <w:sz w:val="24"/>
        </w:rPr>
        <w:t>⑴业务流程测试：测试业务流程的连续性，确保两个系统的业务正常衔接，符合税收业务流程。对测试过程中遇到的各种问题进行分析，如果是第三方系统业务错误，提出修改方案供采购人和第三方软件公司参考修改。</w:t>
      </w:r>
    </w:p>
    <w:p w14:paraId="21FCE817">
      <w:pPr>
        <w:spacing w:line="360" w:lineRule="auto"/>
        <w:ind w:firstLine="448" w:firstLineChars="200"/>
        <w:outlineLvl w:val="0"/>
        <w:rPr>
          <w:sz w:val="24"/>
        </w:rPr>
      </w:pPr>
      <w:r>
        <w:rPr>
          <w:rFonts w:hint="eastAsia"/>
          <w:sz w:val="24"/>
        </w:rPr>
        <w:t>⑵业务数据测试：通过两个系统前台业务功能模块的业务场景测试，检查两个系统数据库中的业务数据是否正确，检查第三方系统写入本项目系统的数据是否符合数据填写规则。如果发现存在写入数据错误，应指导采购人和第三方软件公司修改数据写入规则。</w:t>
      </w:r>
    </w:p>
    <w:p w14:paraId="54D32727">
      <w:pPr>
        <w:spacing w:line="360" w:lineRule="auto"/>
        <w:ind w:firstLine="448" w:firstLineChars="200"/>
        <w:outlineLvl w:val="0"/>
        <w:rPr>
          <w:sz w:val="24"/>
        </w:rPr>
      </w:pPr>
      <w:r>
        <w:rPr>
          <w:rFonts w:hint="eastAsia"/>
          <w:sz w:val="24"/>
        </w:rPr>
        <w:t>3.告警处置</w:t>
      </w:r>
    </w:p>
    <w:p w14:paraId="03DAFCAA">
      <w:pPr>
        <w:spacing w:line="360" w:lineRule="auto"/>
        <w:ind w:firstLine="448" w:firstLineChars="200"/>
        <w:outlineLvl w:val="0"/>
        <w:rPr>
          <w:sz w:val="24"/>
        </w:rPr>
      </w:pPr>
      <w:r>
        <w:rPr>
          <w:rFonts w:hint="eastAsia"/>
          <w:sz w:val="24"/>
        </w:rPr>
        <w:t>运维人员需随时关注采购人运维监控系统推送的本项目系统告警信息，对告警信息进行核实，真实告警要及时处置系统故障，误报告警要调整监控指标或阈值，告警工单要详细录入告警分析结论和具体处置方法，当月产生的告警信息和告警工单要当月清零。根据总局和采购人要求，参与对重大告警问题的联合排查和处置，对于重大告警至少每20分钟通报一次处置进度。现场运维人员无法解决的告警和故障，需及时联系二线开发部门获取解决方案。</w:t>
      </w:r>
    </w:p>
    <w:p w14:paraId="715301BA">
      <w:pPr>
        <w:spacing w:line="360" w:lineRule="auto"/>
        <w:ind w:firstLine="448" w:firstLineChars="200"/>
        <w:outlineLvl w:val="0"/>
        <w:rPr>
          <w:sz w:val="24"/>
        </w:rPr>
      </w:pPr>
      <w:r>
        <w:rPr>
          <w:rFonts w:hint="eastAsia"/>
          <w:sz w:val="24"/>
        </w:rPr>
        <w:t>4.重保值守</w:t>
      </w:r>
    </w:p>
    <w:p w14:paraId="2E4FEC15">
      <w:pPr>
        <w:spacing w:line="360" w:lineRule="auto"/>
        <w:ind w:firstLine="448" w:firstLineChars="200"/>
        <w:outlineLvl w:val="0"/>
        <w:rPr>
          <w:sz w:val="24"/>
        </w:rPr>
      </w:pPr>
      <w:r>
        <w:rPr>
          <w:rFonts w:hint="eastAsia"/>
          <w:sz w:val="24"/>
        </w:rPr>
        <w:t>按照采购人实际需要，在每季度大征期、国家重要节日活动期间，在采购人统一指挥下开展7×24小时重保值守工作，开展本项目系统相关安全保障检查、安全保障监控和安全保障响应，及时开展系统问题处置和安全加固。供应商应在重要保障期间要同步做好供应链安全防护。</w:t>
      </w:r>
    </w:p>
    <w:p w14:paraId="665CD704">
      <w:pPr>
        <w:spacing w:line="360" w:lineRule="auto"/>
        <w:ind w:firstLine="448" w:firstLineChars="200"/>
        <w:outlineLvl w:val="0"/>
        <w:rPr>
          <w:sz w:val="24"/>
        </w:rPr>
      </w:pPr>
      <w:r>
        <w:rPr>
          <w:rFonts w:hint="eastAsia"/>
          <w:sz w:val="24"/>
        </w:rPr>
        <w:t>重保值守期间，运维人员应重点对数据库、中间件、应用系统登录日志、错误日志、操作日志等进行审计分析，定期对数据库账号、操作系统账号、中间件账号、操作系统目录、应用程序目录、数据库结构进行完整性校验，发现问题及时上报。</w:t>
      </w:r>
    </w:p>
    <w:p w14:paraId="61E34738">
      <w:pPr>
        <w:spacing w:line="360" w:lineRule="auto"/>
        <w:ind w:firstLine="448" w:firstLineChars="200"/>
        <w:outlineLvl w:val="0"/>
        <w:rPr>
          <w:sz w:val="24"/>
        </w:rPr>
      </w:pPr>
      <w:r>
        <w:rPr>
          <w:rFonts w:hint="eastAsia"/>
          <w:sz w:val="24"/>
        </w:rPr>
        <w:t>运维人员应根据采购人通报及时排查对本项目系统的可疑攻击，进行病毒或木马清理，如发生网络安全事件需充分保存日志记录，配合有关部门做好证据勘查，完整保留证据等工作，同时要举一反三，根据问题线索对相关应用系统进行全面排查和加固。</w:t>
      </w:r>
    </w:p>
    <w:p w14:paraId="31E12195">
      <w:pPr>
        <w:spacing w:line="360" w:lineRule="auto"/>
        <w:ind w:firstLine="448" w:firstLineChars="200"/>
        <w:outlineLvl w:val="0"/>
        <w:rPr>
          <w:sz w:val="24"/>
        </w:rPr>
      </w:pPr>
      <w:r>
        <w:rPr>
          <w:rFonts w:hint="eastAsia"/>
          <w:sz w:val="24"/>
        </w:rPr>
        <w:t>5.系统升级</w:t>
      </w:r>
    </w:p>
    <w:p w14:paraId="0DA6B1D3">
      <w:pPr>
        <w:spacing w:line="360" w:lineRule="auto"/>
        <w:ind w:firstLine="448" w:firstLineChars="200"/>
        <w:outlineLvl w:val="0"/>
        <w:rPr>
          <w:sz w:val="24"/>
        </w:rPr>
      </w:pPr>
      <w:r>
        <w:rPr>
          <w:rFonts w:hint="eastAsia"/>
          <w:sz w:val="24"/>
        </w:rPr>
        <w:t>⑴升级计划</w:t>
      </w:r>
    </w:p>
    <w:p w14:paraId="65F64B41">
      <w:pPr>
        <w:spacing w:line="360" w:lineRule="auto"/>
        <w:ind w:firstLine="448" w:firstLineChars="200"/>
        <w:outlineLvl w:val="0"/>
        <w:rPr>
          <w:sz w:val="24"/>
        </w:rPr>
      </w:pPr>
      <w:r>
        <w:rPr>
          <w:rFonts w:hint="eastAsia"/>
          <w:sz w:val="24"/>
        </w:rPr>
        <w:t>运维人员应随时了解总局或二线开发部门发布的本项目系统最新版本情况，及时掌握需求变更或BUG修改产生的升级需求，与采购人系统负责人一起进行评估，分析升级方案，制定升级计划。</w:t>
      </w:r>
    </w:p>
    <w:p w14:paraId="0AC1B808">
      <w:pPr>
        <w:spacing w:line="360" w:lineRule="auto"/>
        <w:ind w:firstLine="448" w:firstLineChars="200"/>
        <w:outlineLvl w:val="0"/>
        <w:rPr>
          <w:sz w:val="24"/>
        </w:rPr>
      </w:pPr>
      <w:r>
        <w:rPr>
          <w:rFonts w:hint="eastAsia"/>
          <w:sz w:val="24"/>
        </w:rPr>
        <w:t>⑵升级测试</w:t>
      </w:r>
    </w:p>
    <w:p w14:paraId="29F06977">
      <w:pPr>
        <w:spacing w:line="360" w:lineRule="auto"/>
        <w:ind w:firstLine="448" w:firstLineChars="200"/>
        <w:outlineLvl w:val="0"/>
        <w:rPr>
          <w:sz w:val="24"/>
        </w:rPr>
      </w:pPr>
      <w:r>
        <w:rPr>
          <w:rFonts w:hint="eastAsia"/>
          <w:sz w:val="24"/>
        </w:rPr>
        <w:t>当总局或二线开发部门发布本项目系统新版本或紧急补丁时，运维人员需要先在预生产环境上进行升级验证，模拟实际业务场景操作测试。同时，运维人员需辅助采购人业务测试人员和相关系统厂商，完成预生产环境的验证测试和联调测试工作。对测试问题进行分析定位，如果确定是本项目系统程序BUG，运维人员应联系本项目系统开发部门进行修改，直到问题得到解决。</w:t>
      </w:r>
    </w:p>
    <w:p w14:paraId="4F2C68F8">
      <w:pPr>
        <w:spacing w:line="360" w:lineRule="auto"/>
        <w:ind w:firstLine="448" w:firstLineChars="200"/>
        <w:outlineLvl w:val="0"/>
        <w:rPr>
          <w:sz w:val="24"/>
        </w:rPr>
      </w:pPr>
      <w:r>
        <w:rPr>
          <w:rFonts w:hint="eastAsia"/>
          <w:sz w:val="24"/>
        </w:rPr>
        <w:t>每次升级需根据升级清单将新增功能和修改问题逐一测试，并按照制定的冒烟测试流程进行冒烟测试。对于测试中出现的问题及时进行沟通和处理。测试通过后，才能在生产环境中升级发布。</w:t>
      </w:r>
    </w:p>
    <w:p w14:paraId="705B0555">
      <w:pPr>
        <w:spacing w:line="360" w:lineRule="auto"/>
        <w:ind w:firstLine="448" w:firstLineChars="200"/>
        <w:outlineLvl w:val="0"/>
        <w:rPr>
          <w:sz w:val="24"/>
        </w:rPr>
      </w:pPr>
      <w:r>
        <w:rPr>
          <w:rFonts w:hint="eastAsia"/>
          <w:sz w:val="24"/>
        </w:rPr>
        <w:t>⑶升级发布</w:t>
      </w:r>
    </w:p>
    <w:p w14:paraId="5EEE3AEF">
      <w:pPr>
        <w:spacing w:line="360" w:lineRule="auto"/>
        <w:ind w:firstLine="448" w:firstLineChars="200"/>
        <w:outlineLvl w:val="0"/>
        <w:rPr>
          <w:sz w:val="24"/>
        </w:rPr>
      </w:pPr>
      <w:r>
        <w:rPr>
          <w:rFonts w:hint="eastAsia"/>
          <w:sz w:val="24"/>
        </w:rPr>
        <w:t>运维人员根据采购人确定的升级时间窗口，按期完成本项目系统生产环境升级部署和验证测试工作，升级前要做好停机备案和告警压制等准备工作。在升级过程中，严格依据软件开发控制流程进行规范化管理，以保证升级版本的质量。升级部署后，运维人员需再次核对程序版本，按照制定的冒烟测试流程进行冒烟测试，协调周边系统开展联调验证。</w:t>
      </w:r>
    </w:p>
    <w:p w14:paraId="121881FE">
      <w:pPr>
        <w:spacing w:line="360" w:lineRule="auto"/>
        <w:ind w:firstLine="448" w:firstLineChars="200"/>
        <w:outlineLvl w:val="0"/>
        <w:rPr>
          <w:sz w:val="24"/>
        </w:rPr>
      </w:pPr>
      <w:r>
        <w:rPr>
          <w:rFonts w:hint="eastAsia"/>
          <w:sz w:val="24"/>
        </w:rPr>
        <w:t>6.安全加固</w:t>
      </w:r>
    </w:p>
    <w:p w14:paraId="4BEF1EAE">
      <w:pPr>
        <w:spacing w:line="360" w:lineRule="auto"/>
        <w:ind w:firstLine="448" w:firstLineChars="200"/>
        <w:outlineLvl w:val="0"/>
        <w:rPr>
          <w:sz w:val="24"/>
        </w:rPr>
      </w:pPr>
      <w:r>
        <w:rPr>
          <w:rFonts w:hint="eastAsia"/>
          <w:sz w:val="24"/>
        </w:rPr>
        <w:t>配合采购人开展本项目系统安全加固，包括漏洞修复、基线安全配置、高危端口修改、弱口令清理等。配合采购人开展信息系统等级保护测评、密码安全性评估、渗透测试、数据安全风险评估、源代码审计等安全检查和安全审计工作，包括人员访谈，提供资产信息，根据报告进行问题整改和复测等。</w:t>
      </w:r>
    </w:p>
    <w:p w14:paraId="3572C11B">
      <w:pPr>
        <w:spacing w:line="360" w:lineRule="auto"/>
        <w:ind w:firstLine="448" w:firstLineChars="200"/>
        <w:outlineLvl w:val="0"/>
        <w:rPr>
          <w:sz w:val="24"/>
        </w:rPr>
      </w:pPr>
      <w:r>
        <w:rPr>
          <w:rFonts w:hint="eastAsia"/>
          <w:sz w:val="24"/>
        </w:rPr>
        <w:t>7.系统迁移</w:t>
      </w:r>
    </w:p>
    <w:p w14:paraId="40E646DF">
      <w:pPr>
        <w:spacing w:line="360" w:lineRule="auto"/>
        <w:ind w:firstLine="448" w:firstLineChars="200"/>
        <w:outlineLvl w:val="0"/>
        <w:rPr>
          <w:sz w:val="24"/>
        </w:rPr>
      </w:pPr>
      <w:r>
        <w:rPr>
          <w:rFonts w:hint="eastAsia"/>
          <w:sz w:val="24"/>
        </w:rPr>
        <w:t>采购人进行硬件资源整合和规划过程中，将面临有效硬件资源的合理利用，从而避免资源浪费，这将涉及硬件服务器上的本项目系统相关应用迁移。</w:t>
      </w:r>
    </w:p>
    <w:p w14:paraId="7A008B2B">
      <w:pPr>
        <w:spacing w:line="360" w:lineRule="auto"/>
        <w:ind w:firstLine="448" w:firstLineChars="200"/>
        <w:outlineLvl w:val="0"/>
        <w:rPr>
          <w:sz w:val="24"/>
        </w:rPr>
      </w:pPr>
      <w:r>
        <w:rPr>
          <w:rFonts w:hint="eastAsia"/>
          <w:sz w:val="24"/>
        </w:rPr>
        <w:t>⑴供应商指派专业技术工程师，根据采购人提出的本项目系统重大配置变更申请（如应用系统网络、存储、主机、中间件、数据库、操作系统的重大配置调整）进行评估和方案制定，并综合判断重大配置变更执行的风险、回退方案、可行性、所需资源等。在不改变现有系统架构情况下，当主机系统、网络系统、存储系统、专用设备等发生迁移变更时，指派环境搭建部署人员密切配合硬件厂商等第三方公司做好本项目系统的迁移变更工作，以及对本项目系统环境的重新搭建部署工作。</w:t>
      </w:r>
    </w:p>
    <w:p w14:paraId="507C5029">
      <w:pPr>
        <w:spacing w:line="360" w:lineRule="auto"/>
        <w:ind w:firstLine="448" w:firstLineChars="200"/>
        <w:outlineLvl w:val="0"/>
        <w:rPr>
          <w:sz w:val="24"/>
        </w:rPr>
      </w:pPr>
      <w:r>
        <w:rPr>
          <w:rFonts w:hint="eastAsia"/>
          <w:sz w:val="24"/>
        </w:rPr>
        <w:t>⑵本项目系统相关应用、网络、存储、主机、中间件、数据库、操作系统等，由于第三方厂商并购或战略调整导致的产品停产或产品替代，尤其是服务器和数据库等重要环境，采购人面临迁移或升级的压力，供应商可凭借对异构平台的深入理解，配合采购人制定跨系统平台迁移方案，及时有效规避第三方产品的更迭风险。</w:t>
      </w:r>
    </w:p>
    <w:p w14:paraId="01D62ED1">
      <w:pPr>
        <w:spacing w:line="360" w:lineRule="auto"/>
        <w:ind w:firstLine="448" w:firstLineChars="200"/>
        <w:outlineLvl w:val="0"/>
        <w:rPr>
          <w:sz w:val="24"/>
        </w:rPr>
      </w:pPr>
      <w:r>
        <w:rPr>
          <w:rFonts w:hint="eastAsia"/>
          <w:sz w:val="24"/>
        </w:rPr>
        <w:t>8.运维报告</w:t>
      </w:r>
    </w:p>
    <w:p w14:paraId="759C66CA">
      <w:pPr>
        <w:spacing w:line="360" w:lineRule="auto"/>
        <w:ind w:firstLine="448" w:firstLineChars="200"/>
        <w:outlineLvl w:val="0"/>
        <w:rPr>
          <w:sz w:val="24"/>
        </w:rPr>
      </w:pPr>
      <w:r>
        <w:rPr>
          <w:rFonts w:hint="eastAsia"/>
          <w:sz w:val="24"/>
        </w:rPr>
        <w:t>运维人员应在每个工作日例行巡检后，通过供应商即时通讯群、运维平台等途径，发布系统主要健康指标。定期运维沟通会上，由运维项目经理汇报本项目系统运行维护情况。次月征期之前，向采购人提交当月系统运行维护报告和征期前深度巡检报告，报告应包含本项目系统涉及的所有软硬件当月健康情况、当月主要运维问题、主要运行风险和解决建议、当月版本升级、紧急补丁和程序发布情况等内容。</w:t>
      </w:r>
    </w:p>
    <w:p w14:paraId="30671104">
      <w:pPr>
        <w:spacing w:line="360" w:lineRule="auto"/>
        <w:ind w:firstLine="448" w:firstLineChars="200"/>
        <w:outlineLvl w:val="0"/>
        <w:rPr>
          <w:sz w:val="24"/>
        </w:rPr>
      </w:pPr>
      <w:r>
        <w:rPr>
          <w:rFonts w:hint="eastAsia"/>
          <w:sz w:val="24"/>
        </w:rPr>
        <w:t>9.培训服务</w:t>
      </w:r>
    </w:p>
    <w:p w14:paraId="2BD60282">
      <w:pPr>
        <w:spacing w:line="360" w:lineRule="auto"/>
        <w:ind w:firstLine="448" w:firstLineChars="200"/>
        <w:outlineLvl w:val="0"/>
        <w:rPr>
          <w:sz w:val="24"/>
        </w:rPr>
      </w:pPr>
      <w:r>
        <w:rPr>
          <w:rFonts w:hint="eastAsia"/>
          <w:sz w:val="24"/>
        </w:rPr>
        <w:t>向采购人人员培训本项目系统相关开发技术、开发框架、数据库结构以及日常维护知识。提供本项目系统培训、使用、开发、维护文档。每次系统升级更新后，应对采购人相关人员提供变更内容培训。如果是新业务功能升级，还需配套下发操作手册，或配合编写本地化操作手册。必要时按照采购人要求，在指定人员范围内开展培训工作。</w:t>
      </w:r>
    </w:p>
    <w:p w14:paraId="7FF04F74">
      <w:pPr>
        <w:spacing w:line="360" w:lineRule="auto"/>
        <w:ind w:firstLine="448" w:firstLineChars="200"/>
        <w:outlineLvl w:val="0"/>
        <w:rPr>
          <w:sz w:val="24"/>
        </w:rPr>
      </w:pPr>
      <w:r>
        <w:rPr>
          <w:rFonts w:hint="eastAsia"/>
          <w:sz w:val="24"/>
        </w:rPr>
        <w:t>10.应急响应及演练</w:t>
      </w:r>
    </w:p>
    <w:p w14:paraId="4EF4FFE4">
      <w:pPr>
        <w:spacing w:line="360" w:lineRule="auto"/>
        <w:ind w:firstLine="448" w:firstLineChars="200"/>
        <w:outlineLvl w:val="0"/>
        <w:rPr>
          <w:sz w:val="24"/>
        </w:rPr>
      </w:pPr>
      <w:r>
        <w:rPr>
          <w:rFonts w:hint="eastAsia"/>
          <w:sz w:val="24"/>
        </w:rPr>
        <w:t>供应商应制定适用于本项目系统，以及关联中间件、数据库等第三方软硬件产品的应急预案，其目的是在发生突发事件时，通过预先制定应急措施进行有效处理，快速恢复，力求将事件引发的损失减少到最小。</w:t>
      </w:r>
    </w:p>
    <w:p w14:paraId="35279A74">
      <w:pPr>
        <w:spacing w:line="360" w:lineRule="auto"/>
        <w:ind w:firstLine="448" w:firstLineChars="200"/>
        <w:outlineLvl w:val="0"/>
        <w:rPr>
          <w:sz w:val="24"/>
        </w:rPr>
      </w:pPr>
      <w:r>
        <w:rPr>
          <w:rFonts w:hint="eastAsia"/>
          <w:sz w:val="24"/>
        </w:rPr>
        <w:t>按采购人要求，供应商定期组织运维人员进行应急预案演练。通过演练，可以确保本项目系统的可用性和稳定性，保证业务的持续性，同时也提高运维人员的实施应急预案的能力。当本项目系统实际发生重大故障，或遭受重大网络攻击等安全事件时，按照应急响应预案，开展风险应对和系统恢复。</w:t>
      </w:r>
    </w:p>
    <w:p w14:paraId="133D0297">
      <w:pPr>
        <w:spacing w:line="360" w:lineRule="auto"/>
        <w:ind w:firstLine="448" w:firstLineChars="200"/>
        <w:outlineLvl w:val="0"/>
        <w:rPr>
          <w:sz w:val="24"/>
        </w:rPr>
      </w:pPr>
      <w:r>
        <w:rPr>
          <w:rFonts w:hint="eastAsia"/>
          <w:sz w:val="24"/>
        </w:rPr>
        <w:t>11.高级技术支持</w:t>
      </w:r>
    </w:p>
    <w:p w14:paraId="03D26B00">
      <w:pPr>
        <w:spacing w:line="360" w:lineRule="auto"/>
        <w:ind w:firstLine="448" w:firstLineChars="200"/>
        <w:outlineLvl w:val="0"/>
        <w:rPr>
          <w:sz w:val="24"/>
        </w:rPr>
      </w:pPr>
      <w:r>
        <w:rPr>
          <w:rFonts w:hint="eastAsia"/>
          <w:sz w:val="24"/>
        </w:rPr>
        <w:t>⑴对于现场运维人员不能解决的本项目系统疑难问题，由供应商二线专家服务团队提供解决办法，该专家服务团队应具备综合故障分析、系统优化、应急处置等专业能力。</w:t>
      </w:r>
    </w:p>
    <w:p w14:paraId="41888C49">
      <w:pPr>
        <w:spacing w:line="360" w:lineRule="auto"/>
        <w:ind w:firstLine="448" w:firstLineChars="200"/>
        <w:outlineLvl w:val="0"/>
        <w:rPr>
          <w:sz w:val="24"/>
        </w:rPr>
      </w:pPr>
      <w:r>
        <w:rPr>
          <w:rFonts w:hint="eastAsia"/>
          <w:sz w:val="24"/>
        </w:rPr>
        <w:t>⑵对于本项目系统遇到的重大事件和疑问，采购人将召集资深专家进行会诊。供应商应备有一支专业技术专家队伍，经过专家会诊，应能很快确定问题所在，找到相应的解决办法，并采取相应的措施，确保系统的及时恢复正常运行。</w:t>
      </w:r>
    </w:p>
    <w:p w14:paraId="6C6081CE">
      <w:pPr>
        <w:spacing w:line="360" w:lineRule="auto"/>
        <w:ind w:firstLine="448" w:firstLineChars="200"/>
        <w:outlineLvl w:val="0"/>
        <w:rPr>
          <w:sz w:val="24"/>
        </w:rPr>
      </w:pPr>
      <w:r>
        <w:rPr>
          <w:rFonts w:hint="eastAsia"/>
          <w:sz w:val="24"/>
        </w:rPr>
        <w:t>⑶供应商的二线专家服务团队和专业技术专家团队，应定期为本项目系统现场运维人员组织技能培训，指导其部署及维护运维监控工具，针对本项目系统在采购人的运行环境提供高级巡检服务，并给出优化建议或咨询报告。</w:t>
      </w:r>
    </w:p>
    <w:p w14:paraId="4AEE41B0">
      <w:pPr>
        <w:spacing w:line="360" w:lineRule="auto"/>
        <w:ind w:firstLine="448" w:firstLineChars="200"/>
        <w:outlineLvl w:val="0"/>
        <w:rPr>
          <w:sz w:val="24"/>
        </w:rPr>
      </w:pPr>
      <w:r>
        <w:rPr>
          <w:rFonts w:hint="eastAsia"/>
          <w:sz w:val="24"/>
        </w:rPr>
        <w:t>12.特有技术运维服务</w:t>
      </w:r>
    </w:p>
    <w:p w14:paraId="4FB2F734">
      <w:pPr>
        <w:spacing w:line="360" w:lineRule="auto"/>
        <w:ind w:firstLine="448" w:firstLineChars="200"/>
        <w:outlineLvl w:val="0"/>
        <w:rPr>
          <w:sz w:val="24"/>
        </w:rPr>
      </w:pPr>
      <w:r>
        <w:rPr>
          <w:sz w:val="24"/>
        </w:rPr>
        <w:t>12.1</w:t>
      </w:r>
      <w:r>
        <w:rPr>
          <w:rFonts w:hint="eastAsia"/>
          <w:sz w:val="24"/>
        </w:rPr>
        <w:t>全国统一规范电子税务局、电子发票服务平台、征纳互动服务等系统遵循“云化、服务化”总体思路，采用分层解耦设计，云化服务化架构，因此需针对上述系统开展特有技术运维服务。</w:t>
      </w:r>
    </w:p>
    <w:p w14:paraId="1DBC06A9">
      <w:pPr>
        <w:spacing w:line="360" w:lineRule="auto"/>
        <w:ind w:firstLine="448" w:firstLineChars="200"/>
        <w:outlineLvl w:val="0"/>
        <w:rPr>
          <w:sz w:val="24"/>
        </w:rPr>
      </w:pPr>
      <w:r>
        <w:rPr>
          <w:rFonts w:hint="eastAsia"/>
          <w:sz w:val="24"/>
        </w:rPr>
        <w:t>⑴云服务集成平台</w:t>
      </w:r>
    </w:p>
    <w:p w14:paraId="348DB164">
      <w:pPr>
        <w:spacing w:line="360" w:lineRule="auto"/>
        <w:ind w:firstLine="448" w:firstLineChars="200"/>
        <w:outlineLvl w:val="0"/>
        <w:rPr>
          <w:sz w:val="24"/>
        </w:rPr>
      </w:pPr>
      <w:r>
        <w:rPr>
          <w:rFonts w:hint="eastAsia"/>
          <w:sz w:val="24"/>
        </w:rPr>
        <w:t>云服务集成平台依托里约网关，帮助打通、整合内外新旧业务系统，屏蔽异构系统的差异化，对应用系统提供统一的标准规范，实现应用系统之间的服务调用和管控。需协助采购人，开展本项目系统相关云服务集成平台的注册、部署、升级、管控等维护工作，开展相关功能或接口服务的冒烟验证和联调测试工作，接口请求数及调用成功率业务错误日志针对性处理。</w:t>
      </w:r>
    </w:p>
    <w:p w14:paraId="0687EAB0">
      <w:pPr>
        <w:spacing w:line="360" w:lineRule="auto"/>
        <w:ind w:firstLine="448" w:firstLineChars="200"/>
        <w:outlineLvl w:val="0"/>
        <w:rPr>
          <w:sz w:val="24"/>
        </w:rPr>
      </w:pPr>
      <w:r>
        <w:rPr>
          <w:rFonts w:hint="eastAsia"/>
          <w:sz w:val="24"/>
        </w:rPr>
        <w:t>⑵云应用和云数据库管理</w:t>
      </w:r>
    </w:p>
    <w:p w14:paraId="460ED2B7">
      <w:pPr>
        <w:spacing w:line="360" w:lineRule="auto"/>
        <w:ind w:firstLine="448" w:firstLineChars="200"/>
        <w:outlineLvl w:val="0"/>
        <w:rPr>
          <w:sz w:val="24"/>
        </w:rPr>
      </w:pPr>
      <w:r>
        <w:rPr>
          <w:rFonts w:hint="eastAsia"/>
          <w:sz w:val="24"/>
        </w:rPr>
        <w:t>①云服务：根据统一的标准规范，负责部署在腾讯云上的本项目系统相关应用和数据库的维护，包括本项目系统相关云上基础环境和基础软件（含云套件、基础平台、数据库、中间件、数据同步工具、数据治理工具、数据安全工具、基础监控工具、业务监控工具）、公共组件、应用微服务（微服务及服务接口）等。例如负责云租户端容器集群(TKE)的master和node节点运行情况监控节点扩容，弹性伸缩监控、云服务器（CVM）cpu内存磁盘监控、负载均衡(CLB)的健康状态、云平台各私有网络(VPC)之间的连通性、日志服务(CLS)关键字监控、云数据库(TDSQL、Tbase、MariaDB等)客户端连接数磁盘使用率、消息中间件(CKafka)数据积压等云产品的日常运行监控等。</w:t>
      </w:r>
    </w:p>
    <w:p w14:paraId="428231C1">
      <w:pPr>
        <w:spacing w:line="360" w:lineRule="auto"/>
        <w:ind w:firstLine="448" w:firstLineChars="200"/>
        <w:outlineLvl w:val="0"/>
        <w:rPr>
          <w:sz w:val="24"/>
        </w:rPr>
      </w:pPr>
      <w:r>
        <w:rPr>
          <w:rFonts w:hint="eastAsia"/>
          <w:sz w:val="24"/>
        </w:rPr>
        <w:t>②云服务性能优化与调整：根据本项目系统业务需求和负载情况，针对不同的服务制定Kubernetes云容器，实现对Pod实例准确控制。利用腾讯云的性能监控工具，针对本项目系统实时分析性能瓶颈，并采取相应的优化措施。遇到本项目系统相关云上系统异常或故障时，迅速定位问题原因，并采取有效措施进行恢复。配合开展本项目系统相关云平台、云平台产品、里约网关、蓝鲸平台、云上安全产品、云上网络产品升级工作。</w:t>
      </w:r>
    </w:p>
    <w:p w14:paraId="7BD66C4E">
      <w:pPr>
        <w:spacing w:line="360" w:lineRule="auto"/>
        <w:ind w:firstLine="448" w:firstLineChars="200"/>
        <w:outlineLvl w:val="0"/>
        <w:rPr>
          <w:sz w:val="24"/>
        </w:rPr>
      </w:pPr>
      <w:r>
        <w:rPr>
          <w:rFonts w:hint="eastAsia"/>
          <w:sz w:val="24"/>
        </w:rPr>
        <w:t>③自动化运维实施：引入本项目系统相关自动化运维工具，如Ansible实现批量部署、配置更新和故障恢复。通过自动化脚本，减少人为操作失误，提高运维效率。</w:t>
      </w:r>
    </w:p>
    <w:p w14:paraId="65A58EC5">
      <w:pPr>
        <w:spacing w:line="360" w:lineRule="auto"/>
        <w:ind w:firstLine="448" w:firstLineChars="200"/>
        <w:outlineLvl w:val="0"/>
        <w:rPr>
          <w:sz w:val="24"/>
        </w:rPr>
      </w:pPr>
      <w:r>
        <w:rPr>
          <w:rFonts w:hint="eastAsia"/>
          <w:sz w:val="24"/>
        </w:rPr>
        <w:t>12.2电子税务局特色功能特有技术运维服务</w:t>
      </w:r>
    </w:p>
    <w:p w14:paraId="3CD826AA">
      <w:pPr>
        <w:spacing w:line="360" w:lineRule="auto"/>
        <w:ind w:firstLine="448" w:firstLineChars="200"/>
        <w:outlineLvl w:val="0"/>
        <w:rPr>
          <w:sz w:val="24"/>
        </w:rPr>
      </w:pPr>
      <w:r>
        <w:rPr>
          <w:rFonts w:hint="eastAsia"/>
          <w:sz w:val="24"/>
        </w:rPr>
        <w:t>⑴用户权限维护：协助采购人，向各部门和厂商的提供用户创建和权限维护；</w:t>
      </w:r>
    </w:p>
    <w:p w14:paraId="6B4A5CD2">
      <w:pPr>
        <w:spacing w:line="360" w:lineRule="auto"/>
        <w:ind w:firstLine="448" w:firstLineChars="200"/>
        <w:outlineLvl w:val="0"/>
        <w:rPr>
          <w:sz w:val="24"/>
        </w:rPr>
      </w:pPr>
      <w:r>
        <w:rPr>
          <w:rFonts w:hint="eastAsia"/>
          <w:sz w:val="24"/>
        </w:rPr>
        <w:t>⑵协助采购人，开展系统参数配置调整；</w:t>
      </w:r>
    </w:p>
    <w:p w14:paraId="6B50A30E">
      <w:pPr>
        <w:spacing w:line="360" w:lineRule="auto"/>
        <w:ind w:firstLine="448" w:firstLineChars="200"/>
        <w:outlineLvl w:val="0"/>
        <w:rPr>
          <w:sz w:val="24"/>
        </w:rPr>
      </w:pPr>
      <w:r>
        <w:rPr>
          <w:rFonts w:hint="eastAsia"/>
          <w:sz w:val="24"/>
        </w:rPr>
        <w:t>⑶协助采购人，开展特色专区功能项维护；</w:t>
      </w:r>
    </w:p>
    <w:p w14:paraId="2FC57E6F">
      <w:pPr>
        <w:spacing w:line="360" w:lineRule="auto"/>
        <w:ind w:firstLine="448" w:firstLineChars="200"/>
        <w:outlineLvl w:val="0"/>
        <w:rPr>
          <w:sz w:val="24"/>
        </w:rPr>
      </w:pPr>
      <w:r>
        <w:rPr>
          <w:sz w:val="24"/>
        </w:rPr>
        <w:t>12.3</w:t>
      </w:r>
      <w:r>
        <w:rPr>
          <w:rFonts w:hint="eastAsia"/>
          <w:sz w:val="24"/>
        </w:rPr>
        <w:t>税务地理信息应用特有技术运维服务</w:t>
      </w:r>
    </w:p>
    <w:p w14:paraId="09B37587">
      <w:pPr>
        <w:spacing w:line="360" w:lineRule="auto"/>
        <w:ind w:firstLine="448" w:firstLineChars="200"/>
        <w:outlineLvl w:val="0"/>
        <w:rPr>
          <w:sz w:val="24"/>
        </w:rPr>
      </w:pPr>
      <w:r>
        <w:rPr>
          <w:rFonts w:hint="eastAsia"/>
          <w:sz w:val="24"/>
        </w:rPr>
        <w:t>⑴功能监控</w:t>
      </w:r>
    </w:p>
    <w:p w14:paraId="03A4DFC0">
      <w:pPr>
        <w:spacing w:line="360" w:lineRule="auto"/>
        <w:ind w:firstLine="448" w:firstLineChars="200"/>
        <w:outlineLvl w:val="0"/>
        <w:rPr>
          <w:sz w:val="24"/>
        </w:rPr>
      </w:pPr>
      <w:r>
        <w:rPr>
          <w:rFonts w:hint="eastAsia"/>
          <w:sz w:val="24"/>
        </w:rPr>
        <w:t>协助采购人，监控税务地理信息应用系统的税务地理信息公共能力平台、税务地图、房土两税风险识别、财产行为税决策支持等服务或组件状态是否正常，若监控发现系统异常，及时排查并解决问题。</w:t>
      </w:r>
    </w:p>
    <w:p w14:paraId="0C3AB03D">
      <w:pPr>
        <w:spacing w:line="360" w:lineRule="auto"/>
        <w:ind w:firstLine="448" w:firstLineChars="200"/>
        <w:outlineLvl w:val="0"/>
        <w:rPr>
          <w:sz w:val="24"/>
        </w:rPr>
      </w:pPr>
      <w:r>
        <w:rPr>
          <w:rFonts w:hint="eastAsia"/>
          <w:sz w:val="24"/>
        </w:rPr>
        <w:t>⑵接口监控</w:t>
      </w:r>
    </w:p>
    <w:p w14:paraId="23C87CD2">
      <w:pPr>
        <w:spacing w:line="360" w:lineRule="auto"/>
        <w:ind w:firstLine="448" w:firstLineChars="200"/>
        <w:outlineLvl w:val="0"/>
        <w:rPr>
          <w:sz w:val="24"/>
        </w:rPr>
      </w:pPr>
      <w:r>
        <w:rPr>
          <w:rFonts w:hint="eastAsia"/>
          <w:sz w:val="24"/>
        </w:rPr>
        <w:t>协助采购人，监控税务地理信息应用系统的税即视地址采集控件、面积采集控件、接口调用、共享服务等功能是否正常，对于发现的异常快速解决，保证业务办理连续性。</w:t>
      </w:r>
    </w:p>
    <w:p w14:paraId="5925E3EC">
      <w:pPr>
        <w:spacing w:line="360" w:lineRule="auto"/>
        <w:ind w:firstLine="448" w:firstLineChars="200"/>
        <w:outlineLvl w:val="0"/>
        <w:rPr>
          <w:sz w:val="24"/>
        </w:rPr>
      </w:pPr>
      <w:r>
        <w:rPr>
          <w:rFonts w:hint="eastAsia"/>
          <w:sz w:val="24"/>
        </w:rPr>
        <w:t>13.征期值守</w:t>
      </w:r>
    </w:p>
    <w:p w14:paraId="653D967E">
      <w:pPr>
        <w:spacing w:line="360" w:lineRule="auto"/>
        <w:ind w:firstLine="448" w:firstLineChars="200"/>
        <w:outlineLvl w:val="0"/>
        <w:rPr>
          <w:sz w:val="24"/>
        </w:rPr>
      </w:pPr>
      <w:r>
        <w:rPr>
          <w:rFonts w:hint="eastAsia"/>
          <w:sz w:val="24"/>
        </w:rPr>
        <w:t>按照采购人实际需要，在每季度大征期以外的普通征期内，在采购人统一指挥下开展7×8小时征期值守工作，开展本项目系统相关安全保障检查、安全保障监控和安全保障响应，及时开展系统问题处置和安全加固。</w:t>
      </w:r>
    </w:p>
    <w:p w14:paraId="49A0DAE7">
      <w:pPr>
        <w:spacing w:line="360" w:lineRule="auto"/>
        <w:ind w:firstLine="448" w:firstLineChars="200"/>
        <w:outlineLvl w:val="0"/>
        <w:rPr>
          <w:sz w:val="24"/>
        </w:rPr>
      </w:pPr>
      <w:r>
        <w:rPr>
          <w:rFonts w:hint="eastAsia"/>
          <w:sz w:val="24"/>
        </w:rPr>
        <w:t>征期值守期间，运维人员应按时完成系统健康巡检，关注系统可用性监控和自动化拨测告警，发现问题及时上报，及时处置系统故障。在节假日等非工作时间根据采购人实际需要，对系统开展业务和技术支持。当系统在非工作时间突发紧急故障，能够开展有效处置，包括非不可抗力因素造成的故障（故障恢复时间＜30分钟），不可抗力因素造成的故障（响应时间≤30分钟，故障恢复时间＜4小时）。</w:t>
      </w:r>
    </w:p>
    <w:p w14:paraId="759333C0">
      <w:pPr>
        <w:spacing w:line="360" w:lineRule="auto"/>
        <w:ind w:firstLine="448" w:firstLineChars="200"/>
        <w:outlineLvl w:val="0"/>
        <w:rPr>
          <w:sz w:val="24"/>
        </w:rPr>
      </w:pPr>
      <w:r>
        <w:rPr>
          <w:rFonts w:hint="eastAsia"/>
          <w:sz w:val="24"/>
        </w:rPr>
        <w:t>（三）服务其他要求</w:t>
      </w:r>
    </w:p>
    <w:p w14:paraId="7AD1D15E">
      <w:pPr>
        <w:spacing w:line="360" w:lineRule="auto"/>
        <w:ind w:firstLine="448" w:firstLineChars="200"/>
        <w:outlineLvl w:val="0"/>
        <w:rPr>
          <w:sz w:val="24"/>
        </w:rPr>
      </w:pPr>
      <w:r>
        <w:rPr>
          <w:rFonts w:hint="eastAsia"/>
          <w:sz w:val="24"/>
        </w:rPr>
        <w:t>本项目需要通过建立基于工时的弹性运维体系，实现人员动态调配，保障高峰期服务质量，降低平峰期资源冗余成本，涵盖所有业务和技术运维工作。</w:t>
      </w:r>
    </w:p>
    <w:p w14:paraId="37414AB7">
      <w:pPr>
        <w:spacing w:line="360" w:lineRule="auto"/>
        <w:ind w:firstLine="448" w:firstLineChars="200"/>
        <w:outlineLvl w:val="0"/>
        <w:rPr>
          <w:sz w:val="24"/>
        </w:rPr>
      </w:pPr>
      <w:r>
        <w:rPr>
          <w:rFonts w:hint="eastAsia"/>
          <w:sz w:val="24"/>
        </w:rPr>
        <w:t>1.工时分类</w:t>
      </w:r>
    </w:p>
    <w:p w14:paraId="7D07A259">
      <w:pPr>
        <w:pStyle w:val="35"/>
        <w:numPr>
          <w:ilvl w:val="0"/>
          <w:numId w:val="2"/>
        </w:numPr>
        <w:spacing w:line="360" w:lineRule="auto"/>
        <w:ind w:left="0" w:firstLine="446"/>
        <w:rPr>
          <w:sz w:val="24"/>
        </w:rPr>
      </w:pPr>
      <w:r>
        <w:rPr>
          <w:rFonts w:hint="eastAsia"/>
          <w:sz w:val="24"/>
        </w:rPr>
        <w:t>平日工时：全年工作日约为248天，工作日白天正常工时为8小时，特殊情况按工作日实际工时计算。</w:t>
      </w:r>
    </w:p>
    <w:p w14:paraId="03B2EFEE">
      <w:pPr>
        <w:pStyle w:val="35"/>
        <w:numPr>
          <w:ilvl w:val="0"/>
          <w:numId w:val="2"/>
        </w:numPr>
        <w:spacing w:line="360" w:lineRule="auto"/>
        <w:ind w:left="0" w:firstLine="446"/>
        <w:rPr>
          <w:sz w:val="24"/>
        </w:rPr>
      </w:pPr>
      <w:r>
        <w:rPr>
          <w:rFonts w:hint="eastAsia"/>
          <w:sz w:val="24"/>
        </w:rPr>
        <w:t>值班工时：各月征期和重要时间节点，需根据采购人要求，安排人员提供白天7*8小时值班值守，除正常工作日外，也需要在公休日白天开展值班值守，全年征期和重要时间节点内公休日约70天，公休日白天值班值守工时可按实际工时2倍计算。</w:t>
      </w:r>
    </w:p>
    <w:p w14:paraId="4ED7A255">
      <w:pPr>
        <w:pStyle w:val="35"/>
        <w:numPr>
          <w:ilvl w:val="0"/>
          <w:numId w:val="2"/>
        </w:numPr>
        <w:spacing w:line="360" w:lineRule="auto"/>
        <w:ind w:left="0" w:firstLine="446"/>
        <w:rPr>
          <w:sz w:val="24"/>
        </w:rPr>
      </w:pPr>
      <w:r>
        <w:rPr>
          <w:rFonts w:hint="eastAsia"/>
          <w:sz w:val="24"/>
        </w:rPr>
        <w:t>重保工时：每年4个月大征期（约75天）、两会期间（约8天）、重要安全演练期间（约30天）、国家和天津市重要活动期间（例如冬</w:t>
      </w:r>
      <w:bookmarkStart w:id="8" w:name="_GoBack"/>
      <w:bookmarkEnd w:id="8"/>
      <w:r>
        <w:rPr>
          <w:rFonts w:hint="eastAsia"/>
          <w:sz w:val="24"/>
        </w:rPr>
        <w:t>奥会、</w:t>
      </w:r>
      <w:r>
        <w:rPr>
          <w:rFonts w:hint="eastAsia"/>
          <w:sz w:val="24"/>
          <w:lang w:val="en-US" w:eastAsia="zh-CN"/>
        </w:rPr>
        <w:t>党的</w:t>
      </w:r>
      <w:r>
        <w:rPr>
          <w:rFonts w:hint="eastAsia"/>
          <w:sz w:val="24"/>
        </w:rPr>
        <w:t>二十大、上合峰会）等重要时间节点，需根据采购人要求，安排人员在8小时以外的非工作时间开展夜班值守，全年值守夜班不少于113天，重保夜班值守工时可按实际工时1.5倍计算。</w:t>
      </w:r>
    </w:p>
    <w:p w14:paraId="59410711">
      <w:pPr>
        <w:pStyle w:val="35"/>
        <w:numPr>
          <w:ilvl w:val="0"/>
          <w:numId w:val="2"/>
        </w:numPr>
        <w:spacing w:line="360" w:lineRule="auto"/>
        <w:ind w:left="0" w:firstLine="446"/>
        <w:rPr>
          <w:sz w:val="24"/>
        </w:rPr>
      </w:pPr>
      <w:r>
        <w:rPr>
          <w:rFonts w:hint="eastAsia"/>
          <w:sz w:val="24"/>
        </w:rPr>
        <w:t>高峰工时：当系统处于业务繁忙高峰期，或国家税务总局、采购人有加班需求，如征期高峰（征期最后2天）、月末升级和月结初始化（每月最后2天）、重保值守和征期值班以外的非工作时间加班等，可额外动态增加人力资源，每日每人次最多增加不超过4小时高峰工时。高峰工时需提前报备弹性人力资源计划或非工作时间加班申请，其中工作时间内增加的高峰工时按实际工时计算，非工作时间内增加的高峰工时可按实际工时1.5倍计算，所有高峰工时需根据弹性计划或加班申请的实际执行情况核算工时，否则不予记录工时。</w:t>
      </w:r>
    </w:p>
    <w:p w14:paraId="3403AFA4">
      <w:pPr>
        <w:pStyle w:val="35"/>
        <w:numPr>
          <w:ilvl w:val="0"/>
          <w:numId w:val="2"/>
        </w:numPr>
        <w:spacing w:line="360" w:lineRule="auto"/>
        <w:ind w:left="0" w:firstLine="446"/>
        <w:rPr>
          <w:sz w:val="24"/>
        </w:rPr>
      </w:pPr>
      <w:r>
        <w:rPr>
          <w:rFonts w:hint="eastAsia"/>
          <w:sz w:val="24"/>
        </w:rPr>
        <w:t>紧急工时：当系统在8小时以外非工作时间突发紧急故障，能够根据采购人要求，额外动态增加人力资源，开展有效处置。有效处置定义为非不可抗力因素造成的故障，故障恢复时间＜30分钟，不可抗力因素造成的故障，响应时间≤30分钟，故障恢复时间＜4小时。成功处置故障后可根据事后故障处置报告中人力投入情况，可按实际工时2倍计算紧急工时，否则不予记录工时。</w:t>
      </w:r>
    </w:p>
    <w:p w14:paraId="044580E2">
      <w:pPr>
        <w:spacing w:line="360" w:lineRule="auto"/>
        <w:ind w:firstLine="448" w:firstLineChars="200"/>
        <w:outlineLvl w:val="0"/>
        <w:rPr>
          <w:sz w:val="24"/>
        </w:rPr>
      </w:pPr>
      <w:r>
        <w:rPr>
          <w:rFonts w:hint="eastAsia"/>
          <w:sz w:val="24"/>
        </w:rPr>
        <w:t>2.动态调配要求</w:t>
      </w:r>
    </w:p>
    <w:p w14:paraId="4C691C3C">
      <w:pPr>
        <w:pStyle w:val="35"/>
        <w:numPr>
          <w:ilvl w:val="1"/>
          <w:numId w:val="3"/>
        </w:numPr>
        <w:spacing w:line="360" w:lineRule="auto"/>
        <w:ind w:left="0" w:firstLine="446"/>
        <w:rPr>
          <w:sz w:val="24"/>
        </w:rPr>
      </w:pPr>
      <w:r>
        <w:rPr>
          <w:rFonts w:hint="eastAsia"/>
          <w:sz w:val="24"/>
        </w:rPr>
        <w:t>供应商能够在组建本地运维团队的基础上，提供弹性人力资源池，承诺高峰期和重保期可调配人力大于常规需求人力，低峰期可调配人力不少于常规需求人力的60%。弹性人力资源既包括在高峰期增加人员数量或延长工作时间来实现额外投入人力，也包括在低峰期削减人员数量或调整工作时间来节约人力成本。</w:t>
      </w:r>
    </w:p>
    <w:p w14:paraId="2C6F9518">
      <w:pPr>
        <w:pStyle w:val="35"/>
        <w:numPr>
          <w:ilvl w:val="1"/>
          <w:numId w:val="3"/>
        </w:numPr>
        <w:spacing w:line="360" w:lineRule="auto"/>
        <w:ind w:left="0" w:firstLine="446"/>
        <w:rPr>
          <w:sz w:val="24"/>
        </w:rPr>
      </w:pPr>
      <w:r>
        <w:rPr>
          <w:rFonts w:hint="eastAsia"/>
          <w:sz w:val="24"/>
        </w:rPr>
        <w:t>供应商动态调配人力资源标准可以向下兼容、不可向上兼容，例如高级技术人员可以处置中级或初级技术人员工作，初级技术人员不能代替高级或中级技术人员处理相关工作。供应商动态调配人力资源必须满足采购人实际工作需要和网络安全管理要求。</w:t>
      </w:r>
    </w:p>
    <w:p w14:paraId="4D83CAB6">
      <w:pPr>
        <w:pStyle w:val="35"/>
        <w:numPr>
          <w:ilvl w:val="1"/>
          <w:numId w:val="3"/>
        </w:numPr>
        <w:spacing w:line="360" w:lineRule="auto"/>
        <w:ind w:left="0" w:firstLine="446"/>
        <w:rPr>
          <w:sz w:val="24"/>
        </w:rPr>
      </w:pPr>
      <w:r>
        <w:rPr>
          <w:rFonts w:hint="eastAsia"/>
          <w:sz w:val="24"/>
        </w:rPr>
        <w:t>供应商投入的同级别动态人力资源，包括常规工时与额外工时，分类小计应不少于项目采购内容所列各级别所需工时合计数，全部类别合计应不少于项目采购内容所列的需求工时数总量。</w:t>
      </w:r>
    </w:p>
    <w:p w14:paraId="450309A1">
      <w:pPr>
        <w:pStyle w:val="35"/>
        <w:numPr>
          <w:ilvl w:val="1"/>
          <w:numId w:val="3"/>
        </w:numPr>
        <w:spacing w:line="360" w:lineRule="auto"/>
        <w:ind w:left="0" w:firstLine="446"/>
        <w:rPr>
          <w:sz w:val="24"/>
        </w:rPr>
      </w:pPr>
      <w:r>
        <w:rPr>
          <w:rFonts w:hint="eastAsia"/>
          <w:sz w:val="24"/>
        </w:rPr>
        <w:t>供应商需提交提供动态人力资源核实方案，应满足采购人核查在岗人员数量和实际工作时长需求，每月需提交实际投入运维工作人力资源报告，报告应包括当月实际投入的常规工时、加班工时、重保工时、紧急工时、高峰工时等核算数据。</w:t>
      </w:r>
    </w:p>
    <w:p w14:paraId="2A28FC0E">
      <w:pPr>
        <w:pStyle w:val="35"/>
        <w:numPr>
          <w:ilvl w:val="1"/>
          <w:numId w:val="3"/>
        </w:numPr>
        <w:spacing w:line="360" w:lineRule="auto"/>
        <w:ind w:left="0" w:firstLine="446"/>
        <w:rPr>
          <w:sz w:val="24"/>
        </w:rPr>
      </w:pPr>
      <w:r>
        <w:rPr>
          <w:rFonts w:hint="eastAsia"/>
          <w:sz w:val="24"/>
        </w:rPr>
        <w:t>供应商不得虚报工时，若采购人发现虚假工时记录，按虚报工时的3倍扣除工时数据。若供应商没有建立动态人力资源池，在高峰期或重保期未达承诺人力，并给采购人造成损失，按缺岗工时的2倍扣除工时数据。</w:t>
      </w:r>
    </w:p>
    <w:p w14:paraId="6A8273A9">
      <w:pPr>
        <w:spacing w:line="360" w:lineRule="auto"/>
        <w:ind w:firstLine="448" w:firstLineChars="200"/>
        <w:outlineLvl w:val="0"/>
        <w:rPr>
          <w:sz w:val="24"/>
        </w:rPr>
      </w:pPr>
      <w:r>
        <w:rPr>
          <w:rFonts w:hint="eastAsia"/>
          <w:sz w:val="24"/>
        </w:rPr>
        <w:t>八、人员要求</w:t>
      </w:r>
    </w:p>
    <w:p w14:paraId="04AFC229">
      <w:pPr>
        <w:spacing w:line="360" w:lineRule="auto"/>
        <w:ind w:firstLine="448" w:firstLineChars="200"/>
        <w:outlineLvl w:val="0"/>
        <w:rPr>
          <w:sz w:val="24"/>
        </w:rPr>
      </w:pPr>
      <w:r>
        <w:rPr>
          <w:rFonts w:hint="eastAsia"/>
          <w:sz w:val="24"/>
        </w:rPr>
        <w:t>（一）总体要求</w:t>
      </w:r>
    </w:p>
    <w:p w14:paraId="00A58379">
      <w:pPr>
        <w:spacing w:line="360" w:lineRule="auto"/>
        <w:ind w:firstLine="448" w:firstLineChars="200"/>
        <w:outlineLvl w:val="0"/>
        <w:rPr>
          <w:sz w:val="24"/>
        </w:rPr>
      </w:pPr>
      <w:r>
        <w:rPr>
          <w:rFonts w:hint="eastAsia"/>
          <w:sz w:val="24"/>
        </w:rPr>
        <w:t>本项目由采购人、供应商共同组成的项目管理机构，负责整个项目的实施工作。供应商投入的运维人员必须严格遵守国家的政策法规，执行项目管理机构的各项规章制度，服从管理和调度，认真履行工作职责，圆满完成工作任务。</w:t>
      </w:r>
    </w:p>
    <w:p w14:paraId="362539AC">
      <w:pPr>
        <w:spacing w:line="360" w:lineRule="auto"/>
        <w:ind w:firstLine="448" w:firstLineChars="200"/>
        <w:outlineLvl w:val="0"/>
        <w:rPr>
          <w:sz w:val="24"/>
        </w:rPr>
      </w:pPr>
      <w:r>
        <w:rPr>
          <w:rFonts w:hint="eastAsia"/>
          <w:sz w:val="24"/>
        </w:rPr>
        <w:t>（二）具体要求</w:t>
      </w:r>
    </w:p>
    <w:p w14:paraId="35336821">
      <w:pPr>
        <w:spacing w:line="360" w:lineRule="auto"/>
        <w:ind w:firstLine="448" w:firstLineChars="200"/>
        <w:outlineLvl w:val="0"/>
        <w:rPr>
          <w:sz w:val="24"/>
        </w:rPr>
      </w:pPr>
      <w:r>
        <w:rPr>
          <w:rFonts w:hint="eastAsia"/>
          <w:sz w:val="24"/>
        </w:rPr>
        <w:t>运维人员应当是与供应商签订1年以上劳动合同且合同处于有效期内，常驻运维人员应当为技术骨干，对于拟购买的运维服务人力资源具体要求如下：</w:t>
      </w:r>
    </w:p>
    <w:p w14:paraId="1A63019F">
      <w:pPr>
        <w:spacing w:line="360" w:lineRule="auto"/>
        <w:ind w:firstLine="448" w:firstLineChars="200"/>
        <w:rPr>
          <w:sz w:val="24"/>
        </w:rPr>
      </w:pPr>
      <w:r>
        <w:rPr>
          <w:sz w:val="24"/>
        </w:rPr>
        <w:t>1.岗位学历经验要求</w:t>
      </w:r>
    </w:p>
    <w:p w14:paraId="5FDC72C7">
      <w:pPr>
        <w:widowControl/>
        <w:spacing w:line="360" w:lineRule="auto"/>
        <w:ind w:firstLine="448" w:firstLineChars="200"/>
        <w:rPr>
          <w:sz w:val="24"/>
        </w:rPr>
      </w:pPr>
      <w:r>
        <w:rPr>
          <w:sz w:val="24"/>
        </w:rPr>
        <w:t>高级岗位人员需满足资质：本科以下学历工作5年及以上，或本科学历工作3年及以上，或硕士学历工作2年及以上，或博士学历工作1年及以上；且从事信息化行业3年及以上（博士学历可放宽到1年及以上，硕士学历可放宽到2年及以上）。</w:t>
      </w:r>
    </w:p>
    <w:p w14:paraId="07B33E3F">
      <w:pPr>
        <w:widowControl/>
        <w:spacing w:line="360" w:lineRule="auto"/>
        <w:ind w:firstLine="448" w:firstLineChars="200"/>
        <w:rPr>
          <w:sz w:val="24"/>
        </w:rPr>
      </w:pPr>
      <w:r>
        <w:rPr>
          <w:sz w:val="24"/>
        </w:rPr>
        <w:t>中级岗位人员需满足资质：本科以下学历工作3年及以上，或本科学历工作2年及以上，或硕士及以上学历工作1年及以上；且从事信息化行业2年及以上（硕士及以上学历可放宽到1年及以上）。</w:t>
      </w:r>
    </w:p>
    <w:p w14:paraId="1C53B113">
      <w:pPr>
        <w:widowControl/>
        <w:spacing w:line="360" w:lineRule="auto"/>
        <w:ind w:firstLine="448" w:firstLineChars="200"/>
        <w:rPr>
          <w:sz w:val="24"/>
        </w:rPr>
      </w:pPr>
      <w:r>
        <w:rPr>
          <w:sz w:val="24"/>
        </w:rPr>
        <w:t>初级岗位人员需满足资质：本科以下学历工作2年及以上，或本科及以上学历工作1年及以上；且从事信息化行业1年及以上。</w:t>
      </w:r>
    </w:p>
    <w:p w14:paraId="1756B469">
      <w:pPr>
        <w:spacing w:line="360" w:lineRule="auto"/>
        <w:ind w:firstLine="448" w:firstLineChars="200"/>
        <w:rPr>
          <w:sz w:val="24"/>
        </w:rPr>
      </w:pPr>
      <w:r>
        <w:rPr>
          <w:sz w:val="24"/>
        </w:rPr>
        <w:t>其他岗位人员资质要求与高级岗位人员一致，需满足加班、重保、高峰、紧急等工作要求，供应商可从现有岗位人员中动态调配人力资源。</w:t>
      </w:r>
    </w:p>
    <w:p w14:paraId="0B4C369B">
      <w:pPr>
        <w:spacing w:line="360" w:lineRule="auto"/>
        <w:ind w:firstLine="448" w:firstLineChars="200"/>
        <w:rPr>
          <w:sz w:val="24"/>
        </w:rPr>
      </w:pPr>
      <w:r>
        <w:rPr>
          <w:sz w:val="24"/>
        </w:rPr>
        <w:t>2.岗位分类需求明细</w:t>
      </w:r>
    </w:p>
    <w:p w14:paraId="5770309D">
      <w:pPr>
        <w:spacing w:line="360" w:lineRule="auto"/>
        <w:ind w:firstLine="448" w:firstLineChars="200"/>
        <w:rPr>
          <w:sz w:val="24"/>
        </w:rPr>
      </w:pPr>
      <w:r>
        <w:rPr>
          <w:sz w:val="24"/>
        </w:rPr>
        <w:t>合计购买不少于52000工时的运维服务，服务期限为</w:t>
      </w:r>
      <w:r>
        <w:rPr>
          <w:sz w:val="24"/>
          <w:szCs w:val="24"/>
        </w:rPr>
        <w:t>合同规定的服务起始之日起6个月的服务期（特殊情况以合同为准）。</w:t>
      </w:r>
    </w:p>
    <w:p w14:paraId="5C6D2C32">
      <w:pPr>
        <w:pStyle w:val="35"/>
        <w:numPr>
          <w:ilvl w:val="1"/>
          <w:numId w:val="4"/>
        </w:numPr>
        <w:spacing w:line="360" w:lineRule="auto"/>
        <w:ind w:left="0" w:firstLine="446"/>
        <w:rPr>
          <w:sz w:val="24"/>
        </w:rPr>
      </w:pPr>
      <w:r>
        <w:rPr>
          <w:rFonts w:hint="eastAsia"/>
          <w:sz w:val="24"/>
        </w:rPr>
        <w:t>运维高级岗：投入工作量不少于14000工时，开展平日运维工作，需满足高级技术人员资质要求。</w:t>
      </w:r>
    </w:p>
    <w:p w14:paraId="33EF0D32">
      <w:pPr>
        <w:pStyle w:val="35"/>
        <w:numPr>
          <w:ilvl w:val="1"/>
          <w:numId w:val="4"/>
        </w:numPr>
        <w:spacing w:line="360" w:lineRule="auto"/>
        <w:ind w:left="0" w:firstLine="446"/>
        <w:rPr>
          <w:sz w:val="24"/>
        </w:rPr>
      </w:pPr>
      <w:r>
        <w:rPr>
          <w:rFonts w:hint="eastAsia"/>
          <w:sz w:val="24"/>
        </w:rPr>
        <w:t>运维中级岗：投入工作量不少于14000工时，开展平日运维工作，需满足中级技术人员资质要求。</w:t>
      </w:r>
    </w:p>
    <w:p w14:paraId="75596F45">
      <w:pPr>
        <w:pStyle w:val="35"/>
        <w:numPr>
          <w:ilvl w:val="1"/>
          <w:numId w:val="4"/>
        </w:numPr>
        <w:spacing w:line="360" w:lineRule="auto"/>
        <w:ind w:left="0" w:firstLine="446"/>
        <w:rPr>
          <w:sz w:val="24"/>
        </w:rPr>
      </w:pPr>
      <w:r>
        <w:rPr>
          <w:rFonts w:hint="eastAsia"/>
          <w:sz w:val="24"/>
        </w:rPr>
        <w:t>运维初级岗：投入工作量不少于12000工时，开展平日运维工作，需满足初级技术人员资质要求。</w:t>
      </w:r>
    </w:p>
    <w:p w14:paraId="33992504">
      <w:pPr>
        <w:pStyle w:val="35"/>
        <w:numPr>
          <w:ilvl w:val="1"/>
          <w:numId w:val="4"/>
        </w:numPr>
        <w:spacing w:line="360" w:lineRule="auto"/>
        <w:ind w:left="0" w:firstLine="446"/>
        <w:rPr>
          <w:sz w:val="24"/>
        </w:rPr>
      </w:pPr>
      <w:r>
        <w:rPr>
          <w:rFonts w:hint="eastAsia"/>
          <w:sz w:val="24"/>
        </w:rPr>
        <w:t>运维其他岗：投入工作量不少于12000工时，开展值班、重保、高峰、紧急等运维工作，需满足高级技术人员资质要求。</w:t>
      </w:r>
    </w:p>
    <w:p w14:paraId="4C940223">
      <w:pPr>
        <w:spacing w:line="360" w:lineRule="auto"/>
        <w:ind w:firstLine="448" w:firstLineChars="200"/>
        <w:outlineLvl w:val="0"/>
        <w:rPr>
          <w:sz w:val="24"/>
        </w:rPr>
      </w:pPr>
      <w:r>
        <w:rPr>
          <w:rFonts w:hint="eastAsia"/>
          <w:sz w:val="24"/>
        </w:rPr>
        <w:t>3.岗位工作技能要求</w:t>
      </w:r>
    </w:p>
    <w:p w14:paraId="1FADE809">
      <w:pPr>
        <w:spacing w:line="360" w:lineRule="auto"/>
        <w:ind w:firstLine="448" w:firstLineChars="200"/>
        <w:outlineLvl w:val="0"/>
        <w:rPr>
          <w:sz w:val="24"/>
        </w:rPr>
      </w:pPr>
      <w:r>
        <w:rPr>
          <w:rFonts w:hint="eastAsia"/>
          <w:sz w:val="24"/>
        </w:rPr>
        <w:t>熟悉国产化、非国产化主流系统软件和应用软件，能够熟练掌握本项目系统架构、相关的使用操作流程、相关业务及常见问题的解决方法，独立接听、解答用户所提出的各种问题并进行相应的问题及回复记录。能够测试可复现的软件问题缺陷、填写转出服务请求单，开展日清册的检查，并根据质检结果进行个人分析改进等。能够承担税收知识库建设工作，将各软件使用中出现的各种问题提炼、加工、深化成为知识，不断完善培训资料，制作文字文档和音视频教程，供各级税务机关下载使用。能够针对系统使用情况进行满意度调查回访。</w:t>
      </w:r>
    </w:p>
    <w:p w14:paraId="103CA265">
      <w:pPr>
        <w:spacing w:line="360" w:lineRule="auto"/>
        <w:ind w:firstLine="448" w:firstLineChars="200"/>
        <w:outlineLvl w:val="0"/>
        <w:rPr>
          <w:sz w:val="24"/>
        </w:rPr>
      </w:pPr>
      <w:r>
        <w:rPr>
          <w:rFonts w:hint="eastAsia"/>
          <w:sz w:val="24"/>
        </w:rPr>
        <w:t>4.岗位管理保障要求</w:t>
      </w:r>
    </w:p>
    <w:p w14:paraId="6824CC72">
      <w:pPr>
        <w:pStyle w:val="35"/>
        <w:numPr>
          <w:ilvl w:val="1"/>
          <w:numId w:val="5"/>
        </w:numPr>
        <w:spacing w:line="360" w:lineRule="auto"/>
        <w:ind w:left="0" w:firstLine="446"/>
        <w:rPr>
          <w:sz w:val="24"/>
        </w:rPr>
      </w:pPr>
      <w:r>
        <w:rPr>
          <w:rFonts w:hint="eastAsia"/>
          <w:sz w:val="24"/>
        </w:rPr>
        <w:t>运维人员受采购人和供应商双重管理，采购人的意见应作为运维人员业绩考核的重要依据。供应商应保证运维人员常驻采购人，并能完全胜任本项目所含各系统的运行维护工作。</w:t>
      </w:r>
    </w:p>
    <w:p w14:paraId="66654CE8">
      <w:pPr>
        <w:pStyle w:val="35"/>
        <w:numPr>
          <w:ilvl w:val="1"/>
          <w:numId w:val="5"/>
        </w:numPr>
        <w:spacing w:line="360" w:lineRule="auto"/>
        <w:ind w:left="0" w:firstLine="446"/>
        <w:rPr>
          <w:sz w:val="24"/>
        </w:rPr>
      </w:pPr>
      <w:r>
        <w:rPr>
          <w:rFonts w:hint="eastAsia"/>
          <w:sz w:val="24"/>
        </w:rPr>
        <w:t>供应商须保证运维人员的稳定性和连续性，运维人员确定后，不得随意更换。供应商须提前做好人力储备,如运维人员合同到期或申请离职，供应商必须提前一个月通知采购人，并立即从技术支持单位后备人员库中经考核，选拔出合格运维人员进行工作熟悉和交接，确保正常工作不受影响。正式更换前，供应商需正式提交书面申请，报采购人负责人审批后方可调整，人员交接过程应符合采购人相关要求。如果因供应商无法保证人员的连续性所造成的全部损失由供应商承担，并从费用中扣除。</w:t>
      </w:r>
    </w:p>
    <w:p w14:paraId="222D2F20">
      <w:pPr>
        <w:pStyle w:val="35"/>
        <w:numPr>
          <w:ilvl w:val="1"/>
          <w:numId w:val="5"/>
        </w:numPr>
        <w:spacing w:line="360" w:lineRule="auto"/>
        <w:ind w:left="0" w:firstLine="446"/>
        <w:rPr>
          <w:sz w:val="24"/>
        </w:rPr>
      </w:pPr>
      <w:r>
        <w:rPr>
          <w:rFonts w:hint="eastAsia"/>
          <w:sz w:val="24"/>
        </w:rPr>
        <w:t>运维人员应具备良好的职业道德。较强的责任心。良好的沟通能力。熟悉本系统相关业务域。具有一定的问题分析能力，能够及时准确的定位问题。</w:t>
      </w:r>
    </w:p>
    <w:p w14:paraId="32DC1C46">
      <w:pPr>
        <w:pStyle w:val="35"/>
        <w:numPr>
          <w:ilvl w:val="1"/>
          <w:numId w:val="5"/>
        </w:numPr>
        <w:spacing w:line="360" w:lineRule="auto"/>
        <w:ind w:left="0" w:firstLine="446"/>
        <w:rPr>
          <w:sz w:val="24"/>
        </w:rPr>
      </w:pPr>
      <w:r>
        <w:rPr>
          <w:rFonts w:hint="eastAsia"/>
          <w:sz w:val="24"/>
        </w:rPr>
        <w:t>运维人员工作能力和工作态度达不到维护工作要求的，采购人有权要求更换，供应商应及时更换相关人员。</w:t>
      </w:r>
    </w:p>
    <w:p w14:paraId="7E30AA92">
      <w:pPr>
        <w:pStyle w:val="35"/>
        <w:numPr>
          <w:ilvl w:val="1"/>
          <w:numId w:val="5"/>
        </w:numPr>
        <w:spacing w:line="360" w:lineRule="auto"/>
        <w:ind w:left="0" w:firstLine="446"/>
        <w:rPr>
          <w:sz w:val="24"/>
        </w:rPr>
      </w:pPr>
      <w:r>
        <w:rPr>
          <w:rFonts w:hint="eastAsia"/>
          <w:sz w:val="24"/>
        </w:rPr>
        <w:t>供应商和运维人员应严格遵守采购人的出勤、着装、安全等管理规定。在派驻期间，遵守采购人的工作作息时间，同时应按照采购人的要求，在工作需要的时候进行加班。</w:t>
      </w:r>
    </w:p>
    <w:p w14:paraId="3C14CB72">
      <w:pPr>
        <w:pStyle w:val="35"/>
        <w:numPr>
          <w:ilvl w:val="1"/>
          <w:numId w:val="5"/>
        </w:numPr>
        <w:spacing w:line="360" w:lineRule="auto"/>
        <w:ind w:left="0" w:firstLine="446"/>
        <w:rPr>
          <w:sz w:val="24"/>
        </w:rPr>
      </w:pPr>
      <w:r>
        <w:rPr>
          <w:rFonts w:hint="eastAsia"/>
          <w:sz w:val="24"/>
        </w:rPr>
        <w:t>遇有疑难问题时，供应商应及时协调提供二线技术支持。</w:t>
      </w:r>
    </w:p>
    <w:p w14:paraId="113F59B9">
      <w:pPr>
        <w:pStyle w:val="35"/>
        <w:numPr>
          <w:ilvl w:val="1"/>
          <w:numId w:val="5"/>
        </w:numPr>
        <w:spacing w:line="360" w:lineRule="auto"/>
        <w:ind w:left="0" w:firstLine="446"/>
        <w:rPr>
          <w:sz w:val="24"/>
        </w:rPr>
      </w:pPr>
      <w:r>
        <w:rPr>
          <w:rFonts w:hint="eastAsia"/>
          <w:sz w:val="24"/>
        </w:rPr>
        <w:t>供应商和运维人员应对采购人负责，按照授权进行工作，不得从事不在授权内的工作内容。因供应商派出的运维人员自身原因造成工作失误，给采购人造成损失的，供应商应承担赔偿责任</w:t>
      </w:r>
    </w:p>
    <w:p w14:paraId="1FD31F10">
      <w:pPr>
        <w:pStyle w:val="35"/>
        <w:numPr>
          <w:ilvl w:val="1"/>
          <w:numId w:val="5"/>
        </w:numPr>
        <w:spacing w:line="360" w:lineRule="auto"/>
        <w:ind w:left="0" w:firstLine="446"/>
        <w:rPr>
          <w:sz w:val="24"/>
        </w:rPr>
      </w:pPr>
      <w:r>
        <w:rPr>
          <w:rFonts w:hint="eastAsia"/>
          <w:sz w:val="24"/>
        </w:rPr>
        <w:t>供应商和运维人员应按采购人要求协助开展其它工作。</w:t>
      </w:r>
    </w:p>
    <w:p w14:paraId="4F79FB00">
      <w:pPr>
        <w:spacing w:line="360" w:lineRule="auto"/>
        <w:ind w:firstLine="448" w:firstLineChars="200"/>
        <w:outlineLvl w:val="0"/>
        <w:rPr>
          <w:sz w:val="24"/>
        </w:rPr>
      </w:pPr>
      <w:r>
        <w:rPr>
          <w:rFonts w:hint="eastAsia"/>
          <w:sz w:val="24"/>
        </w:rPr>
        <w:t>九、管理实施要求</w:t>
      </w:r>
    </w:p>
    <w:p w14:paraId="54C71AE5">
      <w:pPr>
        <w:pStyle w:val="35"/>
        <w:numPr>
          <w:ilvl w:val="0"/>
          <w:numId w:val="6"/>
        </w:numPr>
        <w:spacing w:line="360" w:lineRule="auto"/>
        <w:ind w:left="0" w:firstLine="446"/>
        <w:rPr>
          <w:sz w:val="24"/>
        </w:rPr>
      </w:pPr>
      <w:r>
        <w:rPr>
          <w:rFonts w:hint="eastAsia"/>
          <w:sz w:val="24"/>
        </w:rPr>
        <w:t>供应商应成立项目管理组织，严格遵守本项目业务管控、架构管控、项目管控的要求。</w:t>
      </w:r>
    </w:p>
    <w:p w14:paraId="418F1A5A">
      <w:pPr>
        <w:pStyle w:val="35"/>
        <w:numPr>
          <w:ilvl w:val="0"/>
          <w:numId w:val="6"/>
        </w:numPr>
        <w:spacing w:line="360" w:lineRule="auto"/>
        <w:ind w:left="0" w:firstLine="446"/>
        <w:rPr>
          <w:sz w:val="24"/>
        </w:rPr>
      </w:pPr>
      <w:r>
        <w:rPr>
          <w:rFonts w:hint="eastAsia"/>
          <w:sz w:val="24"/>
        </w:rPr>
        <w:t>供应商应基于成熟的项目管理方法论，制订完善的项目管理制度、流程，合理划分项目管理的阶段，借助工程管理工具，在项目实施过程中对项目进行规范化管理，确保项目实施进度和实施质量。</w:t>
      </w:r>
    </w:p>
    <w:p w14:paraId="1D417810">
      <w:pPr>
        <w:pStyle w:val="35"/>
        <w:numPr>
          <w:ilvl w:val="0"/>
          <w:numId w:val="6"/>
        </w:numPr>
        <w:spacing w:line="360" w:lineRule="auto"/>
        <w:ind w:left="0" w:firstLine="446"/>
        <w:rPr>
          <w:sz w:val="24"/>
        </w:rPr>
      </w:pPr>
      <w:r>
        <w:rPr>
          <w:rFonts w:hint="eastAsia"/>
          <w:sz w:val="24"/>
        </w:rPr>
        <w:t>供应商应根据项目管理的需要，提供和使用项目管理工具，当采购人要求时，必须使用采购人提供的项目管理工具。如约定由供应商提供项目管理工具时，供应商各阶段产出物采用特殊格式的，供应商需提供相应的打开、编译、运行、修改、打印等工具。供应商应合法取得相关工具的版权、知识产权或授权供采购人使用，相关费用不论供应商是否进行明细报价都视为已包含在投标总价中，采购人不对工具额外付费。若发生版权、知识产权或授权纠纷，后果由供应商承担。</w:t>
      </w:r>
    </w:p>
    <w:p w14:paraId="552C6606">
      <w:pPr>
        <w:pStyle w:val="35"/>
        <w:numPr>
          <w:ilvl w:val="0"/>
          <w:numId w:val="6"/>
        </w:numPr>
        <w:spacing w:line="360" w:lineRule="auto"/>
        <w:ind w:left="0" w:firstLine="446"/>
        <w:rPr>
          <w:sz w:val="24"/>
        </w:rPr>
      </w:pPr>
      <w:r>
        <w:rPr>
          <w:rFonts w:hint="eastAsia"/>
          <w:sz w:val="24"/>
        </w:rPr>
        <w:t>供应商应提供合理的技术、运维力量配置及工作量单价。</w:t>
      </w:r>
    </w:p>
    <w:p w14:paraId="05A54961">
      <w:pPr>
        <w:pStyle w:val="35"/>
        <w:numPr>
          <w:ilvl w:val="0"/>
          <w:numId w:val="6"/>
        </w:numPr>
        <w:spacing w:line="360" w:lineRule="auto"/>
        <w:ind w:left="0" w:firstLine="446"/>
        <w:rPr>
          <w:sz w:val="24"/>
        </w:rPr>
      </w:pPr>
      <w:r>
        <w:rPr>
          <w:rFonts w:hint="eastAsia"/>
          <w:sz w:val="24"/>
        </w:rPr>
        <w:t>在项目实施工程中，采购人可能根据实际情况，在不改变工作量的情况下调整项目运维要求，供应商应充分考虑、无条件满足采购人的要求，采购人对此不再额外付费。</w:t>
      </w:r>
    </w:p>
    <w:p w14:paraId="7C9C9015">
      <w:pPr>
        <w:spacing w:line="360" w:lineRule="auto"/>
        <w:ind w:firstLine="448" w:firstLineChars="200"/>
        <w:outlineLvl w:val="0"/>
        <w:rPr>
          <w:sz w:val="24"/>
        </w:rPr>
      </w:pPr>
      <w:r>
        <w:rPr>
          <w:rFonts w:hint="eastAsia"/>
          <w:sz w:val="24"/>
        </w:rPr>
        <w:t>十、保密要求</w:t>
      </w:r>
    </w:p>
    <w:p w14:paraId="2F66802C">
      <w:pPr>
        <w:pStyle w:val="35"/>
        <w:numPr>
          <w:ilvl w:val="1"/>
          <w:numId w:val="7"/>
        </w:numPr>
        <w:spacing w:line="360" w:lineRule="auto"/>
        <w:ind w:left="0" w:firstLine="446"/>
        <w:rPr>
          <w:sz w:val="24"/>
        </w:rPr>
      </w:pPr>
      <w:r>
        <w:rPr>
          <w:rFonts w:hint="eastAsia"/>
          <w:sz w:val="24"/>
        </w:rPr>
        <w:t>供应商应严格落实国家税务总局采购人网络安全保密管理要求，承担技术支持人员的安全和保密管理责任。按采购人要求签订供应商保密协议书和技术支持人员保密承诺书。</w:t>
      </w:r>
    </w:p>
    <w:p w14:paraId="1F68E89B">
      <w:pPr>
        <w:pStyle w:val="35"/>
        <w:numPr>
          <w:ilvl w:val="1"/>
          <w:numId w:val="7"/>
        </w:numPr>
        <w:spacing w:line="360" w:lineRule="auto"/>
        <w:ind w:left="0" w:firstLine="446"/>
        <w:rPr>
          <w:sz w:val="24"/>
        </w:rPr>
      </w:pPr>
      <w:r>
        <w:rPr>
          <w:rFonts w:hint="eastAsia"/>
          <w:sz w:val="24"/>
        </w:rPr>
        <w:t>供应商负责派驻技术支持人员背景审查工作，提供其身份证明、履历、家庭成员及主要社会关系、无犯罪记录证明、学历证明（《教育部学历证书电子注册备案表》）、劳动合同、社保和个税缴纳凭证等材料，提交信息备案表。</w:t>
      </w:r>
    </w:p>
    <w:p w14:paraId="720D16AB">
      <w:pPr>
        <w:pStyle w:val="35"/>
        <w:numPr>
          <w:ilvl w:val="1"/>
          <w:numId w:val="7"/>
        </w:numPr>
        <w:spacing w:line="360" w:lineRule="auto"/>
        <w:ind w:left="0" w:firstLine="446"/>
        <w:rPr>
          <w:sz w:val="24"/>
        </w:rPr>
      </w:pPr>
      <w:r>
        <w:rPr>
          <w:rFonts w:hint="eastAsia"/>
          <w:sz w:val="24"/>
        </w:rPr>
        <w:t>供应商负责派驻技术支持人员工作胜任、资格条件以及网络安全能力评估，对技术支持人员承担的工作进行安全保密风险分析，明确技术支持人员工作范围和边界，重点防范设备和资料失窃、误操作导致的软硬件故障、敏感信息泄露、信息系统越权访问和网络攻击等风险。</w:t>
      </w:r>
    </w:p>
    <w:p w14:paraId="50CC8769">
      <w:pPr>
        <w:pStyle w:val="35"/>
        <w:numPr>
          <w:ilvl w:val="1"/>
          <w:numId w:val="7"/>
        </w:numPr>
        <w:spacing w:line="360" w:lineRule="auto"/>
        <w:ind w:left="0" w:firstLine="446"/>
        <w:rPr>
          <w:sz w:val="24"/>
        </w:rPr>
      </w:pPr>
      <w:r>
        <w:rPr>
          <w:rFonts w:hint="eastAsia"/>
          <w:sz w:val="24"/>
        </w:rPr>
        <w:t>对“保密责任”落实不严格、不到位，造成重大安全事件或产生负面影响的，按照合同中“其他终止合同情况”条款执行，并依照相关法律等规定进行追责。</w:t>
      </w:r>
    </w:p>
    <w:p w14:paraId="58962908">
      <w:pPr>
        <w:spacing w:line="360" w:lineRule="auto"/>
        <w:ind w:firstLine="448" w:firstLineChars="200"/>
        <w:outlineLvl w:val="0"/>
        <w:rPr>
          <w:sz w:val="24"/>
        </w:rPr>
      </w:pPr>
      <w:r>
        <w:rPr>
          <w:rFonts w:hint="eastAsia"/>
          <w:sz w:val="24"/>
        </w:rPr>
        <w:t>十一、知识转移要求</w:t>
      </w:r>
    </w:p>
    <w:p w14:paraId="0CFCE4B3">
      <w:pPr>
        <w:spacing w:line="360" w:lineRule="auto"/>
        <w:ind w:firstLine="448" w:firstLineChars="200"/>
        <w:outlineLvl w:val="0"/>
        <w:rPr>
          <w:sz w:val="24"/>
        </w:rPr>
      </w:pPr>
      <w:r>
        <w:rPr>
          <w:rFonts w:hint="eastAsia"/>
          <w:sz w:val="24"/>
        </w:rPr>
        <w:t>（一）根据系统问题处理层级建立运维知识库，将业务知识、操作知识、常见问题、重大紧急事件、故障解决方案等工作资料进行整理、归纳，形成相关知识存入运行维护知识库，制作文字文档、音视频教程和培训资料，以供采购人使用。</w:t>
      </w:r>
    </w:p>
    <w:p w14:paraId="1A881D96">
      <w:pPr>
        <w:spacing w:line="360" w:lineRule="auto"/>
        <w:ind w:firstLine="448" w:firstLineChars="200"/>
        <w:outlineLvl w:val="0"/>
        <w:rPr>
          <w:sz w:val="24"/>
        </w:rPr>
      </w:pPr>
      <w:r>
        <w:rPr>
          <w:rFonts w:hint="eastAsia"/>
          <w:sz w:val="24"/>
        </w:rPr>
        <w:t>（二）根据本项目具体情况，满足采购人提出的其他知识转移要求。</w:t>
      </w:r>
    </w:p>
    <w:p w14:paraId="088C8698">
      <w:pPr>
        <w:spacing w:line="360" w:lineRule="auto"/>
        <w:ind w:firstLine="448" w:firstLineChars="200"/>
        <w:outlineLvl w:val="0"/>
        <w:rPr>
          <w:sz w:val="24"/>
        </w:rPr>
      </w:pPr>
      <w:r>
        <w:rPr>
          <w:rFonts w:hint="eastAsia"/>
          <w:sz w:val="24"/>
        </w:rPr>
        <w:t>十二、风险管控要求</w:t>
      </w:r>
    </w:p>
    <w:p w14:paraId="69066186">
      <w:pPr>
        <w:spacing w:line="360" w:lineRule="auto"/>
        <w:ind w:firstLine="448" w:firstLineChars="200"/>
        <w:outlineLvl w:val="0"/>
        <w:rPr>
          <w:sz w:val="24"/>
        </w:rPr>
      </w:pPr>
      <w:r>
        <w:rPr>
          <w:rFonts w:hint="eastAsia"/>
          <w:sz w:val="24"/>
        </w:rPr>
        <w:t>（一）风险管控总体要求</w:t>
      </w:r>
    </w:p>
    <w:p w14:paraId="58297D1F">
      <w:pPr>
        <w:spacing w:line="360" w:lineRule="auto"/>
        <w:ind w:firstLine="448" w:firstLineChars="200"/>
        <w:outlineLvl w:val="0"/>
        <w:rPr>
          <w:sz w:val="24"/>
        </w:rPr>
      </w:pPr>
      <w:r>
        <w:rPr>
          <w:rFonts w:hint="eastAsia"/>
          <w:sz w:val="24"/>
        </w:rPr>
        <w:t>供应商应针对本项目建立健全风险管理制度，明确风险管理责任和流程；加强项目团队人员管理，制定针对性的风险应对措施，避免因人员流动影响项目执行；建立项目实施风险预警机制，及时发现和应对系统运行风险，确保项目实施全过程系统平稳运行。</w:t>
      </w:r>
    </w:p>
    <w:p w14:paraId="13D07D5E">
      <w:pPr>
        <w:spacing w:line="360" w:lineRule="auto"/>
        <w:ind w:firstLine="448" w:firstLineChars="200"/>
        <w:outlineLvl w:val="0"/>
        <w:rPr>
          <w:sz w:val="24"/>
        </w:rPr>
      </w:pPr>
      <w:r>
        <w:rPr>
          <w:rFonts w:hint="eastAsia"/>
          <w:sz w:val="24"/>
        </w:rPr>
        <w:t>（二）风险管控具体要求</w:t>
      </w:r>
    </w:p>
    <w:p w14:paraId="4F72AA0E">
      <w:pPr>
        <w:spacing w:line="360" w:lineRule="auto"/>
        <w:ind w:firstLine="448" w:firstLineChars="200"/>
        <w:outlineLvl w:val="0"/>
        <w:rPr>
          <w:sz w:val="24"/>
        </w:rPr>
      </w:pPr>
      <w:r>
        <w:rPr>
          <w:rFonts w:hint="eastAsia"/>
          <w:sz w:val="24"/>
        </w:rPr>
        <w:t>1.风险管控内容要求</w:t>
      </w:r>
    </w:p>
    <w:p w14:paraId="799688E4">
      <w:pPr>
        <w:spacing w:line="360" w:lineRule="auto"/>
        <w:ind w:firstLine="448" w:firstLineChars="200"/>
        <w:outlineLvl w:val="0"/>
        <w:rPr>
          <w:sz w:val="24"/>
        </w:rPr>
      </w:pPr>
      <w:r>
        <w:rPr>
          <w:rFonts w:hint="eastAsia"/>
          <w:sz w:val="24"/>
        </w:rPr>
        <w:t>一是管控人员流动风险：制定合理的薪酬体系和激励机制，避免因人员流动影响项目执行；二是管控运维风险：加强监控预警和安全防护，规范运维操作流程，避免因各种原因导致的生产事故。</w:t>
      </w:r>
    </w:p>
    <w:p w14:paraId="3A2704AE">
      <w:pPr>
        <w:spacing w:line="360" w:lineRule="auto"/>
        <w:ind w:firstLine="448" w:firstLineChars="200"/>
        <w:outlineLvl w:val="0"/>
        <w:rPr>
          <w:sz w:val="24"/>
        </w:rPr>
      </w:pPr>
      <w:r>
        <w:rPr>
          <w:rFonts w:hint="eastAsia"/>
          <w:sz w:val="24"/>
        </w:rPr>
        <w:t>2.风险管控时间要求</w:t>
      </w:r>
    </w:p>
    <w:p w14:paraId="1101746A">
      <w:pPr>
        <w:spacing w:line="360" w:lineRule="auto"/>
        <w:ind w:firstLine="448" w:firstLineChars="200"/>
        <w:outlineLvl w:val="0"/>
        <w:rPr>
          <w:sz w:val="24"/>
        </w:rPr>
      </w:pPr>
      <w:r>
        <w:rPr>
          <w:rFonts w:hint="eastAsia"/>
          <w:sz w:val="24"/>
        </w:rPr>
        <w:t>签署合同后立即识别可能存在的风险；对已识别的风险进行评估和分析，确定风险的严重程度和影响范围；对已评估的风险进行持续监控，及时发现新风险；针对已识别的风险制定应对措施，并尽快实施。</w:t>
      </w:r>
    </w:p>
    <w:p w14:paraId="0C6D3B55">
      <w:pPr>
        <w:spacing w:line="360" w:lineRule="auto"/>
        <w:ind w:firstLine="448" w:firstLineChars="200"/>
        <w:outlineLvl w:val="0"/>
        <w:rPr>
          <w:sz w:val="24"/>
        </w:rPr>
      </w:pPr>
      <w:r>
        <w:rPr>
          <w:rFonts w:hint="eastAsia"/>
          <w:sz w:val="24"/>
        </w:rPr>
        <w:t>3.风险管控形式要求</w:t>
      </w:r>
    </w:p>
    <w:p w14:paraId="339078B9">
      <w:pPr>
        <w:spacing w:line="360" w:lineRule="auto"/>
        <w:ind w:firstLine="448" w:firstLineChars="200"/>
        <w:outlineLvl w:val="0"/>
        <w:rPr>
          <w:sz w:val="24"/>
        </w:rPr>
      </w:pPr>
      <w:r>
        <w:rPr>
          <w:rFonts w:hint="eastAsia"/>
          <w:sz w:val="24"/>
        </w:rPr>
        <w:t>制定风险管理计划，明确风险管理目标、范围和责任人；建立风险管理组织，确保风险管理工作的有效实施；制定风险管理流程，包括风险识别、评估、监控、应对和报告等环节。</w:t>
      </w:r>
    </w:p>
    <w:p w14:paraId="75148903">
      <w:pPr>
        <w:spacing w:line="360" w:lineRule="auto"/>
        <w:ind w:firstLine="448" w:firstLineChars="200"/>
        <w:outlineLvl w:val="0"/>
        <w:rPr>
          <w:sz w:val="24"/>
        </w:rPr>
      </w:pPr>
      <w:r>
        <w:rPr>
          <w:rFonts w:hint="eastAsia"/>
          <w:sz w:val="24"/>
        </w:rPr>
        <w:t>十三、履约验收要求</w:t>
      </w:r>
    </w:p>
    <w:p w14:paraId="10349204">
      <w:pPr>
        <w:pStyle w:val="35"/>
        <w:numPr>
          <w:ilvl w:val="1"/>
          <w:numId w:val="8"/>
        </w:numPr>
        <w:spacing w:line="360" w:lineRule="auto"/>
        <w:ind w:left="0" w:firstLine="446"/>
        <w:rPr>
          <w:sz w:val="24"/>
        </w:rPr>
      </w:pPr>
      <w:r>
        <w:rPr>
          <w:rFonts w:hint="eastAsia"/>
          <w:sz w:val="24"/>
        </w:rPr>
        <w:t>验收工作由采购人组织实施，采购人、供应商和第三方验收公司等共同参与。</w:t>
      </w:r>
    </w:p>
    <w:p w14:paraId="30B127F7">
      <w:pPr>
        <w:pStyle w:val="35"/>
        <w:numPr>
          <w:ilvl w:val="1"/>
          <w:numId w:val="8"/>
        </w:numPr>
        <w:spacing w:line="360" w:lineRule="auto"/>
        <w:ind w:left="0" w:firstLine="446"/>
        <w:rPr>
          <w:sz w:val="24"/>
        </w:rPr>
      </w:pPr>
      <w:r>
        <w:rPr>
          <w:rFonts w:hint="eastAsia"/>
          <w:sz w:val="24"/>
        </w:rPr>
        <w:t>供应商在满足验收条件后，提出项目验收申请，提交验收相关产出物，提供的各类文档应内容完整、描述清晰、经采购人确认后进行项目验收。</w:t>
      </w:r>
    </w:p>
    <w:p w14:paraId="0620193A">
      <w:pPr>
        <w:pStyle w:val="35"/>
        <w:numPr>
          <w:ilvl w:val="1"/>
          <w:numId w:val="8"/>
        </w:numPr>
        <w:spacing w:line="360" w:lineRule="auto"/>
        <w:ind w:left="0" w:firstLine="446"/>
        <w:rPr>
          <w:sz w:val="24"/>
        </w:rPr>
      </w:pPr>
      <w:r>
        <w:rPr>
          <w:rFonts w:hint="eastAsia"/>
          <w:sz w:val="24"/>
        </w:rPr>
        <w:t>以项目合同书、验收前双方确认的工作主要交付物、项目验收报告等作为验收依据。</w:t>
      </w:r>
    </w:p>
    <w:p w14:paraId="3C7F03E1">
      <w:pPr>
        <w:pStyle w:val="35"/>
        <w:numPr>
          <w:ilvl w:val="1"/>
          <w:numId w:val="8"/>
        </w:numPr>
        <w:spacing w:line="360" w:lineRule="auto"/>
        <w:ind w:left="0" w:firstLine="446"/>
        <w:rPr>
          <w:sz w:val="24"/>
        </w:rPr>
      </w:pPr>
      <w:r>
        <w:rPr>
          <w:rFonts w:hint="eastAsia"/>
          <w:sz w:val="24"/>
        </w:rPr>
        <w:t>在服务期限内，供应商派出的运维人员应随时监控系统运行状态，做好事件记录，按照要求出具系统运行监控报告。</w:t>
      </w:r>
    </w:p>
    <w:p w14:paraId="59BE4F21">
      <w:pPr>
        <w:pStyle w:val="35"/>
        <w:numPr>
          <w:ilvl w:val="1"/>
          <w:numId w:val="8"/>
        </w:numPr>
        <w:spacing w:line="360" w:lineRule="auto"/>
        <w:ind w:left="0" w:firstLine="446"/>
        <w:rPr>
          <w:sz w:val="24"/>
        </w:rPr>
      </w:pPr>
      <w:r>
        <w:rPr>
          <w:rFonts w:hint="eastAsia"/>
          <w:sz w:val="24"/>
        </w:rPr>
        <w:t>供应商按月提交工作日志和健康检查报告等运维产出物。提交报告数量、质量及采购人出具的评价意见作为验收依据。评价意见中工时统计来源至少包含考勤、堡垒机、工单、加班审批等数据。</w:t>
      </w:r>
    </w:p>
    <w:p w14:paraId="2D20DD01">
      <w:pPr>
        <w:spacing w:line="360" w:lineRule="auto"/>
        <w:ind w:firstLine="448" w:firstLineChars="200"/>
        <w:outlineLvl w:val="0"/>
        <w:rPr>
          <w:sz w:val="24"/>
        </w:rPr>
      </w:pPr>
      <w:r>
        <w:rPr>
          <w:rFonts w:hint="eastAsia"/>
          <w:sz w:val="24"/>
        </w:rPr>
        <w:t>十四、其他要求</w:t>
      </w:r>
    </w:p>
    <w:p w14:paraId="6A9CAEE1">
      <w:pPr>
        <w:widowControl/>
        <w:ind w:firstLine="448" w:firstLineChars="200"/>
        <w:jc w:val="left"/>
        <w:rPr>
          <w:sz w:val="24"/>
        </w:rPr>
      </w:pPr>
      <w:r>
        <w:rPr>
          <w:rFonts w:hint="eastAsia" w:ascii="宋体" w:hAnsi="宋体" w:cs="宋体"/>
          <w:sz w:val="24"/>
        </w:rPr>
        <w:t>★（一）</w:t>
      </w:r>
      <w:r>
        <w:rPr>
          <w:sz w:val="24"/>
        </w:rPr>
        <w:t>税收信息化项目开发和应用管理工作要求</w:t>
      </w:r>
    </w:p>
    <w:p w14:paraId="6153CA25">
      <w:pPr>
        <w:widowControl/>
        <w:ind w:firstLine="448" w:firstLineChars="200"/>
        <w:jc w:val="left"/>
        <w:rPr>
          <w:sz w:val="24"/>
        </w:rPr>
      </w:pPr>
      <w:r>
        <w:rPr>
          <w:rFonts w:hint="eastAsia"/>
          <w:sz w:val="24"/>
        </w:rPr>
        <w:t>供应商在采购以及后续项目实施过程中，应严格遵守税务总局税收信息化项目开发和应用管理工作要求。对于违反合同约定的，依据合同约定及政府采购有关规定，采购人可采取要求限期改正、在应付合同金额中扣除违约金、解除合同等措施；对于存在严重违法失信行为的，由采购人按规定推送财政部纳入政府采购严重违法失信行为记录名单。</w:t>
      </w:r>
    </w:p>
    <w:p w14:paraId="70282B96">
      <w:pPr>
        <w:widowControl/>
        <w:ind w:firstLine="448" w:firstLineChars="200"/>
        <w:jc w:val="left"/>
        <w:rPr>
          <w:sz w:val="24"/>
        </w:rPr>
      </w:pPr>
      <w:r>
        <w:rPr>
          <w:rFonts w:hint="eastAsia" w:ascii="宋体" w:hAnsi="宋体" w:cs="宋体"/>
          <w:sz w:val="24"/>
        </w:rPr>
        <w:t>★（二）</w:t>
      </w:r>
      <w:r>
        <w:rPr>
          <w:sz w:val="24"/>
        </w:rPr>
        <w:t>供应链安全管理要求</w:t>
      </w:r>
    </w:p>
    <w:p w14:paraId="0E1692A1">
      <w:pPr>
        <w:widowControl/>
        <w:ind w:firstLine="448" w:firstLineChars="200"/>
        <w:jc w:val="left"/>
        <w:rPr>
          <w:sz w:val="24"/>
        </w:rPr>
      </w:pPr>
      <w:r>
        <w:rPr>
          <w:sz w:val="24"/>
        </w:rPr>
        <w:t xml:space="preserve">1、人员资格要求 </w:t>
      </w:r>
    </w:p>
    <w:p w14:paraId="5EACCD25">
      <w:pPr>
        <w:widowControl/>
        <w:ind w:firstLine="448" w:firstLineChars="200"/>
        <w:jc w:val="left"/>
        <w:rPr>
          <w:sz w:val="24"/>
        </w:rPr>
      </w:pPr>
      <w:r>
        <w:rPr>
          <w:sz w:val="24"/>
        </w:rPr>
        <w:t xml:space="preserve">（1）签订承诺书。供应商应严格落实国家税务总局网络安全和保密管理要求，承担技术支持人员的网络安全和保密管理责任，按采购人要求签订协议和承诺书。 </w:t>
      </w:r>
    </w:p>
    <w:p w14:paraId="10707CF4">
      <w:pPr>
        <w:widowControl/>
        <w:ind w:firstLine="448" w:firstLineChars="200"/>
        <w:jc w:val="left"/>
        <w:rPr>
          <w:sz w:val="24"/>
        </w:rPr>
      </w:pPr>
      <w:r>
        <w:rPr>
          <w:sz w:val="24"/>
        </w:rPr>
        <w:t xml:space="preserve">（2）开展背景审查。供应商承担技术支持人员背景审查工作，提供其身份证明、履历、家庭成员及主要社会关系、无犯罪记录证明等材料，并提交采购人进行备案。 </w:t>
      </w:r>
    </w:p>
    <w:p w14:paraId="001796DA">
      <w:pPr>
        <w:widowControl/>
        <w:ind w:firstLine="448" w:firstLineChars="200"/>
        <w:jc w:val="left"/>
        <w:rPr>
          <w:sz w:val="24"/>
        </w:rPr>
      </w:pPr>
      <w:r>
        <w:rPr>
          <w:sz w:val="24"/>
        </w:rPr>
        <w:t>（3）设置网络安全负责人（由</w:t>
      </w:r>
      <w:r>
        <w:rPr>
          <w:rFonts w:hint="eastAsia"/>
          <w:sz w:val="24"/>
        </w:rPr>
        <w:t>项目经理</w:t>
      </w:r>
      <w:r>
        <w:rPr>
          <w:sz w:val="24"/>
        </w:rPr>
        <w:t xml:space="preserve">兼任）。供应商为本项目配备一名网络安全负责人，该负责人具备独立决策能力并保持相对稳定，在项目实施的全过程负责网络安全工作，组织落实各项网络安全要求。 </w:t>
      </w:r>
    </w:p>
    <w:p w14:paraId="0CD9A41C">
      <w:pPr>
        <w:widowControl/>
        <w:ind w:firstLine="448" w:firstLineChars="200"/>
        <w:jc w:val="left"/>
        <w:rPr>
          <w:sz w:val="24"/>
        </w:rPr>
      </w:pPr>
      <w:r>
        <w:rPr>
          <w:sz w:val="24"/>
        </w:rPr>
        <w:t xml:space="preserve">2、日常行为规范要求 </w:t>
      </w:r>
    </w:p>
    <w:p w14:paraId="500A3F43">
      <w:pPr>
        <w:widowControl/>
        <w:ind w:firstLine="448" w:firstLineChars="200"/>
        <w:jc w:val="left"/>
        <w:rPr>
          <w:sz w:val="24"/>
        </w:rPr>
      </w:pPr>
      <w:r>
        <w:rPr>
          <w:sz w:val="24"/>
        </w:rPr>
        <w:t xml:space="preserve">（1）工作能力要求。供应商负责对技术支持人员进行资格条件、工作胜任力以及网络安全能力评估，对技术支持人员承担的工作进行安全保密风险分析，明确技术支持人员工作范围和边界，重点防范设备和资料失窃、误操作导致的软硬件故障、工作秘密和税费数据等信息泄露、信息系统越权访问和网络攻击等风险。 </w:t>
      </w:r>
    </w:p>
    <w:p w14:paraId="66623011">
      <w:pPr>
        <w:widowControl/>
        <w:ind w:firstLine="448" w:firstLineChars="200"/>
        <w:jc w:val="left"/>
        <w:rPr>
          <w:sz w:val="24"/>
        </w:rPr>
      </w:pPr>
      <w:r>
        <w:rPr>
          <w:sz w:val="24"/>
        </w:rPr>
        <w:t xml:space="preserve">（2）教育培训要求。供应商负责对技术支持人员进行网络和数据安全法律法规、网络安全意识、网络安全管理、网络安全技能、保密意识以及网络安全警示教育等培训，上岗前对其进行考核。 </w:t>
      </w:r>
    </w:p>
    <w:p w14:paraId="79A850B7">
      <w:pPr>
        <w:widowControl/>
        <w:ind w:firstLine="448" w:firstLineChars="200"/>
        <w:jc w:val="left"/>
        <w:rPr>
          <w:sz w:val="24"/>
        </w:rPr>
      </w:pPr>
      <w:r>
        <w:rPr>
          <w:sz w:val="24"/>
        </w:rPr>
        <w:t xml:space="preserve">3、违约惩戒措施 </w:t>
      </w:r>
    </w:p>
    <w:p w14:paraId="2E27991B">
      <w:pPr>
        <w:widowControl/>
        <w:ind w:firstLine="448" w:firstLineChars="200"/>
        <w:jc w:val="left"/>
        <w:rPr>
          <w:sz w:val="24"/>
        </w:rPr>
      </w:pPr>
      <w:r>
        <w:rPr>
          <w:sz w:val="24"/>
        </w:rPr>
        <w:t>供应商对供应链安全管理责任落实不到位，造成安全事件或产生不良影响的，采购人按照法律法规及合同约定进行处理。</w:t>
      </w:r>
    </w:p>
    <w:p w14:paraId="77E79390">
      <w:pPr>
        <w:widowControl/>
        <w:ind w:firstLine="448" w:firstLineChars="200"/>
        <w:jc w:val="left"/>
        <w:rPr>
          <w:rFonts w:ascii="宋体" w:hAnsi="宋体" w:cs="宋体"/>
          <w:sz w:val="24"/>
        </w:rPr>
      </w:pPr>
      <w:r>
        <w:rPr>
          <w:rFonts w:hint="eastAsia" w:ascii="宋体" w:hAnsi="宋体" w:cs="宋体"/>
          <w:sz w:val="24"/>
        </w:rPr>
        <w:t>★（三）信息化服务项目人员要求</w:t>
      </w:r>
    </w:p>
    <w:p w14:paraId="62913FC5">
      <w:pPr>
        <w:widowControl/>
        <w:ind w:firstLine="448" w:firstLineChars="200"/>
        <w:jc w:val="left"/>
        <w:rPr>
          <w:rFonts w:ascii="宋体" w:hAnsi="宋体" w:cs="宋体"/>
          <w:sz w:val="24"/>
        </w:rPr>
      </w:pPr>
      <w:r>
        <w:rPr>
          <w:rFonts w:hint="eastAsia" w:ascii="宋体" w:hAnsi="宋体" w:cs="宋体"/>
          <w:sz w:val="24"/>
        </w:rPr>
        <w:t>本项目涉及信息化服务项目人员的，项目人员应当是中标单位的正式人员，或者是与中标单位签订1年以上劳动合同且实际工作满1年的人员，项目人员应当为技术骨干。</w:t>
      </w:r>
    </w:p>
    <w:p w14:paraId="0D8CFE70">
      <w:pPr>
        <w:widowControl/>
        <w:ind w:firstLine="448" w:firstLineChars="200"/>
        <w:jc w:val="left"/>
        <w:rPr>
          <w:sz w:val="24"/>
        </w:rPr>
      </w:pPr>
      <w:r>
        <w:rPr>
          <w:sz w:val="24"/>
        </w:rPr>
        <w:t>（四）运行维护保障要求</w:t>
      </w:r>
    </w:p>
    <w:p w14:paraId="61738089">
      <w:pPr>
        <w:widowControl/>
        <w:ind w:firstLine="448" w:firstLineChars="200"/>
        <w:jc w:val="left"/>
        <w:rPr>
          <w:sz w:val="24"/>
        </w:rPr>
      </w:pPr>
      <w:r>
        <w:rPr>
          <w:sz w:val="24"/>
        </w:rPr>
        <w:t>1.供应商在运行维护中出现运行故障（不可抗力因素除外）或发现违规操作，30分钟内未主动上报采购单位的，给予警告，并按次扣除合同总价款1‰的金额；合同生效期间累计扣除不超过合同总价款5%的金额。</w:t>
      </w:r>
    </w:p>
    <w:p w14:paraId="2B094460">
      <w:pPr>
        <w:widowControl/>
        <w:ind w:firstLine="448" w:firstLineChars="200"/>
        <w:jc w:val="left"/>
        <w:rPr>
          <w:sz w:val="24"/>
        </w:rPr>
      </w:pPr>
      <w:r>
        <w:rPr>
          <w:sz w:val="24"/>
        </w:rPr>
        <w:t>2.供应商在运行维护中出现巡检不及时、不到位的，按次扣除合同总价款1‰的金额；合同生效期间累计扣除不超过合同总价款的5%。</w:t>
      </w:r>
    </w:p>
    <w:p w14:paraId="22E1CBFE">
      <w:pPr>
        <w:widowControl/>
        <w:ind w:firstLine="448" w:firstLineChars="200"/>
        <w:jc w:val="left"/>
        <w:rPr>
          <w:sz w:val="24"/>
        </w:rPr>
      </w:pPr>
      <w:r>
        <w:rPr>
          <w:sz w:val="24"/>
        </w:rPr>
        <w:t>3.供应商负责运维业务系统出现运行故障（不可抗力因素除外），采购人将根据故障频率和恢复时间（故障频率和持续时间判定以采购人通报为准），扣除合同总价款一定比例的金额。运行故障频繁造成全年系统可用性低于99%，按次扣除合同总价款1%的金额；运行故障4小时≤持续时间＜8小时的，按次扣除合同总价款5‰的金额；运行故障8小时≤持续时间＜12小时的，按次扣除合同总价款1%的金额；运行故障持续时间≥12小时的，按次扣除合同总价款5%的金额；隐瞒故障、篡改监控数据和系统日志，按次扣除合同总价款5%的金额。</w:t>
      </w:r>
    </w:p>
    <w:p w14:paraId="5DCAB884">
      <w:pPr>
        <w:widowControl/>
        <w:ind w:firstLine="448" w:firstLineChars="200"/>
        <w:jc w:val="left"/>
        <w:rPr>
          <w:sz w:val="24"/>
        </w:rPr>
      </w:pPr>
      <w:r>
        <w:rPr>
          <w:sz w:val="24"/>
        </w:rPr>
        <w:t>（</w:t>
      </w:r>
      <w:r>
        <w:rPr>
          <w:rFonts w:hint="eastAsia"/>
          <w:sz w:val="24"/>
        </w:rPr>
        <w:t>五</w:t>
      </w:r>
      <w:r>
        <w:rPr>
          <w:sz w:val="24"/>
        </w:rPr>
        <w:t>）廉政要求</w:t>
      </w:r>
    </w:p>
    <w:p w14:paraId="5A0F4932">
      <w:pPr>
        <w:widowControl/>
        <w:ind w:firstLine="448" w:firstLineChars="200"/>
        <w:jc w:val="left"/>
        <w:rPr>
          <w:sz w:val="24"/>
        </w:rPr>
      </w:pPr>
      <w:r>
        <w:rPr>
          <w:rFonts w:hint="eastAsia"/>
          <w:sz w:val="24"/>
        </w:rPr>
        <w:t>供应商在参与税务部门信息化项目工作过程中，需严格遵守法律法规、规范履行合同，积极协助税务部门开展廉政风险防控工作，严格遵守并落实如下要求：</w:t>
      </w:r>
    </w:p>
    <w:p w14:paraId="412409DF">
      <w:pPr>
        <w:widowControl/>
        <w:ind w:firstLine="448" w:firstLineChars="200"/>
        <w:jc w:val="left"/>
        <w:rPr>
          <w:sz w:val="24"/>
        </w:rPr>
      </w:pPr>
      <w:r>
        <w:rPr>
          <w:rFonts w:hint="eastAsia"/>
          <w:sz w:val="24"/>
        </w:rPr>
        <w:t>1、积极发挥廉政风险防控正向作用</w:t>
      </w:r>
    </w:p>
    <w:p w14:paraId="4E7C71EC">
      <w:pPr>
        <w:widowControl/>
        <w:ind w:firstLine="448" w:firstLineChars="200"/>
        <w:jc w:val="left"/>
        <w:rPr>
          <w:sz w:val="24"/>
        </w:rPr>
      </w:pPr>
      <w:r>
        <w:rPr>
          <w:rFonts w:hint="eastAsia"/>
          <w:sz w:val="24"/>
        </w:rPr>
        <w:t>供应商有义务配合税务部门在信息化项目工作中加强廉政风险防控，执行有关措施。</w:t>
      </w:r>
    </w:p>
    <w:p w14:paraId="5100D90F">
      <w:pPr>
        <w:widowControl/>
        <w:ind w:firstLine="448" w:firstLineChars="200"/>
        <w:jc w:val="left"/>
        <w:rPr>
          <w:sz w:val="24"/>
        </w:rPr>
      </w:pPr>
      <w:r>
        <w:rPr>
          <w:rFonts w:hint="eastAsia"/>
          <w:sz w:val="24"/>
        </w:rPr>
        <w:t>2、健全廉政风险防控机制</w:t>
      </w:r>
    </w:p>
    <w:p w14:paraId="78C061DA">
      <w:pPr>
        <w:widowControl/>
        <w:ind w:firstLine="448" w:firstLineChars="200"/>
        <w:jc w:val="left"/>
        <w:rPr>
          <w:sz w:val="24"/>
        </w:rPr>
      </w:pPr>
      <w:r>
        <w:rPr>
          <w:rFonts w:hint="eastAsia"/>
          <w:sz w:val="24"/>
        </w:rPr>
        <w:t>供应商有责任在项目管理机制中健全内部廉政防控措施，包括但不限于：对参与本项目的员工提出廉洁行为规范；指定专人对项目实施各环节进行廉政监督；在项目验收过程中提交本项目廉政情况报告等。</w:t>
      </w:r>
    </w:p>
    <w:p w14:paraId="4DD8CA37">
      <w:pPr>
        <w:widowControl/>
        <w:ind w:firstLine="448" w:firstLineChars="200"/>
        <w:jc w:val="left"/>
        <w:rPr>
          <w:sz w:val="24"/>
        </w:rPr>
      </w:pPr>
      <w:r>
        <w:rPr>
          <w:rFonts w:hint="eastAsia"/>
          <w:sz w:val="24"/>
        </w:rPr>
        <w:t>3、杜绝违纪违法行为</w:t>
      </w:r>
    </w:p>
    <w:p w14:paraId="14F88595">
      <w:pPr>
        <w:widowControl/>
        <w:ind w:firstLine="448" w:firstLineChars="200"/>
        <w:jc w:val="left"/>
        <w:rPr>
          <w:sz w:val="24"/>
        </w:rPr>
      </w:pPr>
      <w:r>
        <w:rPr>
          <w:rFonts w:hint="eastAsia"/>
          <w:sz w:val="24"/>
        </w:rPr>
        <w:t>供应商及相关项目人员必须严格遵守党纪国法，坚守职业道德，杜绝任何形式的利益输送、权力寻租等违纪违法行为，对采购人不得实施以下行为：</w:t>
      </w:r>
    </w:p>
    <w:p w14:paraId="0CCFAFB8">
      <w:pPr>
        <w:widowControl/>
        <w:ind w:firstLine="448" w:firstLineChars="200"/>
        <w:jc w:val="left"/>
        <w:rPr>
          <w:sz w:val="24"/>
        </w:rPr>
      </w:pPr>
      <w:r>
        <w:rPr>
          <w:rFonts w:hint="eastAsia"/>
          <w:sz w:val="24"/>
        </w:rPr>
        <w:t>（1）以各种形式和名义提供礼品、礼金、电子红包、支付凭证、商业预付卡、名贵特产、有价证券、股权、其他金融产品等财物。</w:t>
      </w:r>
    </w:p>
    <w:p w14:paraId="0E408476">
      <w:pPr>
        <w:widowControl/>
        <w:ind w:firstLine="448" w:firstLineChars="200"/>
        <w:jc w:val="left"/>
        <w:rPr>
          <w:sz w:val="24"/>
        </w:rPr>
      </w:pPr>
      <w:r>
        <w:rPr>
          <w:rFonts w:hint="eastAsia"/>
          <w:sz w:val="24"/>
        </w:rPr>
        <w:t>（2）以各种形式和名义提供宴请、旅游、健身、娱乐、私人会所等活动安排；代付加班餐费、打车费等。</w:t>
      </w:r>
    </w:p>
    <w:p w14:paraId="71EFD0F9">
      <w:pPr>
        <w:widowControl/>
        <w:ind w:firstLine="448" w:firstLineChars="200"/>
        <w:jc w:val="left"/>
        <w:rPr>
          <w:sz w:val="24"/>
        </w:rPr>
      </w:pPr>
      <w:r>
        <w:rPr>
          <w:rFonts w:hint="eastAsia"/>
          <w:sz w:val="24"/>
        </w:rPr>
        <w:t>（3）以讲课费、咨询费等名义，提供或变相提供报酬。</w:t>
      </w:r>
    </w:p>
    <w:p w14:paraId="46A4C75D">
      <w:pPr>
        <w:widowControl/>
        <w:ind w:firstLine="448" w:firstLineChars="200"/>
        <w:jc w:val="left"/>
        <w:rPr>
          <w:sz w:val="24"/>
        </w:rPr>
      </w:pPr>
      <w:r>
        <w:rPr>
          <w:rFonts w:hint="eastAsia"/>
          <w:sz w:val="24"/>
        </w:rPr>
        <w:t>（4）借款、借房、借车，报销应由个人负担的费用。</w:t>
      </w:r>
    </w:p>
    <w:p w14:paraId="2E6A8292">
      <w:pPr>
        <w:widowControl/>
        <w:ind w:firstLine="448" w:firstLineChars="200"/>
        <w:jc w:val="left"/>
        <w:rPr>
          <w:sz w:val="24"/>
        </w:rPr>
      </w:pPr>
      <w:r>
        <w:rPr>
          <w:rFonts w:hint="eastAsia"/>
          <w:sz w:val="24"/>
        </w:rPr>
        <w:t>（5）以无偿、象征性地收取费用等方式提供家政、司机等服务劳务。</w:t>
      </w:r>
    </w:p>
    <w:p w14:paraId="404A19BF">
      <w:pPr>
        <w:widowControl/>
        <w:ind w:firstLine="448" w:firstLineChars="200"/>
        <w:jc w:val="left"/>
        <w:rPr>
          <w:sz w:val="24"/>
        </w:rPr>
      </w:pPr>
      <w:r>
        <w:rPr>
          <w:rFonts w:hint="eastAsia"/>
          <w:sz w:val="24"/>
        </w:rPr>
        <w:t>（6）其他通过任何形式行贿或输送利益的行为。</w:t>
      </w:r>
    </w:p>
    <w:p w14:paraId="0F0D46FE">
      <w:pPr>
        <w:widowControl/>
        <w:ind w:firstLine="448" w:firstLineChars="200"/>
        <w:jc w:val="left"/>
        <w:rPr>
          <w:sz w:val="24"/>
        </w:rPr>
      </w:pPr>
      <w:r>
        <w:rPr>
          <w:rFonts w:hint="eastAsia"/>
          <w:sz w:val="24"/>
        </w:rPr>
        <w:t>4、信守承诺</w:t>
      </w:r>
    </w:p>
    <w:p w14:paraId="10C9A049">
      <w:pPr>
        <w:widowControl/>
        <w:ind w:firstLine="448" w:firstLineChars="200"/>
        <w:jc w:val="left"/>
        <w:rPr>
          <w:sz w:val="24"/>
        </w:rPr>
      </w:pPr>
      <w:r>
        <w:rPr>
          <w:rFonts w:hint="eastAsia"/>
          <w:sz w:val="24"/>
        </w:rPr>
        <w:t>供应商应承诺在项目实施过程中，严格遵守国家法律法规合法、诚信经营，杜绝商业贿赂、规范经营活动、公开透明合作、严格内部管理，并签订《税务信息化项目服务商廉洁承诺书》</w:t>
      </w:r>
      <w:r>
        <w:rPr>
          <w:sz w:val="24"/>
        </w:rPr>
        <w:t>（格式详见附件A）</w:t>
      </w:r>
      <w:r>
        <w:rPr>
          <w:rFonts w:hint="eastAsia"/>
          <w:sz w:val="24"/>
        </w:rPr>
        <w:t>提交采购人负责项目实施的单位。</w:t>
      </w:r>
    </w:p>
    <w:p w14:paraId="448E6912">
      <w:pPr>
        <w:widowControl/>
        <w:ind w:firstLine="448" w:firstLineChars="200"/>
        <w:jc w:val="left"/>
        <w:rPr>
          <w:sz w:val="24"/>
        </w:rPr>
      </w:pPr>
      <w:r>
        <w:rPr>
          <w:rFonts w:hint="eastAsia"/>
          <w:sz w:val="24"/>
        </w:rPr>
        <w:t>5、自觉接受监管</w:t>
      </w:r>
    </w:p>
    <w:p w14:paraId="39426FE4">
      <w:pPr>
        <w:widowControl/>
        <w:ind w:firstLine="448" w:firstLineChars="200"/>
        <w:jc w:val="left"/>
        <w:rPr>
          <w:sz w:val="24"/>
        </w:rPr>
      </w:pPr>
      <w:r>
        <w:rPr>
          <w:rFonts w:hint="eastAsia"/>
          <w:sz w:val="24"/>
        </w:rPr>
        <w:t>供应商有义务配合税务机关的正常业务监管以及纪检监察、外部审计、督察内审等监督机构对税务信息化项目全过程的监督检查工作，如实提供相关资料和信息，不得隐瞒、篡改或销毁与项目建设有关的文件、数据等资料。</w:t>
      </w:r>
    </w:p>
    <w:p w14:paraId="256CD495">
      <w:pPr>
        <w:widowControl/>
        <w:ind w:firstLine="448" w:firstLineChars="200"/>
        <w:jc w:val="left"/>
        <w:rPr>
          <w:sz w:val="24"/>
        </w:rPr>
      </w:pPr>
      <w:r>
        <w:rPr>
          <w:rFonts w:hint="eastAsia"/>
          <w:sz w:val="24"/>
        </w:rPr>
        <w:t>6、举报和反馈意见</w:t>
      </w:r>
    </w:p>
    <w:p w14:paraId="6059E7AC">
      <w:pPr>
        <w:widowControl/>
        <w:ind w:firstLine="448" w:firstLineChars="200"/>
        <w:jc w:val="left"/>
        <w:rPr>
          <w:sz w:val="24"/>
        </w:rPr>
      </w:pPr>
      <w:r>
        <w:rPr>
          <w:rFonts w:hint="eastAsia"/>
          <w:sz w:val="24"/>
        </w:rPr>
        <w:t>项目执行过程中，供应商有权举报、反馈采购人索贿受贿、吃拿卡要、违反中央八项规定精神等违纪违法行为。项目验收前，应填写《税务信息化项目服务商廉政反馈书》</w:t>
      </w:r>
      <w:r>
        <w:rPr>
          <w:sz w:val="24"/>
        </w:rPr>
        <w:t>（格式详见附件A）</w:t>
      </w:r>
      <w:r>
        <w:rPr>
          <w:rFonts w:hint="eastAsia"/>
          <w:sz w:val="24"/>
        </w:rPr>
        <w:t>，提交采购人网络安全和信息化领导小组办公室。</w:t>
      </w:r>
    </w:p>
    <w:p w14:paraId="1ACA56A4">
      <w:pPr>
        <w:widowControl/>
        <w:ind w:firstLine="448" w:firstLineChars="200"/>
        <w:jc w:val="left"/>
        <w:rPr>
          <w:sz w:val="24"/>
        </w:rPr>
      </w:pPr>
      <w:r>
        <w:rPr>
          <w:rFonts w:hint="eastAsia"/>
          <w:sz w:val="24"/>
        </w:rPr>
        <w:t>（六）违约责任要求</w:t>
      </w:r>
    </w:p>
    <w:p w14:paraId="672708CE">
      <w:pPr>
        <w:widowControl/>
        <w:ind w:firstLine="448" w:firstLineChars="200"/>
        <w:jc w:val="left"/>
        <w:rPr>
          <w:sz w:val="24"/>
        </w:rPr>
      </w:pPr>
      <w:r>
        <w:rPr>
          <w:rFonts w:hint="eastAsia"/>
          <w:sz w:val="24"/>
        </w:rPr>
        <w:t>1.供应商违反合同约定内容且造成不良后果的，评审过程中被认定以明显低于成本的报价恶意竞标的，另行开发销售合同业务需求范围内软件供纳税人使用的，以及一年内发生2次及以上一般失信行为的，按照规定认定供应商失信行为，并将其失信行为报送税务总局网信办。</w:t>
      </w:r>
    </w:p>
    <w:p w14:paraId="17647FB8">
      <w:pPr>
        <w:widowControl/>
        <w:ind w:firstLine="448" w:firstLineChars="200"/>
        <w:jc w:val="left"/>
        <w:rPr>
          <w:sz w:val="24"/>
        </w:rPr>
      </w:pPr>
      <w:r>
        <w:rPr>
          <w:rFonts w:hint="eastAsia"/>
          <w:sz w:val="24"/>
        </w:rPr>
        <w:t>2.供应商违规聘用离职税务人员的，按照规定认定供应商失信行为，并将其失信行为报送税务总局网信办。</w:t>
      </w:r>
    </w:p>
    <w:p w14:paraId="0F346001">
      <w:pPr>
        <w:widowControl/>
        <w:ind w:firstLine="448" w:firstLineChars="200"/>
        <w:jc w:val="left"/>
        <w:rPr>
          <w:sz w:val="24"/>
        </w:rPr>
      </w:pPr>
      <w:r>
        <w:rPr>
          <w:rFonts w:hint="eastAsia"/>
          <w:sz w:val="24"/>
        </w:rPr>
        <w:t>3.供应商利用为税务机关提供信息化服务便利向纳税人缴费人搭车收费或变相收费的，以及存在国家税务总局发票电子化改革（金税四期）领导小组办公室认定的失信行为的，按照规定认定供应商失信行为，并将其失信行为报送税务总局网信办。</w:t>
      </w:r>
    </w:p>
    <w:p w14:paraId="2F0FE460">
      <w:pPr>
        <w:widowControl/>
        <w:ind w:firstLine="448" w:firstLineChars="200"/>
        <w:jc w:val="left"/>
        <w:rPr>
          <w:sz w:val="24"/>
        </w:rPr>
      </w:pPr>
      <w:r>
        <w:rPr>
          <w:rFonts w:hint="eastAsia"/>
          <w:sz w:val="24"/>
        </w:rPr>
        <w:t>4.供应商违反网络安全管理规定并造成不良后果的，攻击或侵入税务信息系统（包括CA等）的，以及存在“围猎”税务人员失信行为的，按照规定认定供应商失信行为，并将其失信行为报送税务总局网信办。</w:t>
      </w:r>
    </w:p>
    <w:p w14:paraId="4C8FCD9F">
      <w:pPr>
        <w:widowControl/>
        <w:ind w:firstLine="448" w:firstLineChars="200"/>
        <w:jc w:val="left"/>
        <w:rPr>
          <w:sz w:val="24"/>
        </w:rPr>
      </w:pPr>
      <w:r>
        <w:rPr>
          <w:rFonts w:hint="eastAsia"/>
          <w:sz w:val="24"/>
        </w:rPr>
        <w:t>5.供应商存在其他严重失信行为的，经相关部门分析研判，按照规定认定供应商失信行为，并将其失信行为报送税务总局网信办。</w:t>
      </w:r>
    </w:p>
    <w:p w14:paraId="07106308">
      <w:pPr>
        <w:widowControl/>
        <w:ind w:firstLine="448" w:firstLineChars="200"/>
        <w:jc w:val="left"/>
        <w:rPr>
          <w:sz w:val="24"/>
        </w:rPr>
      </w:pPr>
      <w:r>
        <w:rPr>
          <w:rFonts w:hint="eastAsia"/>
          <w:sz w:val="24"/>
        </w:rPr>
        <w:t>（七）知识产权要求</w:t>
      </w:r>
    </w:p>
    <w:p w14:paraId="0A759A6A">
      <w:pPr>
        <w:widowControl/>
        <w:ind w:firstLine="448" w:firstLineChars="200"/>
        <w:jc w:val="left"/>
        <w:rPr>
          <w:sz w:val="24"/>
        </w:rPr>
      </w:pPr>
      <w:r>
        <w:rPr>
          <w:rFonts w:hint="eastAsia"/>
          <w:sz w:val="24"/>
        </w:rPr>
        <w:t>采购人对项目实施过程中所产生的所有成果（包括发明、发现、可运行系统、源代码及相关技术资料、文档等）享有所有权（永久使用权、复制权和修改权等）。除本项目工作所需外，未经采购人书面同意，供应商不得擅自使用、复制采购人的商标、标志、数据信息、文档及其他资料。</w:t>
      </w:r>
    </w:p>
    <w:p w14:paraId="7759BB53">
      <w:pPr>
        <w:widowControl/>
        <w:ind w:firstLine="448" w:firstLineChars="200"/>
        <w:jc w:val="left"/>
        <w:rPr>
          <w:sz w:val="24"/>
        </w:rPr>
      </w:pPr>
      <w:r>
        <w:rPr>
          <w:rFonts w:hint="eastAsia"/>
          <w:sz w:val="24"/>
        </w:rPr>
        <w:t>供应商应保证在本项目中所有预装和为本项目安装的软件为在中国境内具有合法版权或使用权的正版软件且无质量瑕疵。</w:t>
      </w:r>
    </w:p>
    <w:p w14:paraId="347C378A">
      <w:pPr>
        <w:widowControl/>
        <w:ind w:firstLine="448" w:firstLineChars="200"/>
        <w:jc w:val="left"/>
        <w:rPr>
          <w:sz w:val="24"/>
        </w:rPr>
      </w:pPr>
      <w:r>
        <w:rPr>
          <w:rFonts w:hint="eastAsia"/>
          <w:sz w:val="24"/>
        </w:rPr>
        <w:t>供应商应保证其所提供的产品及服务不侵犯第三方的知识产权，否则，由此给采购人造成的一切损失由供应商承担。</w:t>
      </w:r>
    </w:p>
    <w:p w14:paraId="34155860">
      <w:pPr>
        <w:widowControl/>
        <w:ind w:firstLine="448" w:firstLineChars="200"/>
        <w:jc w:val="left"/>
        <w:rPr>
          <w:sz w:val="24"/>
        </w:rPr>
      </w:pPr>
    </w:p>
    <w:p w14:paraId="7F891017">
      <w:pPr>
        <w:widowControl/>
        <w:ind w:firstLine="448" w:firstLineChars="200"/>
        <w:jc w:val="left"/>
        <w:rPr>
          <w:sz w:val="24"/>
        </w:rPr>
      </w:pPr>
    </w:p>
    <w:p w14:paraId="5FBAD94C">
      <w:pPr>
        <w:widowControl/>
        <w:ind w:firstLine="448" w:firstLineChars="200"/>
        <w:jc w:val="left"/>
        <w:rPr>
          <w:sz w:val="24"/>
        </w:rPr>
      </w:pPr>
    </w:p>
    <w:p w14:paraId="3BDFF0EF">
      <w:pPr>
        <w:widowControl/>
        <w:ind w:firstLine="448" w:firstLineChars="200"/>
        <w:jc w:val="left"/>
        <w:rPr>
          <w:sz w:val="24"/>
        </w:rPr>
      </w:pPr>
    </w:p>
    <w:p w14:paraId="45FE04B6">
      <w:pPr>
        <w:widowControl/>
        <w:ind w:firstLine="448" w:firstLineChars="200"/>
        <w:jc w:val="left"/>
        <w:rPr>
          <w:sz w:val="24"/>
        </w:rPr>
      </w:pPr>
    </w:p>
    <w:p w14:paraId="7A52FAC2">
      <w:pPr>
        <w:widowControl/>
        <w:ind w:firstLine="448" w:firstLineChars="200"/>
        <w:jc w:val="left"/>
        <w:rPr>
          <w:sz w:val="24"/>
        </w:rPr>
      </w:pPr>
    </w:p>
    <w:p w14:paraId="2C1C73F0">
      <w:pPr>
        <w:widowControl/>
        <w:jc w:val="left"/>
        <w:rPr>
          <w:sz w:val="24"/>
        </w:rPr>
      </w:pPr>
    </w:p>
    <w:p w14:paraId="14E1E6E7">
      <w:pPr>
        <w:widowControl/>
        <w:ind w:firstLine="448" w:firstLineChars="200"/>
        <w:jc w:val="left"/>
        <w:rPr>
          <w:sz w:val="24"/>
        </w:rPr>
      </w:pPr>
    </w:p>
    <w:p w14:paraId="10C88D0C">
      <w:pPr>
        <w:widowControl/>
        <w:jc w:val="left"/>
        <w:rPr>
          <w:sz w:val="24"/>
        </w:rPr>
      </w:pPr>
      <w:r>
        <w:rPr>
          <w:sz w:val="24"/>
        </w:rPr>
        <w:br w:type="page"/>
      </w:r>
    </w:p>
    <w:p w14:paraId="156B4746">
      <w:pPr>
        <w:widowControl/>
        <w:ind w:firstLine="448" w:firstLineChars="200"/>
        <w:jc w:val="left"/>
        <w:rPr>
          <w:sz w:val="24"/>
        </w:rPr>
      </w:pPr>
      <w:r>
        <w:rPr>
          <w:sz w:val="24"/>
        </w:rPr>
        <w:t>附件A：</w:t>
      </w:r>
    </w:p>
    <w:p w14:paraId="4EC7E71D">
      <w:pPr>
        <w:pStyle w:val="56"/>
        <w:spacing w:line="360" w:lineRule="auto"/>
        <w:jc w:val="center"/>
        <w:rPr>
          <w:rFonts w:asciiTheme="minorEastAsia" w:hAnsiTheme="minorEastAsia"/>
          <w:lang w:eastAsia="zh-CN"/>
        </w:rPr>
      </w:pPr>
      <w:r>
        <w:rPr>
          <w:rFonts w:asciiTheme="minorEastAsia" w:hAnsiTheme="minorEastAsia"/>
          <w:b/>
          <w:bCs/>
          <w:sz w:val="28"/>
          <w:szCs w:val="28"/>
          <w:lang w:eastAsia="zh-CN"/>
        </w:rPr>
        <w:t>税务信息化服务商廉洁承诺书</w:t>
      </w:r>
    </w:p>
    <w:p w14:paraId="0E6A3A7D">
      <w:pPr>
        <w:pStyle w:val="56"/>
        <w:spacing w:line="360" w:lineRule="auto"/>
        <w:ind w:firstLine="560"/>
        <w:rPr>
          <w:lang w:eastAsia="zh-CN"/>
        </w:rPr>
      </w:pPr>
      <w:r>
        <w:rPr>
          <w:rFonts w:eastAsia="仿宋_GB2312"/>
          <w:sz w:val="28"/>
          <w:szCs w:val="28"/>
          <w:lang w:eastAsia="zh-CN"/>
        </w:rPr>
        <w:t> </w:t>
      </w:r>
    </w:p>
    <w:p w14:paraId="76DEFA1D">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为深入贯彻落实党中央关于全面从严治党的决策部署，进一步加强税务信息化项目合作中的廉政建设，防范廉政风险发生，确保项目公开、公平、公正推进，我司郑重承诺如下：</w:t>
      </w:r>
    </w:p>
    <w:p w14:paraId="4A436749">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一、合法合规经营。严格遵守国家法律法规及税务部门的相关规定，坚持廉洁从业、诚信经营的原则。在合作过程中不以任何形式进行利益输送，维护良好的政商关系。</w:t>
      </w:r>
    </w:p>
    <w:p w14:paraId="6A53AE8C">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二、杜绝商业贿赂。加强内部管理，我司及我司员工均不对采购人工作人员实施以下行为：</w:t>
      </w:r>
    </w:p>
    <w:p w14:paraId="6E0AA7B0">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（一）以各种形式和名义提供礼品、礼金、电子红包、支付凭证、商业预付卡、名贵特产、有价证券、股权、其他金融产品等财物。</w:t>
      </w:r>
    </w:p>
    <w:p w14:paraId="5BE00C06">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（二）以各种形式和名义提供宴请、旅游、健身、娱乐、私人会所等活动安排；代付加班餐费、打车费等。</w:t>
      </w:r>
    </w:p>
    <w:p w14:paraId="4B5E0C46">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（三）以讲课费、咨询费等名义，提供或变相提供报酬。</w:t>
      </w:r>
    </w:p>
    <w:p w14:paraId="66F2BAE4">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（四）借款、借房、借车，报销应由个人负担的费用。</w:t>
      </w:r>
    </w:p>
    <w:p w14:paraId="3922BF2A">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（五）以无偿、象征性地收取费用等方式提供家政、司机等服务劳务。</w:t>
      </w:r>
    </w:p>
    <w:p w14:paraId="14C8B1BC">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（六）其他通过任何形式行贿或输送利益的行为。</w:t>
      </w:r>
    </w:p>
    <w:p w14:paraId="612EDBE3">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三、规范经营活动。严格按照合同约定履行义务，保证项目质量，按时完成建设任务；在合作过程中不以任何借口拖延工期、虚报成本或谋取私利。</w:t>
      </w:r>
    </w:p>
    <w:p w14:paraId="454E8E5F">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四、公开透明合作。我司承诺在项目实施过程中保持公开透明，主动接受税务部门及纪检监察机构的全程监督，并积极配合任何有关廉洁从业的调查工作。</w:t>
      </w:r>
    </w:p>
    <w:p w14:paraId="62181C29">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五、严格内部管理。加强企业内部廉洁教育，确保员工知晓并遵守相关法律法规及廉洁要求；加强项目实施全过程廉洁监督；对于违反廉洁承诺的员工，将严肃处理，并承担相应责任。</w:t>
      </w:r>
    </w:p>
    <w:p w14:paraId="46F316AB">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六、积极参与监督。在税务信息化项目实施过程中，如发现任何违纪违法行为，将如实反馈问题和意见。</w:t>
      </w:r>
    </w:p>
    <w:p w14:paraId="24DF66DF">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    </w:t>
      </w:r>
    </w:p>
    <w:p w14:paraId="03C5D93A">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承诺单位（盖章）：_________________________</w:t>
      </w:r>
    </w:p>
    <w:p w14:paraId="4824332D">
      <w:pPr>
        <w:pStyle w:val="56"/>
        <w:spacing w:line="360" w:lineRule="auto"/>
        <w:ind w:firstLine="560"/>
        <w:rPr>
          <w:rFonts w:asciiTheme="minorEastAsia" w:hAnsiTheme="minorEastAsia"/>
          <w:sz w:val="21"/>
          <w:szCs w:val="21"/>
          <w:lang w:eastAsia="zh-CN"/>
        </w:rPr>
      </w:pPr>
      <w:r>
        <w:rPr>
          <w:rFonts w:asciiTheme="minorEastAsia" w:hAnsiTheme="minorEastAsia"/>
          <w:sz w:val="21"/>
          <w:szCs w:val="21"/>
          <w:lang w:eastAsia="zh-CN"/>
        </w:rPr>
        <w:t>法定代表人或授权代表签字：________________</w:t>
      </w:r>
    </w:p>
    <w:p w14:paraId="0C3891BB">
      <w:pPr>
        <w:pStyle w:val="56"/>
        <w:spacing w:line="360" w:lineRule="auto"/>
        <w:ind w:firstLine="560"/>
        <w:rPr>
          <w:sz w:val="21"/>
          <w:szCs w:val="21"/>
        </w:rPr>
      </w:pPr>
      <w:r>
        <w:rPr>
          <w:sz w:val="21"/>
          <w:szCs w:val="21"/>
        </w:rPr>
        <w:t>日期：XX年XX月XX日</w:t>
      </w:r>
    </w:p>
    <w:p w14:paraId="30A0FE99">
      <w:pPr>
        <w:pStyle w:val="55"/>
        <w:spacing w:line="360" w:lineRule="auto"/>
        <w:ind w:firstLine="490"/>
        <w:rPr>
          <w:rFonts w:asciiTheme="minorEastAsia" w:hAnsiTheme="minorEastAsia"/>
        </w:rPr>
      </w:pPr>
      <w:r>
        <w:rPr>
          <w:rFonts w:asciiTheme="minorEastAsia" w:hAnsiTheme="minorEastAsia"/>
          <w:sz w:val="28"/>
          <w:szCs w:val="28"/>
        </w:rPr>
        <w:t> </w:t>
      </w:r>
    </w:p>
    <w:p w14:paraId="04779B85">
      <w:pPr>
        <w:pStyle w:val="56"/>
        <w:spacing w:line="360" w:lineRule="auto"/>
        <w:jc w:val="center"/>
        <w:rPr>
          <w:rFonts w:eastAsia="仿宋_GB2312"/>
          <w:b/>
          <w:bCs/>
          <w:sz w:val="28"/>
          <w:szCs w:val="28"/>
          <w:lang w:eastAsia="zh-CN"/>
        </w:rPr>
      </w:pPr>
    </w:p>
    <w:p w14:paraId="3FB5C538">
      <w:pPr>
        <w:pStyle w:val="56"/>
        <w:spacing w:line="360" w:lineRule="auto"/>
        <w:jc w:val="center"/>
        <w:rPr>
          <w:rFonts w:eastAsia="仿宋_GB2312"/>
          <w:b/>
          <w:bCs/>
          <w:sz w:val="28"/>
          <w:szCs w:val="28"/>
          <w:lang w:eastAsia="zh-CN"/>
        </w:rPr>
      </w:pPr>
    </w:p>
    <w:p w14:paraId="25DF3974">
      <w:pPr>
        <w:pStyle w:val="56"/>
        <w:spacing w:line="360" w:lineRule="auto"/>
        <w:jc w:val="center"/>
        <w:rPr>
          <w:lang w:eastAsia="zh-CN"/>
        </w:rPr>
      </w:pPr>
      <w:r>
        <w:rPr>
          <w:rFonts w:eastAsia="仿宋_GB2312"/>
          <w:b/>
          <w:bCs/>
          <w:sz w:val="28"/>
          <w:szCs w:val="28"/>
          <w:lang w:eastAsia="zh-CN"/>
        </w:rPr>
        <w:t>税务信息化廉政情况反馈书</w:t>
      </w:r>
    </w:p>
    <w:p w14:paraId="6C3A026E">
      <w:pPr>
        <w:pStyle w:val="55"/>
        <w:spacing w:line="360" w:lineRule="auto"/>
        <w:ind w:firstLine="490"/>
        <w:rPr>
          <w:lang w:eastAsia="zh-CN"/>
        </w:rPr>
      </w:pPr>
      <w:r>
        <w:rPr>
          <w:rFonts w:eastAsia="Century Gothic"/>
          <w:lang w:eastAsia="zh-CN"/>
        </w:rPr>
        <w:t> </w:t>
      </w:r>
    </w:p>
    <w:tbl>
      <w:tblPr>
        <w:tblStyle w:val="57"/>
        <w:tblW w:w="9350" w:type="dxa"/>
        <w:jc w:val="center"/>
        <w:tblCellSpacing w:w="0" w:type="dxa"/>
        <w:tblLayout w:type="autofit"/>
        <w:tblCellMar>
          <w:top w:w="15" w:type="dxa"/>
          <w:left w:w="15" w:type="dxa"/>
          <w:bottom w:w="15" w:type="dxa"/>
          <w:right w:w="15" w:type="dxa"/>
        </w:tblCellMar>
      </w:tblPr>
      <w:tblGrid>
        <w:gridCol w:w="2372"/>
        <w:gridCol w:w="6978"/>
      </w:tblGrid>
      <w:tr w14:paraId="31B554F2">
        <w:trPr>
          <w:trHeight w:val="215" w:hRule="atLeast"/>
          <w:tblCellSpacing w:w="0" w:type="dxa"/>
          <w:jc w:val="center"/>
        </w:trPr>
        <w:tc>
          <w:tcPr>
            <w:tcW w:w="9882" w:type="dxa"/>
            <w:gridSpan w:val="2"/>
            <w:tcBorders>
              <w:top w:val="single" w:color="000000" w:sz="8" w:space="0"/>
              <w:left w:val="single" w:color="000000" w:sz="8" w:space="0"/>
              <w:bottom w:val="single" w:color="000000" w:sz="8" w:space="0"/>
              <w:right w:val="single" w:color="000000" w:sz="8" w:space="0"/>
            </w:tcBorders>
            <w:tcMar>
              <w:top w:w="0" w:type="dxa"/>
              <w:left w:w="128" w:type="dxa"/>
              <w:bottom w:w="0" w:type="dxa"/>
              <w:right w:w="128" w:type="dxa"/>
            </w:tcMar>
            <w:vAlign w:val="center"/>
          </w:tcPr>
          <w:p w14:paraId="599A3976">
            <w:pPr>
              <w:pStyle w:val="56"/>
              <w:adjustRightInd w:val="0"/>
              <w:snapToGrid w:val="0"/>
              <w:ind w:firstLine="481"/>
              <w:jc w:val="center"/>
              <w:textAlignment w:val="center"/>
              <w:rPr>
                <w:color w:val="000000"/>
                <w:sz w:val="21"/>
                <w:szCs w:val="21"/>
              </w:rPr>
            </w:pPr>
            <w:r>
              <w:rPr>
                <w:rFonts w:eastAsia="仿宋_GB2312"/>
                <w:b/>
                <w:bCs/>
                <w:color w:val="000000"/>
                <w:sz w:val="21"/>
                <w:szCs w:val="21"/>
              </w:rPr>
              <w:t>项目基本情况</w:t>
            </w:r>
          </w:p>
        </w:tc>
      </w:tr>
      <w:tr w14:paraId="077B178E">
        <w:trPr>
          <w:trHeight w:val="285"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7483212">
            <w:pPr>
              <w:pStyle w:val="56"/>
              <w:adjustRightInd w:val="0"/>
              <w:snapToGrid w:val="0"/>
              <w:jc w:val="both"/>
              <w:textAlignment w:val="center"/>
              <w:rPr>
                <w:color w:val="000000"/>
                <w:sz w:val="21"/>
                <w:szCs w:val="21"/>
              </w:rPr>
            </w:pPr>
            <w:r>
              <w:rPr>
                <w:rFonts w:eastAsia="仿宋_GB2312"/>
                <w:b/>
                <w:bCs/>
                <w:color w:val="333333"/>
                <w:sz w:val="21"/>
                <w:szCs w:val="21"/>
              </w:rPr>
              <w:t>项目名称（编号）</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3AB65B38">
            <w:pPr>
              <w:pStyle w:val="56"/>
              <w:adjustRightInd w:val="0"/>
              <w:snapToGrid w:val="0"/>
              <w:ind w:firstLine="480"/>
              <w:jc w:val="center"/>
              <w:textAlignment w:val="center"/>
              <w:rPr>
                <w:color w:val="000000"/>
                <w:sz w:val="21"/>
                <w:szCs w:val="21"/>
                <w:lang w:eastAsia="zh-CN"/>
              </w:rPr>
            </w:pPr>
            <w:r>
              <w:rPr>
                <w:rFonts w:eastAsia="仿宋_GB2312"/>
                <w:color w:val="333333"/>
                <w:sz w:val="21"/>
                <w:szCs w:val="21"/>
                <w:lang w:eastAsia="zh-CN"/>
              </w:rPr>
              <w:t>XXX税务信息化项目  项目编号</w:t>
            </w:r>
          </w:p>
        </w:tc>
      </w:tr>
      <w:tr w14:paraId="353930E9">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2C638C65">
            <w:pPr>
              <w:pStyle w:val="56"/>
              <w:adjustRightInd w:val="0"/>
              <w:snapToGrid w:val="0"/>
              <w:jc w:val="both"/>
              <w:textAlignment w:val="center"/>
              <w:rPr>
                <w:color w:val="000000"/>
                <w:sz w:val="21"/>
                <w:szCs w:val="21"/>
              </w:rPr>
            </w:pPr>
            <w:r>
              <w:rPr>
                <w:rFonts w:eastAsia="仿宋_GB2312"/>
                <w:b/>
                <w:bCs/>
                <w:color w:val="000000"/>
                <w:sz w:val="21"/>
                <w:szCs w:val="21"/>
              </w:rPr>
              <w:t>服务商名称</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613904F4">
            <w:pPr>
              <w:pStyle w:val="56"/>
              <w:adjustRightInd w:val="0"/>
              <w:snapToGrid w:val="0"/>
              <w:ind w:firstLine="480"/>
              <w:jc w:val="center"/>
              <w:textAlignment w:val="center"/>
              <w:rPr>
                <w:color w:val="000000"/>
                <w:sz w:val="21"/>
                <w:szCs w:val="21"/>
              </w:rPr>
            </w:pPr>
            <w:r>
              <w:rPr>
                <w:rFonts w:eastAsia="仿宋_GB2312"/>
                <w:color w:val="000000"/>
                <w:sz w:val="21"/>
                <w:szCs w:val="21"/>
              </w:rPr>
              <w:t>XXX公司</w:t>
            </w:r>
          </w:p>
        </w:tc>
      </w:tr>
      <w:tr w14:paraId="79807AD5">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71DAA906">
            <w:pPr>
              <w:pStyle w:val="56"/>
              <w:adjustRightInd w:val="0"/>
              <w:snapToGrid w:val="0"/>
              <w:jc w:val="both"/>
              <w:textAlignment w:val="center"/>
              <w:rPr>
                <w:color w:val="000000"/>
                <w:sz w:val="21"/>
                <w:szCs w:val="21"/>
              </w:rPr>
            </w:pPr>
            <w:r>
              <w:rPr>
                <w:rFonts w:eastAsia="仿宋_GB2312"/>
                <w:b/>
                <w:bCs/>
                <w:color w:val="000000"/>
                <w:sz w:val="21"/>
                <w:szCs w:val="21"/>
              </w:rPr>
              <w:t>联系人及电话</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0B50A648">
            <w:pPr>
              <w:pStyle w:val="56"/>
              <w:adjustRightInd w:val="0"/>
              <w:snapToGrid w:val="0"/>
              <w:ind w:firstLine="480"/>
              <w:jc w:val="center"/>
              <w:textAlignment w:val="center"/>
              <w:rPr>
                <w:color w:val="000000"/>
                <w:sz w:val="21"/>
                <w:szCs w:val="21"/>
                <w:lang w:eastAsia="zh-CN"/>
              </w:rPr>
            </w:pPr>
            <w:r>
              <w:rPr>
                <w:rFonts w:eastAsia="仿宋_GB2312"/>
                <w:color w:val="000000"/>
                <w:sz w:val="21"/>
                <w:szCs w:val="21"/>
                <w:lang w:eastAsia="zh-CN"/>
              </w:rPr>
              <w:t>联系人：  职务：   电话：123-4567890</w:t>
            </w:r>
          </w:p>
        </w:tc>
      </w:tr>
      <w:tr w14:paraId="6E5ABB4D">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4DEF20B">
            <w:pPr>
              <w:pStyle w:val="56"/>
              <w:adjustRightInd w:val="0"/>
              <w:snapToGrid w:val="0"/>
              <w:jc w:val="both"/>
              <w:textAlignment w:val="center"/>
              <w:rPr>
                <w:color w:val="000000"/>
                <w:sz w:val="21"/>
                <w:szCs w:val="21"/>
              </w:rPr>
            </w:pPr>
            <w:r>
              <w:rPr>
                <w:rFonts w:eastAsia="仿宋_GB2312"/>
                <w:b/>
                <w:bCs/>
                <w:color w:val="000000"/>
                <w:sz w:val="21"/>
                <w:szCs w:val="21"/>
              </w:rPr>
              <w:t>项目情况概述</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7D34C20F">
            <w:pPr>
              <w:pStyle w:val="56"/>
              <w:adjustRightInd w:val="0"/>
              <w:snapToGrid w:val="0"/>
              <w:ind w:firstLine="480"/>
              <w:jc w:val="center"/>
              <w:rPr>
                <w:color w:val="000000"/>
                <w:sz w:val="21"/>
                <w:szCs w:val="21"/>
              </w:rPr>
            </w:pPr>
            <w:r>
              <w:rPr>
                <w:rFonts w:eastAsia="仿宋_GB2312"/>
                <w:color w:val="000000"/>
                <w:sz w:val="21"/>
                <w:szCs w:val="21"/>
              </w:rPr>
              <w:t> </w:t>
            </w:r>
          </w:p>
        </w:tc>
      </w:tr>
      <w:tr w14:paraId="0F4091C5">
        <w:trPr>
          <w:trHeight w:val="700" w:hRule="atLeast"/>
          <w:tblCellSpacing w:w="0" w:type="dxa"/>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1D135CCF">
            <w:pPr>
              <w:pStyle w:val="56"/>
              <w:adjustRightInd w:val="0"/>
              <w:snapToGrid w:val="0"/>
              <w:ind w:firstLine="481"/>
              <w:jc w:val="center"/>
              <w:textAlignment w:val="center"/>
              <w:rPr>
                <w:color w:val="000000"/>
                <w:sz w:val="21"/>
                <w:szCs w:val="21"/>
              </w:rPr>
            </w:pPr>
            <w:r>
              <w:rPr>
                <w:rFonts w:eastAsia="仿宋_GB2312"/>
                <w:b/>
                <w:bCs/>
                <w:color w:val="000000"/>
                <w:sz w:val="21"/>
                <w:szCs w:val="21"/>
              </w:rPr>
              <w:t>廉洁承诺履行情况</w:t>
            </w:r>
          </w:p>
        </w:tc>
      </w:tr>
      <w:tr w14:paraId="72C105BD">
        <w:trPr>
          <w:trHeight w:val="285"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0A26AA4">
            <w:pPr>
              <w:pStyle w:val="56"/>
              <w:adjustRightInd w:val="0"/>
              <w:snapToGrid w:val="0"/>
              <w:jc w:val="both"/>
              <w:textAlignment w:val="center"/>
              <w:rPr>
                <w:color w:val="000000"/>
                <w:sz w:val="21"/>
                <w:szCs w:val="21"/>
              </w:rPr>
            </w:pPr>
            <w:r>
              <w:rPr>
                <w:rFonts w:eastAsia="仿宋_GB2312"/>
                <w:b/>
                <w:bCs/>
                <w:color w:val="333333"/>
                <w:sz w:val="21"/>
                <w:szCs w:val="21"/>
              </w:rPr>
              <w:t>反馈项</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2B136B4D">
            <w:pPr>
              <w:pStyle w:val="56"/>
              <w:adjustRightInd w:val="0"/>
              <w:snapToGrid w:val="0"/>
              <w:ind w:firstLine="2640"/>
              <w:jc w:val="both"/>
              <w:textAlignment w:val="center"/>
              <w:rPr>
                <w:color w:val="000000"/>
                <w:sz w:val="21"/>
                <w:szCs w:val="21"/>
              </w:rPr>
            </w:pPr>
            <w:r>
              <w:rPr>
                <w:rFonts w:eastAsia="仿宋_GB2312"/>
                <w:color w:val="333333"/>
                <w:sz w:val="21"/>
                <w:szCs w:val="21"/>
              </w:rPr>
              <w:t>反馈内容</w:t>
            </w:r>
          </w:p>
        </w:tc>
      </w:tr>
      <w:tr w14:paraId="7E4E2B03">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3C50D3B9">
            <w:pPr>
              <w:pStyle w:val="56"/>
              <w:adjustRightInd w:val="0"/>
              <w:snapToGrid w:val="0"/>
              <w:jc w:val="both"/>
              <w:textAlignment w:val="center"/>
              <w:rPr>
                <w:color w:val="000000"/>
                <w:sz w:val="21"/>
                <w:szCs w:val="21"/>
              </w:rPr>
            </w:pPr>
            <w:r>
              <w:rPr>
                <w:rFonts w:eastAsia="仿宋_GB2312"/>
                <w:b/>
                <w:bCs/>
                <w:color w:val="000000"/>
                <w:sz w:val="21"/>
                <w:szCs w:val="21"/>
              </w:rPr>
              <w:t>杜绝商业贿赂</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5E684859">
            <w:pPr>
              <w:pStyle w:val="56"/>
              <w:adjustRightInd w:val="0"/>
              <w:snapToGrid w:val="0"/>
              <w:textAlignment w:val="center"/>
              <w:rPr>
                <w:color w:val="000000"/>
                <w:sz w:val="21"/>
                <w:szCs w:val="21"/>
                <w:lang w:eastAsia="zh-CN"/>
              </w:rPr>
            </w:pPr>
            <w:r>
              <w:rPr>
                <w:rFonts w:eastAsia="仿宋_GB2312"/>
                <w:color w:val="000000"/>
                <w:sz w:val="21"/>
                <w:szCs w:val="21"/>
                <w:lang w:eastAsia="zh-CN"/>
              </w:rPr>
              <w:t>向税务工作人员及其家属赠送礼品、礼金或提供任何形式的宴请、娱乐活动情况。</w:t>
            </w:r>
          </w:p>
        </w:tc>
      </w:tr>
      <w:tr w14:paraId="0F9E4C48">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083F742F">
            <w:pPr>
              <w:pStyle w:val="56"/>
              <w:adjustRightInd w:val="0"/>
              <w:snapToGrid w:val="0"/>
              <w:jc w:val="both"/>
              <w:textAlignment w:val="center"/>
              <w:rPr>
                <w:color w:val="000000"/>
                <w:sz w:val="21"/>
                <w:szCs w:val="21"/>
              </w:rPr>
            </w:pPr>
            <w:r>
              <w:rPr>
                <w:rFonts w:eastAsia="仿宋_GB2312"/>
                <w:b/>
                <w:bCs/>
                <w:color w:val="000000"/>
                <w:sz w:val="21"/>
                <w:szCs w:val="21"/>
              </w:rPr>
              <w:t>规范经营活动</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23D8E10D">
            <w:pPr>
              <w:pStyle w:val="56"/>
              <w:adjustRightInd w:val="0"/>
              <w:snapToGrid w:val="0"/>
              <w:textAlignment w:val="center"/>
              <w:rPr>
                <w:color w:val="000000"/>
                <w:sz w:val="21"/>
                <w:szCs w:val="21"/>
                <w:lang w:eastAsia="zh-CN"/>
              </w:rPr>
            </w:pPr>
            <w:r>
              <w:rPr>
                <w:rFonts w:eastAsia="仿宋_GB2312"/>
                <w:color w:val="000000"/>
                <w:sz w:val="21"/>
                <w:szCs w:val="21"/>
                <w:lang w:eastAsia="zh-CN"/>
              </w:rPr>
              <w:t>按照合同要求，按时完成各阶段任务，确保项目质量和进度情况。</w:t>
            </w:r>
          </w:p>
        </w:tc>
      </w:tr>
      <w:tr w14:paraId="78269316">
        <w:trPr>
          <w:trHeight w:val="570" w:hRule="atLeast"/>
          <w:tblCellSpacing w:w="0" w:type="dxa"/>
          <w:jc w:val="center"/>
        </w:trPr>
        <w:tc>
          <w:tcPr>
            <w:tcW w:w="2673" w:type="dxa"/>
            <w:tcBorders>
              <w:left w:val="single" w:color="000000" w:sz="8" w:space="0"/>
              <w:bottom w:val="single" w:color="000000" w:sz="8" w:space="0"/>
              <w:right w:val="single" w:color="000000" w:sz="8" w:space="0"/>
            </w:tcBorders>
            <w:tcMar>
              <w:top w:w="0" w:type="dxa"/>
              <w:left w:w="128" w:type="dxa"/>
              <w:bottom w:w="0" w:type="dxa"/>
              <w:right w:w="128" w:type="dxa"/>
            </w:tcMar>
            <w:vAlign w:val="center"/>
          </w:tcPr>
          <w:p w14:paraId="1D808835">
            <w:pPr>
              <w:pStyle w:val="56"/>
              <w:adjustRightInd w:val="0"/>
              <w:snapToGrid w:val="0"/>
              <w:jc w:val="both"/>
              <w:textAlignment w:val="center"/>
              <w:rPr>
                <w:color w:val="000000"/>
                <w:sz w:val="21"/>
                <w:szCs w:val="21"/>
              </w:rPr>
            </w:pPr>
            <w:r>
              <w:rPr>
                <w:rFonts w:eastAsia="仿宋_GB2312"/>
                <w:b/>
                <w:bCs/>
                <w:color w:val="000000"/>
                <w:sz w:val="21"/>
                <w:szCs w:val="21"/>
              </w:rPr>
              <w:t>公开透明合作</w:t>
            </w:r>
          </w:p>
        </w:tc>
        <w:tc>
          <w:tcPr>
            <w:tcW w:w="7671" w:type="dxa"/>
            <w:tcBorders>
              <w:bottom w:val="single" w:color="000000" w:sz="8" w:space="0"/>
              <w:right w:val="single" w:color="000000" w:sz="8" w:space="0"/>
            </w:tcBorders>
            <w:tcMar>
              <w:top w:w="0" w:type="dxa"/>
              <w:left w:w="108" w:type="dxa"/>
              <w:bottom w:w="0" w:type="dxa"/>
              <w:right w:w="128" w:type="dxa"/>
            </w:tcMar>
            <w:vAlign w:val="center"/>
          </w:tcPr>
          <w:p w14:paraId="5B467675">
            <w:pPr>
              <w:pStyle w:val="56"/>
              <w:adjustRightInd w:val="0"/>
              <w:snapToGrid w:val="0"/>
              <w:textAlignment w:val="center"/>
              <w:rPr>
                <w:color w:val="000000"/>
                <w:sz w:val="21"/>
                <w:szCs w:val="21"/>
                <w:lang w:eastAsia="zh-CN"/>
              </w:rPr>
            </w:pPr>
            <w:r>
              <w:rPr>
                <w:rFonts w:eastAsia="仿宋_GB2312"/>
                <w:color w:val="000000"/>
                <w:sz w:val="21"/>
                <w:szCs w:val="21"/>
                <w:lang w:eastAsia="zh-CN"/>
              </w:rPr>
              <w:t>在项目实施过程中保持信息公开透明，主动接受相关部门的监督和检查情况。</w:t>
            </w:r>
          </w:p>
        </w:tc>
      </w:tr>
      <w:tr w14:paraId="5E091DA4">
        <w:trPr>
          <w:trHeight w:val="405" w:hRule="atLeast"/>
          <w:tblCellSpacing w:w="0" w:type="dxa"/>
          <w:jc w:val="center"/>
        </w:trPr>
        <w:tc>
          <w:tcPr>
            <w:tcW w:w="0" w:type="auto"/>
            <w:gridSpan w:val="2"/>
            <w:tcBorders>
              <w:left w:val="single" w:color="000000" w:sz="8" w:space="0"/>
              <w:bottom w:val="single" w:color="000000" w:sz="8" w:space="0"/>
              <w:right w:val="single" w:color="000000" w:sz="8" w:space="0"/>
            </w:tcBorders>
            <w:noWrap/>
            <w:tcMar>
              <w:top w:w="0" w:type="dxa"/>
              <w:left w:w="128" w:type="dxa"/>
              <w:bottom w:w="0" w:type="dxa"/>
              <w:right w:w="128" w:type="dxa"/>
            </w:tcMar>
            <w:vAlign w:val="center"/>
          </w:tcPr>
          <w:p w14:paraId="0FA2A693">
            <w:pPr>
              <w:pStyle w:val="56"/>
              <w:adjustRightInd w:val="0"/>
              <w:snapToGrid w:val="0"/>
              <w:ind w:firstLine="481"/>
              <w:jc w:val="center"/>
              <w:textAlignment w:val="center"/>
              <w:rPr>
                <w:color w:val="000000"/>
                <w:sz w:val="21"/>
                <w:szCs w:val="21"/>
                <w:lang w:eastAsia="zh-CN"/>
              </w:rPr>
            </w:pPr>
            <w:r>
              <w:rPr>
                <w:rFonts w:eastAsia="仿宋_GB2312"/>
                <w:b/>
                <w:bCs/>
                <w:color w:val="000000"/>
                <w:sz w:val="21"/>
                <w:szCs w:val="21"/>
                <w:lang w:eastAsia="zh-CN"/>
              </w:rPr>
              <w:t>税务人员履职期间廉政情况</w:t>
            </w:r>
          </w:p>
        </w:tc>
      </w:tr>
      <w:tr w14:paraId="33719407">
        <w:trPr>
          <w:trHeight w:val="505" w:hRule="atLeast"/>
          <w:tblCellSpacing w:w="0" w:type="dxa"/>
          <w:jc w:val="center"/>
        </w:trPr>
        <w:tc>
          <w:tcPr>
            <w:tcW w:w="2673" w:type="dxa"/>
            <w:vMerge w:val="restart"/>
            <w:tcBorders>
              <w:left w:val="single" w:color="000000" w:sz="8" w:space="0"/>
              <w:right w:val="single" w:color="000000" w:sz="8" w:space="0"/>
            </w:tcBorders>
            <w:tcMar>
              <w:top w:w="0" w:type="dxa"/>
              <w:left w:w="128" w:type="dxa"/>
              <w:bottom w:w="0" w:type="dxa"/>
              <w:right w:w="128" w:type="dxa"/>
            </w:tcMar>
            <w:vAlign w:val="center"/>
          </w:tcPr>
          <w:p w14:paraId="080BB802">
            <w:pPr>
              <w:pStyle w:val="56"/>
              <w:adjustRightInd w:val="0"/>
              <w:snapToGrid w:val="0"/>
              <w:jc w:val="both"/>
              <w:textAlignment w:val="center"/>
              <w:rPr>
                <w:color w:val="000000"/>
                <w:sz w:val="21"/>
                <w:szCs w:val="21"/>
                <w:lang w:eastAsia="zh-CN"/>
              </w:rPr>
            </w:pPr>
            <w:r>
              <w:rPr>
                <w:rFonts w:eastAsia="仿宋_GB2312"/>
                <w:b/>
                <w:bCs/>
                <w:color w:val="000000"/>
                <w:sz w:val="21"/>
                <w:szCs w:val="21"/>
                <w:lang w:eastAsia="zh-CN"/>
              </w:rPr>
              <w:t>税务人员履职过程存在违纪违规行为</w:t>
            </w:r>
          </w:p>
        </w:tc>
        <w:tc>
          <w:tcPr>
            <w:tcW w:w="7671" w:type="dxa"/>
            <w:tcBorders>
              <w:top w:val="single" w:color="000000" w:sz="8" w:space="0"/>
              <w:bottom w:val="single" w:color="000000" w:sz="8" w:space="0"/>
              <w:right w:val="single" w:color="000000" w:sz="8" w:space="0"/>
            </w:tcBorders>
            <w:tcMar>
              <w:top w:w="0" w:type="dxa"/>
              <w:left w:w="108" w:type="dxa"/>
              <w:bottom w:w="0" w:type="dxa"/>
              <w:right w:w="128" w:type="dxa"/>
            </w:tcMar>
            <w:vAlign w:val="center"/>
          </w:tcPr>
          <w:p w14:paraId="08F7E860">
            <w:pPr>
              <w:pStyle w:val="56"/>
              <w:adjustRightInd w:val="0"/>
              <w:snapToGrid w:val="0"/>
              <w:ind w:firstLine="480"/>
              <w:jc w:val="center"/>
              <w:textAlignment w:val="center"/>
              <w:rPr>
                <w:color w:val="000000"/>
                <w:sz w:val="21"/>
                <w:szCs w:val="21"/>
              </w:rPr>
            </w:pPr>
            <w:r>
              <w:rPr>
                <w:rFonts w:eastAsia="仿宋_GB2312"/>
                <w:color w:val="333333"/>
                <w:sz w:val="21"/>
                <w:szCs w:val="21"/>
              </w:rPr>
              <w:t>否</w:t>
            </w:r>
          </w:p>
        </w:tc>
      </w:tr>
      <w:tr w14:paraId="31D5D289">
        <w:trPr>
          <w:trHeight w:val="311" w:hRule="atLeast"/>
          <w:tblCellSpacing w:w="0" w:type="dxa"/>
          <w:jc w:val="center"/>
        </w:trPr>
        <w:tc>
          <w:tcPr>
            <w:tcW w:w="0" w:type="auto"/>
            <w:vMerge w:val="continue"/>
            <w:tcBorders>
              <w:left w:val="single" w:color="000000" w:sz="8" w:space="0"/>
              <w:right w:val="single" w:color="000000" w:sz="8" w:space="0"/>
            </w:tcBorders>
            <w:vAlign w:val="center"/>
          </w:tcPr>
          <w:p w14:paraId="2910144C">
            <w:pPr>
              <w:adjustRightInd w:val="0"/>
              <w:snapToGrid w:val="0"/>
              <w:rPr>
                <w:rFonts w:eastAsia="仿宋_GB2312"/>
                <w:color w:val="333333"/>
                <w:kern w:val="0"/>
                <w:sz w:val="21"/>
                <w:szCs w:val="21"/>
                <w:lang w:eastAsia="en-US"/>
              </w:rPr>
            </w:pPr>
          </w:p>
        </w:tc>
        <w:tc>
          <w:tcPr>
            <w:tcW w:w="7671" w:type="dxa"/>
            <w:vMerge w:val="restart"/>
            <w:tcBorders>
              <w:right w:val="single" w:color="000000" w:sz="8" w:space="0"/>
            </w:tcBorders>
            <w:tcMar>
              <w:top w:w="0" w:type="dxa"/>
              <w:left w:w="108" w:type="dxa"/>
              <w:bottom w:w="0" w:type="dxa"/>
              <w:right w:w="128" w:type="dxa"/>
            </w:tcMar>
            <w:vAlign w:val="center"/>
          </w:tcPr>
          <w:p w14:paraId="13A1FCBD">
            <w:pPr>
              <w:pStyle w:val="56"/>
              <w:adjustRightInd w:val="0"/>
              <w:snapToGrid w:val="0"/>
              <w:ind w:firstLine="480"/>
              <w:jc w:val="center"/>
              <w:textAlignment w:val="center"/>
              <w:rPr>
                <w:color w:val="000000"/>
                <w:sz w:val="21"/>
                <w:szCs w:val="21"/>
              </w:rPr>
            </w:pPr>
            <w:r>
              <w:rPr>
                <w:rFonts w:eastAsia="仿宋_GB2312"/>
                <w:color w:val="000000"/>
                <w:sz w:val="21"/>
                <w:szCs w:val="21"/>
              </w:rPr>
              <w:t>是（说明具体情况）</w:t>
            </w:r>
          </w:p>
        </w:tc>
      </w:tr>
      <w:tr w14:paraId="7DCDCA86">
        <w:trPr>
          <w:trHeight w:val="537" w:hRule="atLeast"/>
          <w:tblCellSpacing w:w="0" w:type="dxa"/>
          <w:jc w:val="center"/>
        </w:trPr>
        <w:tc>
          <w:tcPr>
            <w:tcW w:w="0" w:type="auto"/>
            <w:vMerge w:val="continue"/>
            <w:tcBorders>
              <w:left w:val="single" w:color="000000" w:sz="8" w:space="0"/>
              <w:right w:val="single" w:color="000000" w:sz="8" w:space="0"/>
            </w:tcBorders>
            <w:vAlign w:val="center"/>
          </w:tcPr>
          <w:p w14:paraId="1948D754">
            <w:pPr>
              <w:adjustRightInd w:val="0"/>
              <w:snapToGrid w:val="0"/>
              <w:rPr>
                <w:rFonts w:eastAsia="仿宋_GB2312"/>
                <w:color w:val="000000"/>
                <w:kern w:val="0"/>
                <w:sz w:val="21"/>
                <w:szCs w:val="21"/>
                <w:lang w:eastAsia="en-US"/>
              </w:rPr>
            </w:pPr>
          </w:p>
        </w:tc>
        <w:tc>
          <w:tcPr>
            <w:tcW w:w="0" w:type="auto"/>
            <w:vMerge w:val="continue"/>
            <w:tcBorders>
              <w:right w:val="single" w:color="000000" w:sz="8" w:space="0"/>
            </w:tcBorders>
            <w:vAlign w:val="center"/>
          </w:tcPr>
          <w:p w14:paraId="7C55DAF1">
            <w:pPr>
              <w:adjustRightInd w:val="0"/>
              <w:snapToGrid w:val="0"/>
              <w:rPr>
                <w:rFonts w:eastAsia="仿宋_GB2312"/>
                <w:color w:val="000000"/>
                <w:kern w:val="0"/>
                <w:sz w:val="21"/>
                <w:szCs w:val="21"/>
                <w:lang w:eastAsia="en-US"/>
              </w:rPr>
            </w:pPr>
          </w:p>
        </w:tc>
      </w:tr>
    </w:tbl>
    <w:p w14:paraId="3C6E598E">
      <w:pPr>
        <w:pStyle w:val="56"/>
        <w:spacing w:line="360" w:lineRule="auto"/>
        <w:rPr>
          <w:lang w:eastAsia="zh-CN"/>
        </w:rPr>
      </w:pPr>
      <w:r>
        <w:rPr>
          <w:rFonts w:eastAsia="仿宋_GB2312"/>
          <w:sz w:val="28"/>
          <w:szCs w:val="28"/>
          <w:lang w:eastAsia="zh-CN"/>
        </w:rPr>
        <w:t>提交单位（盖章）：XXX公司</w:t>
      </w:r>
      <w:r>
        <w:rPr>
          <w:rFonts w:eastAsia="仿宋_GB2312"/>
          <w:sz w:val="28"/>
          <w:szCs w:val="28"/>
          <w:lang w:eastAsia="zh-CN"/>
        </w:rPr>
        <w:br w:type="textWrapping"/>
      </w:r>
      <w:r>
        <w:rPr>
          <w:rFonts w:eastAsia="仿宋_GB2312"/>
          <w:sz w:val="28"/>
          <w:szCs w:val="28"/>
          <w:lang w:eastAsia="zh-CN"/>
        </w:rPr>
        <w:t>法定代表人或授权代表签字：_________________________</w:t>
      </w:r>
      <w:r>
        <w:rPr>
          <w:rFonts w:eastAsia="仿宋_GB2312"/>
          <w:sz w:val="28"/>
          <w:szCs w:val="28"/>
          <w:lang w:eastAsia="zh-CN"/>
        </w:rPr>
        <w:br w:type="textWrapping"/>
      </w:r>
      <w:r>
        <w:rPr>
          <w:rFonts w:eastAsia="仿宋_GB2312"/>
          <w:sz w:val="28"/>
          <w:szCs w:val="28"/>
          <w:lang w:eastAsia="zh-CN"/>
        </w:rPr>
        <w:t>                                           日期：XX年XX月XX日</w:t>
      </w:r>
    </w:p>
    <w:p w14:paraId="159B9F44">
      <w:pPr>
        <w:spacing w:line="360" w:lineRule="auto"/>
        <w:ind w:firstLine="448" w:firstLineChars="200"/>
        <w:outlineLvl w:val="0"/>
        <w:rPr>
          <w:sz w:val="24"/>
        </w:rPr>
      </w:pPr>
    </w:p>
    <w:p w14:paraId="7F0693F3">
      <w:pPr>
        <w:spacing w:line="360" w:lineRule="auto"/>
        <w:ind w:firstLine="448" w:firstLineChars="200"/>
        <w:outlineLvl w:val="0"/>
        <w:rPr>
          <w:sz w:val="24"/>
        </w:rPr>
      </w:pPr>
    </w:p>
    <w:p w14:paraId="37E401A8">
      <w:pPr>
        <w:pStyle w:val="16"/>
        <w:rPr>
          <w:rFonts w:ascii="Times New Roman" w:hAnsi="Times New Roman"/>
          <w:lang w:eastAsia="zh-CN"/>
        </w:rPr>
      </w:pPr>
    </w:p>
    <w:p w14:paraId="315635F2">
      <w:pPr>
        <w:pStyle w:val="16"/>
        <w:rPr>
          <w:rFonts w:ascii="Times New Roman" w:hAnsi="Times New Roman"/>
          <w:lang w:eastAsia="zh-CN"/>
        </w:rPr>
      </w:pPr>
    </w:p>
    <w:p w14:paraId="5A008F2A">
      <w:pPr>
        <w:widowControl/>
        <w:jc w:val="left"/>
        <w:rPr>
          <w:b/>
          <w:bCs/>
          <w:kern w:val="28"/>
          <w:sz w:val="32"/>
          <w:szCs w:val="32"/>
          <w:lang w:val="zh-CN"/>
        </w:rPr>
      </w:pPr>
      <w:r>
        <w:br w:type="page"/>
      </w:r>
    </w:p>
    <w:p w14:paraId="35F9C7DC">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3621E74D">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561FE34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77BB0BA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6F1FCA5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736CFDB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2AD4B4E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41C8B8E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66CECE9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1462A23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2F8DC7A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1E12134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568DE9A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1AF6496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53B5AA9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006FD5F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4.2 符合《投标邀请函》中关于供应商资格要求（实质性要求）的规定。</w:t>
      </w:r>
    </w:p>
    <w:p w14:paraId="6335E846">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5CA6FC7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4833D4C8">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621A494A">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001594E3">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6D9F6CB0">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（4）下载招标文件时，应以联合体协议中确定的主体方名义下载。</w:t>
      </w:r>
    </w:p>
    <w:p w14:paraId="4B8BB87A">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0A096075">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02B4A92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6B2725A7">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4B3D94B9">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1986811D">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3C0508CA">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3518E77E">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13AE175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7DCF833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p w14:paraId="20117554">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0D613F7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3D0667C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7DCB6A2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3B37F5B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1DAC7A8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7E0AC0C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768D3AD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系统软件、通用软件必须是具有在中国境内的合法使用权或版权的正版软件，涉及第三方提出侵权或知识产权的起诉及支付版税等费用由投标人承担所有责任及费用。</w:t>
      </w:r>
    </w:p>
    <w:p w14:paraId="63150A2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6BE58E4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11C5E22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3EE0621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3326523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77374869">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59769FC6">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4A37F6AF">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6331ECD9">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42FBEC57">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0A50CF73">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284BFF03">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25E7A0B8">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50C69DD5">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711F0D0F">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w:t>
      </w:r>
      <w:r>
        <w:rPr>
          <w:rFonts w:hint="eastAsia"/>
        </w:rPr>
        <w:t>采购人或天津市政府采购中心</w:t>
      </w:r>
      <w:r>
        <w:rPr>
          <w:rFonts w:hint="eastAsia" w:ascii="Times New Roman" w:hAnsi="Times New Roman" w:eastAsia="宋体" w:cs="Times New Roman"/>
          <w:color w:val="auto"/>
        </w:rPr>
        <w:t>有权将质疑函转发质疑事项各关联方，请其作出解释说明。对捏造事实、滥用维权扰乱采购秩序的恶意质疑者，将上报天津市财政局政府采购处依法处理。</w:t>
      </w:r>
    </w:p>
    <w:p w14:paraId="0220996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5EB8CA7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0FE500A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5860D820">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041D0BA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3D2C7FC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6713764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67EEF42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7AA1537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05D430D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03C15FC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246D778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724E34D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47AF1883">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52FE36D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1ABBAC0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257391E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67E2426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0241C62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7B6A47E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72BEAF5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4D0C3A4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6238390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5AD59A4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61948A77">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78F87D4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6A32F02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752E228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2CEA1C2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67FCFEA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087A8F2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050C85F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256BA66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70694AE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3F8F3CB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52E2468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24E3659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195EBC6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44B5734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73D2ED4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54A55714">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1929A20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3922F62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64B68AE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1952691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491326E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6CD7F10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4398DEB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4A06416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136474A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上述技术响应文件可以是文字资料、图纸或数据，其内容应包括但不限于人力、物力等资源的投入以及服务内容、方式、手段、措施、质量保证及建议等。</w:t>
      </w:r>
    </w:p>
    <w:p w14:paraId="3183D21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52616CD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7ABA48C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60A0D13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285CAD5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74BDAE1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53AFD53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5D705D9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6CC1ABE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1A4C3357">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1EE5E327">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5F1420E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7708CC44">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2137F06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00131A7C">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163C0F91">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4162D2A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262E5894">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6395551B">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63BD31E2">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509C479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676CA3BC">
      <w:pPr>
        <w:pStyle w:val="30"/>
        <w:spacing w:line="360" w:lineRule="auto"/>
        <w:ind w:firstLine="448" w:firstLineChars="200"/>
        <w:jc w:val="both"/>
        <w:rPr>
          <w:rFonts w:ascii="Times New Roman" w:hAnsi="Times New Roman" w:eastAsia="宋体" w:cs="Times New Roman"/>
          <w:color w:val="auto"/>
        </w:rPr>
      </w:pPr>
    </w:p>
    <w:p w14:paraId="38DCA2CB">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7DB3CA5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54EF11E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06D93BF1">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46DE003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215FE6B8">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082232D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46A8BA0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69BCD13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2D720B4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6C5E359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76423AB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33BC725E">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04BE599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62B4AC6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040D7D8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639FFF4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6F399BB2">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7E00371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700C757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5B1636E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152A383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7DF707DF">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1DDCCED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46BCFBE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16AFAE59">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2B4C7C1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08B34C7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73937AC1">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0792B593">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61AF9F2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6C9D0EB2">
      <w:pPr>
        <w:pStyle w:val="30"/>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7519E864">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7B78FA2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1377773D">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6F0EE87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1BA41BD3">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0C4EC3F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2312019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0FDF9EA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67BCC49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6477BCC5">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1B3D38C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16C47467">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6081DD9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4C5A041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6342011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A16193C">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36D6B84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0967F0BA">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3079C5AF">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4FFA455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6E7EE026">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05AE397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6668FD3E">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7BAAED10">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7EBC26C4">
      <w:pPr>
        <w:pStyle w:val="30"/>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107209B7">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55C9E4E9">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0E0CFBF3">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7A1208BB">
      <w:pPr>
        <w:pStyle w:val="30"/>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3AAA371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2A49555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160EF421">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162B6502">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7D2BA9FB">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4055F2B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70C94115">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75DBAA1A">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6DA60940">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44153C77">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1C8EF41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626E79CD">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1D90B9CC">
      <w:pPr>
        <w:pStyle w:val="30"/>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3415C076">
      <w:pPr>
        <w:widowControl/>
        <w:jc w:val="left"/>
        <w:rPr>
          <w:b/>
          <w:bCs/>
          <w:kern w:val="28"/>
          <w:sz w:val="32"/>
          <w:szCs w:val="32"/>
          <w:lang w:val="zh-CN" w:eastAsia="zh-CN"/>
        </w:rPr>
      </w:pPr>
      <w:r>
        <w:br w:type="page"/>
      </w:r>
    </w:p>
    <w:p w14:paraId="437B7656">
      <w:pPr>
        <w:pStyle w:val="16"/>
        <w:rPr>
          <w:rFonts w:ascii="Times New Roman" w:hAnsi="Times New Roman"/>
        </w:rPr>
      </w:pPr>
      <w:r>
        <w:rPr>
          <w:rFonts w:ascii="Times New Roman" w:hAnsi="Times New Roman"/>
        </w:rPr>
        <w:t>第四部分  合同条款</w:t>
      </w:r>
    </w:p>
    <w:p w14:paraId="4E8747C2">
      <w:pPr>
        <w:tabs>
          <w:tab w:val="left" w:pos="412"/>
          <w:tab w:val="left" w:pos="618"/>
        </w:tabs>
        <w:spacing w:line="520" w:lineRule="exact"/>
        <w:jc w:val="center"/>
        <w:rPr>
          <w:b/>
          <w:sz w:val="30"/>
          <w:szCs w:val="30"/>
        </w:rPr>
      </w:pPr>
      <w:r>
        <w:rPr>
          <w:b/>
          <w:sz w:val="30"/>
          <w:szCs w:val="30"/>
        </w:rPr>
        <w:t>合同一般条款</w:t>
      </w:r>
    </w:p>
    <w:p w14:paraId="77B14B23">
      <w:pPr>
        <w:tabs>
          <w:tab w:val="left" w:pos="0"/>
          <w:tab w:val="left" w:pos="315"/>
        </w:tabs>
        <w:spacing w:line="520" w:lineRule="exact"/>
        <w:ind w:firstLine="480"/>
        <w:rPr>
          <w:sz w:val="24"/>
          <w:szCs w:val="24"/>
        </w:rPr>
      </w:pPr>
      <w:r>
        <w:rPr>
          <w:sz w:val="24"/>
          <w:szCs w:val="24"/>
        </w:rPr>
        <w:t xml:space="preserve">需方：  </w:t>
      </w:r>
    </w:p>
    <w:p w14:paraId="483F848F">
      <w:pPr>
        <w:tabs>
          <w:tab w:val="left" w:pos="0"/>
          <w:tab w:val="left" w:pos="315"/>
        </w:tabs>
        <w:spacing w:line="520" w:lineRule="exact"/>
        <w:ind w:firstLine="480"/>
        <w:rPr>
          <w:sz w:val="24"/>
          <w:szCs w:val="24"/>
        </w:rPr>
      </w:pPr>
      <w:r>
        <w:rPr>
          <w:sz w:val="24"/>
          <w:szCs w:val="24"/>
        </w:rPr>
        <w:t xml:space="preserve">供方： </w:t>
      </w:r>
    </w:p>
    <w:p w14:paraId="5CC1C9B6">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4B0A3325">
      <w:pPr>
        <w:pStyle w:val="35"/>
        <w:numPr>
          <w:ilvl w:val="0"/>
          <w:numId w:val="9"/>
        </w:numPr>
        <w:spacing w:line="480" w:lineRule="exact"/>
        <w:ind w:firstLineChars="0"/>
        <w:rPr>
          <w:sz w:val="24"/>
          <w:szCs w:val="24"/>
        </w:rPr>
      </w:pPr>
      <w:r>
        <w:rPr>
          <w:rFonts w:hint="eastAsia"/>
          <w:sz w:val="24"/>
          <w:szCs w:val="24"/>
        </w:rPr>
        <w:t>本合同为中小企业预留合同</w:t>
      </w:r>
    </w:p>
    <w:p w14:paraId="51E47D65">
      <w:pPr>
        <w:pStyle w:val="35"/>
        <w:numPr>
          <w:ilvl w:val="0"/>
          <w:numId w:val="9"/>
        </w:numPr>
        <w:spacing w:line="480" w:lineRule="exact"/>
        <w:ind w:firstLineChars="0"/>
        <w:rPr>
          <w:sz w:val="24"/>
          <w:szCs w:val="24"/>
        </w:rPr>
      </w:pPr>
      <w:r>
        <w:rPr>
          <w:rFonts w:hint="eastAsia"/>
          <w:sz w:val="24"/>
          <w:szCs w:val="24"/>
        </w:rPr>
        <w:t>本合同非中小企业预留合同</w:t>
      </w:r>
    </w:p>
    <w:p w14:paraId="7B325AE5">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29C744D6">
      <w:pPr>
        <w:tabs>
          <w:tab w:val="left" w:pos="1133"/>
        </w:tabs>
        <w:spacing w:line="520" w:lineRule="exact"/>
        <w:ind w:firstLine="448" w:firstLineChars="200"/>
        <w:rPr>
          <w:sz w:val="24"/>
          <w:szCs w:val="24"/>
        </w:rPr>
      </w:pPr>
      <w:r>
        <w:rPr>
          <w:sz w:val="24"/>
          <w:szCs w:val="24"/>
        </w:rPr>
        <w:t>一、采购内容：  （详见附件）</w:t>
      </w:r>
    </w:p>
    <w:p w14:paraId="606A87BD">
      <w:pPr>
        <w:tabs>
          <w:tab w:val="left" w:pos="1133"/>
        </w:tabs>
        <w:spacing w:line="520" w:lineRule="exact"/>
        <w:ind w:firstLine="448" w:firstLineChars="200"/>
        <w:rPr>
          <w:sz w:val="24"/>
          <w:szCs w:val="24"/>
        </w:rPr>
      </w:pPr>
      <w:r>
        <w:rPr>
          <w:sz w:val="24"/>
          <w:szCs w:val="24"/>
        </w:rPr>
        <w:t xml:space="preserve">    合同总价款：人民币  元</w:t>
      </w:r>
    </w:p>
    <w:p w14:paraId="0A2F7028">
      <w:pPr>
        <w:tabs>
          <w:tab w:val="left" w:pos="1133"/>
        </w:tabs>
        <w:spacing w:line="520" w:lineRule="exact"/>
        <w:ind w:firstLine="448" w:firstLineChars="200"/>
        <w:rPr>
          <w:sz w:val="24"/>
          <w:szCs w:val="24"/>
        </w:rPr>
      </w:pPr>
      <w:r>
        <w:rPr>
          <w:sz w:val="24"/>
          <w:szCs w:val="24"/>
        </w:rPr>
        <w:t xml:space="preserve">    大写：人民币  元整</w:t>
      </w:r>
    </w:p>
    <w:p w14:paraId="20F3381C">
      <w:pPr>
        <w:tabs>
          <w:tab w:val="left" w:pos="360"/>
        </w:tabs>
        <w:spacing w:line="520" w:lineRule="exact"/>
        <w:ind w:firstLine="448" w:firstLineChars="200"/>
        <w:rPr>
          <w:sz w:val="24"/>
          <w:szCs w:val="24"/>
        </w:rPr>
      </w:pPr>
      <w:r>
        <w:rPr>
          <w:sz w:val="24"/>
          <w:szCs w:val="24"/>
        </w:rPr>
        <w:t>二、质量要求及对质量负责条件和期限：见附件。</w:t>
      </w:r>
    </w:p>
    <w:p w14:paraId="5A4907F3">
      <w:pPr>
        <w:tabs>
          <w:tab w:val="left" w:pos="360"/>
        </w:tabs>
        <w:spacing w:line="520" w:lineRule="exact"/>
        <w:ind w:firstLine="448" w:firstLineChars="200"/>
        <w:rPr>
          <w:sz w:val="24"/>
          <w:szCs w:val="24"/>
        </w:rPr>
      </w:pPr>
      <w:r>
        <w:rPr>
          <w:sz w:val="24"/>
          <w:szCs w:val="24"/>
        </w:rPr>
        <w:t>三、供方所提供的服务必须具有合法手续及相关文件。如涉及知识产权则必须是自己拥有或合法使用的。</w:t>
      </w:r>
    </w:p>
    <w:p w14:paraId="5710C972">
      <w:pPr>
        <w:tabs>
          <w:tab w:val="left" w:pos="360"/>
        </w:tabs>
        <w:spacing w:line="520" w:lineRule="exact"/>
        <w:ind w:firstLine="448" w:firstLineChars="200"/>
        <w:rPr>
          <w:sz w:val="24"/>
          <w:szCs w:val="24"/>
        </w:rPr>
      </w:pPr>
      <w:r>
        <w:rPr>
          <w:sz w:val="24"/>
          <w:szCs w:val="24"/>
        </w:rPr>
        <w:t>四、</w:t>
      </w:r>
      <w:r>
        <w:rPr>
          <w:rFonts w:hint="eastAsia"/>
          <w:sz w:val="24"/>
          <w:szCs w:val="24"/>
        </w:rPr>
        <w:t>服务</w:t>
      </w:r>
      <w:r>
        <w:rPr>
          <w:sz w:val="24"/>
          <w:szCs w:val="24"/>
        </w:rPr>
        <w:t>时间、地点、方式：见附件。</w:t>
      </w:r>
    </w:p>
    <w:p w14:paraId="0941A6CA">
      <w:pPr>
        <w:tabs>
          <w:tab w:val="left" w:pos="360"/>
        </w:tabs>
        <w:spacing w:line="520" w:lineRule="exact"/>
        <w:ind w:firstLine="448"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5A096BE6">
      <w:pPr>
        <w:tabs>
          <w:tab w:val="left" w:pos="360"/>
          <w:tab w:val="left" w:pos="721"/>
        </w:tabs>
        <w:spacing w:line="520" w:lineRule="exact"/>
        <w:rPr>
          <w:sz w:val="24"/>
          <w:szCs w:val="24"/>
        </w:rPr>
      </w:pPr>
      <w:r>
        <w:rPr>
          <w:sz w:val="24"/>
          <w:szCs w:val="24"/>
        </w:rPr>
        <w:t xml:space="preserve">    六、验收工作由需方负责对合同进行验收。</w:t>
      </w:r>
    </w:p>
    <w:p w14:paraId="09048753">
      <w:pPr>
        <w:tabs>
          <w:tab w:val="left" w:pos="360"/>
        </w:tabs>
        <w:spacing w:line="520" w:lineRule="exact"/>
        <w:rPr>
          <w:sz w:val="24"/>
          <w:szCs w:val="24"/>
        </w:rPr>
      </w:pPr>
      <w:r>
        <w:rPr>
          <w:sz w:val="24"/>
          <w:szCs w:val="24"/>
        </w:rPr>
        <w:t xml:space="preserve">    七、货款支付方式：见附件。</w:t>
      </w:r>
    </w:p>
    <w:p w14:paraId="110D2744">
      <w:pPr>
        <w:tabs>
          <w:tab w:val="left" w:pos="0"/>
          <w:tab w:val="left" w:pos="721"/>
        </w:tabs>
        <w:spacing w:line="520" w:lineRule="exact"/>
        <w:ind w:firstLine="448" w:firstLineChars="200"/>
        <w:rPr>
          <w:sz w:val="24"/>
          <w:szCs w:val="24"/>
        </w:rPr>
      </w:pPr>
      <w:r>
        <w:rPr>
          <w:sz w:val="24"/>
          <w:szCs w:val="24"/>
        </w:rPr>
        <w:t>供方开户银行（汉字全称）：</w:t>
      </w:r>
      <w:r>
        <w:rPr>
          <w:sz w:val="24"/>
          <w:szCs w:val="24"/>
          <w:u w:val="single"/>
        </w:rPr>
        <w:t xml:space="preserve">                                        </w:t>
      </w:r>
      <w:r>
        <w:rPr>
          <w:sz w:val="24"/>
          <w:szCs w:val="24"/>
        </w:rPr>
        <w:t>，</w:t>
      </w:r>
    </w:p>
    <w:p w14:paraId="15E19419">
      <w:pPr>
        <w:tabs>
          <w:tab w:val="left" w:pos="0"/>
          <w:tab w:val="left" w:pos="721"/>
        </w:tabs>
        <w:spacing w:line="520" w:lineRule="exact"/>
        <w:ind w:firstLine="479" w:firstLineChars="214"/>
        <w:rPr>
          <w:sz w:val="24"/>
          <w:szCs w:val="24"/>
        </w:rPr>
      </w:pPr>
      <w:r>
        <w:rPr>
          <w:sz w:val="24"/>
          <w:szCs w:val="24"/>
        </w:rPr>
        <w:t>行号（数字代码）：</w:t>
      </w:r>
      <w:r>
        <w:rPr>
          <w:sz w:val="24"/>
          <w:szCs w:val="24"/>
          <w:u w:val="single"/>
        </w:rPr>
        <w:t xml:space="preserve">                                                </w:t>
      </w:r>
      <w:r>
        <w:rPr>
          <w:sz w:val="24"/>
          <w:szCs w:val="24"/>
        </w:rPr>
        <w:t>，</w:t>
      </w:r>
    </w:p>
    <w:p w14:paraId="6FDE6049">
      <w:pPr>
        <w:tabs>
          <w:tab w:val="left" w:pos="0"/>
          <w:tab w:val="left" w:pos="721"/>
        </w:tabs>
        <w:spacing w:line="520" w:lineRule="exact"/>
        <w:ind w:firstLine="479" w:firstLineChars="214"/>
        <w:rPr>
          <w:sz w:val="24"/>
          <w:szCs w:val="24"/>
        </w:rPr>
      </w:pPr>
      <w:r>
        <w:rPr>
          <w:rFonts w:hint="eastAsia"/>
          <w:sz w:val="24"/>
          <w:szCs w:val="24"/>
        </w:rPr>
        <w:t xml:space="preserve">账 </w:t>
      </w:r>
      <w:r>
        <w:rPr>
          <w:sz w:val="24"/>
          <w:szCs w:val="24"/>
        </w:rPr>
        <w:t xml:space="preserve">       号：</w:t>
      </w:r>
      <w:r>
        <w:rPr>
          <w:sz w:val="24"/>
          <w:szCs w:val="24"/>
          <w:u w:val="single"/>
        </w:rPr>
        <w:t xml:space="preserve">                                                   </w:t>
      </w:r>
      <w:r>
        <w:rPr>
          <w:szCs w:val="24"/>
        </w:rPr>
        <w:t>。</w:t>
      </w:r>
    </w:p>
    <w:p w14:paraId="3A0A4635">
      <w:pPr>
        <w:pStyle w:val="12"/>
        <w:spacing w:line="520" w:lineRule="exact"/>
        <w:ind w:left="-97" w:leftChars="-50" w:firstLine="448"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13985FB1">
      <w:pPr>
        <w:tabs>
          <w:tab w:val="left" w:pos="0"/>
          <w:tab w:val="left" w:pos="315"/>
        </w:tabs>
        <w:spacing w:line="520" w:lineRule="exact"/>
        <w:ind w:firstLine="448"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7C501662">
        <w:tc>
          <w:tcPr>
            <w:tcW w:w="4261" w:type="dxa"/>
          </w:tcPr>
          <w:p w14:paraId="19B3765D">
            <w:pPr>
              <w:tabs>
                <w:tab w:val="left" w:pos="0"/>
                <w:tab w:val="left" w:pos="315"/>
              </w:tabs>
              <w:spacing w:line="520" w:lineRule="exact"/>
              <w:rPr>
                <w:sz w:val="24"/>
                <w:szCs w:val="24"/>
              </w:rPr>
            </w:pPr>
            <w:r>
              <w:rPr>
                <w:sz w:val="24"/>
                <w:szCs w:val="24"/>
              </w:rPr>
              <w:t xml:space="preserve">供方（公章）： </w:t>
            </w:r>
          </w:p>
        </w:tc>
        <w:tc>
          <w:tcPr>
            <w:tcW w:w="4261" w:type="dxa"/>
          </w:tcPr>
          <w:p w14:paraId="5F1B8EB4">
            <w:pPr>
              <w:tabs>
                <w:tab w:val="left" w:pos="0"/>
                <w:tab w:val="left" w:pos="315"/>
              </w:tabs>
              <w:spacing w:line="520" w:lineRule="exact"/>
              <w:rPr>
                <w:sz w:val="24"/>
                <w:szCs w:val="24"/>
              </w:rPr>
            </w:pPr>
            <w:r>
              <w:rPr>
                <w:sz w:val="24"/>
                <w:szCs w:val="24"/>
              </w:rPr>
              <w:t xml:space="preserve">需方（公章）： </w:t>
            </w:r>
          </w:p>
        </w:tc>
      </w:tr>
      <w:tr w14:paraId="62413E1C">
        <w:tc>
          <w:tcPr>
            <w:tcW w:w="4261" w:type="dxa"/>
          </w:tcPr>
          <w:p w14:paraId="731F5459">
            <w:pPr>
              <w:tabs>
                <w:tab w:val="left" w:pos="0"/>
                <w:tab w:val="left" w:pos="315"/>
              </w:tabs>
              <w:spacing w:line="520" w:lineRule="exact"/>
              <w:rPr>
                <w:sz w:val="24"/>
                <w:szCs w:val="24"/>
              </w:rPr>
            </w:pPr>
            <w:r>
              <w:rPr>
                <w:sz w:val="24"/>
                <w:szCs w:val="24"/>
              </w:rPr>
              <w:t xml:space="preserve">地址：  </w:t>
            </w:r>
          </w:p>
        </w:tc>
        <w:tc>
          <w:tcPr>
            <w:tcW w:w="4261" w:type="dxa"/>
          </w:tcPr>
          <w:p w14:paraId="3CE002AE">
            <w:pPr>
              <w:tabs>
                <w:tab w:val="left" w:pos="0"/>
                <w:tab w:val="left" w:pos="315"/>
              </w:tabs>
              <w:spacing w:line="520" w:lineRule="exact"/>
              <w:rPr>
                <w:sz w:val="24"/>
                <w:szCs w:val="24"/>
              </w:rPr>
            </w:pPr>
            <w:r>
              <w:rPr>
                <w:sz w:val="24"/>
                <w:szCs w:val="24"/>
              </w:rPr>
              <w:t xml:space="preserve">地址： </w:t>
            </w:r>
          </w:p>
        </w:tc>
      </w:tr>
      <w:tr w14:paraId="126373EB">
        <w:tc>
          <w:tcPr>
            <w:tcW w:w="4261" w:type="dxa"/>
          </w:tcPr>
          <w:p w14:paraId="417E437B">
            <w:pPr>
              <w:tabs>
                <w:tab w:val="left" w:pos="360"/>
              </w:tabs>
              <w:spacing w:line="520" w:lineRule="exact"/>
              <w:rPr>
                <w:sz w:val="24"/>
                <w:szCs w:val="24"/>
              </w:rPr>
            </w:pPr>
            <w:r>
              <w:rPr>
                <w:sz w:val="24"/>
                <w:szCs w:val="24"/>
              </w:rPr>
              <w:t xml:space="preserve">法定代表人： </w:t>
            </w:r>
          </w:p>
        </w:tc>
        <w:tc>
          <w:tcPr>
            <w:tcW w:w="4261" w:type="dxa"/>
          </w:tcPr>
          <w:p w14:paraId="248877C3">
            <w:pPr>
              <w:tabs>
                <w:tab w:val="left" w:pos="360"/>
              </w:tabs>
              <w:spacing w:line="520" w:lineRule="exact"/>
              <w:rPr>
                <w:sz w:val="24"/>
                <w:szCs w:val="24"/>
              </w:rPr>
            </w:pPr>
            <w:r>
              <w:rPr>
                <w:sz w:val="24"/>
                <w:szCs w:val="24"/>
              </w:rPr>
              <w:t xml:space="preserve">法定代表人： </w:t>
            </w:r>
          </w:p>
        </w:tc>
      </w:tr>
      <w:tr w14:paraId="4EEBDB5E">
        <w:tc>
          <w:tcPr>
            <w:tcW w:w="4261" w:type="dxa"/>
          </w:tcPr>
          <w:p w14:paraId="294F71D4">
            <w:pPr>
              <w:tabs>
                <w:tab w:val="left" w:pos="360"/>
              </w:tabs>
              <w:spacing w:line="520" w:lineRule="exact"/>
              <w:rPr>
                <w:sz w:val="24"/>
                <w:szCs w:val="24"/>
              </w:rPr>
            </w:pPr>
            <w:r>
              <w:rPr>
                <w:sz w:val="24"/>
                <w:szCs w:val="24"/>
              </w:rPr>
              <w:t xml:space="preserve">委托代理人： </w:t>
            </w:r>
          </w:p>
        </w:tc>
        <w:tc>
          <w:tcPr>
            <w:tcW w:w="4261" w:type="dxa"/>
          </w:tcPr>
          <w:p w14:paraId="03594538">
            <w:pPr>
              <w:tabs>
                <w:tab w:val="left" w:pos="360"/>
              </w:tabs>
              <w:spacing w:line="520" w:lineRule="exact"/>
              <w:rPr>
                <w:sz w:val="24"/>
                <w:szCs w:val="24"/>
              </w:rPr>
            </w:pPr>
            <w:r>
              <w:rPr>
                <w:sz w:val="24"/>
                <w:szCs w:val="24"/>
              </w:rPr>
              <w:t xml:space="preserve">委托代理人： </w:t>
            </w:r>
          </w:p>
        </w:tc>
      </w:tr>
      <w:tr w14:paraId="7AC36C52">
        <w:tc>
          <w:tcPr>
            <w:tcW w:w="4261" w:type="dxa"/>
          </w:tcPr>
          <w:p w14:paraId="002E0E55">
            <w:pPr>
              <w:tabs>
                <w:tab w:val="left" w:pos="360"/>
              </w:tabs>
              <w:spacing w:line="520" w:lineRule="exact"/>
              <w:rPr>
                <w:sz w:val="24"/>
                <w:szCs w:val="24"/>
              </w:rPr>
            </w:pPr>
            <w:r>
              <w:rPr>
                <w:sz w:val="24"/>
                <w:szCs w:val="24"/>
              </w:rPr>
              <w:t>电话：</w:t>
            </w:r>
          </w:p>
        </w:tc>
        <w:tc>
          <w:tcPr>
            <w:tcW w:w="4261" w:type="dxa"/>
          </w:tcPr>
          <w:p w14:paraId="22980FDA">
            <w:pPr>
              <w:tabs>
                <w:tab w:val="left" w:pos="360"/>
              </w:tabs>
              <w:spacing w:line="520" w:lineRule="exact"/>
              <w:rPr>
                <w:sz w:val="24"/>
                <w:szCs w:val="24"/>
              </w:rPr>
            </w:pPr>
            <w:r>
              <w:rPr>
                <w:sz w:val="24"/>
                <w:szCs w:val="24"/>
              </w:rPr>
              <w:t>电话：</w:t>
            </w:r>
          </w:p>
        </w:tc>
      </w:tr>
    </w:tbl>
    <w:p w14:paraId="63453696">
      <w:pPr>
        <w:rPr>
          <w:sz w:val="24"/>
          <w:szCs w:val="24"/>
        </w:rPr>
      </w:pPr>
    </w:p>
    <w:p w14:paraId="3AE84C5B">
      <w:pPr>
        <w:rPr>
          <w:szCs w:val="24"/>
        </w:rPr>
      </w:pPr>
      <w:r>
        <w:rPr>
          <w:sz w:val="24"/>
          <w:szCs w:val="24"/>
        </w:rPr>
        <w:t>时间：20</w:t>
      </w:r>
      <w:r>
        <w:rPr>
          <w:rFonts w:hint="eastAsia"/>
          <w:sz w:val="24"/>
          <w:szCs w:val="24"/>
        </w:rPr>
        <w:t xml:space="preserve">  </w:t>
      </w:r>
      <w:r>
        <w:rPr>
          <w:sz w:val="24"/>
          <w:szCs w:val="24"/>
        </w:rPr>
        <w:t>年  月  日</w:t>
      </w:r>
    </w:p>
    <w:p w14:paraId="017BEA85">
      <w:pPr>
        <w:jc w:val="center"/>
        <w:rPr>
          <w:b/>
          <w:sz w:val="30"/>
          <w:szCs w:val="30"/>
        </w:rPr>
      </w:pPr>
      <w:r>
        <w:rPr>
          <w:b/>
          <w:sz w:val="30"/>
          <w:szCs w:val="30"/>
        </w:rPr>
        <w:br w:type="page"/>
      </w:r>
      <w:r>
        <w:rPr>
          <w:b/>
          <w:sz w:val="30"/>
          <w:szCs w:val="30"/>
        </w:rPr>
        <w:t>合同特殊条款</w:t>
      </w:r>
    </w:p>
    <w:p w14:paraId="665B6433">
      <w:pPr>
        <w:tabs>
          <w:tab w:val="left" w:pos="360"/>
        </w:tabs>
        <w:spacing w:line="520" w:lineRule="exact"/>
        <w:ind w:firstLine="383" w:firstLineChars="171"/>
        <w:rPr>
          <w:color w:val="000000"/>
          <w:sz w:val="24"/>
          <w:szCs w:val="24"/>
        </w:rPr>
      </w:pPr>
    </w:p>
    <w:p w14:paraId="3E74C954">
      <w:pPr>
        <w:tabs>
          <w:tab w:val="left" w:pos="360"/>
        </w:tabs>
        <w:spacing w:line="520" w:lineRule="exact"/>
        <w:ind w:firstLine="383"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5F9357F4">
      <w:pPr>
        <w:tabs>
          <w:tab w:val="left" w:pos="360"/>
        </w:tabs>
        <w:spacing w:line="520" w:lineRule="exact"/>
        <w:ind w:firstLine="383"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14:paraId="18D58D17">
      <w:pPr>
        <w:autoSpaceDE w:val="0"/>
        <w:autoSpaceDN w:val="0"/>
        <w:adjustRightInd w:val="0"/>
        <w:spacing w:line="360" w:lineRule="auto"/>
        <w:ind w:firstLine="448" w:firstLineChars="200"/>
        <w:rPr>
          <w:sz w:val="24"/>
        </w:rPr>
      </w:pPr>
    </w:p>
    <w:p w14:paraId="5A5FD664">
      <w:pPr>
        <w:widowControl/>
        <w:jc w:val="left"/>
        <w:rPr>
          <w:sz w:val="24"/>
        </w:rPr>
      </w:pPr>
      <w:r>
        <w:rPr>
          <w:sz w:val="24"/>
        </w:rPr>
        <w:br w:type="page"/>
      </w:r>
    </w:p>
    <w:p w14:paraId="1E30B3B1">
      <w:pPr>
        <w:pStyle w:val="16"/>
        <w:rPr>
          <w:rFonts w:ascii="Times New Roman" w:hAnsi="Times New Roman"/>
        </w:rPr>
      </w:pPr>
      <w:r>
        <w:rPr>
          <w:rFonts w:ascii="Times New Roman" w:hAnsi="Times New Roman"/>
        </w:rPr>
        <w:t>第五部分  投标文件格式</w:t>
      </w:r>
    </w:p>
    <w:p w14:paraId="578D6C5E">
      <w:pPr>
        <w:autoSpaceDN w:val="0"/>
        <w:spacing w:line="360" w:lineRule="auto"/>
        <w:jc w:val="center"/>
        <w:rPr>
          <w:b/>
          <w:bCs/>
          <w:sz w:val="24"/>
        </w:rPr>
      </w:pPr>
      <w:r>
        <w:rPr>
          <w:b/>
          <w:bCs/>
          <w:sz w:val="24"/>
        </w:rPr>
        <w:t>投标文件封面格式</w:t>
      </w:r>
    </w:p>
    <w:p w14:paraId="39926728">
      <w:pPr>
        <w:autoSpaceDE w:val="0"/>
        <w:autoSpaceDN w:val="0"/>
        <w:adjustRightInd w:val="0"/>
        <w:spacing w:line="520" w:lineRule="exact"/>
      </w:pPr>
    </w:p>
    <w:p w14:paraId="0D853AC1">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262C9FDB">
      <w:pPr>
        <w:autoSpaceDE w:val="0"/>
        <w:autoSpaceDN w:val="0"/>
        <w:adjustRightInd w:val="0"/>
        <w:spacing w:line="520" w:lineRule="exact"/>
        <w:rPr>
          <w:b/>
          <w:kern w:val="0"/>
          <w:sz w:val="24"/>
        </w:rPr>
      </w:pPr>
    </w:p>
    <w:p w14:paraId="657F0D0B">
      <w:pPr>
        <w:autoSpaceDE w:val="0"/>
        <w:autoSpaceDN w:val="0"/>
        <w:adjustRightInd w:val="0"/>
        <w:spacing w:line="520" w:lineRule="exact"/>
        <w:rPr>
          <w:b/>
          <w:kern w:val="0"/>
          <w:sz w:val="24"/>
        </w:rPr>
      </w:pPr>
    </w:p>
    <w:p w14:paraId="351FABA1">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184D441B">
      <w:pPr>
        <w:autoSpaceDE w:val="0"/>
        <w:autoSpaceDN w:val="0"/>
        <w:adjustRightInd w:val="0"/>
        <w:spacing w:line="520" w:lineRule="exact"/>
        <w:rPr>
          <w:b/>
          <w:kern w:val="0"/>
          <w:sz w:val="36"/>
          <w:szCs w:val="36"/>
        </w:rPr>
      </w:pPr>
    </w:p>
    <w:p w14:paraId="1CDB2AC1">
      <w:pPr>
        <w:autoSpaceDE w:val="0"/>
        <w:autoSpaceDN w:val="0"/>
        <w:adjustRightInd w:val="0"/>
        <w:spacing w:line="520" w:lineRule="exact"/>
        <w:jc w:val="center"/>
        <w:rPr>
          <w:b/>
          <w:color w:val="FF0000"/>
          <w:kern w:val="0"/>
          <w:sz w:val="24"/>
        </w:rPr>
      </w:pPr>
      <w:r>
        <w:rPr>
          <w:b/>
          <w:color w:val="FF0000"/>
          <w:kern w:val="0"/>
          <w:sz w:val="24"/>
        </w:rPr>
        <w:t>（加盖电子签章）</w:t>
      </w:r>
    </w:p>
    <w:p w14:paraId="556BB20F">
      <w:pPr>
        <w:spacing w:before="85" w:beforeLines="30" w:after="199" w:afterLines="70" w:line="540" w:lineRule="exact"/>
        <w:ind w:left="582" w:leftChars="300"/>
        <w:rPr>
          <w:b/>
          <w:sz w:val="34"/>
          <w:szCs w:val="34"/>
        </w:rPr>
      </w:pPr>
      <w:r>
        <w:rPr>
          <w:b/>
          <w:sz w:val="34"/>
          <w:szCs w:val="34"/>
        </w:rPr>
        <w:t>项目编号：</w:t>
      </w:r>
    </w:p>
    <w:p w14:paraId="331B0330">
      <w:pPr>
        <w:spacing w:before="85" w:beforeLines="30" w:after="199" w:afterLines="70" w:line="540" w:lineRule="exact"/>
        <w:ind w:left="2027" w:leftChars="300" w:hanging="1445" w:hangingChars="446"/>
        <w:rPr>
          <w:b/>
          <w:sz w:val="34"/>
          <w:szCs w:val="34"/>
        </w:rPr>
      </w:pPr>
      <w:r>
        <w:rPr>
          <w:b/>
          <w:sz w:val="34"/>
          <w:szCs w:val="34"/>
        </w:rPr>
        <w:t>项目名称：</w:t>
      </w:r>
    </w:p>
    <w:p w14:paraId="4BE841C2">
      <w:pPr>
        <w:spacing w:before="85" w:beforeLines="30" w:after="199" w:afterLines="70" w:line="540" w:lineRule="exact"/>
        <w:ind w:left="2027" w:leftChars="300" w:hanging="1445" w:hangingChars="446"/>
        <w:rPr>
          <w:b/>
          <w:sz w:val="34"/>
          <w:szCs w:val="34"/>
        </w:rPr>
      </w:pPr>
      <w:r>
        <w:rPr>
          <w:b/>
          <w:sz w:val="34"/>
          <w:szCs w:val="34"/>
        </w:rPr>
        <w:t>所投包号：</w:t>
      </w:r>
    </w:p>
    <w:p w14:paraId="01F40872">
      <w:pPr>
        <w:spacing w:before="85" w:beforeLines="30" w:after="199" w:afterLines="70" w:line="540" w:lineRule="exact"/>
        <w:ind w:left="582" w:leftChars="300"/>
        <w:rPr>
          <w:b/>
          <w:sz w:val="34"/>
          <w:szCs w:val="34"/>
        </w:rPr>
      </w:pPr>
      <w:r>
        <w:rPr>
          <w:b/>
          <w:sz w:val="34"/>
          <w:szCs w:val="34"/>
        </w:rPr>
        <w:t>投标单位名称：</w:t>
      </w:r>
    </w:p>
    <w:p w14:paraId="178F0154">
      <w:pPr>
        <w:spacing w:before="85" w:beforeLines="30" w:after="199" w:afterLines="70" w:line="540" w:lineRule="exact"/>
        <w:ind w:left="582" w:leftChars="300"/>
        <w:rPr>
          <w:b/>
          <w:sz w:val="34"/>
          <w:szCs w:val="34"/>
        </w:rPr>
      </w:pPr>
      <w:r>
        <w:rPr>
          <w:rFonts w:hint="eastAsia"/>
          <w:b/>
          <w:sz w:val="34"/>
          <w:szCs w:val="34"/>
        </w:rPr>
        <w:t>投标代表人姓名：</w:t>
      </w:r>
    </w:p>
    <w:p w14:paraId="30358BA9">
      <w:pPr>
        <w:spacing w:before="85" w:beforeLines="30" w:after="199" w:afterLines="70" w:line="540" w:lineRule="exact"/>
        <w:ind w:left="582" w:leftChars="300"/>
        <w:rPr>
          <w:b/>
          <w:sz w:val="34"/>
          <w:szCs w:val="34"/>
        </w:rPr>
      </w:pPr>
    </w:p>
    <w:p w14:paraId="02F64C16">
      <w:pPr>
        <w:spacing w:before="85" w:beforeLines="30" w:after="199" w:afterLines="70" w:line="540" w:lineRule="exact"/>
        <w:ind w:left="582" w:leftChars="300"/>
        <w:rPr>
          <w:b/>
          <w:sz w:val="34"/>
          <w:szCs w:val="34"/>
        </w:rPr>
      </w:pPr>
    </w:p>
    <w:p w14:paraId="696B133A">
      <w:pPr>
        <w:spacing w:before="85" w:beforeLines="30" w:after="199" w:afterLines="70" w:line="540" w:lineRule="exact"/>
        <w:ind w:left="582" w:leftChars="300"/>
        <w:rPr>
          <w:b/>
          <w:sz w:val="34"/>
          <w:szCs w:val="34"/>
        </w:rPr>
      </w:pPr>
    </w:p>
    <w:p w14:paraId="17CBE54A">
      <w:pPr>
        <w:spacing w:before="85" w:beforeLines="30" w:after="199" w:afterLines="70" w:line="540" w:lineRule="exact"/>
        <w:ind w:left="582" w:leftChars="300"/>
        <w:rPr>
          <w:b/>
          <w:bCs/>
          <w:sz w:val="24"/>
        </w:rPr>
      </w:pPr>
      <w:r>
        <w:rPr>
          <w:b/>
          <w:sz w:val="34"/>
          <w:szCs w:val="34"/>
        </w:rPr>
        <w:t>投标日期：   年   月   日</w:t>
      </w:r>
    </w:p>
    <w:p w14:paraId="1208C686">
      <w:pPr>
        <w:widowControl/>
        <w:jc w:val="left"/>
        <w:rPr>
          <w:b/>
          <w:bCs/>
          <w:sz w:val="24"/>
        </w:rPr>
      </w:pPr>
      <w:r>
        <w:rPr>
          <w:b/>
          <w:bCs/>
          <w:sz w:val="24"/>
        </w:rPr>
        <w:br w:type="page"/>
      </w:r>
    </w:p>
    <w:p w14:paraId="3773EB9F">
      <w:pPr>
        <w:autoSpaceDN w:val="0"/>
        <w:spacing w:line="360" w:lineRule="auto"/>
        <w:jc w:val="center"/>
        <w:rPr>
          <w:b/>
          <w:bCs/>
          <w:sz w:val="24"/>
        </w:rPr>
      </w:pPr>
      <w:r>
        <w:rPr>
          <w:b/>
          <w:bCs/>
          <w:sz w:val="24"/>
        </w:rPr>
        <w:t>投标文件总目录</w:t>
      </w:r>
    </w:p>
    <w:p w14:paraId="347899C5">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4D9A2907">
      <w:pPr>
        <w:widowControl/>
        <w:jc w:val="center"/>
        <w:rPr>
          <w:b/>
          <w:sz w:val="24"/>
        </w:rPr>
      </w:pPr>
    </w:p>
    <w:p w14:paraId="56B91393">
      <w:pPr>
        <w:widowControl/>
        <w:jc w:val="left"/>
        <w:rPr>
          <w:b/>
          <w:sz w:val="24"/>
        </w:rPr>
      </w:pPr>
      <w:r>
        <w:rPr>
          <w:b/>
          <w:sz w:val="24"/>
        </w:rPr>
        <w:br w:type="page"/>
      </w:r>
    </w:p>
    <w:p w14:paraId="69EEEC8E">
      <w:pPr>
        <w:widowControl/>
        <w:jc w:val="center"/>
        <w:rPr>
          <w:b/>
          <w:sz w:val="24"/>
        </w:rPr>
      </w:pPr>
      <w:r>
        <w:rPr>
          <w:b/>
          <w:sz w:val="24"/>
        </w:rPr>
        <w:t>评分因素及评标标准页码检索</w:t>
      </w:r>
    </w:p>
    <w:p w14:paraId="52D23E7F">
      <w:pPr>
        <w:widowControl/>
        <w:jc w:val="center"/>
        <w:rPr>
          <w:b/>
          <w:sz w:val="24"/>
        </w:rPr>
      </w:pPr>
      <w:r>
        <w:rPr>
          <w:b/>
          <w:bCs/>
          <w:sz w:val="24"/>
        </w:rPr>
        <w:t>（需投标人按招标文件“评分因素及评标标准”中每个评分项逐项列明页码）</w:t>
      </w:r>
    </w:p>
    <w:p w14:paraId="1EB553AC">
      <w:pPr>
        <w:widowControl/>
        <w:jc w:val="left"/>
        <w:rPr>
          <w:sz w:val="24"/>
        </w:rPr>
      </w:pPr>
      <w:r>
        <w:rPr>
          <w:sz w:val="24"/>
        </w:rPr>
        <w:br w:type="page"/>
      </w:r>
    </w:p>
    <w:p w14:paraId="691E91FB">
      <w:pPr>
        <w:widowControl/>
        <w:jc w:val="left"/>
        <w:rPr>
          <w:b/>
          <w:bCs/>
          <w:sz w:val="24"/>
        </w:rPr>
      </w:pPr>
      <w:r>
        <w:rPr>
          <w:b/>
          <w:sz w:val="24"/>
        </w:rPr>
        <w:t>附件1</w:t>
      </w:r>
    </w:p>
    <w:p w14:paraId="55262A40">
      <w:pPr>
        <w:autoSpaceDN w:val="0"/>
        <w:spacing w:line="360" w:lineRule="auto"/>
        <w:jc w:val="center"/>
        <w:rPr>
          <w:b/>
          <w:bCs/>
          <w:sz w:val="24"/>
        </w:rPr>
      </w:pPr>
      <w:r>
        <w:rPr>
          <w:b/>
          <w:bCs/>
          <w:sz w:val="24"/>
        </w:rPr>
        <w:t>投标书</w:t>
      </w:r>
    </w:p>
    <w:p w14:paraId="3D99A1F9">
      <w:pPr>
        <w:spacing w:line="360" w:lineRule="auto"/>
        <w:rPr>
          <w:sz w:val="24"/>
        </w:rPr>
      </w:pPr>
      <w:r>
        <w:rPr>
          <w:sz w:val="24"/>
        </w:rPr>
        <w:t>致：天津市政府采购中心</w:t>
      </w:r>
    </w:p>
    <w:p w14:paraId="14E801B9">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43032CB8">
      <w:pPr>
        <w:spacing w:line="360" w:lineRule="auto"/>
        <w:ind w:firstLine="448" w:firstLineChars="200"/>
        <w:rPr>
          <w:sz w:val="24"/>
        </w:rPr>
      </w:pPr>
      <w:r>
        <w:rPr>
          <w:sz w:val="24"/>
        </w:rPr>
        <w:t>据此函，签字代表宣布同意如下：</w:t>
      </w:r>
    </w:p>
    <w:p w14:paraId="5A513ECD">
      <w:pPr>
        <w:spacing w:line="360" w:lineRule="auto"/>
        <w:ind w:firstLine="448" w:firstLineChars="200"/>
        <w:rPr>
          <w:sz w:val="24"/>
        </w:rPr>
      </w:pPr>
      <w:r>
        <w:rPr>
          <w:sz w:val="24"/>
        </w:rPr>
        <w:t>1. 所附投标报价表中规定的应提供和交付的服务投标总价为：</w:t>
      </w:r>
    </w:p>
    <w:p w14:paraId="0623D900">
      <w:pPr>
        <w:spacing w:line="360" w:lineRule="auto"/>
        <w:ind w:firstLine="448"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0DA9D4D6">
      <w:pPr>
        <w:spacing w:line="360" w:lineRule="auto"/>
        <w:ind w:firstLine="448" w:firstLineChars="200"/>
        <w:rPr>
          <w:sz w:val="24"/>
        </w:rPr>
      </w:pPr>
      <w:r>
        <w:rPr>
          <w:sz w:val="24"/>
        </w:rPr>
        <w:t>2. 我公司将按招标文件的规定履行合同责任和义务。</w:t>
      </w:r>
    </w:p>
    <w:p w14:paraId="60052028">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0401E416">
      <w:pPr>
        <w:spacing w:line="360" w:lineRule="auto"/>
        <w:ind w:firstLine="448" w:firstLineChars="200"/>
        <w:rPr>
          <w:sz w:val="24"/>
        </w:rPr>
      </w:pPr>
      <w:r>
        <w:rPr>
          <w:sz w:val="24"/>
        </w:rPr>
        <w:t>4. 我公司的投标有效期为开标之日起60天。</w:t>
      </w:r>
    </w:p>
    <w:p w14:paraId="787D7614">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6F2B9DAD">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40DE81E3">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042B873B">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1B79DFAF">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01C403CA">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240D9958">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38127AB3">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67158FEA">
      <w:pPr>
        <w:spacing w:line="360" w:lineRule="auto"/>
        <w:ind w:firstLine="448" w:firstLineChars="200"/>
        <w:rPr>
          <w:sz w:val="24"/>
        </w:rPr>
      </w:pPr>
      <w:r>
        <w:rPr>
          <w:rFonts w:hint="eastAsia"/>
          <w:sz w:val="24"/>
        </w:rPr>
        <w:t>纳税人识别号：</w:t>
      </w:r>
    </w:p>
    <w:p w14:paraId="74344C9E">
      <w:pPr>
        <w:spacing w:line="360" w:lineRule="auto"/>
        <w:ind w:firstLine="448" w:firstLineChars="200"/>
        <w:rPr>
          <w:sz w:val="24"/>
        </w:rPr>
      </w:pPr>
      <w:r>
        <w:rPr>
          <w:rFonts w:hint="eastAsia"/>
          <w:sz w:val="24"/>
        </w:rPr>
        <w:t>地址、电话：</w:t>
      </w:r>
    </w:p>
    <w:p w14:paraId="681329B3">
      <w:pPr>
        <w:spacing w:line="360" w:lineRule="auto"/>
        <w:ind w:firstLine="448" w:firstLineChars="200"/>
        <w:rPr>
          <w:sz w:val="24"/>
        </w:rPr>
      </w:pPr>
      <w:r>
        <w:rPr>
          <w:rFonts w:hint="eastAsia"/>
          <w:sz w:val="24"/>
        </w:rPr>
        <w:t>开户行及账号：</w:t>
      </w:r>
    </w:p>
    <w:p w14:paraId="5FCBECBD">
      <w:pPr>
        <w:spacing w:line="360" w:lineRule="auto"/>
        <w:ind w:firstLine="448" w:firstLineChars="200"/>
        <w:rPr>
          <w:sz w:val="24"/>
        </w:rPr>
      </w:pPr>
      <w:r>
        <w:rPr>
          <w:rFonts w:hint="eastAsia"/>
          <w:sz w:val="24"/>
        </w:rPr>
        <w:t>开具发票类型：□增值税专用发票         □增值税普通发票</w:t>
      </w:r>
    </w:p>
    <w:p w14:paraId="33431326">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5C96EE88">
      <w:pPr>
        <w:spacing w:line="360" w:lineRule="auto"/>
        <w:ind w:firstLine="448" w:firstLineChars="200"/>
        <w:rPr>
          <w:b/>
          <w:sz w:val="24"/>
        </w:rPr>
      </w:pPr>
      <w:r>
        <w:rPr>
          <w:rFonts w:hint="eastAsia"/>
          <w:b/>
          <w:sz w:val="24"/>
        </w:rPr>
        <w:t>□</w:t>
      </w:r>
      <w:r>
        <w:rPr>
          <w:b/>
          <w:sz w:val="24"/>
        </w:rPr>
        <w:t>上门自取</w:t>
      </w:r>
    </w:p>
    <w:p w14:paraId="19816C51">
      <w:pPr>
        <w:spacing w:line="360" w:lineRule="auto"/>
        <w:ind w:firstLine="448" w:firstLineChars="200"/>
        <w:rPr>
          <w:sz w:val="24"/>
        </w:rPr>
      </w:pPr>
    </w:p>
    <w:p w14:paraId="7AD29E5D">
      <w:pPr>
        <w:spacing w:line="360" w:lineRule="auto"/>
        <w:ind w:firstLine="448" w:firstLineChars="200"/>
        <w:rPr>
          <w:b/>
          <w:sz w:val="24"/>
        </w:rPr>
      </w:pPr>
      <w:r>
        <w:rPr>
          <w:rFonts w:hint="eastAsia"/>
          <w:b/>
          <w:sz w:val="24"/>
        </w:rPr>
        <w:t>□</w:t>
      </w:r>
      <w:r>
        <w:rPr>
          <w:b/>
          <w:sz w:val="24"/>
        </w:rPr>
        <w:t>到付邮寄</w:t>
      </w:r>
    </w:p>
    <w:p w14:paraId="78455AA0">
      <w:pPr>
        <w:spacing w:line="360" w:lineRule="auto"/>
        <w:ind w:firstLine="448" w:firstLineChars="200"/>
        <w:rPr>
          <w:sz w:val="24"/>
        </w:rPr>
      </w:pPr>
      <w:r>
        <w:rPr>
          <w:sz w:val="24"/>
        </w:rPr>
        <w:t>邮寄地址</w:t>
      </w:r>
      <w:r>
        <w:rPr>
          <w:rFonts w:hint="eastAsia"/>
          <w:sz w:val="24"/>
        </w:rPr>
        <w:t>、邮编</w:t>
      </w:r>
      <w:r>
        <w:rPr>
          <w:sz w:val="24"/>
        </w:rPr>
        <w:t>：</w:t>
      </w:r>
    </w:p>
    <w:p w14:paraId="67DA903F">
      <w:pPr>
        <w:spacing w:line="360" w:lineRule="auto"/>
        <w:ind w:firstLine="448" w:firstLineChars="200"/>
        <w:rPr>
          <w:sz w:val="24"/>
        </w:rPr>
      </w:pPr>
      <w:r>
        <w:rPr>
          <w:sz w:val="24"/>
        </w:rPr>
        <w:t>邮寄联系人、手机号码：</w:t>
      </w:r>
    </w:p>
    <w:p w14:paraId="5261C8E4">
      <w:pPr>
        <w:spacing w:line="360" w:lineRule="auto"/>
        <w:ind w:firstLine="3808" w:firstLineChars="1700"/>
        <w:rPr>
          <w:sz w:val="24"/>
        </w:rPr>
      </w:pPr>
    </w:p>
    <w:p w14:paraId="3E49885D">
      <w:pPr>
        <w:spacing w:line="360" w:lineRule="auto"/>
        <w:ind w:firstLine="3808" w:firstLineChars="1700"/>
        <w:rPr>
          <w:sz w:val="24"/>
        </w:rPr>
      </w:pPr>
      <w:r>
        <w:rPr>
          <w:sz w:val="24"/>
        </w:rPr>
        <w:t>投标人名称：</w:t>
      </w:r>
    </w:p>
    <w:p w14:paraId="79BF0D02">
      <w:pPr>
        <w:spacing w:line="360" w:lineRule="auto"/>
        <w:ind w:firstLine="3808" w:firstLineChars="1700"/>
        <w:rPr>
          <w:sz w:val="24"/>
        </w:rPr>
      </w:pPr>
    </w:p>
    <w:p w14:paraId="76893C92">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06FF1FA">
      <w:pPr>
        <w:spacing w:line="460" w:lineRule="exact"/>
        <w:rPr>
          <w:sz w:val="24"/>
        </w:rPr>
      </w:pPr>
    </w:p>
    <w:p w14:paraId="342FC373">
      <w:pPr>
        <w:widowControl/>
        <w:jc w:val="left"/>
        <w:rPr>
          <w:sz w:val="24"/>
        </w:rPr>
      </w:pPr>
      <w:r>
        <w:rPr>
          <w:sz w:val="24"/>
        </w:rPr>
        <w:br w:type="page"/>
      </w:r>
    </w:p>
    <w:p w14:paraId="5364E079">
      <w:pPr>
        <w:spacing w:line="460" w:lineRule="exact"/>
        <w:rPr>
          <w:b/>
          <w:sz w:val="24"/>
        </w:rPr>
      </w:pPr>
      <w:r>
        <w:rPr>
          <w:b/>
          <w:sz w:val="24"/>
        </w:rPr>
        <w:t>附件2</w:t>
      </w:r>
    </w:p>
    <w:p w14:paraId="5DAF009A">
      <w:pPr>
        <w:ind w:right="84"/>
        <w:jc w:val="center"/>
        <w:rPr>
          <w:b/>
          <w:sz w:val="24"/>
        </w:rPr>
      </w:pPr>
    </w:p>
    <w:p w14:paraId="1F5B6062">
      <w:pPr>
        <w:ind w:right="84"/>
        <w:jc w:val="center"/>
        <w:rPr>
          <w:b/>
          <w:sz w:val="24"/>
        </w:rPr>
      </w:pPr>
      <w:r>
        <w:rPr>
          <w:rFonts w:hint="eastAsia"/>
          <w:b/>
          <w:sz w:val="24"/>
        </w:rPr>
        <w:t>供应商资格声明函</w:t>
      </w:r>
    </w:p>
    <w:p w14:paraId="46010455">
      <w:pPr>
        <w:spacing w:line="360" w:lineRule="auto"/>
        <w:ind w:firstLine="420"/>
        <w:jc w:val="center"/>
        <w:rPr>
          <w:b/>
          <w:sz w:val="24"/>
        </w:rPr>
      </w:pPr>
    </w:p>
    <w:p w14:paraId="7141A7B2">
      <w:pPr>
        <w:spacing w:line="360" w:lineRule="auto"/>
        <w:rPr>
          <w:sz w:val="24"/>
        </w:rPr>
      </w:pPr>
      <w:r>
        <w:rPr>
          <w:rFonts w:hint="eastAsia"/>
          <w:sz w:val="24"/>
        </w:rPr>
        <w:t>天津市政府采购中心：</w:t>
      </w:r>
    </w:p>
    <w:p w14:paraId="1BC453E3">
      <w:pPr>
        <w:spacing w:line="360" w:lineRule="auto"/>
        <w:ind w:firstLine="448" w:firstLineChars="200"/>
        <w:rPr>
          <w:sz w:val="24"/>
        </w:rPr>
      </w:pPr>
      <w:r>
        <w:rPr>
          <w:rFonts w:hint="eastAsia"/>
          <w:sz w:val="24"/>
        </w:rPr>
        <w:t>我单位自愿参与本项目的政府采购活动，郑重承诺如下：</w:t>
      </w:r>
    </w:p>
    <w:p w14:paraId="4F20739C">
      <w:pPr>
        <w:spacing w:line="360" w:lineRule="auto"/>
        <w:ind w:firstLine="448" w:firstLineChars="200"/>
        <w:rPr>
          <w:sz w:val="24"/>
        </w:rPr>
      </w:pPr>
      <w:r>
        <w:rPr>
          <w:rFonts w:hint="eastAsia"/>
          <w:sz w:val="24"/>
        </w:rPr>
        <w:t>（一）我单位具有良好的商业信誉和健全的财务会计制度；</w:t>
      </w:r>
    </w:p>
    <w:p w14:paraId="7BBAFAD4">
      <w:pPr>
        <w:spacing w:line="360" w:lineRule="auto"/>
        <w:ind w:firstLine="448" w:firstLineChars="200"/>
        <w:rPr>
          <w:sz w:val="24"/>
        </w:rPr>
      </w:pPr>
      <w:r>
        <w:rPr>
          <w:rFonts w:hint="eastAsia"/>
          <w:sz w:val="24"/>
        </w:rPr>
        <w:t>（二）我单位依法缴纳税收和社会保障资金；</w:t>
      </w:r>
    </w:p>
    <w:p w14:paraId="5DCAA9DB">
      <w:pPr>
        <w:spacing w:line="360" w:lineRule="auto"/>
        <w:ind w:firstLine="448" w:firstLineChars="200"/>
        <w:rPr>
          <w:sz w:val="24"/>
        </w:rPr>
      </w:pPr>
      <w:r>
        <w:rPr>
          <w:rFonts w:hint="eastAsia"/>
          <w:sz w:val="24"/>
        </w:rPr>
        <w:t>（三）我单位具备履行合同所必需的设备和专业技术能力；</w:t>
      </w:r>
    </w:p>
    <w:p w14:paraId="46270729">
      <w:pPr>
        <w:spacing w:line="360" w:lineRule="auto"/>
        <w:ind w:firstLine="448" w:firstLineChars="200"/>
        <w:rPr>
          <w:sz w:val="24"/>
        </w:rPr>
      </w:pPr>
      <w:r>
        <w:rPr>
          <w:rFonts w:hint="eastAsia"/>
          <w:sz w:val="24"/>
        </w:rPr>
        <w:t>（四）参加政府采购活动前3年我单位在经营活动中没有重大违法记录；</w:t>
      </w:r>
    </w:p>
    <w:p w14:paraId="7E690B53">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35DA6619">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28467D67">
        <w:tc>
          <w:tcPr>
            <w:tcW w:w="1061" w:type="pct"/>
            <w:vAlign w:val="center"/>
          </w:tcPr>
          <w:p w14:paraId="7ADC5C5A">
            <w:pPr>
              <w:jc w:val="center"/>
              <w:rPr>
                <w:szCs w:val="21"/>
              </w:rPr>
            </w:pPr>
            <w:r>
              <w:rPr>
                <w:rFonts w:hint="eastAsia"/>
                <w:szCs w:val="21"/>
              </w:rPr>
              <w:t>序号</w:t>
            </w:r>
          </w:p>
        </w:tc>
        <w:tc>
          <w:tcPr>
            <w:tcW w:w="2273" w:type="pct"/>
            <w:vAlign w:val="center"/>
          </w:tcPr>
          <w:p w14:paraId="1561792E">
            <w:pPr>
              <w:jc w:val="center"/>
              <w:rPr>
                <w:szCs w:val="21"/>
              </w:rPr>
            </w:pPr>
            <w:r>
              <w:rPr>
                <w:rFonts w:hint="eastAsia"/>
                <w:szCs w:val="21"/>
              </w:rPr>
              <w:t>单位名称</w:t>
            </w:r>
          </w:p>
        </w:tc>
        <w:tc>
          <w:tcPr>
            <w:tcW w:w="1667" w:type="pct"/>
            <w:vAlign w:val="center"/>
          </w:tcPr>
          <w:p w14:paraId="52F17869">
            <w:pPr>
              <w:jc w:val="center"/>
              <w:rPr>
                <w:szCs w:val="21"/>
              </w:rPr>
            </w:pPr>
            <w:r>
              <w:rPr>
                <w:rFonts w:hint="eastAsia"/>
                <w:szCs w:val="21"/>
              </w:rPr>
              <w:t>相互关系类型</w:t>
            </w:r>
          </w:p>
        </w:tc>
      </w:tr>
      <w:tr w14:paraId="6A01D49D">
        <w:tc>
          <w:tcPr>
            <w:tcW w:w="1061" w:type="pct"/>
            <w:vAlign w:val="center"/>
          </w:tcPr>
          <w:p w14:paraId="1D629777">
            <w:pPr>
              <w:jc w:val="center"/>
              <w:rPr>
                <w:szCs w:val="21"/>
              </w:rPr>
            </w:pPr>
            <w:r>
              <w:rPr>
                <w:rFonts w:hint="eastAsia"/>
                <w:szCs w:val="21"/>
              </w:rPr>
              <w:t>1</w:t>
            </w:r>
          </w:p>
        </w:tc>
        <w:tc>
          <w:tcPr>
            <w:tcW w:w="2273" w:type="pct"/>
            <w:vAlign w:val="center"/>
          </w:tcPr>
          <w:p w14:paraId="67265694">
            <w:pPr>
              <w:jc w:val="center"/>
              <w:rPr>
                <w:szCs w:val="21"/>
              </w:rPr>
            </w:pPr>
          </w:p>
        </w:tc>
        <w:tc>
          <w:tcPr>
            <w:tcW w:w="1667" w:type="pct"/>
            <w:vAlign w:val="center"/>
          </w:tcPr>
          <w:p w14:paraId="73400F41">
            <w:pPr>
              <w:jc w:val="center"/>
              <w:rPr>
                <w:szCs w:val="21"/>
              </w:rPr>
            </w:pPr>
          </w:p>
        </w:tc>
      </w:tr>
      <w:tr w14:paraId="1E325D31">
        <w:tc>
          <w:tcPr>
            <w:tcW w:w="1061" w:type="pct"/>
            <w:vAlign w:val="center"/>
          </w:tcPr>
          <w:p w14:paraId="274793D2">
            <w:pPr>
              <w:jc w:val="center"/>
              <w:rPr>
                <w:szCs w:val="21"/>
              </w:rPr>
            </w:pPr>
            <w:r>
              <w:rPr>
                <w:rFonts w:hint="eastAsia"/>
                <w:szCs w:val="21"/>
              </w:rPr>
              <w:t>2</w:t>
            </w:r>
          </w:p>
        </w:tc>
        <w:tc>
          <w:tcPr>
            <w:tcW w:w="2273" w:type="pct"/>
            <w:vAlign w:val="center"/>
          </w:tcPr>
          <w:p w14:paraId="5C8EFA3F">
            <w:pPr>
              <w:jc w:val="center"/>
              <w:rPr>
                <w:szCs w:val="21"/>
              </w:rPr>
            </w:pPr>
          </w:p>
        </w:tc>
        <w:tc>
          <w:tcPr>
            <w:tcW w:w="1667" w:type="pct"/>
            <w:vAlign w:val="center"/>
          </w:tcPr>
          <w:p w14:paraId="471986EF">
            <w:pPr>
              <w:jc w:val="center"/>
              <w:rPr>
                <w:szCs w:val="21"/>
              </w:rPr>
            </w:pPr>
          </w:p>
        </w:tc>
      </w:tr>
      <w:tr w14:paraId="286AF916">
        <w:tc>
          <w:tcPr>
            <w:tcW w:w="1061" w:type="pct"/>
            <w:vAlign w:val="center"/>
          </w:tcPr>
          <w:p w14:paraId="500615F8">
            <w:pPr>
              <w:jc w:val="center"/>
              <w:rPr>
                <w:szCs w:val="21"/>
              </w:rPr>
            </w:pPr>
            <w:r>
              <w:rPr>
                <w:rFonts w:hint="eastAsia"/>
                <w:szCs w:val="21"/>
              </w:rPr>
              <w:t>3</w:t>
            </w:r>
          </w:p>
        </w:tc>
        <w:tc>
          <w:tcPr>
            <w:tcW w:w="2273" w:type="pct"/>
            <w:vAlign w:val="center"/>
          </w:tcPr>
          <w:p w14:paraId="26DE9799">
            <w:pPr>
              <w:jc w:val="center"/>
              <w:rPr>
                <w:szCs w:val="21"/>
              </w:rPr>
            </w:pPr>
          </w:p>
        </w:tc>
        <w:tc>
          <w:tcPr>
            <w:tcW w:w="1667" w:type="pct"/>
            <w:vAlign w:val="center"/>
          </w:tcPr>
          <w:p w14:paraId="6E4F2CA1">
            <w:pPr>
              <w:jc w:val="center"/>
              <w:rPr>
                <w:szCs w:val="21"/>
              </w:rPr>
            </w:pPr>
          </w:p>
        </w:tc>
      </w:tr>
    </w:tbl>
    <w:p w14:paraId="3BE93E1C">
      <w:pPr>
        <w:spacing w:line="360" w:lineRule="auto"/>
        <w:ind w:firstLine="448" w:firstLineChars="200"/>
        <w:rPr>
          <w:sz w:val="24"/>
        </w:rPr>
      </w:pPr>
      <w:r>
        <w:rPr>
          <w:rFonts w:hint="eastAsia"/>
          <w:sz w:val="24"/>
        </w:rPr>
        <w:t>上表未填写的，视为不存在第（六）条所列情形</w:t>
      </w:r>
    </w:p>
    <w:p w14:paraId="32D7544A">
      <w:pPr>
        <w:spacing w:line="360" w:lineRule="auto"/>
        <w:ind w:firstLine="448" w:firstLineChars="200"/>
        <w:rPr>
          <w:sz w:val="24"/>
        </w:rPr>
      </w:pPr>
    </w:p>
    <w:p w14:paraId="1BC64CC8">
      <w:pPr>
        <w:spacing w:line="360" w:lineRule="auto"/>
        <w:ind w:firstLine="448" w:firstLineChars="200"/>
        <w:rPr>
          <w:sz w:val="24"/>
        </w:rPr>
      </w:pPr>
      <w:r>
        <w:rPr>
          <w:rFonts w:hint="eastAsia"/>
          <w:sz w:val="24"/>
        </w:rPr>
        <w:t>上述声明真实有效，否则我单位承担全部责任和不利后果。</w:t>
      </w:r>
    </w:p>
    <w:p w14:paraId="60BA82E7">
      <w:pPr>
        <w:spacing w:line="360" w:lineRule="auto"/>
        <w:ind w:firstLine="448" w:firstLineChars="200"/>
        <w:rPr>
          <w:sz w:val="24"/>
        </w:rPr>
      </w:pPr>
    </w:p>
    <w:p w14:paraId="364CBF78">
      <w:pPr>
        <w:spacing w:line="360" w:lineRule="auto"/>
        <w:ind w:firstLine="224" w:firstLineChars="100"/>
        <w:rPr>
          <w:sz w:val="24"/>
        </w:rPr>
      </w:pPr>
      <w:r>
        <w:rPr>
          <w:sz w:val="24"/>
        </w:rPr>
        <w:t>投标人名称：</w:t>
      </w:r>
    </w:p>
    <w:p w14:paraId="1524B8AC">
      <w:pPr>
        <w:spacing w:line="360" w:lineRule="auto"/>
        <w:ind w:firstLine="224" w:firstLineChars="100"/>
        <w:rPr>
          <w:sz w:val="24"/>
        </w:rPr>
      </w:pPr>
    </w:p>
    <w:p w14:paraId="1A4CAD2C">
      <w:pPr>
        <w:spacing w:line="360" w:lineRule="auto"/>
        <w:ind w:firstLine="224" w:firstLineChars="100"/>
        <w:rPr>
          <w:sz w:val="24"/>
        </w:rPr>
      </w:pPr>
      <w:r>
        <w:rPr>
          <w:sz w:val="24"/>
        </w:rPr>
        <w:t xml:space="preserve">日期：  </w:t>
      </w:r>
    </w:p>
    <w:p w14:paraId="499F228B">
      <w:pPr>
        <w:widowControl/>
        <w:jc w:val="left"/>
        <w:rPr>
          <w:b/>
          <w:sz w:val="24"/>
        </w:rPr>
      </w:pPr>
    </w:p>
    <w:p w14:paraId="7764AB81">
      <w:pPr>
        <w:widowControl/>
        <w:jc w:val="left"/>
        <w:rPr>
          <w:b/>
          <w:sz w:val="24"/>
        </w:rPr>
      </w:pPr>
    </w:p>
    <w:p w14:paraId="00CF0032">
      <w:pPr>
        <w:widowControl/>
        <w:jc w:val="left"/>
        <w:rPr>
          <w:b/>
          <w:sz w:val="24"/>
        </w:rPr>
      </w:pPr>
    </w:p>
    <w:p w14:paraId="42AC043A">
      <w:pPr>
        <w:widowControl/>
        <w:jc w:val="left"/>
        <w:rPr>
          <w:b/>
          <w:sz w:val="24"/>
        </w:rPr>
      </w:pPr>
      <w:r>
        <w:rPr>
          <w:b/>
          <w:sz w:val="24"/>
        </w:rPr>
        <w:br w:type="page"/>
      </w:r>
    </w:p>
    <w:p w14:paraId="69F9008A">
      <w:pPr>
        <w:spacing w:line="460" w:lineRule="exact"/>
        <w:rPr>
          <w:b/>
          <w:sz w:val="24"/>
        </w:rPr>
      </w:pPr>
      <w:r>
        <w:rPr>
          <w:rFonts w:hint="eastAsia"/>
          <w:b/>
          <w:bCs/>
          <w:sz w:val="24"/>
        </w:rPr>
        <w:t>附件2-1：招标文件第一部分供应商资格要求的证件</w:t>
      </w:r>
    </w:p>
    <w:p w14:paraId="0E041FEC">
      <w:pPr>
        <w:widowControl/>
        <w:jc w:val="left"/>
        <w:rPr>
          <w:b/>
          <w:sz w:val="24"/>
        </w:rPr>
      </w:pPr>
      <w:r>
        <w:rPr>
          <w:b/>
          <w:sz w:val="24"/>
        </w:rPr>
        <w:br w:type="page"/>
      </w:r>
    </w:p>
    <w:p w14:paraId="4F6F5DD4">
      <w:pPr>
        <w:widowControl/>
        <w:jc w:val="left"/>
        <w:rPr>
          <w:b/>
          <w:sz w:val="24"/>
        </w:rPr>
      </w:pPr>
      <w:r>
        <w:rPr>
          <w:b/>
          <w:sz w:val="24"/>
        </w:rPr>
        <w:t>附件</w:t>
      </w:r>
      <w:r>
        <w:rPr>
          <w:rFonts w:hint="eastAsia"/>
          <w:b/>
          <w:sz w:val="24"/>
        </w:rPr>
        <w:t>3-1</w:t>
      </w:r>
    </w:p>
    <w:p w14:paraId="6A38D977">
      <w:pPr>
        <w:autoSpaceDN w:val="0"/>
        <w:spacing w:line="360" w:lineRule="auto"/>
        <w:jc w:val="center"/>
        <w:rPr>
          <w:b/>
          <w:bCs/>
          <w:sz w:val="24"/>
        </w:rPr>
      </w:pPr>
      <w:r>
        <w:rPr>
          <w:b/>
          <w:bCs/>
          <w:sz w:val="24"/>
        </w:rPr>
        <w:t>开标一览表</w:t>
      </w:r>
    </w:p>
    <w:p w14:paraId="3D819078">
      <w:pPr>
        <w:ind w:right="84"/>
        <w:rPr>
          <w:sz w:val="24"/>
        </w:rPr>
      </w:pPr>
    </w:p>
    <w:p w14:paraId="09CE4338">
      <w:pPr>
        <w:spacing w:line="460" w:lineRule="exact"/>
        <w:rPr>
          <w:sz w:val="24"/>
        </w:rPr>
      </w:pPr>
      <w:r>
        <w:rPr>
          <w:sz w:val="24"/>
        </w:rPr>
        <w:t>项目名称：</w:t>
      </w:r>
      <w:r>
        <w:rPr>
          <w:sz w:val="24"/>
          <w:u w:val="single"/>
        </w:rPr>
        <w:t xml:space="preserve">                    </w:t>
      </w:r>
    </w:p>
    <w:p w14:paraId="5445018E">
      <w:pPr>
        <w:spacing w:line="460" w:lineRule="exact"/>
        <w:rPr>
          <w:sz w:val="24"/>
        </w:rPr>
      </w:pPr>
      <w:r>
        <w:rPr>
          <w:sz w:val="24"/>
        </w:rPr>
        <w:t>项目编号：</w:t>
      </w:r>
      <w:r>
        <w:rPr>
          <w:sz w:val="24"/>
          <w:u w:val="single"/>
        </w:rPr>
        <w:t xml:space="preserve">                    </w:t>
      </w:r>
    </w:p>
    <w:p w14:paraId="190D2906">
      <w:pPr>
        <w:spacing w:line="460" w:lineRule="exact"/>
        <w:rPr>
          <w:sz w:val="24"/>
          <w:u w:val="single"/>
        </w:rPr>
      </w:pPr>
      <w:r>
        <w:rPr>
          <w:sz w:val="24"/>
        </w:rPr>
        <w:t>包号：</w:t>
      </w:r>
      <w:r>
        <w:rPr>
          <w:sz w:val="24"/>
          <w:u w:val="single"/>
        </w:rPr>
        <w:t xml:space="preserve">                        </w:t>
      </w:r>
    </w:p>
    <w:p w14:paraId="75DCE37A">
      <w:pPr>
        <w:spacing w:line="460" w:lineRule="exact"/>
        <w:rPr>
          <w:sz w:val="24"/>
        </w:rPr>
      </w:pPr>
      <w:r>
        <w:rPr>
          <w:sz w:val="24"/>
        </w:rPr>
        <w:t xml:space="preserve">                                                       单位：元</w:t>
      </w:r>
    </w:p>
    <w:tbl>
      <w:tblPr>
        <w:tblStyle w:val="22"/>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651"/>
        <w:gridCol w:w="1375"/>
        <w:gridCol w:w="2048"/>
        <w:gridCol w:w="1680"/>
      </w:tblGrid>
      <w:tr w14:paraId="1E2BF861">
        <w:trPr>
          <w:jc w:val="center"/>
        </w:trPr>
        <w:tc>
          <w:tcPr>
            <w:tcW w:w="692" w:type="pct"/>
            <w:vAlign w:val="center"/>
          </w:tcPr>
          <w:p w14:paraId="6B659CF5">
            <w:pPr>
              <w:spacing w:line="460" w:lineRule="exact"/>
              <w:jc w:val="center"/>
              <w:rPr>
                <w:sz w:val="24"/>
              </w:rPr>
            </w:pPr>
            <w:r>
              <w:rPr>
                <w:sz w:val="24"/>
              </w:rPr>
              <w:t>包号</w:t>
            </w:r>
          </w:p>
        </w:tc>
        <w:tc>
          <w:tcPr>
            <w:tcW w:w="1473" w:type="pct"/>
            <w:vAlign w:val="center"/>
          </w:tcPr>
          <w:p w14:paraId="0BED80EA">
            <w:pPr>
              <w:spacing w:line="460" w:lineRule="exact"/>
              <w:jc w:val="center"/>
              <w:rPr>
                <w:sz w:val="24"/>
              </w:rPr>
            </w:pPr>
            <w:r>
              <w:rPr>
                <w:sz w:val="24"/>
              </w:rPr>
              <w:t>服务名称</w:t>
            </w:r>
          </w:p>
        </w:tc>
        <w:tc>
          <w:tcPr>
            <w:tcW w:w="764" w:type="pct"/>
            <w:vAlign w:val="center"/>
          </w:tcPr>
          <w:p w14:paraId="1E70BB55">
            <w:pPr>
              <w:spacing w:line="460" w:lineRule="exact"/>
              <w:jc w:val="center"/>
              <w:rPr>
                <w:sz w:val="24"/>
              </w:rPr>
            </w:pPr>
            <w:r>
              <w:rPr>
                <w:sz w:val="24"/>
              </w:rPr>
              <w:t>数量</w:t>
            </w:r>
          </w:p>
        </w:tc>
        <w:tc>
          <w:tcPr>
            <w:tcW w:w="1138" w:type="pct"/>
            <w:vAlign w:val="center"/>
          </w:tcPr>
          <w:p w14:paraId="530172CA">
            <w:pPr>
              <w:spacing w:line="460" w:lineRule="exact"/>
              <w:jc w:val="center"/>
              <w:rPr>
                <w:sz w:val="24"/>
              </w:rPr>
            </w:pPr>
            <w:r>
              <w:rPr>
                <w:sz w:val="24"/>
              </w:rPr>
              <w:t>投标总价</w:t>
            </w:r>
          </w:p>
        </w:tc>
        <w:tc>
          <w:tcPr>
            <w:tcW w:w="933" w:type="pct"/>
            <w:vAlign w:val="center"/>
          </w:tcPr>
          <w:p w14:paraId="5B390D54">
            <w:pPr>
              <w:spacing w:line="460" w:lineRule="exact"/>
              <w:jc w:val="center"/>
              <w:rPr>
                <w:sz w:val="24"/>
              </w:rPr>
            </w:pPr>
            <w:r>
              <w:rPr>
                <w:sz w:val="24"/>
              </w:rPr>
              <w:t>备注</w:t>
            </w:r>
          </w:p>
        </w:tc>
      </w:tr>
      <w:tr w14:paraId="673AA6F6">
        <w:trPr>
          <w:jc w:val="center"/>
        </w:trPr>
        <w:tc>
          <w:tcPr>
            <w:tcW w:w="692" w:type="pct"/>
            <w:vAlign w:val="center"/>
          </w:tcPr>
          <w:p w14:paraId="7793B920">
            <w:pPr>
              <w:spacing w:line="460" w:lineRule="exact"/>
              <w:jc w:val="center"/>
              <w:rPr>
                <w:sz w:val="24"/>
              </w:rPr>
            </w:pPr>
            <w:r>
              <w:rPr>
                <w:rFonts w:hint="eastAsia"/>
                <w:sz w:val="24"/>
              </w:rPr>
              <w:t>1</w:t>
            </w:r>
          </w:p>
        </w:tc>
        <w:tc>
          <w:tcPr>
            <w:tcW w:w="1473" w:type="pct"/>
            <w:vAlign w:val="center"/>
          </w:tcPr>
          <w:p w14:paraId="1C3307C6">
            <w:pPr>
              <w:spacing w:line="460" w:lineRule="exact"/>
              <w:jc w:val="center"/>
              <w:rPr>
                <w:sz w:val="24"/>
              </w:rPr>
            </w:pPr>
            <w:r>
              <w:rPr>
                <w:rFonts w:hint="eastAsia"/>
                <w:sz w:val="24"/>
              </w:rPr>
              <w:t>国家税务总局天津市税务局全国统一规范电子税务局等系统运行维护</w:t>
            </w:r>
          </w:p>
        </w:tc>
        <w:tc>
          <w:tcPr>
            <w:tcW w:w="764" w:type="pct"/>
            <w:vAlign w:val="center"/>
          </w:tcPr>
          <w:p w14:paraId="6D62379E">
            <w:pPr>
              <w:spacing w:line="460" w:lineRule="exact"/>
              <w:jc w:val="center"/>
              <w:rPr>
                <w:sz w:val="24"/>
              </w:rPr>
            </w:pPr>
            <w:r>
              <w:rPr>
                <w:rFonts w:hint="eastAsia"/>
                <w:sz w:val="24"/>
              </w:rPr>
              <w:t>1项</w:t>
            </w:r>
          </w:p>
        </w:tc>
        <w:tc>
          <w:tcPr>
            <w:tcW w:w="1138" w:type="pct"/>
            <w:vAlign w:val="center"/>
          </w:tcPr>
          <w:p w14:paraId="025CC488">
            <w:pPr>
              <w:spacing w:line="460" w:lineRule="exact"/>
              <w:jc w:val="center"/>
              <w:rPr>
                <w:sz w:val="24"/>
              </w:rPr>
            </w:pPr>
          </w:p>
        </w:tc>
        <w:tc>
          <w:tcPr>
            <w:tcW w:w="933" w:type="pct"/>
            <w:vAlign w:val="center"/>
          </w:tcPr>
          <w:p w14:paraId="11FF7677">
            <w:pPr>
              <w:spacing w:line="460" w:lineRule="exact"/>
              <w:jc w:val="center"/>
              <w:rPr>
                <w:sz w:val="24"/>
              </w:rPr>
            </w:pPr>
            <w:r>
              <w:rPr>
                <w:sz w:val="24"/>
              </w:rPr>
              <w:t>服务期</w:t>
            </w:r>
            <w:r>
              <w:rPr>
                <w:rFonts w:hint="eastAsia"/>
                <w:sz w:val="24"/>
              </w:rPr>
              <w:t>6个月</w:t>
            </w:r>
          </w:p>
        </w:tc>
      </w:tr>
      <w:tr w14:paraId="7AF0BF8D">
        <w:trPr>
          <w:jc w:val="center"/>
        </w:trPr>
        <w:tc>
          <w:tcPr>
            <w:tcW w:w="692" w:type="pct"/>
          </w:tcPr>
          <w:p w14:paraId="71B7864D">
            <w:pPr>
              <w:spacing w:line="460" w:lineRule="exact"/>
              <w:rPr>
                <w:sz w:val="24"/>
              </w:rPr>
            </w:pPr>
          </w:p>
        </w:tc>
        <w:tc>
          <w:tcPr>
            <w:tcW w:w="1473" w:type="pct"/>
          </w:tcPr>
          <w:p w14:paraId="50D8F064">
            <w:pPr>
              <w:spacing w:line="460" w:lineRule="exact"/>
              <w:rPr>
                <w:sz w:val="24"/>
              </w:rPr>
            </w:pPr>
          </w:p>
        </w:tc>
        <w:tc>
          <w:tcPr>
            <w:tcW w:w="764" w:type="pct"/>
          </w:tcPr>
          <w:p w14:paraId="4F622A65">
            <w:pPr>
              <w:spacing w:line="460" w:lineRule="exact"/>
              <w:rPr>
                <w:sz w:val="24"/>
              </w:rPr>
            </w:pPr>
          </w:p>
        </w:tc>
        <w:tc>
          <w:tcPr>
            <w:tcW w:w="1138" w:type="pct"/>
          </w:tcPr>
          <w:p w14:paraId="4A13D963">
            <w:pPr>
              <w:spacing w:line="460" w:lineRule="exact"/>
              <w:rPr>
                <w:sz w:val="24"/>
              </w:rPr>
            </w:pPr>
          </w:p>
        </w:tc>
        <w:tc>
          <w:tcPr>
            <w:tcW w:w="933" w:type="pct"/>
          </w:tcPr>
          <w:p w14:paraId="15A3C5B7">
            <w:pPr>
              <w:spacing w:line="460" w:lineRule="exact"/>
              <w:rPr>
                <w:sz w:val="24"/>
              </w:rPr>
            </w:pPr>
          </w:p>
        </w:tc>
      </w:tr>
      <w:tr w14:paraId="36FFD87D">
        <w:trPr>
          <w:jc w:val="center"/>
        </w:trPr>
        <w:tc>
          <w:tcPr>
            <w:tcW w:w="692" w:type="pct"/>
          </w:tcPr>
          <w:p w14:paraId="62FF66D6">
            <w:pPr>
              <w:spacing w:line="460" w:lineRule="exact"/>
              <w:rPr>
                <w:sz w:val="24"/>
              </w:rPr>
            </w:pPr>
          </w:p>
        </w:tc>
        <w:tc>
          <w:tcPr>
            <w:tcW w:w="1473" w:type="pct"/>
          </w:tcPr>
          <w:p w14:paraId="0814A2E9">
            <w:pPr>
              <w:spacing w:line="460" w:lineRule="exact"/>
              <w:rPr>
                <w:sz w:val="24"/>
              </w:rPr>
            </w:pPr>
          </w:p>
        </w:tc>
        <w:tc>
          <w:tcPr>
            <w:tcW w:w="764" w:type="pct"/>
          </w:tcPr>
          <w:p w14:paraId="6DD35EAD">
            <w:pPr>
              <w:spacing w:line="460" w:lineRule="exact"/>
              <w:rPr>
                <w:sz w:val="24"/>
              </w:rPr>
            </w:pPr>
          </w:p>
        </w:tc>
        <w:tc>
          <w:tcPr>
            <w:tcW w:w="1138" w:type="pct"/>
          </w:tcPr>
          <w:p w14:paraId="5E059ABB">
            <w:pPr>
              <w:spacing w:line="460" w:lineRule="exact"/>
              <w:rPr>
                <w:sz w:val="24"/>
              </w:rPr>
            </w:pPr>
          </w:p>
        </w:tc>
        <w:tc>
          <w:tcPr>
            <w:tcW w:w="933" w:type="pct"/>
          </w:tcPr>
          <w:p w14:paraId="33B242DA">
            <w:pPr>
              <w:spacing w:line="460" w:lineRule="exact"/>
              <w:rPr>
                <w:sz w:val="24"/>
              </w:rPr>
            </w:pPr>
          </w:p>
        </w:tc>
      </w:tr>
      <w:tr w14:paraId="1AD6AFAB">
        <w:trPr>
          <w:jc w:val="center"/>
        </w:trPr>
        <w:tc>
          <w:tcPr>
            <w:tcW w:w="692" w:type="pct"/>
          </w:tcPr>
          <w:p w14:paraId="4CA19066">
            <w:pPr>
              <w:spacing w:line="460" w:lineRule="exact"/>
              <w:rPr>
                <w:sz w:val="24"/>
              </w:rPr>
            </w:pPr>
          </w:p>
        </w:tc>
        <w:tc>
          <w:tcPr>
            <w:tcW w:w="1473" w:type="pct"/>
          </w:tcPr>
          <w:p w14:paraId="26A303B2">
            <w:pPr>
              <w:spacing w:line="460" w:lineRule="exact"/>
              <w:rPr>
                <w:sz w:val="24"/>
              </w:rPr>
            </w:pPr>
          </w:p>
        </w:tc>
        <w:tc>
          <w:tcPr>
            <w:tcW w:w="764" w:type="pct"/>
          </w:tcPr>
          <w:p w14:paraId="2DE7C337">
            <w:pPr>
              <w:spacing w:line="460" w:lineRule="exact"/>
              <w:rPr>
                <w:sz w:val="24"/>
              </w:rPr>
            </w:pPr>
          </w:p>
        </w:tc>
        <w:tc>
          <w:tcPr>
            <w:tcW w:w="1138" w:type="pct"/>
          </w:tcPr>
          <w:p w14:paraId="469BE453">
            <w:pPr>
              <w:spacing w:line="460" w:lineRule="exact"/>
              <w:rPr>
                <w:sz w:val="24"/>
              </w:rPr>
            </w:pPr>
          </w:p>
        </w:tc>
        <w:tc>
          <w:tcPr>
            <w:tcW w:w="933" w:type="pct"/>
          </w:tcPr>
          <w:p w14:paraId="0AB8B99B">
            <w:pPr>
              <w:spacing w:line="460" w:lineRule="exact"/>
              <w:rPr>
                <w:sz w:val="24"/>
              </w:rPr>
            </w:pPr>
          </w:p>
        </w:tc>
      </w:tr>
      <w:tr w14:paraId="5E68D77F">
        <w:trPr>
          <w:jc w:val="center"/>
        </w:trPr>
        <w:tc>
          <w:tcPr>
            <w:tcW w:w="692" w:type="pct"/>
          </w:tcPr>
          <w:p w14:paraId="73067AC3">
            <w:pPr>
              <w:spacing w:line="460" w:lineRule="exact"/>
              <w:rPr>
                <w:sz w:val="24"/>
              </w:rPr>
            </w:pPr>
          </w:p>
        </w:tc>
        <w:tc>
          <w:tcPr>
            <w:tcW w:w="1473" w:type="pct"/>
          </w:tcPr>
          <w:p w14:paraId="40A46100">
            <w:pPr>
              <w:spacing w:line="460" w:lineRule="exact"/>
              <w:rPr>
                <w:sz w:val="24"/>
              </w:rPr>
            </w:pPr>
          </w:p>
        </w:tc>
        <w:tc>
          <w:tcPr>
            <w:tcW w:w="764" w:type="pct"/>
          </w:tcPr>
          <w:p w14:paraId="41669B67">
            <w:pPr>
              <w:spacing w:line="460" w:lineRule="exact"/>
              <w:rPr>
                <w:sz w:val="24"/>
              </w:rPr>
            </w:pPr>
          </w:p>
        </w:tc>
        <w:tc>
          <w:tcPr>
            <w:tcW w:w="1138" w:type="pct"/>
          </w:tcPr>
          <w:p w14:paraId="323EAE20">
            <w:pPr>
              <w:spacing w:line="460" w:lineRule="exact"/>
              <w:rPr>
                <w:sz w:val="24"/>
              </w:rPr>
            </w:pPr>
          </w:p>
        </w:tc>
        <w:tc>
          <w:tcPr>
            <w:tcW w:w="933" w:type="pct"/>
          </w:tcPr>
          <w:p w14:paraId="5C5F56DF">
            <w:pPr>
              <w:spacing w:line="460" w:lineRule="exact"/>
              <w:rPr>
                <w:sz w:val="24"/>
              </w:rPr>
            </w:pPr>
          </w:p>
        </w:tc>
      </w:tr>
      <w:tr w14:paraId="683A2B46">
        <w:trPr>
          <w:jc w:val="center"/>
        </w:trPr>
        <w:tc>
          <w:tcPr>
            <w:tcW w:w="692" w:type="pct"/>
          </w:tcPr>
          <w:p w14:paraId="147D768B">
            <w:pPr>
              <w:spacing w:line="460" w:lineRule="exact"/>
              <w:rPr>
                <w:sz w:val="24"/>
              </w:rPr>
            </w:pPr>
          </w:p>
        </w:tc>
        <w:tc>
          <w:tcPr>
            <w:tcW w:w="1473" w:type="pct"/>
          </w:tcPr>
          <w:p w14:paraId="5D84546A">
            <w:pPr>
              <w:spacing w:line="460" w:lineRule="exact"/>
              <w:rPr>
                <w:sz w:val="24"/>
              </w:rPr>
            </w:pPr>
          </w:p>
        </w:tc>
        <w:tc>
          <w:tcPr>
            <w:tcW w:w="764" w:type="pct"/>
          </w:tcPr>
          <w:p w14:paraId="4CD8601D">
            <w:pPr>
              <w:spacing w:line="460" w:lineRule="exact"/>
              <w:rPr>
                <w:sz w:val="24"/>
              </w:rPr>
            </w:pPr>
          </w:p>
        </w:tc>
        <w:tc>
          <w:tcPr>
            <w:tcW w:w="1138" w:type="pct"/>
          </w:tcPr>
          <w:p w14:paraId="446AEA3F">
            <w:pPr>
              <w:spacing w:line="460" w:lineRule="exact"/>
              <w:rPr>
                <w:sz w:val="24"/>
              </w:rPr>
            </w:pPr>
          </w:p>
        </w:tc>
        <w:tc>
          <w:tcPr>
            <w:tcW w:w="933" w:type="pct"/>
          </w:tcPr>
          <w:p w14:paraId="18D58FD9">
            <w:pPr>
              <w:spacing w:line="460" w:lineRule="exact"/>
              <w:rPr>
                <w:sz w:val="24"/>
              </w:rPr>
            </w:pPr>
          </w:p>
        </w:tc>
      </w:tr>
      <w:tr w14:paraId="38986238">
        <w:trPr>
          <w:jc w:val="center"/>
        </w:trPr>
        <w:tc>
          <w:tcPr>
            <w:tcW w:w="692" w:type="pct"/>
          </w:tcPr>
          <w:p w14:paraId="773CB8C9">
            <w:pPr>
              <w:spacing w:line="460" w:lineRule="exact"/>
              <w:rPr>
                <w:sz w:val="24"/>
              </w:rPr>
            </w:pPr>
          </w:p>
        </w:tc>
        <w:tc>
          <w:tcPr>
            <w:tcW w:w="1473" w:type="pct"/>
          </w:tcPr>
          <w:p w14:paraId="3553142F">
            <w:pPr>
              <w:spacing w:line="460" w:lineRule="exact"/>
              <w:rPr>
                <w:sz w:val="24"/>
              </w:rPr>
            </w:pPr>
          </w:p>
        </w:tc>
        <w:tc>
          <w:tcPr>
            <w:tcW w:w="764" w:type="pct"/>
          </w:tcPr>
          <w:p w14:paraId="5C11EBB7">
            <w:pPr>
              <w:spacing w:line="460" w:lineRule="exact"/>
              <w:rPr>
                <w:sz w:val="24"/>
              </w:rPr>
            </w:pPr>
          </w:p>
        </w:tc>
        <w:tc>
          <w:tcPr>
            <w:tcW w:w="1138" w:type="pct"/>
          </w:tcPr>
          <w:p w14:paraId="7FA99126">
            <w:pPr>
              <w:spacing w:line="460" w:lineRule="exact"/>
              <w:rPr>
                <w:sz w:val="24"/>
              </w:rPr>
            </w:pPr>
          </w:p>
        </w:tc>
        <w:tc>
          <w:tcPr>
            <w:tcW w:w="933" w:type="pct"/>
          </w:tcPr>
          <w:p w14:paraId="09B6A912">
            <w:pPr>
              <w:spacing w:line="460" w:lineRule="exact"/>
              <w:rPr>
                <w:sz w:val="24"/>
              </w:rPr>
            </w:pPr>
          </w:p>
        </w:tc>
      </w:tr>
      <w:tr w14:paraId="1F6AB75D">
        <w:trPr>
          <w:jc w:val="center"/>
        </w:trPr>
        <w:tc>
          <w:tcPr>
            <w:tcW w:w="692" w:type="pct"/>
          </w:tcPr>
          <w:p w14:paraId="0A9FBDC2">
            <w:pPr>
              <w:spacing w:line="460" w:lineRule="exact"/>
              <w:rPr>
                <w:sz w:val="24"/>
              </w:rPr>
            </w:pPr>
          </w:p>
        </w:tc>
        <w:tc>
          <w:tcPr>
            <w:tcW w:w="1473" w:type="pct"/>
          </w:tcPr>
          <w:p w14:paraId="5C705A9B">
            <w:pPr>
              <w:spacing w:line="460" w:lineRule="exact"/>
              <w:rPr>
                <w:sz w:val="24"/>
              </w:rPr>
            </w:pPr>
          </w:p>
        </w:tc>
        <w:tc>
          <w:tcPr>
            <w:tcW w:w="764" w:type="pct"/>
          </w:tcPr>
          <w:p w14:paraId="1D06A017">
            <w:pPr>
              <w:spacing w:line="460" w:lineRule="exact"/>
              <w:rPr>
                <w:sz w:val="24"/>
              </w:rPr>
            </w:pPr>
          </w:p>
        </w:tc>
        <w:tc>
          <w:tcPr>
            <w:tcW w:w="1138" w:type="pct"/>
          </w:tcPr>
          <w:p w14:paraId="6D845B75">
            <w:pPr>
              <w:spacing w:line="460" w:lineRule="exact"/>
              <w:rPr>
                <w:sz w:val="24"/>
              </w:rPr>
            </w:pPr>
          </w:p>
        </w:tc>
        <w:tc>
          <w:tcPr>
            <w:tcW w:w="933" w:type="pct"/>
          </w:tcPr>
          <w:p w14:paraId="3025D62A">
            <w:pPr>
              <w:spacing w:line="460" w:lineRule="exact"/>
              <w:rPr>
                <w:sz w:val="24"/>
              </w:rPr>
            </w:pPr>
          </w:p>
        </w:tc>
      </w:tr>
      <w:tr w14:paraId="64A710F4">
        <w:trPr>
          <w:jc w:val="center"/>
        </w:trPr>
        <w:tc>
          <w:tcPr>
            <w:tcW w:w="692" w:type="pct"/>
          </w:tcPr>
          <w:p w14:paraId="1A1D1088">
            <w:pPr>
              <w:spacing w:line="460" w:lineRule="exact"/>
              <w:rPr>
                <w:sz w:val="24"/>
              </w:rPr>
            </w:pPr>
          </w:p>
        </w:tc>
        <w:tc>
          <w:tcPr>
            <w:tcW w:w="1473" w:type="pct"/>
          </w:tcPr>
          <w:p w14:paraId="7175E5B5">
            <w:pPr>
              <w:spacing w:line="460" w:lineRule="exact"/>
              <w:rPr>
                <w:sz w:val="24"/>
              </w:rPr>
            </w:pPr>
          </w:p>
        </w:tc>
        <w:tc>
          <w:tcPr>
            <w:tcW w:w="764" w:type="pct"/>
          </w:tcPr>
          <w:p w14:paraId="73792629">
            <w:pPr>
              <w:spacing w:line="460" w:lineRule="exact"/>
              <w:rPr>
                <w:sz w:val="24"/>
              </w:rPr>
            </w:pPr>
          </w:p>
        </w:tc>
        <w:tc>
          <w:tcPr>
            <w:tcW w:w="1138" w:type="pct"/>
          </w:tcPr>
          <w:p w14:paraId="19E3DDB0">
            <w:pPr>
              <w:spacing w:line="460" w:lineRule="exact"/>
              <w:rPr>
                <w:sz w:val="24"/>
              </w:rPr>
            </w:pPr>
          </w:p>
        </w:tc>
        <w:tc>
          <w:tcPr>
            <w:tcW w:w="933" w:type="pct"/>
          </w:tcPr>
          <w:p w14:paraId="7D0B046E">
            <w:pPr>
              <w:spacing w:line="460" w:lineRule="exact"/>
              <w:rPr>
                <w:sz w:val="24"/>
              </w:rPr>
            </w:pPr>
          </w:p>
        </w:tc>
      </w:tr>
      <w:tr w14:paraId="21C361F5">
        <w:trPr>
          <w:jc w:val="center"/>
        </w:trPr>
        <w:tc>
          <w:tcPr>
            <w:tcW w:w="692" w:type="pct"/>
          </w:tcPr>
          <w:p w14:paraId="3F2AF843">
            <w:pPr>
              <w:spacing w:line="460" w:lineRule="exact"/>
              <w:rPr>
                <w:sz w:val="24"/>
              </w:rPr>
            </w:pPr>
          </w:p>
        </w:tc>
        <w:tc>
          <w:tcPr>
            <w:tcW w:w="1473" w:type="pct"/>
          </w:tcPr>
          <w:p w14:paraId="769AEBDB">
            <w:pPr>
              <w:spacing w:line="460" w:lineRule="exact"/>
              <w:rPr>
                <w:sz w:val="24"/>
              </w:rPr>
            </w:pPr>
          </w:p>
        </w:tc>
        <w:tc>
          <w:tcPr>
            <w:tcW w:w="764" w:type="pct"/>
          </w:tcPr>
          <w:p w14:paraId="23AE8CC3">
            <w:pPr>
              <w:spacing w:line="460" w:lineRule="exact"/>
              <w:rPr>
                <w:sz w:val="24"/>
              </w:rPr>
            </w:pPr>
          </w:p>
        </w:tc>
        <w:tc>
          <w:tcPr>
            <w:tcW w:w="1138" w:type="pct"/>
          </w:tcPr>
          <w:p w14:paraId="336C606D">
            <w:pPr>
              <w:spacing w:line="460" w:lineRule="exact"/>
              <w:rPr>
                <w:sz w:val="24"/>
              </w:rPr>
            </w:pPr>
          </w:p>
        </w:tc>
        <w:tc>
          <w:tcPr>
            <w:tcW w:w="933" w:type="pct"/>
          </w:tcPr>
          <w:p w14:paraId="3CD1EE3B">
            <w:pPr>
              <w:spacing w:line="460" w:lineRule="exact"/>
              <w:rPr>
                <w:sz w:val="24"/>
              </w:rPr>
            </w:pPr>
          </w:p>
        </w:tc>
      </w:tr>
      <w:tr w14:paraId="4654460F">
        <w:trPr>
          <w:jc w:val="center"/>
        </w:trPr>
        <w:tc>
          <w:tcPr>
            <w:tcW w:w="692" w:type="pct"/>
          </w:tcPr>
          <w:p w14:paraId="72686847">
            <w:pPr>
              <w:spacing w:line="460" w:lineRule="exact"/>
              <w:rPr>
                <w:sz w:val="24"/>
              </w:rPr>
            </w:pPr>
          </w:p>
        </w:tc>
        <w:tc>
          <w:tcPr>
            <w:tcW w:w="1473" w:type="pct"/>
          </w:tcPr>
          <w:p w14:paraId="1FDCDD18">
            <w:pPr>
              <w:spacing w:line="460" w:lineRule="exact"/>
              <w:rPr>
                <w:sz w:val="24"/>
              </w:rPr>
            </w:pPr>
          </w:p>
        </w:tc>
        <w:tc>
          <w:tcPr>
            <w:tcW w:w="764" w:type="pct"/>
          </w:tcPr>
          <w:p w14:paraId="1F326B9D">
            <w:pPr>
              <w:spacing w:line="460" w:lineRule="exact"/>
              <w:rPr>
                <w:sz w:val="24"/>
              </w:rPr>
            </w:pPr>
          </w:p>
        </w:tc>
        <w:tc>
          <w:tcPr>
            <w:tcW w:w="1138" w:type="pct"/>
          </w:tcPr>
          <w:p w14:paraId="09CC3497">
            <w:pPr>
              <w:spacing w:line="460" w:lineRule="exact"/>
              <w:rPr>
                <w:sz w:val="24"/>
              </w:rPr>
            </w:pPr>
          </w:p>
        </w:tc>
        <w:tc>
          <w:tcPr>
            <w:tcW w:w="933" w:type="pct"/>
          </w:tcPr>
          <w:p w14:paraId="19B2533A">
            <w:pPr>
              <w:spacing w:line="460" w:lineRule="exact"/>
              <w:rPr>
                <w:sz w:val="24"/>
              </w:rPr>
            </w:pPr>
          </w:p>
        </w:tc>
      </w:tr>
      <w:tr w14:paraId="34BDF133">
        <w:trPr>
          <w:jc w:val="center"/>
        </w:trPr>
        <w:tc>
          <w:tcPr>
            <w:tcW w:w="692" w:type="pct"/>
          </w:tcPr>
          <w:p w14:paraId="3DB33C7B">
            <w:pPr>
              <w:spacing w:line="460" w:lineRule="exact"/>
              <w:rPr>
                <w:sz w:val="24"/>
              </w:rPr>
            </w:pPr>
          </w:p>
        </w:tc>
        <w:tc>
          <w:tcPr>
            <w:tcW w:w="1473" w:type="pct"/>
          </w:tcPr>
          <w:p w14:paraId="67132E93">
            <w:pPr>
              <w:spacing w:line="460" w:lineRule="exact"/>
              <w:rPr>
                <w:sz w:val="24"/>
              </w:rPr>
            </w:pPr>
          </w:p>
        </w:tc>
        <w:tc>
          <w:tcPr>
            <w:tcW w:w="764" w:type="pct"/>
          </w:tcPr>
          <w:p w14:paraId="6F455AC9">
            <w:pPr>
              <w:spacing w:line="460" w:lineRule="exact"/>
              <w:rPr>
                <w:sz w:val="24"/>
              </w:rPr>
            </w:pPr>
          </w:p>
        </w:tc>
        <w:tc>
          <w:tcPr>
            <w:tcW w:w="1138" w:type="pct"/>
          </w:tcPr>
          <w:p w14:paraId="64E7C5B9">
            <w:pPr>
              <w:spacing w:line="460" w:lineRule="exact"/>
              <w:rPr>
                <w:sz w:val="24"/>
              </w:rPr>
            </w:pPr>
          </w:p>
        </w:tc>
        <w:tc>
          <w:tcPr>
            <w:tcW w:w="933" w:type="pct"/>
          </w:tcPr>
          <w:p w14:paraId="3F5D3A18">
            <w:pPr>
              <w:spacing w:line="460" w:lineRule="exact"/>
              <w:rPr>
                <w:sz w:val="24"/>
              </w:rPr>
            </w:pPr>
          </w:p>
        </w:tc>
      </w:tr>
    </w:tbl>
    <w:p w14:paraId="758DC783">
      <w:pPr>
        <w:spacing w:line="360" w:lineRule="auto"/>
        <w:ind w:right="84" w:firstLine="420"/>
        <w:rPr>
          <w:sz w:val="24"/>
        </w:rPr>
      </w:pPr>
    </w:p>
    <w:p w14:paraId="065A57B4">
      <w:pPr>
        <w:spacing w:line="360" w:lineRule="auto"/>
        <w:ind w:right="84" w:firstLine="420"/>
        <w:rPr>
          <w:sz w:val="24"/>
        </w:rPr>
      </w:pPr>
    </w:p>
    <w:p w14:paraId="1B173F06">
      <w:pPr>
        <w:spacing w:line="360" w:lineRule="auto"/>
        <w:ind w:firstLine="3808" w:firstLineChars="1700"/>
        <w:rPr>
          <w:sz w:val="24"/>
        </w:rPr>
      </w:pPr>
      <w:r>
        <w:rPr>
          <w:sz w:val="24"/>
        </w:rPr>
        <w:t>投标人名称：</w:t>
      </w:r>
    </w:p>
    <w:p w14:paraId="6594C8D5">
      <w:pPr>
        <w:spacing w:line="360" w:lineRule="auto"/>
        <w:ind w:firstLine="3808" w:firstLineChars="1700"/>
        <w:rPr>
          <w:sz w:val="24"/>
        </w:rPr>
      </w:pPr>
    </w:p>
    <w:p w14:paraId="390AC615">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622AF63">
      <w:pPr>
        <w:spacing w:line="360" w:lineRule="auto"/>
        <w:ind w:right="84" w:firstLine="420"/>
        <w:rPr>
          <w:sz w:val="24"/>
        </w:rPr>
      </w:pPr>
    </w:p>
    <w:p w14:paraId="499E3DFE">
      <w:pPr>
        <w:widowControl/>
        <w:jc w:val="left"/>
        <w:rPr>
          <w:sz w:val="24"/>
        </w:rPr>
      </w:pPr>
      <w:r>
        <w:rPr>
          <w:sz w:val="24"/>
        </w:rPr>
        <w:br w:type="page"/>
      </w:r>
    </w:p>
    <w:p w14:paraId="085C4680">
      <w:pPr>
        <w:tabs>
          <w:tab w:val="left" w:pos="360"/>
        </w:tabs>
        <w:spacing w:after="285" w:afterLines="100" w:line="360" w:lineRule="auto"/>
        <w:rPr>
          <w:b/>
          <w:sz w:val="24"/>
        </w:rPr>
      </w:pPr>
      <w:r>
        <w:rPr>
          <w:b/>
          <w:sz w:val="24"/>
        </w:rPr>
        <w:t>附件3</w:t>
      </w:r>
      <w:r>
        <w:rPr>
          <w:rFonts w:hint="eastAsia"/>
          <w:b/>
          <w:sz w:val="24"/>
        </w:rPr>
        <w:t>-2</w:t>
      </w:r>
    </w:p>
    <w:p w14:paraId="3760648C">
      <w:pPr>
        <w:autoSpaceDN w:val="0"/>
        <w:spacing w:line="360" w:lineRule="auto"/>
        <w:jc w:val="center"/>
        <w:rPr>
          <w:b/>
          <w:bCs/>
          <w:sz w:val="24"/>
        </w:rPr>
      </w:pPr>
      <w:r>
        <w:rPr>
          <w:b/>
          <w:bCs/>
          <w:sz w:val="24"/>
        </w:rPr>
        <w:t>开标分项一览表</w:t>
      </w:r>
    </w:p>
    <w:p w14:paraId="749C876B">
      <w:pPr>
        <w:ind w:right="84"/>
        <w:rPr>
          <w:sz w:val="24"/>
        </w:rPr>
      </w:pPr>
    </w:p>
    <w:p w14:paraId="79267232">
      <w:pPr>
        <w:spacing w:line="460" w:lineRule="exact"/>
        <w:ind w:left="192"/>
        <w:rPr>
          <w:sz w:val="24"/>
        </w:rPr>
      </w:pPr>
      <w:r>
        <w:rPr>
          <w:sz w:val="24"/>
        </w:rPr>
        <w:t>项目名称：</w:t>
      </w:r>
      <w:r>
        <w:rPr>
          <w:sz w:val="24"/>
          <w:u w:val="single"/>
        </w:rPr>
        <w:t xml:space="preserve">                    </w:t>
      </w:r>
    </w:p>
    <w:p w14:paraId="6C3F4607">
      <w:pPr>
        <w:spacing w:line="460" w:lineRule="exact"/>
        <w:ind w:left="192"/>
        <w:rPr>
          <w:sz w:val="24"/>
        </w:rPr>
      </w:pPr>
      <w:r>
        <w:rPr>
          <w:sz w:val="24"/>
        </w:rPr>
        <w:t>项目编号：</w:t>
      </w:r>
      <w:r>
        <w:rPr>
          <w:sz w:val="24"/>
          <w:u w:val="single"/>
        </w:rPr>
        <w:t xml:space="preserve">                    </w:t>
      </w:r>
    </w:p>
    <w:p w14:paraId="63990832">
      <w:pPr>
        <w:spacing w:line="460" w:lineRule="exact"/>
        <w:ind w:left="192"/>
        <w:rPr>
          <w:sz w:val="24"/>
        </w:rPr>
      </w:pPr>
      <w:r>
        <w:rPr>
          <w:sz w:val="24"/>
        </w:rPr>
        <w:t>包    号：</w:t>
      </w:r>
      <w:r>
        <w:rPr>
          <w:sz w:val="24"/>
          <w:u w:val="single"/>
        </w:rPr>
        <w:t xml:space="preserve">                    </w:t>
      </w:r>
    </w:p>
    <w:p w14:paraId="3002016A">
      <w:pPr>
        <w:spacing w:line="460" w:lineRule="exact"/>
        <w:ind w:firstLine="6496" w:firstLineChars="2900"/>
        <w:rPr>
          <w:sz w:val="24"/>
        </w:rPr>
      </w:pPr>
      <w:r>
        <w:rPr>
          <w:sz w:val="24"/>
        </w:rPr>
        <w:t>单位：元</w:t>
      </w:r>
    </w:p>
    <w:tbl>
      <w:tblPr>
        <w:tblStyle w:val="22"/>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14:paraId="070A7539">
        <w:trPr>
          <w:trHeight w:val="555" w:hRule="atLeast"/>
          <w:jc w:val="center"/>
        </w:trPr>
        <w:tc>
          <w:tcPr>
            <w:tcW w:w="878" w:type="dxa"/>
            <w:vAlign w:val="center"/>
          </w:tcPr>
          <w:p w14:paraId="042A4203">
            <w:pPr>
              <w:widowControl/>
              <w:jc w:val="center"/>
              <w:rPr>
                <w:b/>
                <w:bCs/>
                <w:kern w:val="0"/>
                <w:sz w:val="24"/>
                <w:szCs w:val="24"/>
              </w:rPr>
            </w:pPr>
            <w:r>
              <w:rPr>
                <w:b/>
                <w:bCs/>
                <w:kern w:val="0"/>
                <w:sz w:val="24"/>
                <w:szCs w:val="24"/>
              </w:rPr>
              <w:t>项号</w:t>
            </w:r>
          </w:p>
        </w:tc>
        <w:tc>
          <w:tcPr>
            <w:tcW w:w="2349" w:type="dxa"/>
            <w:vAlign w:val="center"/>
          </w:tcPr>
          <w:p w14:paraId="08666AEB">
            <w:pPr>
              <w:widowControl/>
              <w:jc w:val="center"/>
              <w:rPr>
                <w:b/>
                <w:bCs/>
                <w:kern w:val="0"/>
                <w:sz w:val="24"/>
                <w:szCs w:val="24"/>
              </w:rPr>
            </w:pPr>
            <w:r>
              <w:rPr>
                <w:b/>
                <w:bCs/>
                <w:kern w:val="0"/>
                <w:sz w:val="24"/>
                <w:szCs w:val="24"/>
              </w:rPr>
              <w:t>服务名称</w:t>
            </w:r>
          </w:p>
        </w:tc>
        <w:tc>
          <w:tcPr>
            <w:tcW w:w="1701" w:type="dxa"/>
            <w:vAlign w:val="center"/>
          </w:tcPr>
          <w:p w14:paraId="006A5E12">
            <w:pPr>
              <w:widowControl/>
              <w:jc w:val="center"/>
              <w:rPr>
                <w:b/>
                <w:bCs/>
                <w:kern w:val="0"/>
                <w:sz w:val="24"/>
                <w:szCs w:val="24"/>
              </w:rPr>
            </w:pPr>
            <w:r>
              <w:rPr>
                <w:b/>
                <w:bCs/>
                <w:kern w:val="0"/>
                <w:sz w:val="24"/>
                <w:szCs w:val="24"/>
              </w:rPr>
              <w:t>总价</w:t>
            </w:r>
          </w:p>
        </w:tc>
        <w:tc>
          <w:tcPr>
            <w:tcW w:w="2238" w:type="dxa"/>
            <w:vAlign w:val="center"/>
          </w:tcPr>
          <w:p w14:paraId="480DEEAA">
            <w:pPr>
              <w:widowControl/>
              <w:jc w:val="center"/>
              <w:rPr>
                <w:b/>
                <w:bCs/>
                <w:kern w:val="0"/>
                <w:sz w:val="24"/>
                <w:szCs w:val="24"/>
              </w:rPr>
            </w:pPr>
            <w:r>
              <w:rPr>
                <w:b/>
                <w:bCs/>
                <w:kern w:val="0"/>
                <w:sz w:val="24"/>
                <w:szCs w:val="24"/>
              </w:rPr>
              <w:t>数量</w:t>
            </w:r>
          </w:p>
        </w:tc>
        <w:tc>
          <w:tcPr>
            <w:tcW w:w="1848" w:type="dxa"/>
            <w:vAlign w:val="center"/>
          </w:tcPr>
          <w:p w14:paraId="3D82EBE0">
            <w:pPr>
              <w:widowControl/>
              <w:jc w:val="center"/>
              <w:rPr>
                <w:b/>
                <w:bCs/>
                <w:kern w:val="0"/>
                <w:sz w:val="24"/>
                <w:szCs w:val="24"/>
              </w:rPr>
            </w:pPr>
            <w:r>
              <w:rPr>
                <w:b/>
                <w:bCs/>
                <w:kern w:val="0"/>
                <w:sz w:val="24"/>
                <w:szCs w:val="24"/>
              </w:rPr>
              <w:t>备注</w:t>
            </w:r>
          </w:p>
        </w:tc>
      </w:tr>
      <w:tr w14:paraId="27571477">
        <w:trPr>
          <w:trHeight w:val="465" w:hRule="atLeast"/>
          <w:jc w:val="center"/>
        </w:trPr>
        <w:tc>
          <w:tcPr>
            <w:tcW w:w="878" w:type="dxa"/>
            <w:vAlign w:val="center"/>
          </w:tcPr>
          <w:p w14:paraId="34F2E832">
            <w:pPr>
              <w:widowControl/>
              <w:jc w:val="center"/>
              <w:rPr>
                <w:kern w:val="0"/>
                <w:sz w:val="24"/>
                <w:szCs w:val="24"/>
              </w:rPr>
            </w:pPr>
            <w:r>
              <w:rPr>
                <w:kern w:val="0"/>
                <w:sz w:val="24"/>
                <w:szCs w:val="24"/>
              </w:rPr>
              <w:t>1</w:t>
            </w:r>
          </w:p>
        </w:tc>
        <w:tc>
          <w:tcPr>
            <w:tcW w:w="2349" w:type="dxa"/>
            <w:vAlign w:val="center"/>
          </w:tcPr>
          <w:p w14:paraId="579793C0">
            <w:pPr>
              <w:widowControl/>
              <w:jc w:val="center"/>
              <w:rPr>
                <w:kern w:val="0"/>
                <w:sz w:val="24"/>
                <w:szCs w:val="24"/>
              </w:rPr>
            </w:pPr>
            <w:r>
              <w:rPr>
                <w:rFonts w:hint="eastAsia"/>
                <w:sz w:val="24"/>
              </w:rPr>
              <w:t>国家税务总局天津市税务局全国统一规范电子税务局等系统运行维护</w:t>
            </w:r>
          </w:p>
        </w:tc>
        <w:tc>
          <w:tcPr>
            <w:tcW w:w="1701" w:type="dxa"/>
            <w:vAlign w:val="center"/>
          </w:tcPr>
          <w:p w14:paraId="1A2A4C76">
            <w:pPr>
              <w:widowControl/>
              <w:jc w:val="center"/>
              <w:rPr>
                <w:kern w:val="0"/>
                <w:sz w:val="24"/>
                <w:szCs w:val="24"/>
              </w:rPr>
            </w:pPr>
          </w:p>
        </w:tc>
        <w:tc>
          <w:tcPr>
            <w:tcW w:w="2238" w:type="dxa"/>
            <w:vAlign w:val="center"/>
          </w:tcPr>
          <w:p w14:paraId="685AA942">
            <w:pPr>
              <w:widowControl/>
              <w:jc w:val="center"/>
              <w:rPr>
                <w:sz w:val="24"/>
                <w:szCs w:val="24"/>
              </w:rPr>
            </w:pPr>
            <w:r>
              <w:rPr>
                <w:sz w:val="24"/>
                <w:szCs w:val="24"/>
              </w:rPr>
              <w:t>1项</w:t>
            </w:r>
          </w:p>
        </w:tc>
        <w:tc>
          <w:tcPr>
            <w:tcW w:w="1848" w:type="dxa"/>
            <w:vAlign w:val="center"/>
          </w:tcPr>
          <w:p w14:paraId="46F584F0">
            <w:pPr>
              <w:widowControl/>
              <w:jc w:val="center"/>
              <w:rPr>
                <w:sz w:val="24"/>
                <w:szCs w:val="24"/>
              </w:rPr>
            </w:pPr>
          </w:p>
        </w:tc>
      </w:tr>
      <w:tr w14:paraId="4497DA07">
        <w:trPr>
          <w:trHeight w:val="465" w:hRule="atLeast"/>
          <w:jc w:val="center"/>
        </w:trPr>
        <w:tc>
          <w:tcPr>
            <w:tcW w:w="9014" w:type="dxa"/>
            <w:gridSpan w:val="5"/>
            <w:vAlign w:val="center"/>
          </w:tcPr>
          <w:p w14:paraId="37744C81">
            <w:pPr>
              <w:widowControl/>
              <w:jc w:val="left"/>
              <w:rPr>
                <w:kern w:val="0"/>
                <w:sz w:val="24"/>
                <w:szCs w:val="24"/>
              </w:rPr>
            </w:pPr>
            <w:r>
              <w:rPr>
                <w:kern w:val="0"/>
                <w:sz w:val="24"/>
                <w:szCs w:val="24"/>
              </w:rPr>
              <w:t>其中</w:t>
            </w:r>
          </w:p>
        </w:tc>
      </w:tr>
      <w:tr w14:paraId="04E70FDB">
        <w:trPr>
          <w:trHeight w:val="465" w:hRule="atLeast"/>
          <w:jc w:val="center"/>
        </w:trPr>
        <w:tc>
          <w:tcPr>
            <w:tcW w:w="3227" w:type="dxa"/>
            <w:gridSpan w:val="2"/>
            <w:vAlign w:val="center"/>
          </w:tcPr>
          <w:p w14:paraId="159C5C23">
            <w:pPr>
              <w:widowControl/>
              <w:jc w:val="left"/>
              <w:rPr>
                <w:b/>
                <w:sz w:val="24"/>
                <w:szCs w:val="24"/>
              </w:rPr>
            </w:pPr>
            <w:r>
              <w:rPr>
                <w:b/>
                <w:sz w:val="24"/>
                <w:szCs w:val="24"/>
              </w:rPr>
              <w:t>分项名称</w:t>
            </w:r>
          </w:p>
        </w:tc>
        <w:tc>
          <w:tcPr>
            <w:tcW w:w="1701" w:type="dxa"/>
            <w:vAlign w:val="center"/>
          </w:tcPr>
          <w:p w14:paraId="0257D4CA">
            <w:pPr>
              <w:widowControl/>
              <w:jc w:val="center"/>
              <w:rPr>
                <w:b/>
                <w:kern w:val="0"/>
                <w:sz w:val="24"/>
                <w:szCs w:val="24"/>
              </w:rPr>
            </w:pPr>
            <w:r>
              <w:rPr>
                <w:b/>
                <w:kern w:val="0"/>
                <w:sz w:val="24"/>
                <w:szCs w:val="24"/>
              </w:rPr>
              <w:t>价格</w:t>
            </w:r>
          </w:p>
        </w:tc>
        <w:tc>
          <w:tcPr>
            <w:tcW w:w="2238" w:type="dxa"/>
            <w:vAlign w:val="center"/>
          </w:tcPr>
          <w:p w14:paraId="185343A2">
            <w:pPr>
              <w:widowControl/>
              <w:jc w:val="center"/>
              <w:rPr>
                <w:b/>
                <w:kern w:val="0"/>
                <w:sz w:val="24"/>
                <w:szCs w:val="24"/>
              </w:rPr>
            </w:pPr>
            <w:r>
              <w:rPr>
                <w:b/>
                <w:kern w:val="0"/>
                <w:sz w:val="24"/>
                <w:szCs w:val="24"/>
              </w:rPr>
              <w:t>数量</w:t>
            </w:r>
          </w:p>
        </w:tc>
        <w:tc>
          <w:tcPr>
            <w:tcW w:w="1848" w:type="dxa"/>
            <w:vAlign w:val="center"/>
          </w:tcPr>
          <w:p w14:paraId="5E819B4A">
            <w:pPr>
              <w:widowControl/>
              <w:jc w:val="center"/>
              <w:rPr>
                <w:b/>
                <w:bCs/>
                <w:kern w:val="0"/>
                <w:sz w:val="24"/>
                <w:szCs w:val="24"/>
              </w:rPr>
            </w:pPr>
            <w:r>
              <w:rPr>
                <w:b/>
                <w:bCs/>
                <w:kern w:val="0"/>
                <w:sz w:val="24"/>
                <w:szCs w:val="24"/>
              </w:rPr>
              <w:t>备注</w:t>
            </w:r>
          </w:p>
        </w:tc>
      </w:tr>
      <w:tr w14:paraId="764BDB17">
        <w:trPr>
          <w:trHeight w:val="465" w:hRule="atLeast"/>
          <w:jc w:val="center"/>
        </w:trPr>
        <w:tc>
          <w:tcPr>
            <w:tcW w:w="3227" w:type="dxa"/>
            <w:gridSpan w:val="2"/>
            <w:vAlign w:val="center"/>
          </w:tcPr>
          <w:p w14:paraId="26AB827A">
            <w:pPr>
              <w:widowControl/>
              <w:jc w:val="left"/>
              <w:rPr>
                <w:kern w:val="0"/>
                <w:sz w:val="24"/>
                <w:szCs w:val="24"/>
              </w:rPr>
            </w:pPr>
          </w:p>
        </w:tc>
        <w:tc>
          <w:tcPr>
            <w:tcW w:w="1701" w:type="dxa"/>
            <w:vAlign w:val="center"/>
          </w:tcPr>
          <w:p w14:paraId="7DFCA6A1">
            <w:pPr>
              <w:widowControl/>
              <w:jc w:val="center"/>
              <w:rPr>
                <w:kern w:val="0"/>
                <w:sz w:val="24"/>
                <w:szCs w:val="24"/>
              </w:rPr>
            </w:pPr>
          </w:p>
        </w:tc>
        <w:tc>
          <w:tcPr>
            <w:tcW w:w="2238" w:type="dxa"/>
            <w:vAlign w:val="center"/>
          </w:tcPr>
          <w:p w14:paraId="7C2CF158">
            <w:pPr>
              <w:widowControl/>
              <w:jc w:val="center"/>
              <w:rPr>
                <w:kern w:val="0"/>
                <w:sz w:val="24"/>
                <w:szCs w:val="24"/>
              </w:rPr>
            </w:pPr>
          </w:p>
        </w:tc>
        <w:tc>
          <w:tcPr>
            <w:tcW w:w="1848" w:type="dxa"/>
            <w:vAlign w:val="center"/>
          </w:tcPr>
          <w:p w14:paraId="09ADB37C">
            <w:pPr>
              <w:widowControl/>
              <w:jc w:val="center"/>
              <w:rPr>
                <w:sz w:val="24"/>
                <w:szCs w:val="24"/>
              </w:rPr>
            </w:pPr>
          </w:p>
        </w:tc>
      </w:tr>
      <w:tr w14:paraId="0FE7859C">
        <w:trPr>
          <w:trHeight w:val="465" w:hRule="atLeast"/>
          <w:jc w:val="center"/>
        </w:trPr>
        <w:tc>
          <w:tcPr>
            <w:tcW w:w="3227" w:type="dxa"/>
            <w:gridSpan w:val="2"/>
            <w:vAlign w:val="center"/>
          </w:tcPr>
          <w:p w14:paraId="5238F43B">
            <w:pPr>
              <w:widowControl/>
              <w:jc w:val="left"/>
              <w:rPr>
                <w:kern w:val="0"/>
                <w:sz w:val="24"/>
                <w:szCs w:val="24"/>
              </w:rPr>
            </w:pPr>
          </w:p>
        </w:tc>
        <w:tc>
          <w:tcPr>
            <w:tcW w:w="1701" w:type="dxa"/>
            <w:vAlign w:val="center"/>
          </w:tcPr>
          <w:p w14:paraId="1D7402D0">
            <w:pPr>
              <w:widowControl/>
              <w:jc w:val="center"/>
              <w:rPr>
                <w:kern w:val="0"/>
                <w:sz w:val="24"/>
                <w:szCs w:val="24"/>
              </w:rPr>
            </w:pPr>
          </w:p>
        </w:tc>
        <w:tc>
          <w:tcPr>
            <w:tcW w:w="2238" w:type="dxa"/>
            <w:vAlign w:val="center"/>
          </w:tcPr>
          <w:p w14:paraId="719C9268">
            <w:pPr>
              <w:widowControl/>
              <w:jc w:val="center"/>
              <w:rPr>
                <w:kern w:val="0"/>
                <w:sz w:val="24"/>
                <w:szCs w:val="24"/>
              </w:rPr>
            </w:pPr>
          </w:p>
        </w:tc>
        <w:tc>
          <w:tcPr>
            <w:tcW w:w="1848" w:type="dxa"/>
            <w:vAlign w:val="center"/>
          </w:tcPr>
          <w:p w14:paraId="05623241">
            <w:pPr>
              <w:widowControl/>
              <w:jc w:val="center"/>
              <w:rPr>
                <w:sz w:val="24"/>
                <w:szCs w:val="24"/>
              </w:rPr>
            </w:pPr>
          </w:p>
        </w:tc>
      </w:tr>
      <w:tr w14:paraId="2F62ED74">
        <w:trPr>
          <w:trHeight w:val="465" w:hRule="atLeast"/>
          <w:jc w:val="center"/>
        </w:trPr>
        <w:tc>
          <w:tcPr>
            <w:tcW w:w="3227" w:type="dxa"/>
            <w:gridSpan w:val="2"/>
            <w:vAlign w:val="center"/>
          </w:tcPr>
          <w:p w14:paraId="4FB57BB2">
            <w:pPr>
              <w:widowControl/>
              <w:jc w:val="left"/>
              <w:rPr>
                <w:kern w:val="0"/>
                <w:sz w:val="24"/>
                <w:szCs w:val="24"/>
              </w:rPr>
            </w:pPr>
          </w:p>
        </w:tc>
        <w:tc>
          <w:tcPr>
            <w:tcW w:w="1701" w:type="dxa"/>
            <w:vAlign w:val="center"/>
          </w:tcPr>
          <w:p w14:paraId="63EF860D">
            <w:pPr>
              <w:widowControl/>
              <w:jc w:val="center"/>
              <w:rPr>
                <w:kern w:val="0"/>
                <w:sz w:val="24"/>
                <w:szCs w:val="24"/>
              </w:rPr>
            </w:pPr>
          </w:p>
        </w:tc>
        <w:tc>
          <w:tcPr>
            <w:tcW w:w="2238" w:type="dxa"/>
            <w:vAlign w:val="center"/>
          </w:tcPr>
          <w:p w14:paraId="638A56FD">
            <w:pPr>
              <w:widowControl/>
              <w:jc w:val="center"/>
              <w:rPr>
                <w:kern w:val="0"/>
                <w:sz w:val="24"/>
                <w:szCs w:val="24"/>
              </w:rPr>
            </w:pPr>
          </w:p>
        </w:tc>
        <w:tc>
          <w:tcPr>
            <w:tcW w:w="1848" w:type="dxa"/>
            <w:vAlign w:val="center"/>
          </w:tcPr>
          <w:p w14:paraId="4391A41F">
            <w:pPr>
              <w:widowControl/>
              <w:jc w:val="center"/>
              <w:rPr>
                <w:sz w:val="24"/>
                <w:szCs w:val="24"/>
              </w:rPr>
            </w:pPr>
          </w:p>
        </w:tc>
      </w:tr>
      <w:tr w14:paraId="0C096BC3">
        <w:trPr>
          <w:trHeight w:val="465" w:hRule="atLeast"/>
          <w:jc w:val="center"/>
        </w:trPr>
        <w:tc>
          <w:tcPr>
            <w:tcW w:w="3227" w:type="dxa"/>
            <w:gridSpan w:val="2"/>
            <w:vAlign w:val="center"/>
          </w:tcPr>
          <w:p w14:paraId="7B6C469F">
            <w:pPr>
              <w:widowControl/>
              <w:jc w:val="left"/>
              <w:rPr>
                <w:kern w:val="0"/>
                <w:sz w:val="24"/>
                <w:szCs w:val="24"/>
              </w:rPr>
            </w:pPr>
          </w:p>
        </w:tc>
        <w:tc>
          <w:tcPr>
            <w:tcW w:w="1701" w:type="dxa"/>
            <w:vAlign w:val="center"/>
          </w:tcPr>
          <w:p w14:paraId="243259E2">
            <w:pPr>
              <w:widowControl/>
              <w:jc w:val="center"/>
              <w:rPr>
                <w:kern w:val="0"/>
                <w:sz w:val="24"/>
                <w:szCs w:val="24"/>
              </w:rPr>
            </w:pPr>
          </w:p>
        </w:tc>
        <w:tc>
          <w:tcPr>
            <w:tcW w:w="2238" w:type="dxa"/>
            <w:vAlign w:val="center"/>
          </w:tcPr>
          <w:p w14:paraId="0D31674C">
            <w:pPr>
              <w:widowControl/>
              <w:jc w:val="center"/>
              <w:rPr>
                <w:kern w:val="0"/>
                <w:sz w:val="24"/>
                <w:szCs w:val="24"/>
              </w:rPr>
            </w:pPr>
          </w:p>
        </w:tc>
        <w:tc>
          <w:tcPr>
            <w:tcW w:w="1848" w:type="dxa"/>
            <w:vAlign w:val="center"/>
          </w:tcPr>
          <w:p w14:paraId="3F550BDA">
            <w:pPr>
              <w:widowControl/>
              <w:jc w:val="center"/>
              <w:rPr>
                <w:sz w:val="24"/>
                <w:szCs w:val="24"/>
              </w:rPr>
            </w:pPr>
          </w:p>
        </w:tc>
      </w:tr>
      <w:tr w14:paraId="73C01AC9">
        <w:trPr>
          <w:trHeight w:val="465" w:hRule="atLeast"/>
          <w:jc w:val="center"/>
        </w:trPr>
        <w:tc>
          <w:tcPr>
            <w:tcW w:w="3227" w:type="dxa"/>
            <w:gridSpan w:val="2"/>
            <w:vAlign w:val="center"/>
          </w:tcPr>
          <w:p w14:paraId="74CDBF35">
            <w:pPr>
              <w:widowControl/>
              <w:jc w:val="left"/>
              <w:rPr>
                <w:sz w:val="24"/>
              </w:rPr>
            </w:pPr>
          </w:p>
        </w:tc>
        <w:tc>
          <w:tcPr>
            <w:tcW w:w="1701" w:type="dxa"/>
            <w:vAlign w:val="center"/>
          </w:tcPr>
          <w:p w14:paraId="7B71ED6C">
            <w:pPr>
              <w:widowControl/>
              <w:jc w:val="center"/>
              <w:rPr>
                <w:kern w:val="0"/>
                <w:sz w:val="24"/>
                <w:szCs w:val="24"/>
              </w:rPr>
            </w:pPr>
          </w:p>
        </w:tc>
        <w:tc>
          <w:tcPr>
            <w:tcW w:w="2238" w:type="dxa"/>
            <w:vAlign w:val="center"/>
          </w:tcPr>
          <w:p w14:paraId="48CC912D">
            <w:pPr>
              <w:widowControl/>
              <w:jc w:val="center"/>
              <w:rPr>
                <w:kern w:val="0"/>
                <w:sz w:val="24"/>
                <w:szCs w:val="24"/>
              </w:rPr>
            </w:pPr>
          </w:p>
        </w:tc>
        <w:tc>
          <w:tcPr>
            <w:tcW w:w="1848" w:type="dxa"/>
            <w:vAlign w:val="center"/>
          </w:tcPr>
          <w:p w14:paraId="4AB3CB62">
            <w:pPr>
              <w:widowControl/>
              <w:jc w:val="center"/>
              <w:rPr>
                <w:kern w:val="0"/>
                <w:sz w:val="24"/>
                <w:szCs w:val="24"/>
              </w:rPr>
            </w:pPr>
          </w:p>
        </w:tc>
      </w:tr>
    </w:tbl>
    <w:p w14:paraId="76E4A87D">
      <w:pPr>
        <w:ind w:left="180"/>
        <w:rPr>
          <w:sz w:val="22"/>
          <w:szCs w:val="24"/>
        </w:rPr>
      </w:pPr>
      <w:r>
        <w:rPr>
          <w:sz w:val="22"/>
          <w:szCs w:val="24"/>
        </w:rPr>
        <w:t>注：1. 本表第一行填写本项目投标总价，须与附件</w:t>
      </w:r>
      <w:r>
        <w:rPr>
          <w:rFonts w:hint="eastAsia"/>
          <w:sz w:val="22"/>
          <w:szCs w:val="24"/>
        </w:rPr>
        <w:t>3</w:t>
      </w:r>
      <w:r>
        <w:rPr>
          <w:sz w:val="22"/>
          <w:szCs w:val="24"/>
        </w:rPr>
        <w:t>中投标总价保持一致。</w:t>
      </w:r>
    </w:p>
    <w:p w14:paraId="10F9D6DE">
      <w:pPr>
        <w:ind w:left="180" w:firstLine="408" w:firstLineChars="200"/>
      </w:pPr>
      <w:r>
        <w:rPr>
          <w:sz w:val="22"/>
          <w:szCs w:val="24"/>
        </w:rPr>
        <w:t>2. 下面应填写分项价格及分项名称（分项名称可根据实际情况增减、修改），分项价格汇总应等于总价。</w:t>
      </w:r>
    </w:p>
    <w:p w14:paraId="0DA24F5E">
      <w:pPr>
        <w:ind w:left="180" w:firstLine="388" w:firstLineChars="200"/>
      </w:pPr>
    </w:p>
    <w:p w14:paraId="00C0E3E2">
      <w:pPr>
        <w:spacing w:line="360" w:lineRule="auto"/>
        <w:ind w:firstLine="3808" w:firstLineChars="1700"/>
        <w:rPr>
          <w:sz w:val="24"/>
        </w:rPr>
      </w:pPr>
    </w:p>
    <w:p w14:paraId="023E2D4D">
      <w:pPr>
        <w:spacing w:line="360" w:lineRule="auto"/>
        <w:ind w:firstLine="3808" w:firstLineChars="1700"/>
        <w:rPr>
          <w:sz w:val="24"/>
        </w:rPr>
      </w:pPr>
      <w:r>
        <w:rPr>
          <w:sz w:val="24"/>
        </w:rPr>
        <w:t>投标人名称：</w:t>
      </w:r>
    </w:p>
    <w:p w14:paraId="3A485548">
      <w:pPr>
        <w:spacing w:line="360" w:lineRule="auto"/>
        <w:ind w:firstLine="3808" w:firstLineChars="1700"/>
        <w:rPr>
          <w:sz w:val="24"/>
        </w:rPr>
      </w:pPr>
    </w:p>
    <w:p w14:paraId="4A88417E">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sz w:val="24"/>
        </w:rPr>
        <w:br w:type="page"/>
      </w:r>
    </w:p>
    <w:p w14:paraId="65F265FA">
      <w:pPr>
        <w:tabs>
          <w:tab w:val="left" w:pos="360"/>
        </w:tabs>
        <w:spacing w:after="285" w:afterLines="100" w:line="360" w:lineRule="auto"/>
        <w:rPr>
          <w:b/>
          <w:sz w:val="24"/>
        </w:rPr>
      </w:pPr>
      <w:r>
        <w:rPr>
          <w:b/>
          <w:sz w:val="24"/>
        </w:rPr>
        <w:t>附件4</w:t>
      </w:r>
    </w:p>
    <w:p w14:paraId="47594BD1">
      <w:pPr>
        <w:autoSpaceDN w:val="0"/>
        <w:spacing w:line="360" w:lineRule="auto"/>
        <w:jc w:val="center"/>
        <w:rPr>
          <w:b/>
          <w:bCs/>
          <w:sz w:val="24"/>
        </w:rPr>
      </w:pPr>
      <w:r>
        <w:rPr>
          <w:b/>
          <w:bCs/>
          <w:sz w:val="24"/>
        </w:rPr>
        <w:t>商务要求点对点应答表</w:t>
      </w:r>
    </w:p>
    <w:p w14:paraId="10178092">
      <w:pPr>
        <w:spacing w:line="460" w:lineRule="exact"/>
        <w:rPr>
          <w:sz w:val="24"/>
        </w:rPr>
      </w:pPr>
    </w:p>
    <w:p w14:paraId="08AC798F">
      <w:pPr>
        <w:spacing w:line="460" w:lineRule="exact"/>
        <w:rPr>
          <w:sz w:val="24"/>
        </w:rPr>
      </w:pPr>
      <w:r>
        <w:rPr>
          <w:sz w:val="24"/>
        </w:rPr>
        <w:t>项目名称：</w:t>
      </w:r>
      <w:r>
        <w:rPr>
          <w:sz w:val="24"/>
          <w:u w:val="single"/>
        </w:rPr>
        <w:t xml:space="preserve">                    </w:t>
      </w:r>
    </w:p>
    <w:p w14:paraId="3E8B50ED">
      <w:pPr>
        <w:spacing w:line="460" w:lineRule="exact"/>
        <w:rPr>
          <w:sz w:val="24"/>
        </w:rPr>
      </w:pPr>
      <w:r>
        <w:rPr>
          <w:sz w:val="24"/>
        </w:rPr>
        <w:t>项目编号：</w:t>
      </w:r>
      <w:r>
        <w:rPr>
          <w:sz w:val="24"/>
          <w:u w:val="single"/>
        </w:rPr>
        <w:t xml:space="preserve">                    </w:t>
      </w:r>
    </w:p>
    <w:p w14:paraId="725F2B17">
      <w:pPr>
        <w:spacing w:line="460" w:lineRule="exact"/>
        <w:rPr>
          <w:sz w:val="24"/>
          <w:u w:val="single"/>
        </w:rPr>
      </w:pPr>
      <w:r>
        <w:rPr>
          <w:sz w:val="24"/>
        </w:rPr>
        <w:t>包号：</w:t>
      </w:r>
      <w:r>
        <w:rPr>
          <w:sz w:val="24"/>
          <w:u w:val="single"/>
        </w:rPr>
        <w:t xml:space="preserve">                        </w:t>
      </w:r>
    </w:p>
    <w:p w14:paraId="6F268EE1">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2E54FA53">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0F2629F9">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7E835ACE">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06B55397">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5C8D02ED">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543925BB">
            <w:pPr>
              <w:widowControl/>
              <w:jc w:val="center"/>
              <w:rPr>
                <w:color w:val="000000"/>
                <w:kern w:val="0"/>
                <w:szCs w:val="21"/>
              </w:rPr>
            </w:pPr>
            <w:r>
              <w:rPr>
                <w:color w:val="000000"/>
                <w:kern w:val="0"/>
                <w:szCs w:val="21"/>
              </w:rPr>
              <w:t>备注</w:t>
            </w:r>
          </w:p>
        </w:tc>
      </w:tr>
      <w:tr w14:paraId="1624075C">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CEF4F74">
            <w:pPr>
              <w:widowControl/>
              <w:jc w:val="left"/>
              <w:rPr>
                <w:color w:val="000000"/>
                <w:kern w:val="0"/>
                <w:szCs w:val="21"/>
              </w:rPr>
            </w:pPr>
            <w:r>
              <w:rPr>
                <w:color w:val="000000"/>
                <w:kern w:val="0"/>
                <w:szCs w:val="21"/>
              </w:rPr>
              <w:t>（一）报价要求</w:t>
            </w:r>
          </w:p>
        </w:tc>
      </w:tr>
      <w:tr w14:paraId="735E6E2C">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77873CC4">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4C62F53">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D4CFB2A">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B387F38">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C3EE425">
            <w:pPr>
              <w:widowControl/>
              <w:jc w:val="left"/>
              <w:rPr>
                <w:color w:val="000000"/>
                <w:kern w:val="0"/>
                <w:szCs w:val="21"/>
              </w:rPr>
            </w:pPr>
            <w:r>
              <w:rPr>
                <w:color w:val="000000"/>
                <w:kern w:val="0"/>
                <w:szCs w:val="21"/>
              </w:rPr>
              <w:t>　</w:t>
            </w:r>
          </w:p>
        </w:tc>
      </w:tr>
      <w:tr w14:paraId="08925FAA">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10C6210">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45506EB0">
        <w:tc>
          <w:tcPr>
            <w:tcW w:w="974" w:type="pct"/>
            <w:tcBorders>
              <w:top w:val="nil"/>
              <w:left w:val="single" w:color="auto" w:sz="8" w:space="0"/>
              <w:bottom w:val="single" w:color="auto" w:sz="8" w:space="0"/>
              <w:right w:val="single" w:color="auto" w:sz="8" w:space="0"/>
            </w:tcBorders>
            <w:shd w:val="clear" w:color="auto" w:fill="auto"/>
            <w:vAlign w:val="center"/>
          </w:tcPr>
          <w:p w14:paraId="2AFBFA25">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C8315A2">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340EDA9">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9901EAF">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DA95407">
            <w:pPr>
              <w:widowControl/>
              <w:jc w:val="left"/>
              <w:rPr>
                <w:color w:val="000000"/>
                <w:kern w:val="0"/>
                <w:szCs w:val="21"/>
              </w:rPr>
            </w:pPr>
            <w:r>
              <w:rPr>
                <w:color w:val="000000"/>
                <w:kern w:val="0"/>
                <w:szCs w:val="21"/>
              </w:rPr>
              <w:t>　</w:t>
            </w:r>
          </w:p>
        </w:tc>
      </w:tr>
      <w:tr w14:paraId="746FA9EB">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C90C25B">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20407F05">
        <w:tc>
          <w:tcPr>
            <w:tcW w:w="974" w:type="pct"/>
            <w:tcBorders>
              <w:top w:val="nil"/>
              <w:left w:val="single" w:color="auto" w:sz="8" w:space="0"/>
              <w:bottom w:val="single" w:color="auto" w:sz="8" w:space="0"/>
              <w:right w:val="single" w:color="auto" w:sz="8" w:space="0"/>
            </w:tcBorders>
            <w:shd w:val="clear" w:color="auto" w:fill="auto"/>
            <w:vAlign w:val="center"/>
          </w:tcPr>
          <w:p w14:paraId="4DADA3C9">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A2C56DD">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FB43D2B">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76CE049">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05A195E">
            <w:pPr>
              <w:widowControl/>
              <w:jc w:val="left"/>
              <w:rPr>
                <w:color w:val="000000"/>
                <w:kern w:val="0"/>
                <w:szCs w:val="21"/>
              </w:rPr>
            </w:pPr>
            <w:r>
              <w:rPr>
                <w:color w:val="000000"/>
                <w:kern w:val="0"/>
                <w:szCs w:val="21"/>
              </w:rPr>
              <w:t>　</w:t>
            </w:r>
          </w:p>
        </w:tc>
      </w:tr>
      <w:tr w14:paraId="071BF676">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EF5F7DA">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0902D340">
        <w:tc>
          <w:tcPr>
            <w:tcW w:w="974" w:type="pct"/>
            <w:tcBorders>
              <w:top w:val="nil"/>
              <w:left w:val="single" w:color="auto" w:sz="8" w:space="0"/>
              <w:bottom w:val="single" w:color="auto" w:sz="8" w:space="0"/>
              <w:right w:val="single" w:color="auto" w:sz="8" w:space="0"/>
            </w:tcBorders>
            <w:shd w:val="clear" w:color="auto" w:fill="auto"/>
            <w:vAlign w:val="center"/>
          </w:tcPr>
          <w:p w14:paraId="0EFB2961">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371403B">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B15AAAD">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A3AE4A6">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2D3C85E">
            <w:pPr>
              <w:widowControl/>
              <w:jc w:val="left"/>
              <w:rPr>
                <w:color w:val="000000"/>
                <w:kern w:val="0"/>
                <w:szCs w:val="21"/>
              </w:rPr>
            </w:pPr>
            <w:r>
              <w:rPr>
                <w:color w:val="000000"/>
                <w:kern w:val="0"/>
                <w:szCs w:val="21"/>
              </w:rPr>
              <w:t>　</w:t>
            </w:r>
          </w:p>
        </w:tc>
      </w:tr>
    </w:tbl>
    <w:p w14:paraId="08D07B80">
      <w:pPr>
        <w:spacing w:line="620" w:lineRule="exact"/>
        <w:rPr>
          <w:sz w:val="24"/>
        </w:rPr>
      </w:pPr>
      <w:r>
        <w:rPr>
          <w:sz w:val="24"/>
        </w:rPr>
        <w:t>注：</w:t>
      </w:r>
    </w:p>
    <w:p w14:paraId="23C86A99">
      <w:pPr>
        <w:spacing w:line="360" w:lineRule="auto"/>
        <w:rPr>
          <w:sz w:val="24"/>
        </w:rPr>
      </w:pPr>
      <w:r>
        <w:rPr>
          <w:sz w:val="24"/>
        </w:rPr>
        <w:t>1. 不如实填写偏离情况的投标文件将视为虚假材料。</w:t>
      </w:r>
    </w:p>
    <w:p w14:paraId="45DE1E1E">
      <w:pPr>
        <w:spacing w:line="360" w:lineRule="auto"/>
        <w:rPr>
          <w:sz w:val="24"/>
        </w:rPr>
      </w:pPr>
      <w:r>
        <w:rPr>
          <w:sz w:val="24"/>
        </w:rPr>
        <w:t>2. 招标要求指招标文件中规定的具体要求，投标应答指投标文件的具体内容。</w:t>
      </w:r>
    </w:p>
    <w:p w14:paraId="571034BD">
      <w:pPr>
        <w:spacing w:line="360" w:lineRule="auto"/>
        <w:rPr>
          <w:sz w:val="24"/>
        </w:rPr>
      </w:pPr>
      <w:r>
        <w:rPr>
          <w:sz w:val="24"/>
        </w:rPr>
        <w:t>4. 偏离说明指招标要求与投标应答之间的不同之处。</w:t>
      </w:r>
    </w:p>
    <w:p w14:paraId="351ACBC2">
      <w:pPr>
        <w:spacing w:line="360" w:lineRule="auto"/>
        <w:rPr>
          <w:sz w:val="24"/>
        </w:rPr>
      </w:pPr>
    </w:p>
    <w:p w14:paraId="2047AFD2">
      <w:pPr>
        <w:spacing w:line="360" w:lineRule="auto"/>
        <w:ind w:firstLine="3808" w:firstLineChars="1700"/>
        <w:rPr>
          <w:sz w:val="24"/>
        </w:rPr>
      </w:pPr>
      <w:r>
        <w:rPr>
          <w:sz w:val="24"/>
        </w:rPr>
        <w:t>投标人名称：</w:t>
      </w:r>
    </w:p>
    <w:p w14:paraId="434C0446">
      <w:pPr>
        <w:spacing w:line="360" w:lineRule="auto"/>
        <w:ind w:firstLine="3808" w:firstLineChars="1700"/>
        <w:rPr>
          <w:sz w:val="24"/>
        </w:rPr>
      </w:pPr>
    </w:p>
    <w:p w14:paraId="42A77583">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1C418BA">
      <w:pPr>
        <w:tabs>
          <w:tab w:val="left" w:pos="360"/>
        </w:tabs>
        <w:spacing w:after="285" w:afterLines="100" w:line="360" w:lineRule="auto"/>
        <w:rPr>
          <w:b/>
          <w:sz w:val="24"/>
        </w:rPr>
      </w:pPr>
      <w:r>
        <w:rPr>
          <w:sz w:val="24"/>
        </w:rPr>
        <w:br w:type="page"/>
      </w:r>
      <w:r>
        <w:rPr>
          <w:b/>
          <w:sz w:val="24"/>
        </w:rPr>
        <w:t>附件5</w:t>
      </w:r>
    </w:p>
    <w:p w14:paraId="2E298CA7">
      <w:pPr>
        <w:autoSpaceDN w:val="0"/>
        <w:spacing w:line="360" w:lineRule="auto"/>
        <w:jc w:val="center"/>
        <w:rPr>
          <w:b/>
          <w:bCs/>
          <w:sz w:val="24"/>
        </w:rPr>
      </w:pPr>
      <w:r>
        <w:rPr>
          <w:b/>
          <w:bCs/>
          <w:sz w:val="24"/>
        </w:rPr>
        <w:t>技术要求点对点应答表</w:t>
      </w:r>
    </w:p>
    <w:p w14:paraId="31964BF9">
      <w:pPr>
        <w:spacing w:line="460" w:lineRule="exact"/>
        <w:rPr>
          <w:sz w:val="24"/>
        </w:rPr>
      </w:pPr>
    </w:p>
    <w:p w14:paraId="10D341C0">
      <w:pPr>
        <w:spacing w:line="460" w:lineRule="exact"/>
        <w:rPr>
          <w:sz w:val="24"/>
        </w:rPr>
      </w:pPr>
      <w:r>
        <w:rPr>
          <w:sz w:val="24"/>
        </w:rPr>
        <w:t>项目名称：</w:t>
      </w:r>
      <w:r>
        <w:rPr>
          <w:sz w:val="24"/>
          <w:u w:val="single"/>
        </w:rPr>
        <w:t xml:space="preserve">                    </w:t>
      </w:r>
    </w:p>
    <w:p w14:paraId="389D0702">
      <w:pPr>
        <w:spacing w:line="460" w:lineRule="exact"/>
        <w:rPr>
          <w:sz w:val="24"/>
        </w:rPr>
      </w:pPr>
      <w:r>
        <w:rPr>
          <w:sz w:val="24"/>
        </w:rPr>
        <w:t>项目编号：</w:t>
      </w:r>
      <w:r>
        <w:rPr>
          <w:sz w:val="24"/>
          <w:u w:val="single"/>
        </w:rPr>
        <w:t xml:space="preserve">                    </w:t>
      </w:r>
    </w:p>
    <w:p w14:paraId="703B0D0C">
      <w:pPr>
        <w:spacing w:line="460" w:lineRule="exact"/>
        <w:rPr>
          <w:sz w:val="24"/>
          <w:u w:val="single"/>
        </w:rPr>
      </w:pPr>
      <w:r>
        <w:rPr>
          <w:sz w:val="24"/>
        </w:rPr>
        <w:t>包号：</w:t>
      </w:r>
      <w:r>
        <w:rPr>
          <w:sz w:val="24"/>
          <w:u w:val="single"/>
        </w:rPr>
        <w:t xml:space="preserve">                        </w:t>
      </w:r>
    </w:p>
    <w:p w14:paraId="7BF84795">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13494402">
        <w:trPr>
          <w:tblHeader/>
          <w:jc w:val="center"/>
        </w:trPr>
        <w:tc>
          <w:tcPr>
            <w:tcW w:w="843" w:type="dxa"/>
            <w:shd w:val="clear" w:color="auto" w:fill="auto"/>
            <w:vAlign w:val="center"/>
          </w:tcPr>
          <w:p w14:paraId="6C4166D9">
            <w:pPr>
              <w:widowControl/>
              <w:snapToGrid w:val="0"/>
              <w:jc w:val="center"/>
              <w:rPr>
                <w:kern w:val="0"/>
                <w:sz w:val="24"/>
                <w:szCs w:val="21"/>
              </w:rPr>
            </w:pPr>
            <w:r>
              <w:rPr>
                <w:kern w:val="0"/>
                <w:sz w:val="24"/>
                <w:szCs w:val="21"/>
              </w:rPr>
              <w:t>序号</w:t>
            </w:r>
          </w:p>
        </w:tc>
        <w:tc>
          <w:tcPr>
            <w:tcW w:w="3922" w:type="dxa"/>
            <w:shd w:val="clear" w:color="auto" w:fill="auto"/>
            <w:vAlign w:val="center"/>
          </w:tcPr>
          <w:p w14:paraId="705E911A">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39A32F99">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2B7D6BE0">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12EBB2D2">
            <w:pPr>
              <w:widowControl/>
              <w:snapToGrid w:val="0"/>
              <w:jc w:val="center"/>
              <w:rPr>
                <w:kern w:val="0"/>
                <w:sz w:val="24"/>
                <w:szCs w:val="21"/>
              </w:rPr>
            </w:pPr>
            <w:r>
              <w:rPr>
                <w:kern w:val="0"/>
                <w:sz w:val="24"/>
                <w:szCs w:val="21"/>
              </w:rPr>
              <w:t>备注</w:t>
            </w:r>
          </w:p>
        </w:tc>
      </w:tr>
      <w:tr w14:paraId="23E3ACD5">
        <w:trPr>
          <w:jc w:val="center"/>
        </w:trPr>
        <w:tc>
          <w:tcPr>
            <w:tcW w:w="843" w:type="dxa"/>
            <w:shd w:val="clear" w:color="auto" w:fill="auto"/>
            <w:vAlign w:val="center"/>
          </w:tcPr>
          <w:p w14:paraId="405003D3">
            <w:pPr>
              <w:widowControl/>
              <w:snapToGrid w:val="0"/>
              <w:jc w:val="center"/>
              <w:rPr>
                <w:kern w:val="0"/>
                <w:sz w:val="24"/>
                <w:szCs w:val="21"/>
              </w:rPr>
            </w:pPr>
            <w:r>
              <w:rPr>
                <w:kern w:val="0"/>
                <w:sz w:val="24"/>
                <w:szCs w:val="21"/>
              </w:rPr>
              <w:t>1</w:t>
            </w:r>
          </w:p>
        </w:tc>
        <w:tc>
          <w:tcPr>
            <w:tcW w:w="3922" w:type="dxa"/>
            <w:shd w:val="clear" w:color="auto" w:fill="auto"/>
            <w:vAlign w:val="center"/>
          </w:tcPr>
          <w:p w14:paraId="4C34FE1F">
            <w:pPr>
              <w:widowControl/>
              <w:snapToGrid w:val="0"/>
              <w:jc w:val="left"/>
              <w:rPr>
                <w:kern w:val="0"/>
                <w:sz w:val="24"/>
                <w:szCs w:val="21"/>
              </w:rPr>
            </w:pPr>
            <w:r>
              <w:rPr>
                <w:kern w:val="0"/>
                <w:sz w:val="24"/>
                <w:szCs w:val="21"/>
              </w:rPr>
              <w:t>（一）</w:t>
            </w:r>
            <w:r>
              <w:rPr>
                <w:sz w:val="24"/>
              </w:rPr>
              <w:t>投标人须承诺所提供的服务、人员及设备符合相关国家强制性规定。</w:t>
            </w:r>
          </w:p>
        </w:tc>
        <w:tc>
          <w:tcPr>
            <w:tcW w:w="2438" w:type="dxa"/>
            <w:shd w:val="clear" w:color="auto" w:fill="auto"/>
            <w:vAlign w:val="center"/>
          </w:tcPr>
          <w:p w14:paraId="48999A27">
            <w:pPr>
              <w:widowControl/>
              <w:snapToGrid w:val="0"/>
              <w:jc w:val="center"/>
              <w:rPr>
                <w:kern w:val="0"/>
                <w:sz w:val="24"/>
                <w:szCs w:val="21"/>
              </w:rPr>
            </w:pPr>
          </w:p>
        </w:tc>
        <w:tc>
          <w:tcPr>
            <w:tcW w:w="1289" w:type="dxa"/>
            <w:shd w:val="clear" w:color="auto" w:fill="auto"/>
            <w:vAlign w:val="center"/>
          </w:tcPr>
          <w:p w14:paraId="543FFB6F">
            <w:pPr>
              <w:widowControl/>
              <w:snapToGrid w:val="0"/>
              <w:jc w:val="center"/>
              <w:rPr>
                <w:kern w:val="0"/>
                <w:sz w:val="24"/>
                <w:szCs w:val="21"/>
              </w:rPr>
            </w:pPr>
          </w:p>
        </w:tc>
        <w:tc>
          <w:tcPr>
            <w:tcW w:w="843" w:type="dxa"/>
            <w:shd w:val="clear" w:color="auto" w:fill="auto"/>
            <w:vAlign w:val="center"/>
          </w:tcPr>
          <w:p w14:paraId="6FE619ED">
            <w:pPr>
              <w:widowControl/>
              <w:snapToGrid w:val="0"/>
              <w:jc w:val="center"/>
              <w:rPr>
                <w:kern w:val="0"/>
                <w:sz w:val="24"/>
                <w:szCs w:val="21"/>
              </w:rPr>
            </w:pPr>
          </w:p>
        </w:tc>
      </w:tr>
      <w:tr w14:paraId="7E6D355C">
        <w:trPr>
          <w:jc w:val="center"/>
        </w:trPr>
        <w:tc>
          <w:tcPr>
            <w:tcW w:w="9335" w:type="dxa"/>
            <w:gridSpan w:val="5"/>
            <w:shd w:val="clear" w:color="auto" w:fill="auto"/>
            <w:vAlign w:val="center"/>
          </w:tcPr>
          <w:p w14:paraId="37816E7D">
            <w:pPr>
              <w:widowControl/>
              <w:snapToGrid w:val="0"/>
              <w:ind w:firstLine="336" w:firstLineChars="150"/>
              <w:rPr>
                <w:kern w:val="0"/>
                <w:sz w:val="24"/>
                <w:szCs w:val="21"/>
              </w:rPr>
            </w:pPr>
            <w:r>
              <w:rPr>
                <w:kern w:val="0"/>
                <w:sz w:val="24"/>
                <w:szCs w:val="21"/>
              </w:rPr>
              <w:t>2. 项目需求书要求</w:t>
            </w:r>
          </w:p>
        </w:tc>
      </w:tr>
      <w:tr w14:paraId="57DF23FA">
        <w:trPr>
          <w:jc w:val="center"/>
        </w:trPr>
        <w:tc>
          <w:tcPr>
            <w:tcW w:w="843" w:type="dxa"/>
            <w:shd w:val="clear" w:color="auto" w:fill="auto"/>
            <w:vAlign w:val="center"/>
          </w:tcPr>
          <w:p w14:paraId="0B9C93FC">
            <w:pPr>
              <w:widowControl/>
              <w:snapToGrid w:val="0"/>
              <w:jc w:val="center"/>
              <w:rPr>
                <w:kern w:val="0"/>
                <w:sz w:val="24"/>
                <w:szCs w:val="21"/>
              </w:rPr>
            </w:pPr>
            <w:r>
              <w:rPr>
                <w:kern w:val="0"/>
                <w:sz w:val="24"/>
                <w:szCs w:val="21"/>
              </w:rPr>
              <w:t>序号</w:t>
            </w:r>
          </w:p>
        </w:tc>
        <w:tc>
          <w:tcPr>
            <w:tcW w:w="3922" w:type="dxa"/>
            <w:shd w:val="clear" w:color="auto" w:fill="auto"/>
            <w:vAlign w:val="center"/>
          </w:tcPr>
          <w:p w14:paraId="7A1D3784">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47A75E5D">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668CBA24">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0C9C7AFB">
            <w:pPr>
              <w:widowControl/>
              <w:snapToGrid w:val="0"/>
              <w:jc w:val="center"/>
              <w:rPr>
                <w:kern w:val="0"/>
                <w:sz w:val="24"/>
                <w:szCs w:val="21"/>
              </w:rPr>
            </w:pPr>
            <w:r>
              <w:rPr>
                <w:kern w:val="0"/>
                <w:sz w:val="24"/>
                <w:szCs w:val="21"/>
              </w:rPr>
              <w:t>备注</w:t>
            </w:r>
          </w:p>
        </w:tc>
      </w:tr>
      <w:tr w14:paraId="68B8C0EE">
        <w:trPr>
          <w:jc w:val="center"/>
        </w:trPr>
        <w:tc>
          <w:tcPr>
            <w:tcW w:w="843" w:type="dxa"/>
            <w:shd w:val="clear" w:color="auto" w:fill="auto"/>
            <w:vAlign w:val="center"/>
          </w:tcPr>
          <w:p w14:paraId="4BC2659E">
            <w:pPr>
              <w:widowControl/>
              <w:snapToGrid w:val="0"/>
              <w:jc w:val="center"/>
              <w:rPr>
                <w:kern w:val="0"/>
                <w:sz w:val="24"/>
                <w:szCs w:val="21"/>
              </w:rPr>
            </w:pPr>
          </w:p>
        </w:tc>
        <w:tc>
          <w:tcPr>
            <w:tcW w:w="3922" w:type="dxa"/>
            <w:shd w:val="clear" w:color="auto" w:fill="auto"/>
            <w:vAlign w:val="center"/>
          </w:tcPr>
          <w:p w14:paraId="7605FDA2">
            <w:pPr>
              <w:widowControl/>
              <w:snapToGrid w:val="0"/>
              <w:jc w:val="center"/>
              <w:rPr>
                <w:kern w:val="0"/>
                <w:sz w:val="24"/>
                <w:szCs w:val="21"/>
              </w:rPr>
            </w:pPr>
          </w:p>
        </w:tc>
        <w:tc>
          <w:tcPr>
            <w:tcW w:w="2438" w:type="dxa"/>
            <w:shd w:val="clear" w:color="auto" w:fill="auto"/>
            <w:vAlign w:val="center"/>
          </w:tcPr>
          <w:p w14:paraId="31ED90C5">
            <w:pPr>
              <w:widowControl/>
              <w:snapToGrid w:val="0"/>
              <w:jc w:val="center"/>
              <w:rPr>
                <w:kern w:val="0"/>
                <w:sz w:val="24"/>
                <w:szCs w:val="21"/>
              </w:rPr>
            </w:pPr>
          </w:p>
        </w:tc>
        <w:tc>
          <w:tcPr>
            <w:tcW w:w="1289" w:type="dxa"/>
            <w:shd w:val="clear" w:color="auto" w:fill="auto"/>
            <w:vAlign w:val="center"/>
          </w:tcPr>
          <w:p w14:paraId="58376882">
            <w:pPr>
              <w:widowControl/>
              <w:snapToGrid w:val="0"/>
              <w:jc w:val="center"/>
              <w:rPr>
                <w:kern w:val="0"/>
                <w:sz w:val="24"/>
                <w:szCs w:val="21"/>
              </w:rPr>
            </w:pPr>
          </w:p>
        </w:tc>
        <w:tc>
          <w:tcPr>
            <w:tcW w:w="843" w:type="dxa"/>
            <w:shd w:val="clear" w:color="auto" w:fill="auto"/>
            <w:vAlign w:val="center"/>
          </w:tcPr>
          <w:p w14:paraId="2DBB8182">
            <w:pPr>
              <w:widowControl/>
              <w:snapToGrid w:val="0"/>
              <w:jc w:val="center"/>
              <w:rPr>
                <w:kern w:val="0"/>
                <w:sz w:val="24"/>
                <w:szCs w:val="21"/>
              </w:rPr>
            </w:pPr>
          </w:p>
        </w:tc>
      </w:tr>
      <w:tr w14:paraId="59346E3C">
        <w:trPr>
          <w:jc w:val="center"/>
        </w:trPr>
        <w:tc>
          <w:tcPr>
            <w:tcW w:w="843" w:type="dxa"/>
            <w:shd w:val="clear" w:color="auto" w:fill="auto"/>
            <w:vAlign w:val="center"/>
          </w:tcPr>
          <w:p w14:paraId="0BCB3135">
            <w:pPr>
              <w:widowControl/>
              <w:snapToGrid w:val="0"/>
              <w:jc w:val="center"/>
              <w:rPr>
                <w:kern w:val="0"/>
                <w:sz w:val="24"/>
                <w:szCs w:val="21"/>
              </w:rPr>
            </w:pPr>
          </w:p>
        </w:tc>
        <w:tc>
          <w:tcPr>
            <w:tcW w:w="3922" w:type="dxa"/>
            <w:shd w:val="clear" w:color="auto" w:fill="auto"/>
            <w:vAlign w:val="center"/>
          </w:tcPr>
          <w:p w14:paraId="1DA13C58">
            <w:pPr>
              <w:widowControl/>
              <w:snapToGrid w:val="0"/>
              <w:jc w:val="center"/>
              <w:rPr>
                <w:kern w:val="0"/>
                <w:sz w:val="24"/>
                <w:szCs w:val="21"/>
              </w:rPr>
            </w:pPr>
          </w:p>
        </w:tc>
        <w:tc>
          <w:tcPr>
            <w:tcW w:w="2438" w:type="dxa"/>
            <w:shd w:val="clear" w:color="auto" w:fill="auto"/>
            <w:vAlign w:val="center"/>
          </w:tcPr>
          <w:p w14:paraId="4FB402CF">
            <w:pPr>
              <w:widowControl/>
              <w:snapToGrid w:val="0"/>
              <w:jc w:val="center"/>
              <w:rPr>
                <w:kern w:val="0"/>
                <w:sz w:val="24"/>
                <w:szCs w:val="21"/>
              </w:rPr>
            </w:pPr>
          </w:p>
        </w:tc>
        <w:tc>
          <w:tcPr>
            <w:tcW w:w="1289" w:type="dxa"/>
            <w:shd w:val="clear" w:color="auto" w:fill="auto"/>
            <w:vAlign w:val="center"/>
          </w:tcPr>
          <w:p w14:paraId="0E1DFF5F">
            <w:pPr>
              <w:widowControl/>
              <w:snapToGrid w:val="0"/>
              <w:jc w:val="center"/>
              <w:rPr>
                <w:kern w:val="0"/>
                <w:sz w:val="24"/>
                <w:szCs w:val="21"/>
              </w:rPr>
            </w:pPr>
          </w:p>
        </w:tc>
        <w:tc>
          <w:tcPr>
            <w:tcW w:w="843" w:type="dxa"/>
            <w:shd w:val="clear" w:color="auto" w:fill="auto"/>
            <w:vAlign w:val="center"/>
          </w:tcPr>
          <w:p w14:paraId="1D13137C">
            <w:pPr>
              <w:widowControl/>
              <w:snapToGrid w:val="0"/>
              <w:jc w:val="center"/>
              <w:rPr>
                <w:kern w:val="0"/>
                <w:sz w:val="24"/>
                <w:szCs w:val="21"/>
              </w:rPr>
            </w:pPr>
          </w:p>
        </w:tc>
      </w:tr>
      <w:tr w14:paraId="564C8485">
        <w:trPr>
          <w:jc w:val="center"/>
        </w:trPr>
        <w:tc>
          <w:tcPr>
            <w:tcW w:w="843" w:type="dxa"/>
            <w:shd w:val="clear" w:color="auto" w:fill="auto"/>
            <w:vAlign w:val="center"/>
          </w:tcPr>
          <w:p w14:paraId="49538D24">
            <w:pPr>
              <w:widowControl/>
              <w:snapToGrid w:val="0"/>
              <w:jc w:val="center"/>
              <w:rPr>
                <w:kern w:val="0"/>
                <w:sz w:val="24"/>
                <w:szCs w:val="21"/>
              </w:rPr>
            </w:pPr>
          </w:p>
        </w:tc>
        <w:tc>
          <w:tcPr>
            <w:tcW w:w="3922" w:type="dxa"/>
            <w:shd w:val="clear" w:color="auto" w:fill="auto"/>
            <w:vAlign w:val="center"/>
          </w:tcPr>
          <w:p w14:paraId="51C69E10">
            <w:pPr>
              <w:widowControl/>
              <w:snapToGrid w:val="0"/>
              <w:jc w:val="center"/>
              <w:rPr>
                <w:kern w:val="0"/>
                <w:sz w:val="24"/>
                <w:szCs w:val="21"/>
              </w:rPr>
            </w:pPr>
          </w:p>
        </w:tc>
        <w:tc>
          <w:tcPr>
            <w:tcW w:w="2438" w:type="dxa"/>
            <w:shd w:val="clear" w:color="auto" w:fill="auto"/>
            <w:vAlign w:val="center"/>
          </w:tcPr>
          <w:p w14:paraId="58E27AC4">
            <w:pPr>
              <w:widowControl/>
              <w:snapToGrid w:val="0"/>
              <w:jc w:val="center"/>
              <w:rPr>
                <w:kern w:val="0"/>
                <w:sz w:val="24"/>
                <w:szCs w:val="21"/>
              </w:rPr>
            </w:pPr>
          </w:p>
        </w:tc>
        <w:tc>
          <w:tcPr>
            <w:tcW w:w="1289" w:type="dxa"/>
            <w:shd w:val="clear" w:color="auto" w:fill="auto"/>
            <w:vAlign w:val="center"/>
          </w:tcPr>
          <w:p w14:paraId="32E92A4C">
            <w:pPr>
              <w:widowControl/>
              <w:snapToGrid w:val="0"/>
              <w:jc w:val="center"/>
              <w:rPr>
                <w:kern w:val="0"/>
                <w:sz w:val="24"/>
                <w:szCs w:val="21"/>
              </w:rPr>
            </w:pPr>
          </w:p>
        </w:tc>
        <w:tc>
          <w:tcPr>
            <w:tcW w:w="843" w:type="dxa"/>
            <w:shd w:val="clear" w:color="auto" w:fill="auto"/>
            <w:vAlign w:val="center"/>
          </w:tcPr>
          <w:p w14:paraId="7AF3AEFF">
            <w:pPr>
              <w:widowControl/>
              <w:snapToGrid w:val="0"/>
              <w:jc w:val="center"/>
              <w:rPr>
                <w:kern w:val="0"/>
                <w:sz w:val="24"/>
                <w:szCs w:val="21"/>
              </w:rPr>
            </w:pPr>
          </w:p>
        </w:tc>
      </w:tr>
      <w:tr w14:paraId="5EC614D5">
        <w:trPr>
          <w:jc w:val="center"/>
        </w:trPr>
        <w:tc>
          <w:tcPr>
            <w:tcW w:w="843" w:type="dxa"/>
            <w:shd w:val="clear" w:color="auto" w:fill="auto"/>
            <w:vAlign w:val="center"/>
          </w:tcPr>
          <w:p w14:paraId="4DF9DB98">
            <w:pPr>
              <w:widowControl/>
              <w:snapToGrid w:val="0"/>
              <w:jc w:val="center"/>
              <w:rPr>
                <w:kern w:val="0"/>
                <w:sz w:val="24"/>
                <w:szCs w:val="21"/>
              </w:rPr>
            </w:pPr>
          </w:p>
        </w:tc>
        <w:tc>
          <w:tcPr>
            <w:tcW w:w="3922" w:type="dxa"/>
            <w:shd w:val="clear" w:color="auto" w:fill="auto"/>
            <w:vAlign w:val="center"/>
          </w:tcPr>
          <w:p w14:paraId="0963DC4D">
            <w:pPr>
              <w:widowControl/>
              <w:snapToGrid w:val="0"/>
              <w:jc w:val="center"/>
              <w:rPr>
                <w:kern w:val="0"/>
                <w:sz w:val="24"/>
                <w:szCs w:val="21"/>
              </w:rPr>
            </w:pPr>
          </w:p>
        </w:tc>
        <w:tc>
          <w:tcPr>
            <w:tcW w:w="2438" w:type="dxa"/>
            <w:shd w:val="clear" w:color="auto" w:fill="auto"/>
            <w:vAlign w:val="center"/>
          </w:tcPr>
          <w:p w14:paraId="2D64D11B">
            <w:pPr>
              <w:widowControl/>
              <w:snapToGrid w:val="0"/>
              <w:jc w:val="center"/>
              <w:rPr>
                <w:kern w:val="0"/>
                <w:sz w:val="24"/>
                <w:szCs w:val="21"/>
              </w:rPr>
            </w:pPr>
          </w:p>
        </w:tc>
        <w:tc>
          <w:tcPr>
            <w:tcW w:w="1289" w:type="dxa"/>
            <w:shd w:val="clear" w:color="auto" w:fill="auto"/>
            <w:vAlign w:val="center"/>
          </w:tcPr>
          <w:p w14:paraId="4BBA06D2">
            <w:pPr>
              <w:widowControl/>
              <w:snapToGrid w:val="0"/>
              <w:jc w:val="center"/>
              <w:rPr>
                <w:kern w:val="0"/>
                <w:sz w:val="24"/>
                <w:szCs w:val="21"/>
              </w:rPr>
            </w:pPr>
          </w:p>
        </w:tc>
        <w:tc>
          <w:tcPr>
            <w:tcW w:w="843" w:type="dxa"/>
            <w:shd w:val="clear" w:color="auto" w:fill="auto"/>
            <w:vAlign w:val="center"/>
          </w:tcPr>
          <w:p w14:paraId="7A54EBDC">
            <w:pPr>
              <w:widowControl/>
              <w:snapToGrid w:val="0"/>
              <w:jc w:val="center"/>
              <w:rPr>
                <w:kern w:val="0"/>
                <w:sz w:val="24"/>
                <w:szCs w:val="21"/>
              </w:rPr>
            </w:pPr>
          </w:p>
        </w:tc>
      </w:tr>
      <w:tr w14:paraId="313D5DEA">
        <w:trPr>
          <w:jc w:val="center"/>
        </w:trPr>
        <w:tc>
          <w:tcPr>
            <w:tcW w:w="843" w:type="dxa"/>
            <w:shd w:val="clear" w:color="auto" w:fill="auto"/>
            <w:vAlign w:val="center"/>
          </w:tcPr>
          <w:p w14:paraId="376B1133">
            <w:pPr>
              <w:widowControl/>
              <w:snapToGrid w:val="0"/>
              <w:jc w:val="center"/>
              <w:rPr>
                <w:kern w:val="0"/>
                <w:sz w:val="24"/>
                <w:szCs w:val="21"/>
              </w:rPr>
            </w:pPr>
          </w:p>
        </w:tc>
        <w:tc>
          <w:tcPr>
            <w:tcW w:w="3922" w:type="dxa"/>
            <w:shd w:val="clear" w:color="auto" w:fill="auto"/>
            <w:vAlign w:val="center"/>
          </w:tcPr>
          <w:p w14:paraId="2E786CBF">
            <w:pPr>
              <w:widowControl/>
              <w:snapToGrid w:val="0"/>
              <w:jc w:val="center"/>
              <w:rPr>
                <w:kern w:val="0"/>
                <w:sz w:val="24"/>
                <w:szCs w:val="21"/>
              </w:rPr>
            </w:pPr>
          </w:p>
        </w:tc>
        <w:tc>
          <w:tcPr>
            <w:tcW w:w="2438" w:type="dxa"/>
            <w:shd w:val="clear" w:color="auto" w:fill="auto"/>
            <w:vAlign w:val="center"/>
          </w:tcPr>
          <w:p w14:paraId="30A18D74">
            <w:pPr>
              <w:widowControl/>
              <w:snapToGrid w:val="0"/>
              <w:jc w:val="center"/>
              <w:rPr>
                <w:kern w:val="0"/>
                <w:sz w:val="24"/>
                <w:szCs w:val="21"/>
              </w:rPr>
            </w:pPr>
          </w:p>
        </w:tc>
        <w:tc>
          <w:tcPr>
            <w:tcW w:w="1289" w:type="dxa"/>
            <w:shd w:val="clear" w:color="auto" w:fill="auto"/>
            <w:vAlign w:val="center"/>
          </w:tcPr>
          <w:p w14:paraId="0B9A0703">
            <w:pPr>
              <w:widowControl/>
              <w:snapToGrid w:val="0"/>
              <w:jc w:val="center"/>
              <w:rPr>
                <w:kern w:val="0"/>
                <w:sz w:val="24"/>
                <w:szCs w:val="21"/>
              </w:rPr>
            </w:pPr>
          </w:p>
        </w:tc>
        <w:tc>
          <w:tcPr>
            <w:tcW w:w="843" w:type="dxa"/>
            <w:shd w:val="clear" w:color="auto" w:fill="auto"/>
            <w:vAlign w:val="center"/>
          </w:tcPr>
          <w:p w14:paraId="63905892">
            <w:pPr>
              <w:widowControl/>
              <w:snapToGrid w:val="0"/>
              <w:jc w:val="center"/>
              <w:rPr>
                <w:kern w:val="0"/>
                <w:sz w:val="24"/>
                <w:szCs w:val="21"/>
              </w:rPr>
            </w:pPr>
          </w:p>
        </w:tc>
      </w:tr>
    </w:tbl>
    <w:p w14:paraId="45E63098">
      <w:pPr>
        <w:spacing w:line="620" w:lineRule="exact"/>
        <w:rPr>
          <w:sz w:val="24"/>
        </w:rPr>
      </w:pPr>
      <w:r>
        <w:rPr>
          <w:sz w:val="24"/>
        </w:rPr>
        <w:t>注：</w:t>
      </w:r>
    </w:p>
    <w:p w14:paraId="168ED225">
      <w:pPr>
        <w:spacing w:line="360" w:lineRule="auto"/>
        <w:rPr>
          <w:sz w:val="24"/>
        </w:rPr>
      </w:pPr>
      <w:r>
        <w:rPr>
          <w:sz w:val="24"/>
        </w:rPr>
        <w:t>1. 不如实填写偏离情况的投标文件将视为虚假材料。</w:t>
      </w:r>
    </w:p>
    <w:p w14:paraId="61873BDE">
      <w:pPr>
        <w:spacing w:line="360" w:lineRule="auto"/>
        <w:rPr>
          <w:sz w:val="24"/>
        </w:rPr>
      </w:pPr>
      <w:r>
        <w:rPr>
          <w:sz w:val="24"/>
        </w:rPr>
        <w:t>2. 招标要求指招标文件中规定的具体要求，投标应答指投标文件的具体内容。</w:t>
      </w:r>
    </w:p>
    <w:p w14:paraId="028832CB">
      <w:pPr>
        <w:spacing w:line="360" w:lineRule="auto"/>
        <w:rPr>
          <w:sz w:val="24"/>
        </w:rPr>
      </w:pPr>
      <w:r>
        <w:rPr>
          <w:sz w:val="24"/>
        </w:rPr>
        <w:t>3. 偏离说明指招标要求与投标应答之间的不同之处。</w:t>
      </w:r>
    </w:p>
    <w:p w14:paraId="4914F59B">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6970CC15">
      <w:pPr>
        <w:spacing w:line="360" w:lineRule="auto"/>
        <w:ind w:firstLine="3808" w:firstLineChars="1700"/>
        <w:rPr>
          <w:sz w:val="24"/>
        </w:rPr>
      </w:pPr>
      <w:r>
        <w:rPr>
          <w:sz w:val="24"/>
        </w:rPr>
        <w:t>投标人名称：</w:t>
      </w:r>
    </w:p>
    <w:p w14:paraId="67F98442">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AF4D062">
      <w:pPr>
        <w:tabs>
          <w:tab w:val="left" w:pos="360"/>
        </w:tabs>
        <w:spacing w:after="285" w:afterLines="100" w:line="360" w:lineRule="auto"/>
        <w:rPr>
          <w:b/>
          <w:sz w:val="24"/>
        </w:rPr>
      </w:pPr>
      <w:r>
        <w:rPr>
          <w:sz w:val="24"/>
        </w:rPr>
        <w:br w:type="page"/>
      </w:r>
      <w:r>
        <w:rPr>
          <w:b/>
          <w:sz w:val="24"/>
        </w:rPr>
        <w:t>附件6</w:t>
      </w:r>
    </w:p>
    <w:p w14:paraId="6CCD9592">
      <w:pPr>
        <w:autoSpaceDN w:val="0"/>
        <w:spacing w:line="360" w:lineRule="auto"/>
        <w:jc w:val="center"/>
        <w:rPr>
          <w:b/>
          <w:bCs/>
          <w:sz w:val="24"/>
        </w:rPr>
      </w:pPr>
      <w:r>
        <w:rPr>
          <w:b/>
          <w:sz w:val="24"/>
        </w:rPr>
        <w:t>主要相关项目业绩一览表</w:t>
      </w:r>
    </w:p>
    <w:p w14:paraId="73F8DD63">
      <w:pPr>
        <w:spacing w:line="460" w:lineRule="exact"/>
        <w:ind w:left="192"/>
        <w:rPr>
          <w:sz w:val="24"/>
        </w:rPr>
      </w:pPr>
    </w:p>
    <w:p w14:paraId="1F7EBE78">
      <w:pPr>
        <w:spacing w:line="460" w:lineRule="exact"/>
        <w:rPr>
          <w:sz w:val="24"/>
        </w:rPr>
      </w:pPr>
      <w:r>
        <w:rPr>
          <w:sz w:val="24"/>
        </w:rPr>
        <w:t>项目名称：</w:t>
      </w:r>
      <w:r>
        <w:rPr>
          <w:sz w:val="24"/>
          <w:u w:val="single"/>
        </w:rPr>
        <w:t xml:space="preserve">                    </w:t>
      </w:r>
    </w:p>
    <w:p w14:paraId="2F65923D">
      <w:pPr>
        <w:spacing w:line="460" w:lineRule="exact"/>
        <w:rPr>
          <w:sz w:val="24"/>
        </w:rPr>
      </w:pPr>
      <w:r>
        <w:rPr>
          <w:sz w:val="24"/>
        </w:rPr>
        <w:t>项目编号：</w:t>
      </w:r>
      <w:r>
        <w:rPr>
          <w:sz w:val="24"/>
          <w:u w:val="single"/>
        </w:rPr>
        <w:t xml:space="preserve">                    </w:t>
      </w:r>
    </w:p>
    <w:p w14:paraId="133BE01B">
      <w:pPr>
        <w:spacing w:line="460" w:lineRule="exact"/>
        <w:rPr>
          <w:sz w:val="24"/>
          <w:u w:val="single"/>
        </w:rPr>
      </w:pPr>
      <w:r>
        <w:rPr>
          <w:sz w:val="24"/>
        </w:rPr>
        <w:t>包号：</w:t>
      </w:r>
      <w:r>
        <w:rPr>
          <w:sz w:val="24"/>
          <w:u w:val="single"/>
        </w:rPr>
        <w:t xml:space="preserve">                        </w:t>
      </w:r>
    </w:p>
    <w:p w14:paraId="203D394D">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5418A68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AC2AEBE">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6E188B65">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2FF668AA">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7B8FCEC7">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65E5348F">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35AA407B">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72DDE8B3">
            <w:pPr>
              <w:snapToGrid w:val="0"/>
              <w:jc w:val="center"/>
              <w:rPr>
                <w:sz w:val="24"/>
              </w:rPr>
            </w:pPr>
            <w:r>
              <w:rPr>
                <w:sz w:val="24"/>
              </w:rPr>
              <w:t>合同金额</w:t>
            </w:r>
          </w:p>
        </w:tc>
      </w:tr>
      <w:tr w14:paraId="4C86DABB">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B9F6B4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D44CC4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3FEA5D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F387C6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561952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65D604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CB98DAA">
            <w:pPr>
              <w:snapToGrid w:val="0"/>
              <w:jc w:val="center"/>
              <w:rPr>
                <w:sz w:val="24"/>
              </w:rPr>
            </w:pPr>
          </w:p>
        </w:tc>
      </w:tr>
      <w:tr w14:paraId="66D3F22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CF8B5E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B79E6D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E1F664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96F923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3C9404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5DDB8A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65B378C">
            <w:pPr>
              <w:snapToGrid w:val="0"/>
              <w:jc w:val="center"/>
              <w:rPr>
                <w:sz w:val="24"/>
              </w:rPr>
            </w:pPr>
          </w:p>
        </w:tc>
      </w:tr>
      <w:tr w14:paraId="6F0004B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BBD28D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42A839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933F97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D78570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411B85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598330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072B423">
            <w:pPr>
              <w:snapToGrid w:val="0"/>
              <w:jc w:val="center"/>
              <w:rPr>
                <w:sz w:val="24"/>
              </w:rPr>
            </w:pPr>
          </w:p>
        </w:tc>
      </w:tr>
      <w:tr w14:paraId="2FB1840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24CEC7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D0D288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F65B62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690EE1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CD116E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94A510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C3BAD32">
            <w:pPr>
              <w:snapToGrid w:val="0"/>
              <w:jc w:val="center"/>
              <w:rPr>
                <w:sz w:val="24"/>
              </w:rPr>
            </w:pPr>
          </w:p>
        </w:tc>
      </w:tr>
      <w:tr w14:paraId="7D614175">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58BEF7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DAF8ED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88BA7C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096A5C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E1E942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CFA573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AC358C6">
            <w:pPr>
              <w:snapToGrid w:val="0"/>
              <w:jc w:val="center"/>
              <w:rPr>
                <w:sz w:val="24"/>
              </w:rPr>
            </w:pPr>
          </w:p>
        </w:tc>
      </w:tr>
      <w:tr w14:paraId="71ADF85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D8D18D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5C0ABF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433D80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A9FD75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ACDC0C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9B504C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8AB368">
            <w:pPr>
              <w:snapToGrid w:val="0"/>
              <w:jc w:val="center"/>
              <w:rPr>
                <w:sz w:val="24"/>
              </w:rPr>
            </w:pPr>
          </w:p>
        </w:tc>
      </w:tr>
      <w:tr w14:paraId="30F02CA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4566AF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C2F04B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0F4128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F851E0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047C84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8D9D39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2F07F7F">
            <w:pPr>
              <w:snapToGrid w:val="0"/>
              <w:jc w:val="center"/>
              <w:rPr>
                <w:sz w:val="24"/>
              </w:rPr>
            </w:pPr>
          </w:p>
        </w:tc>
      </w:tr>
      <w:tr w14:paraId="22A8BE1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36FD52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E74708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0B124C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D4D1B6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BEB13A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65DDE7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4092E45">
            <w:pPr>
              <w:snapToGrid w:val="0"/>
              <w:jc w:val="center"/>
              <w:rPr>
                <w:sz w:val="24"/>
              </w:rPr>
            </w:pPr>
          </w:p>
        </w:tc>
      </w:tr>
      <w:tr w14:paraId="3301BC1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E90118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BF2FFE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CA5381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CA799D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352E28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B7B754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3EC1C67">
            <w:pPr>
              <w:snapToGrid w:val="0"/>
              <w:jc w:val="center"/>
              <w:rPr>
                <w:sz w:val="24"/>
              </w:rPr>
            </w:pPr>
          </w:p>
        </w:tc>
      </w:tr>
      <w:tr w14:paraId="009E3FD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12A58C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AA6223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2F0FFB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90B033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125548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83F4D9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E3A026B">
            <w:pPr>
              <w:snapToGrid w:val="0"/>
              <w:jc w:val="center"/>
              <w:rPr>
                <w:sz w:val="24"/>
              </w:rPr>
            </w:pPr>
          </w:p>
        </w:tc>
      </w:tr>
      <w:tr w14:paraId="6D06E0B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50F9F0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634E2E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54E291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CFC5BB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876541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877F80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123F26D">
            <w:pPr>
              <w:snapToGrid w:val="0"/>
              <w:jc w:val="center"/>
              <w:rPr>
                <w:sz w:val="24"/>
              </w:rPr>
            </w:pPr>
          </w:p>
        </w:tc>
      </w:tr>
    </w:tbl>
    <w:p w14:paraId="049C7FDF">
      <w:pPr>
        <w:spacing w:line="560" w:lineRule="exact"/>
        <w:rPr>
          <w:sz w:val="24"/>
        </w:rPr>
      </w:pPr>
      <w:r>
        <w:rPr>
          <w:sz w:val="24"/>
        </w:rPr>
        <w:t>备注：若招标文件第二部分评分因素及评标标准中要求提供业绩的，投标人所列业绩应按其要求将证明材料按顺序附后。</w:t>
      </w:r>
    </w:p>
    <w:p w14:paraId="41E7DB2D">
      <w:pPr>
        <w:spacing w:line="560" w:lineRule="exact"/>
        <w:rPr>
          <w:sz w:val="24"/>
        </w:rPr>
      </w:pPr>
    </w:p>
    <w:p w14:paraId="57B2267D">
      <w:pPr>
        <w:spacing w:line="360" w:lineRule="auto"/>
        <w:ind w:firstLine="3808" w:firstLineChars="1700"/>
        <w:rPr>
          <w:sz w:val="24"/>
        </w:rPr>
      </w:pPr>
      <w:r>
        <w:rPr>
          <w:sz w:val="24"/>
        </w:rPr>
        <w:t>投标人名称：</w:t>
      </w:r>
    </w:p>
    <w:p w14:paraId="7C781A12">
      <w:pPr>
        <w:spacing w:line="360" w:lineRule="auto"/>
        <w:ind w:firstLine="3808" w:firstLineChars="1700"/>
        <w:rPr>
          <w:sz w:val="24"/>
        </w:rPr>
      </w:pPr>
    </w:p>
    <w:p w14:paraId="689E7A32">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882E2BA">
      <w:pPr>
        <w:spacing w:line="460" w:lineRule="exact"/>
        <w:rPr>
          <w:sz w:val="24"/>
        </w:rPr>
      </w:pPr>
    </w:p>
    <w:p w14:paraId="351AE7E9">
      <w:pPr>
        <w:widowControl/>
        <w:jc w:val="left"/>
        <w:rPr>
          <w:sz w:val="24"/>
        </w:rPr>
      </w:pPr>
      <w:r>
        <w:rPr>
          <w:sz w:val="24"/>
        </w:rPr>
        <w:br w:type="page"/>
      </w:r>
    </w:p>
    <w:p w14:paraId="5955B6FB">
      <w:pPr>
        <w:spacing w:line="480" w:lineRule="auto"/>
        <w:rPr>
          <w:b/>
          <w:color w:val="000000"/>
          <w:sz w:val="24"/>
        </w:rPr>
      </w:pPr>
      <w:r>
        <w:rPr>
          <w:rFonts w:hint="eastAsia"/>
          <w:b/>
          <w:color w:val="000000"/>
          <w:sz w:val="24"/>
        </w:rPr>
        <w:t>附件7</w:t>
      </w:r>
    </w:p>
    <w:p w14:paraId="641D7FB4">
      <w:pPr>
        <w:autoSpaceDN w:val="0"/>
        <w:spacing w:line="360" w:lineRule="auto"/>
        <w:jc w:val="center"/>
        <w:rPr>
          <w:b/>
          <w:bCs/>
          <w:sz w:val="24"/>
        </w:rPr>
      </w:pPr>
      <w:r>
        <w:rPr>
          <w:rFonts w:hint="eastAsia"/>
          <w:b/>
          <w:bCs/>
          <w:sz w:val="24"/>
        </w:rPr>
        <w:t>投标</w:t>
      </w:r>
      <w:r>
        <w:rPr>
          <w:b/>
          <w:bCs/>
          <w:sz w:val="24"/>
        </w:rPr>
        <w:t>代表人授权书</w:t>
      </w:r>
    </w:p>
    <w:p w14:paraId="1C6D9C8A">
      <w:pPr>
        <w:spacing w:line="360" w:lineRule="auto"/>
        <w:rPr>
          <w:sz w:val="24"/>
          <w:szCs w:val="21"/>
        </w:rPr>
      </w:pPr>
    </w:p>
    <w:p w14:paraId="6EA9B88F">
      <w:pPr>
        <w:spacing w:line="360" w:lineRule="auto"/>
        <w:rPr>
          <w:sz w:val="24"/>
          <w:szCs w:val="21"/>
        </w:rPr>
      </w:pPr>
      <w:r>
        <w:rPr>
          <w:sz w:val="24"/>
          <w:szCs w:val="21"/>
        </w:rPr>
        <w:t>致：天津市政府采购中心</w:t>
      </w:r>
    </w:p>
    <w:p w14:paraId="0287C779">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03DA0D7C">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028B1DC6">
      <w:pPr>
        <w:spacing w:line="360" w:lineRule="auto"/>
        <w:ind w:firstLine="448" w:firstLineChars="200"/>
        <w:rPr>
          <w:sz w:val="24"/>
          <w:szCs w:val="21"/>
        </w:rPr>
      </w:pPr>
      <w:r>
        <w:rPr>
          <w:sz w:val="24"/>
          <w:szCs w:val="21"/>
        </w:rPr>
        <w:t>本授权书至投标有效期结束前始终有效。</w:t>
      </w:r>
    </w:p>
    <w:p w14:paraId="5E06DC79">
      <w:pPr>
        <w:spacing w:line="360" w:lineRule="auto"/>
        <w:ind w:firstLine="448" w:firstLineChars="200"/>
        <w:rPr>
          <w:sz w:val="24"/>
          <w:szCs w:val="21"/>
        </w:rPr>
      </w:pPr>
      <w:r>
        <w:rPr>
          <w:sz w:val="24"/>
          <w:szCs w:val="21"/>
        </w:rPr>
        <w:t>投标代表人无转委托权，特此委托。</w:t>
      </w:r>
    </w:p>
    <w:p w14:paraId="40B6E0E9">
      <w:pPr>
        <w:spacing w:line="360" w:lineRule="auto"/>
        <w:ind w:firstLine="448" w:firstLineChars="200"/>
        <w:rPr>
          <w:sz w:val="24"/>
        </w:rPr>
      </w:pPr>
    </w:p>
    <w:p w14:paraId="27668DF0">
      <w:pPr>
        <w:spacing w:line="360" w:lineRule="auto"/>
        <w:ind w:firstLine="448" w:firstLineChars="200"/>
        <w:rPr>
          <w:sz w:val="24"/>
        </w:rPr>
      </w:pPr>
    </w:p>
    <w:p w14:paraId="5082FFAC">
      <w:pPr>
        <w:spacing w:line="360" w:lineRule="auto"/>
        <w:ind w:firstLine="448" w:firstLineChars="200"/>
        <w:rPr>
          <w:sz w:val="24"/>
        </w:rPr>
      </w:pPr>
    </w:p>
    <w:p w14:paraId="63B50516">
      <w:pPr>
        <w:spacing w:line="480" w:lineRule="auto"/>
        <w:jc w:val="center"/>
        <w:rPr>
          <w:sz w:val="24"/>
        </w:rPr>
      </w:pPr>
      <w:r>
        <w:rPr>
          <w:sz w:val="24"/>
        </w:rPr>
        <w:t xml:space="preserve">     年   月   日  </w:t>
      </w:r>
    </w:p>
    <w:p w14:paraId="6C3D115E">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7E58639E">
        <w:tc>
          <w:tcPr>
            <w:tcW w:w="4264" w:type="dxa"/>
          </w:tcPr>
          <w:p w14:paraId="70529A87">
            <w:pPr>
              <w:spacing w:line="360" w:lineRule="auto"/>
              <w:jc w:val="left"/>
              <w:rPr>
                <w:sz w:val="24"/>
              </w:rPr>
            </w:pPr>
            <w:r>
              <w:rPr>
                <w:sz w:val="24"/>
              </w:rPr>
              <w:t>投标代表人身份证正面</w:t>
            </w:r>
          </w:p>
          <w:p w14:paraId="193D4091">
            <w:pPr>
              <w:spacing w:line="360" w:lineRule="auto"/>
              <w:jc w:val="left"/>
              <w:rPr>
                <w:sz w:val="24"/>
              </w:rPr>
            </w:pPr>
          </w:p>
          <w:p w14:paraId="4DC605DA">
            <w:pPr>
              <w:spacing w:line="360" w:lineRule="auto"/>
              <w:jc w:val="left"/>
              <w:rPr>
                <w:sz w:val="24"/>
              </w:rPr>
            </w:pPr>
          </w:p>
          <w:p w14:paraId="7D12ACEE">
            <w:pPr>
              <w:spacing w:line="360" w:lineRule="auto"/>
              <w:jc w:val="left"/>
              <w:rPr>
                <w:sz w:val="24"/>
              </w:rPr>
            </w:pPr>
          </w:p>
          <w:p w14:paraId="038D1E29">
            <w:pPr>
              <w:spacing w:line="360" w:lineRule="auto"/>
              <w:jc w:val="left"/>
              <w:rPr>
                <w:sz w:val="24"/>
              </w:rPr>
            </w:pPr>
          </w:p>
          <w:p w14:paraId="56137BE6">
            <w:pPr>
              <w:spacing w:line="360" w:lineRule="auto"/>
              <w:jc w:val="left"/>
              <w:rPr>
                <w:sz w:val="24"/>
              </w:rPr>
            </w:pPr>
          </w:p>
        </w:tc>
        <w:tc>
          <w:tcPr>
            <w:tcW w:w="4264" w:type="dxa"/>
          </w:tcPr>
          <w:p w14:paraId="53DEF621">
            <w:pPr>
              <w:spacing w:line="360" w:lineRule="auto"/>
              <w:jc w:val="left"/>
              <w:rPr>
                <w:sz w:val="24"/>
              </w:rPr>
            </w:pPr>
            <w:r>
              <w:rPr>
                <w:sz w:val="24"/>
              </w:rPr>
              <w:t>投标代表人身份证背面</w:t>
            </w:r>
          </w:p>
        </w:tc>
      </w:tr>
    </w:tbl>
    <w:p w14:paraId="0D8D813E">
      <w:pPr>
        <w:widowControl/>
        <w:jc w:val="left"/>
        <w:rPr>
          <w:sz w:val="24"/>
        </w:rPr>
      </w:pPr>
      <w:r>
        <w:rPr>
          <w:sz w:val="24"/>
        </w:rPr>
        <w:br w:type="page"/>
      </w:r>
    </w:p>
    <w:p w14:paraId="4153A6AA">
      <w:pPr>
        <w:autoSpaceDN w:val="0"/>
        <w:spacing w:line="360" w:lineRule="auto"/>
        <w:jc w:val="left"/>
        <w:rPr>
          <w:b/>
          <w:bCs/>
          <w:sz w:val="24"/>
        </w:rPr>
      </w:pPr>
      <w:r>
        <w:rPr>
          <w:b/>
          <w:bCs/>
          <w:sz w:val="24"/>
        </w:rPr>
        <w:t>附件</w:t>
      </w:r>
      <w:r>
        <w:rPr>
          <w:rFonts w:hint="eastAsia"/>
          <w:b/>
          <w:bCs/>
          <w:sz w:val="24"/>
        </w:rPr>
        <w:t>8</w:t>
      </w:r>
    </w:p>
    <w:p w14:paraId="0E8F5A6F">
      <w:pPr>
        <w:autoSpaceDE w:val="0"/>
        <w:autoSpaceDN w:val="0"/>
        <w:spacing w:line="480" w:lineRule="auto"/>
        <w:jc w:val="center"/>
        <w:rPr>
          <w:sz w:val="24"/>
          <w:szCs w:val="24"/>
        </w:rPr>
      </w:pPr>
      <w:r>
        <w:rPr>
          <w:b/>
          <w:sz w:val="24"/>
          <w:szCs w:val="24"/>
        </w:rPr>
        <w:t>中小企业声明函（服务）</w:t>
      </w:r>
    </w:p>
    <w:p w14:paraId="05CE39BD">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国家税务总局天津市税务局全国统一规范电子税务局等系统运行维护项目 </w:t>
      </w:r>
      <w:r>
        <w:rPr>
          <w:sz w:val="24"/>
          <w:szCs w:val="24"/>
        </w:rPr>
        <w:t>采购活动，服务全部由符合政策要求的中小企业承接。相关企业（含联合体中的中小企业、签订分包意向协议的中小企业）的具体情况如下：</w:t>
      </w:r>
    </w:p>
    <w:p w14:paraId="413E4DD1">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国家税务总局天津市税务局全国统一规范电子税务局等系统运行维护 </w:t>
      </w:r>
      <w:r>
        <w:rPr>
          <w:sz w:val="24"/>
          <w:szCs w:val="24"/>
        </w:rPr>
        <w:t>，属于</w:t>
      </w:r>
      <w:r>
        <w:rPr>
          <w:sz w:val="24"/>
          <w:szCs w:val="24"/>
          <w:u w:val="single"/>
        </w:rPr>
        <w:t xml:space="preserve"> </w:t>
      </w:r>
      <w:r>
        <w:rPr>
          <w:rFonts w:hint="eastAsia"/>
          <w:sz w:val="24"/>
          <w:u w:val="single"/>
        </w:rPr>
        <w:t xml:space="preserve">租赁和商务服务业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0F32D46A">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654625F6">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3B465BE3">
      <w:pPr>
        <w:autoSpaceDE w:val="0"/>
        <w:autoSpaceDN w:val="0"/>
        <w:spacing w:line="500" w:lineRule="exact"/>
        <w:ind w:left="3840"/>
        <w:jc w:val="left"/>
        <w:rPr>
          <w:sz w:val="24"/>
          <w:szCs w:val="24"/>
        </w:rPr>
      </w:pPr>
      <w:r>
        <w:rPr>
          <w:sz w:val="24"/>
          <w:szCs w:val="24"/>
        </w:rPr>
        <w:t>投标人名称：</w:t>
      </w:r>
    </w:p>
    <w:p w14:paraId="7D429741">
      <w:pPr>
        <w:autoSpaceDE w:val="0"/>
        <w:autoSpaceDN w:val="0"/>
        <w:spacing w:line="500" w:lineRule="exact"/>
        <w:ind w:left="3840"/>
        <w:jc w:val="left"/>
        <w:rPr>
          <w:sz w:val="32"/>
        </w:rPr>
      </w:pPr>
      <w:r>
        <w:rPr>
          <w:sz w:val="24"/>
          <w:szCs w:val="24"/>
        </w:rPr>
        <w:t>日期：</w:t>
      </w:r>
    </w:p>
    <w:p w14:paraId="1280C17C">
      <w:pPr>
        <w:spacing w:line="360" w:lineRule="auto"/>
        <w:ind w:right="84" w:firstLine="224" w:firstLineChars="100"/>
        <w:rPr>
          <w:b/>
          <w:sz w:val="24"/>
          <w:szCs w:val="24"/>
        </w:rPr>
      </w:pPr>
      <w:r>
        <w:rPr>
          <w:b/>
          <w:sz w:val="24"/>
          <w:szCs w:val="24"/>
        </w:rPr>
        <w:t>注：</w:t>
      </w:r>
    </w:p>
    <w:p w14:paraId="3067C045">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247DF590">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6D50E4DE">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00C53A84">
      <w:pPr>
        <w:autoSpaceDN w:val="0"/>
        <w:spacing w:line="360" w:lineRule="auto"/>
        <w:rPr>
          <w:b/>
          <w:bCs/>
          <w:sz w:val="24"/>
        </w:rPr>
      </w:pPr>
      <w:r>
        <w:rPr>
          <w:sz w:val="24"/>
        </w:rPr>
        <w:br w:type="page"/>
      </w:r>
      <w:bookmarkStart w:id="6" w:name="OLE_LINK14"/>
      <w:bookmarkStart w:id="7" w:name="OLE_LINK13"/>
      <w:r>
        <w:rPr>
          <w:rFonts w:hint="eastAsia"/>
          <w:b/>
          <w:bCs/>
          <w:sz w:val="24"/>
        </w:rPr>
        <w:t>附件9</w:t>
      </w:r>
    </w:p>
    <w:bookmarkEnd w:id="6"/>
    <w:bookmarkEnd w:id="7"/>
    <w:p w14:paraId="20046A94">
      <w:pPr>
        <w:autoSpaceDN w:val="0"/>
        <w:spacing w:line="360" w:lineRule="auto"/>
        <w:jc w:val="left"/>
        <w:rPr>
          <w:b/>
          <w:bCs/>
          <w:sz w:val="24"/>
        </w:rPr>
      </w:pPr>
      <w:r>
        <w:rPr>
          <w:rFonts w:hint="eastAsia"/>
          <w:b/>
          <w:kern w:val="0"/>
          <w:sz w:val="24"/>
          <w:szCs w:val="21"/>
        </w:rPr>
        <w:t>若不是残疾人福利性单位，投标文件中可不提供此声明函</w:t>
      </w:r>
    </w:p>
    <w:p w14:paraId="4F860B85">
      <w:pPr>
        <w:autoSpaceDN w:val="0"/>
        <w:spacing w:line="360" w:lineRule="auto"/>
        <w:jc w:val="center"/>
        <w:rPr>
          <w:b/>
          <w:bCs/>
          <w:sz w:val="24"/>
        </w:rPr>
      </w:pPr>
    </w:p>
    <w:p w14:paraId="76900298">
      <w:pPr>
        <w:snapToGrid w:val="0"/>
        <w:spacing w:line="360" w:lineRule="auto"/>
        <w:jc w:val="center"/>
        <w:rPr>
          <w:b/>
          <w:bCs/>
          <w:sz w:val="24"/>
        </w:rPr>
      </w:pPr>
      <w:r>
        <w:rPr>
          <w:rFonts w:hint="eastAsia"/>
          <w:b/>
          <w:bCs/>
          <w:sz w:val="24"/>
        </w:rPr>
        <w:t>残疾人福利性单位声明函</w:t>
      </w:r>
    </w:p>
    <w:p w14:paraId="714EC974">
      <w:pPr>
        <w:snapToGrid w:val="0"/>
        <w:spacing w:line="360" w:lineRule="auto"/>
        <w:ind w:firstLine="448" w:firstLineChars="200"/>
        <w:jc w:val="left"/>
        <w:rPr>
          <w:b/>
          <w:bCs/>
          <w:sz w:val="24"/>
        </w:rPr>
      </w:pPr>
    </w:p>
    <w:p w14:paraId="49B873CF">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655EE28">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0F58985A">
      <w:pPr>
        <w:snapToGrid w:val="0"/>
        <w:spacing w:line="360" w:lineRule="auto"/>
        <w:ind w:firstLine="448" w:firstLineChars="200"/>
        <w:jc w:val="left"/>
        <w:rPr>
          <w:bCs/>
          <w:sz w:val="24"/>
        </w:rPr>
      </w:pPr>
    </w:p>
    <w:p w14:paraId="17D7E52B">
      <w:pPr>
        <w:snapToGrid w:val="0"/>
        <w:spacing w:line="360" w:lineRule="auto"/>
        <w:ind w:firstLine="448" w:firstLineChars="200"/>
        <w:jc w:val="left"/>
        <w:rPr>
          <w:bCs/>
          <w:sz w:val="24"/>
        </w:rPr>
      </w:pPr>
    </w:p>
    <w:p w14:paraId="4342B65D">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4E60666B">
      <w:pPr>
        <w:snapToGrid w:val="0"/>
        <w:spacing w:line="360" w:lineRule="auto"/>
        <w:ind w:firstLine="448" w:firstLineChars="200"/>
        <w:jc w:val="left"/>
        <w:rPr>
          <w:bCs/>
          <w:sz w:val="24"/>
        </w:rPr>
      </w:pPr>
    </w:p>
    <w:p w14:paraId="00998994">
      <w:pPr>
        <w:snapToGrid w:val="0"/>
        <w:spacing w:line="360" w:lineRule="auto"/>
        <w:ind w:firstLine="448" w:firstLineChars="200"/>
        <w:jc w:val="left"/>
        <w:rPr>
          <w:sz w:val="24"/>
          <w:szCs w:val="21"/>
        </w:rPr>
      </w:pPr>
      <w:r>
        <w:rPr>
          <w:rFonts w:hint="eastAsia"/>
          <w:bCs/>
          <w:sz w:val="24"/>
        </w:rPr>
        <w:t xml:space="preserve">               日  期：</w:t>
      </w:r>
    </w:p>
    <w:p w14:paraId="4845461C">
      <w:pPr>
        <w:snapToGrid w:val="0"/>
        <w:spacing w:line="360" w:lineRule="auto"/>
        <w:ind w:firstLine="448" w:firstLineChars="200"/>
        <w:jc w:val="left"/>
        <w:rPr>
          <w:sz w:val="24"/>
          <w:szCs w:val="21"/>
        </w:rPr>
      </w:pPr>
    </w:p>
    <w:p w14:paraId="68B5DF25">
      <w:pPr>
        <w:snapToGrid w:val="0"/>
        <w:spacing w:line="360" w:lineRule="auto"/>
        <w:ind w:firstLine="448" w:firstLineChars="200"/>
        <w:rPr>
          <w:sz w:val="24"/>
          <w:szCs w:val="21"/>
        </w:rPr>
      </w:pPr>
      <w:r>
        <w:rPr>
          <w:sz w:val="24"/>
          <w:szCs w:val="21"/>
        </w:rPr>
        <w:t>注：</w:t>
      </w:r>
    </w:p>
    <w:p w14:paraId="74CD91D8">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53436066">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258CC153">
      <w:pPr>
        <w:widowControl/>
        <w:jc w:val="left"/>
        <w:rPr>
          <w:sz w:val="24"/>
        </w:rPr>
      </w:pPr>
      <w:r>
        <w:rPr>
          <w:sz w:val="24"/>
        </w:rPr>
        <w:br w:type="page"/>
      </w:r>
    </w:p>
    <w:p w14:paraId="14500A8C">
      <w:pPr>
        <w:tabs>
          <w:tab w:val="left" w:pos="360"/>
        </w:tabs>
        <w:spacing w:line="360" w:lineRule="auto"/>
        <w:rPr>
          <w:b/>
          <w:bCs/>
          <w:sz w:val="24"/>
        </w:rPr>
      </w:pPr>
      <w:r>
        <w:rPr>
          <w:b/>
          <w:sz w:val="24"/>
        </w:rPr>
        <w:t>附件1</w:t>
      </w:r>
      <w:r>
        <w:rPr>
          <w:rFonts w:hint="eastAsia"/>
          <w:b/>
          <w:sz w:val="24"/>
        </w:rPr>
        <w:t>0</w:t>
      </w:r>
      <w:r>
        <w:rPr>
          <w:b/>
          <w:sz w:val="24"/>
        </w:rPr>
        <w:t>：招标文件</w:t>
      </w:r>
      <w:r>
        <w:rPr>
          <w:b/>
          <w:bCs/>
          <w:sz w:val="24"/>
        </w:rPr>
        <w:t>评分因素及评标标准中要求的证明材料扫描件、方案等</w:t>
      </w:r>
    </w:p>
    <w:p w14:paraId="40B17F12">
      <w:pPr>
        <w:snapToGrid w:val="0"/>
        <w:spacing w:line="360" w:lineRule="auto"/>
        <w:rPr>
          <w:b/>
          <w:sz w:val="24"/>
          <w:szCs w:val="21"/>
        </w:rPr>
      </w:pPr>
      <w:r>
        <w:rPr>
          <w:b/>
          <w:bCs/>
          <w:sz w:val="24"/>
        </w:rPr>
        <w:t>附件1</w:t>
      </w:r>
      <w:r>
        <w:rPr>
          <w:rFonts w:hint="eastAsia"/>
          <w:b/>
          <w:bCs/>
          <w:sz w:val="24"/>
        </w:rPr>
        <w:t>1</w:t>
      </w:r>
      <w:r>
        <w:rPr>
          <w:b/>
          <w:bCs/>
          <w:sz w:val="24"/>
        </w:rPr>
        <w:t>：</w:t>
      </w:r>
      <w:r>
        <w:rPr>
          <w:b/>
          <w:sz w:val="24"/>
        </w:rPr>
        <w:t>投标人认为需要提供的其他资料</w:t>
      </w:r>
    </w:p>
    <w:p w14:paraId="625FCF20">
      <w:pPr>
        <w:tabs>
          <w:tab w:val="left" w:pos="360"/>
        </w:tabs>
        <w:spacing w:after="285" w:afterLines="100" w:line="360" w:lineRule="auto"/>
        <w:ind w:firstLine="448" w:firstLineChars="200"/>
        <w:rPr>
          <w:sz w:val="24"/>
          <w:szCs w:val="21"/>
        </w:rPr>
      </w:pPr>
    </w:p>
    <w:sectPr>
      <w:footerReference r:id="rId4"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roman"/>
    <w:pitch w:val="default"/>
    <w:sig w:usb0="00000000" w:usb1="00000000" w:usb2="00000010" w:usb3="00000000" w:csb0="00040000" w:csb1="00000000"/>
  </w:font>
  <w:font w:name="苹方-简">
    <w:panose1 w:val="020B0400000000000000"/>
    <w:charset w:val="86"/>
    <w:family w:val="auto"/>
    <w:pitch w:val="default"/>
    <w:sig w:usb0="A00002FF" w:usb1="7ACFFDFB" w:usb2="00000017" w:usb3="00000000" w:csb0="00040001" w:csb1="00000000"/>
  </w:font>
  <w:font w:name="仿宋_GB2312">
    <w:altName w:val="方正仿宋_GBK"/>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A00002BF" w:usb1="38CF7CFA" w:usb2="00082016" w:usb3="00000000" w:csb0="00040001" w:csb1="00000000"/>
  </w:font>
  <w:font w:name="Century Gothic">
    <w:panose1 w:val="020B0502020202020204"/>
    <w:charset w:val="00"/>
    <w:family w:val="swiss"/>
    <w:pitch w:val="default"/>
    <w:sig w:usb0="00000003" w:usb1="00000000" w:usb2="00000000" w:usb3="00000000" w:csb0="00000001"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0E5AE4">
    <w:pPr>
      <w:pStyle w:val="14"/>
      <w:jc w:val="center"/>
    </w:pPr>
    <w:r>
      <w:rPr>
        <w:b/>
      </w:rPr>
      <w:fldChar w:fldCharType="begin"/>
    </w:r>
    <w:r>
      <w:rPr>
        <w:b/>
      </w:rPr>
      <w:instrText xml:space="preserve">PAGE  \* Arabic  \* MERGEFORMAT</w:instrText>
    </w:r>
    <w:r>
      <w:rPr>
        <w:b/>
      </w:rPr>
      <w:fldChar w:fldCharType="separate"/>
    </w:r>
    <w:r>
      <w:rPr>
        <w:b/>
        <w:lang w:val="zh-CN"/>
      </w:rPr>
      <w:t>2</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7B4D4B">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F96E15"/>
    <w:multiLevelType w:val="multilevel"/>
    <w:tmpl w:val="0CF96E15"/>
    <w:lvl w:ilvl="0" w:tentative="0">
      <w:start w:val="1"/>
      <w:numFmt w:val="decimal"/>
      <w:suff w:val="space"/>
      <w:lvlText w:val="（%1）"/>
      <w:lvlJc w:val="left"/>
      <w:pPr>
        <w:ind w:left="866" w:hanging="420"/>
      </w:pPr>
      <w:rPr>
        <w:rFonts w:hint="eastAsia"/>
      </w:rPr>
    </w:lvl>
    <w:lvl w:ilvl="1" w:tentative="0">
      <w:start w:val="1"/>
      <w:numFmt w:val="decimal"/>
      <w:lvlText w:val="%2."/>
      <w:lvlJc w:val="left"/>
      <w:pPr>
        <w:ind w:left="1481" w:hanging="615"/>
      </w:pPr>
      <w:rPr>
        <w:rFonts w:hint="default"/>
      </w:r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1">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2">
    <w:nsid w:val="21D22B76"/>
    <w:multiLevelType w:val="multilevel"/>
    <w:tmpl w:val="21D22B76"/>
    <w:lvl w:ilvl="0" w:tentative="0">
      <w:start w:val="1"/>
      <w:numFmt w:val="chineseCountingThousand"/>
      <w:lvlText w:val="(%1)"/>
      <w:lvlJc w:val="left"/>
      <w:pPr>
        <w:ind w:left="866" w:hanging="420"/>
      </w:pPr>
    </w:lvl>
    <w:lvl w:ilvl="1" w:tentative="0">
      <w:start w:val="1"/>
      <w:numFmt w:val="chineseCountingThousand"/>
      <w:lvlText w:val="(%2)"/>
      <w:lvlJc w:val="left"/>
      <w:pPr>
        <w:ind w:left="1286" w:hanging="420"/>
      </w:p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3">
    <w:nsid w:val="30282ED0"/>
    <w:multiLevelType w:val="multilevel"/>
    <w:tmpl w:val="30282ED0"/>
    <w:lvl w:ilvl="0" w:tentative="0">
      <w:start w:val="1"/>
      <w:numFmt w:val="decimal"/>
      <w:lvlText w:val="（%1）"/>
      <w:lvlJc w:val="left"/>
      <w:pPr>
        <w:ind w:left="866" w:hanging="420"/>
      </w:pPr>
      <w:rPr>
        <w:rFonts w:hint="eastAsia"/>
      </w:rPr>
    </w:lvl>
    <w:lvl w:ilvl="1" w:tentative="0">
      <w:start w:val="1"/>
      <w:numFmt w:val="decimal"/>
      <w:suff w:val="space"/>
      <w:lvlText w:val="（%2）"/>
      <w:lvlJc w:val="left"/>
      <w:pPr>
        <w:ind w:left="866" w:hanging="420"/>
      </w:pPr>
      <w:rPr>
        <w:rFonts w:hint="eastAsia"/>
      </w:r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4">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abstractNum w:abstractNumId="5">
    <w:nsid w:val="505A4ECD"/>
    <w:multiLevelType w:val="multilevel"/>
    <w:tmpl w:val="505A4ECD"/>
    <w:lvl w:ilvl="0" w:tentative="0">
      <w:start w:val="1"/>
      <w:numFmt w:val="chineseCountingThousand"/>
      <w:lvlText w:val="(%1)"/>
      <w:lvlJc w:val="left"/>
      <w:pPr>
        <w:ind w:left="866" w:hanging="420"/>
      </w:pPr>
    </w:lvl>
    <w:lvl w:ilvl="1" w:tentative="0">
      <w:start w:val="1"/>
      <w:numFmt w:val="chineseCountingThousand"/>
      <w:lvlText w:val="(%2)"/>
      <w:lvlJc w:val="left"/>
      <w:pPr>
        <w:ind w:left="1286" w:hanging="420"/>
      </w:p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6">
    <w:nsid w:val="5AC86973"/>
    <w:multiLevelType w:val="multilevel"/>
    <w:tmpl w:val="5AC86973"/>
    <w:lvl w:ilvl="0" w:tentative="0">
      <w:start w:val="1"/>
      <w:numFmt w:val="decimal"/>
      <w:lvlText w:val="（%1）"/>
      <w:lvlJc w:val="left"/>
      <w:pPr>
        <w:ind w:left="866" w:hanging="420"/>
      </w:pPr>
      <w:rPr>
        <w:rFonts w:hint="eastAsia"/>
      </w:rPr>
    </w:lvl>
    <w:lvl w:ilvl="1" w:tentative="0">
      <w:start w:val="1"/>
      <w:numFmt w:val="decimal"/>
      <w:suff w:val="space"/>
      <w:lvlText w:val="（%2）"/>
      <w:lvlJc w:val="left"/>
      <w:pPr>
        <w:ind w:left="1286" w:hanging="420"/>
      </w:pPr>
      <w:rPr>
        <w:rFonts w:hint="eastAsia"/>
      </w:r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7">
    <w:nsid w:val="69116D5A"/>
    <w:multiLevelType w:val="multilevel"/>
    <w:tmpl w:val="69116D5A"/>
    <w:lvl w:ilvl="0" w:tentative="0">
      <w:start w:val="1"/>
      <w:numFmt w:val="decimal"/>
      <w:lvlText w:val="（%1）"/>
      <w:lvlJc w:val="left"/>
      <w:pPr>
        <w:ind w:left="866" w:hanging="420"/>
      </w:pPr>
      <w:rPr>
        <w:rFonts w:hint="eastAsia"/>
      </w:rPr>
    </w:lvl>
    <w:lvl w:ilvl="1" w:tentative="0">
      <w:start w:val="1"/>
      <w:numFmt w:val="decimal"/>
      <w:suff w:val="space"/>
      <w:lvlText w:val="（%2）"/>
      <w:lvlJc w:val="left"/>
      <w:pPr>
        <w:ind w:left="866" w:hanging="420"/>
      </w:pPr>
      <w:rPr>
        <w:rFonts w:hint="eastAsia"/>
      </w:r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abstractNum w:abstractNumId="8">
    <w:nsid w:val="6CF5382F"/>
    <w:multiLevelType w:val="multilevel"/>
    <w:tmpl w:val="6CF5382F"/>
    <w:lvl w:ilvl="0" w:tentative="0">
      <w:start w:val="1"/>
      <w:numFmt w:val="chineseCountingThousand"/>
      <w:lvlText w:val="(%1)"/>
      <w:lvlJc w:val="left"/>
      <w:pPr>
        <w:ind w:left="866" w:hanging="420"/>
      </w:pPr>
    </w:lvl>
    <w:lvl w:ilvl="1" w:tentative="0">
      <w:start w:val="1"/>
      <w:numFmt w:val="japaneseCounting"/>
      <w:lvlText w:val="%2、"/>
      <w:lvlJc w:val="left"/>
      <w:pPr>
        <w:ind w:left="1766" w:hanging="900"/>
      </w:pPr>
      <w:rPr>
        <w:rFonts w:hint="default"/>
      </w:rPr>
    </w:lvl>
    <w:lvl w:ilvl="2" w:tentative="0">
      <w:start w:val="1"/>
      <w:numFmt w:val="lowerRoman"/>
      <w:lvlText w:val="%3."/>
      <w:lvlJc w:val="right"/>
      <w:pPr>
        <w:ind w:left="1706" w:hanging="420"/>
      </w:pPr>
    </w:lvl>
    <w:lvl w:ilvl="3" w:tentative="0">
      <w:start w:val="1"/>
      <w:numFmt w:val="decimal"/>
      <w:lvlText w:val="%4."/>
      <w:lvlJc w:val="left"/>
      <w:pPr>
        <w:ind w:left="2126" w:hanging="420"/>
      </w:pPr>
    </w:lvl>
    <w:lvl w:ilvl="4" w:tentative="0">
      <w:start w:val="1"/>
      <w:numFmt w:val="lowerLetter"/>
      <w:lvlText w:val="%5)"/>
      <w:lvlJc w:val="left"/>
      <w:pPr>
        <w:ind w:left="2546" w:hanging="420"/>
      </w:pPr>
    </w:lvl>
    <w:lvl w:ilvl="5" w:tentative="0">
      <w:start w:val="1"/>
      <w:numFmt w:val="lowerRoman"/>
      <w:lvlText w:val="%6."/>
      <w:lvlJc w:val="right"/>
      <w:pPr>
        <w:ind w:left="2966" w:hanging="420"/>
      </w:pPr>
    </w:lvl>
    <w:lvl w:ilvl="6" w:tentative="0">
      <w:start w:val="1"/>
      <w:numFmt w:val="decimal"/>
      <w:lvlText w:val="%7."/>
      <w:lvlJc w:val="left"/>
      <w:pPr>
        <w:ind w:left="3386" w:hanging="420"/>
      </w:pPr>
    </w:lvl>
    <w:lvl w:ilvl="7" w:tentative="0">
      <w:start w:val="1"/>
      <w:numFmt w:val="lowerLetter"/>
      <w:lvlText w:val="%8)"/>
      <w:lvlJc w:val="left"/>
      <w:pPr>
        <w:ind w:left="3806" w:hanging="420"/>
      </w:pPr>
    </w:lvl>
    <w:lvl w:ilvl="8" w:tentative="0">
      <w:start w:val="1"/>
      <w:numFmt w:val="lowerRoman"/>
      <w:lvlText w:val="%9."/>
      <w:lvlJc w:val="right"/>
      <w:pPr>
        <w:ind w:left="4226" w:hanging="420"/>
      </w:pPr>
    </w:lvl>
  </w:abstractNum>
  <w:num w:numId="1">
    <w:abstractNumId w:val="4"/>
  </w:num>
  <w:num w:numId="2">
    <w:abstractNumId w:val="0"/>
  </w:num>
  <w:num w:numId="3">
    <w:abstractNumId w:val="6"/>
  </w:num>
  <w:num w:numId="4">
    <w:abstractNumId w:val="7"/>
  </w:num>
  <w:num w:numId="5">
    <w:abstractNumId w:val="3"/>
  </w:num>
  <w:num w:numId="6">
    <w:abstractNumId w:val="8"/>
  </w:num>
  <w:num w:numId="7">
    <w:abstractNumId w:val="2"/>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7AD"/>
    <w:rsid w:val="00000C8A"/>
    <w:rsid w:val="00000D09"/>
    <w:rsid w:val="00001FD1"/>
    <w:rsid w:val="00003067"/>
    <w:rsid w:val="00003821"/>
    <w:rsid w:val="00004360"/>
    <w:rsid w:val="00010DCF"/>
    <w:rsid w:val="00011B73"/>
    <w:rsid w:val="000126C2"/>
    <w:rsid w:val="00012B30"/>
    <w:rsid w:val="00013068"/>
    <w:rsid w:val="00013701"/>
    <w:rsid w:val="0001718B"/>
    <w:rsid w:val="00017C2D"/>
    <w:rsid w:val="000308AC"/>
    <w:rsid w:val="00032015"/>
    <w:rsid w:val="00036A32"/>
    <w:rsid w:val="000403B6"/>
    <w:rsid w:val="0004130F"/>
    <w:rsid w:val="00041845"/>
    <w:rsid w:val="00042FFE"/>
    <w:rsid w:val="00045386"/>
    <w:rsid w:val="00046460"/>
    <w:rsid w:val="00050365"/>
    <w:rsid w:val="00051D62"/>
    <w:rsid w:val="00056208"/>
    <w:rsid w:val="0005643C"/>
    <w:rsid w:val="00056EF3"/>
    <w:rsid w:val="000607D4"/>
    <w:rsid w:val="000647FE"/>
    <w:rsid w:val="00065BDD"/>
    <w:rsid w:val="0007081F"/>
    <w:rsid w:val="000724F7"/>
    <w:rsid w:val="00072919"/>
    <w:rsid w:val="00073130"/>
    <w:rsid w:val="00074541"/>
    <w:rsid w:val="00074F44"/>
    <w:rsid w:val="000756A0"/>
    <w:rsid w:val="00075C85"/>
    <w:rsid w:val="00076BA5"/>
    <w:rsid w:val="00080ED2"/>
    <w:rsid w:val="000826F9"/>
    <w:rsid w:val="00086439"/>
    <w:rsid w:val="00091189"/>
    <w:rsid w:val="00092400"/>
    <w:rsid w:val="000A1883"/>
    <w:rsid w:val="000A4492"/>
    <w:rsid w:val="000A5CEA"/>
    <w:rsid w:val="000A5D7D"/>
    <w:rsid w:val="000A62E5"/>
    <w:rsid w:val="000A7C74"/>
    <w:rsid w:val="000B1421"/>
    <w:rsid w:val="000B1CA7"/>
    <w:rsid w:val="000B202B"/>
    <w:rsid w:val="000B264D"/>
    <w:rsid w:val="000B2975"/>
    <w:rsid w:val="000B3B22"/>
    <w:rsid w:val="000B4BF2"/>
    <w:rsid w:val="000C24D7"/>
    <w:rsid w:val="000C337F"/>
    <w:rsid w:val="000C6CA8"/>
    <w:rsid w:val="000C7A3F"/>
    <w:rsid w:val="000D1424"/>
    <w:rsid w:val="000D18BF"/>
    <w:rsid w:val="000D26D7"/>
    <w:rsid w:val="000D2F5A"/>
    <w:rsid w:val="000D514E"/>
    <w:rsid w:val="000D5DE9"/>
    <w:rsid w:val="000D6C11"/>
    <w:rsid w:val="000D6CA1"/>
    <w:rsid w:val="000E1CB6"/>
    <w:rsid w:val="000E50F9"/>
    <w:rsid w:val="000E5380"/>
    <w:rsid w:val="000E6A76"/>
    <w:rsid w:val="000E7CE8"/>
    <w:rsid w:val="000F1202"/>
    <w:rsid w:val="000F1454"/>
    <w:rsid w:val="000F31B3"/>
    <w:rsid w:val="000F48D9"/>
    <w:rsid w:val="000F4D4E"/>
    <w:rsid w:val="000F5C82"/>
    <w:rsid w:val="000F6957"/>
    <w:rsid w:val="001038F9"/>
    <w:rsid w:val="001047BE"/>
    <w:rsid w:val="001072ED"/>
    <w:rsid w:val="001079F4"/>
    <w:rsid w:val="00110A24"/>
    <w:rsid w:val="00111969"/>
    <w:rsid w:val="00115721"/>
    <w:rsid w:val="001165C6"/>
    <w:rsid w:val="0012139A"/>
    <w:rsid w:val="00121CDE"/>
    <w:rsid w:val="00122957"/>
    <w:rsid w:val="00123BF8"/>
    <w:rsid w:val="00125059"/>
    <w:rsid w:val="001256ED"/>
    <w:rsid w:val="0012609D"/>
    <w:rsid w:val="00130AD2"/>
    <w:rsid w:val="001354C5"/>
    <w:rsid w:val="00136F51"/>
    <w:rsid w:val="0014081C"/>
    <w:rsid w:val="001411F4"/>
    <w:rsid w:val="0014149F"/>
    <w:rsid w:val="001415C7"/>
    <w:rsid w:val="00141664"/>
    <w:rsid w:val="00143B4D"/>
    <w:rsid w:val="0014546E"/>
    <w:rsid w:val="00145D84"/>
    <w:rsid w:val="0014712D"/>
    <w:rsid w:val="001524A8"/>
    <w:rsid w:val="0015276D"/>
    <w:rsid w:val="00152CE9"/>
    <w:rsid w:val="00152D1F"/>
    <w:rsid w:val="00155128"/>
    <w:rsid w:val="0016466C"/>
    <w:rsid w:val="001659F0"/>
    <w:rsid w:val="0016727F"/>
    <w:rsid w:val="001704C8"/>
    <w:rsid w:val="001707F2"/>
    <w:rsid w:val="00173561"/>
    <w:rsid w:val="00177D80"/>
    <w:rsid w:val="00181ED5"/>
    <w:rsid w:val="001822E0"/>
    <w:rsid w:val="001834DA"/>
    <w:rsid w:val="001837F4"/>
    <w:rsid w:val="00183D6B"/>
    <w:rsid w:val="0018594D"/>
    <w:rsid w:val="00185D85"/>
    <w:rsid w:val="001871F3"/>
    <w:rsid w:val="00192CBF"/>
    <w:rsid w:val="00193212"/>
    <w:rsid w:val="00193BCD"/>
    <w:rsid w:val="0019431D"/>
    <w:rsid w:val="00194FBC"/>
    <w:rsid w:val="001968FF"/>
    <w:rsid w:val="00196A86"/>
    <w:rsid w:val="00196D6B"/>
    <w:rsid w:val="00196E07"/>
    <w:rsid w:val="001A142F"/>
    <w:rsid w:val="001A1AFA"/>
    <w:rsid w:val="001A2919"/>
    <w:rsid w:val="001A3DE3"/>
    <w:rsid w:val="001A46F9"/>
    <w:rsid w:val="001A5FD4"/>
    <w:rsid w:val="001A609F"/>
    <w:rsid w:val="001A758C"/>
    <w:rsid w:val="001B5BEA"/>
    <w:rsid w:val="001B6668"/>
    <w:rsid w:val="001C0E64"/>
    <w:rsid w:val="001C1981"/>
    <w:rsid w:val="001C4E69"/>
    <w:rsid w:val="001C50CC"/>
    <w:rsid w:val="001C53AD"/>
    <w:rsid w:val="001D1850"/>
    <w:rsid w:val="001D4F15"/>
    <w:rsid w:val="001D4FB9"/>
    <w:rsid w:val="001E3051"/>
    <w:rsid w:val="001E3CB7"/>
    <w:rsid w:val="001E6F03"/>
    <w:rsid w:val="001F0ABE"/>
    <w:rsid w:val="001F2B50"/>
    <w:rsid w:val="001F345B"/>
    <w:rsid w:val="001F4AD6"/>
    <w:rsid w:val="001F5D75"/>
    <w:rsid w:val="001F623F"/>
    <w:rsid w:val="001F65EF"/>
    <w:rsid w:val="001F6DCF"/>
    <w:rsid w:val="001F7224"/>
    <w:rsid w:val="00200009"/>
    <w:rsid w:val="00201479"/>
    <w:rsid w:val="0020180A"/>
    <w:rsid w:val="002019E0"/>
    <w:rsid w:val="002027E3"/>
    <w:rsid w:val="00206328"/>
    <w:rsid w:val="00206F1C"/>
    <w:rsid w:val="002113A2"/>
    <w:rsid w:val="00212E26"/>
    <w:rsid w:val="00214D65"/>
    <w:rsid w:val="0021541C"/>
    <w:rsid w:val="0021638D"/>
    <w:rsid w:val="002164D4"/>
    <w:rsid w:val="0022038D"/>
    <w:rsid w:val="00220883"/>
    <w:rsid w:val="00224174"/>
    <w:rsid w:val="00226247"/>
    <w:rsid w:val="00230077"/>
    <w:rsid w:val="00231FDD"/>
    <w:rsid w:val="002320BD"/>
    <w:rsid w:val="00233239"/>
    <w:rsid w:val="00236008"/>
    <w:rsid w:val="00243DC1"/>
    <w:rsid w:val="00244482"/>
    <w:rsid w:val="0024790F"/>
    <w:rsid w:val="00247A26"/>
    <w:rsid w:val="00247CAD"/>
    <w:rsid w:val="00250531"/>
    <w:rsid w:val="00251ED7"/>
    <w:rsid w:val="0025595D"/>
    <w:rsid w:val="00256A4A"/>
    <w:rsid w:val="002575F6"/>
    <w:rsid w:val="00260635"/>
    <w:rsid w:val="00261C83"/>
    <w:rsid w:val="00264E8A"/>
    <w:rsid w:val="00265B2C"/>
    <w:rsid w:val="00266956"/>
    <w:rsid w:val="00266AAA"/>
    <w:rsid w:val="0027243A"/>
    <w:rsid w:val="002726FA"/>
    <w:rsid w:val="00274CF5"/>
    <w:rsid w:val="00275C48"/>
    <w:rsid w:val="00277AEF"/>
    <w:rsid w:val="002804EC"/>
    <w:rsid w:val="00280C49"/>
    <w:rsid w:val="002825DD"/>
    <w:rsid w:val="00282ADF"/>
    <w:rsid w:val="00285C15"/>
    <w:rsid w:val="00287124"/>
    <w:rsid w:val="00290A8D"/>
    <w:rsid w:val="00291FB7"/>
    <w:rsid w:val="00292BE5"/>
    <w:rsid w:val="00293728"/>
    <w:rsid w:val="00293B4A"/>
    <w:rsid w:val="002948B5"/>
    <w:rsid w:val="00294986"/>
    <w:rsid w:val="00294EAF"/>
    <w:rsid w:val="002950BE"/>
    <w:rsid w:val="00295416"/>
    <w:rsid w:val="00295883"/>
    <w:rsid w:val="00295FA6"/>
    <w:rsid w:val="0029610C"/>
    <w:rsid w:val="00297DAC"/>
    <w:rsid w:val="00297EAE"/>
    <w:rsid w:val="002A355E"/>
    <w:rsid w:val="002A4B3C"/>
    <w:rsid w:val="002A5E55"/>
    <w:rsid w:val="002A7EAD"/>
    <w:rsid w:val="002B3BB4"/>
    <w:rsid w:val="002B3BFC"/>
    <w:rsid w:val="002B538F"/>
    <w:rsid w:val="002B7616"/>
    <w:rsid w:val="002B7EB8"/>
    <w:rsid w:val="002C696D"/>
    <w:rsid w:val="002D09CD"/>
    <w:rsid w:val="002D17E4"/>
    <w:rsid w:val="002D1D64"/>
    <w:rsid w:val="002D3C4C"/>
    <w:rsid w:val="002D5B4E"/>
    <w:rsid w:val="002E0803"/>
    <w:rsid w:val="002E1053"/>
    <w:rsid w:val="002E3ECC"/>
    <w:rsid w:val="002E4551"/>
    <w:rsid w:val="002E64DB"/>
    <w:rsid w:val="002F1119"/>
    <w:rsid w:val="002F1EB9"/>
    <w:rsid w:val="002F245E"/>
    <w:rsid w:val="002F2EFD"/>
    <w:rsid w:val="002F4792"/>
    <w:rsid w:val="002F4AF8"/>
    <w:rsid w:val="002F75E1"/>
    <w:rsid w:val="00300B5D"/>
    <w:rsid w:val="003033F1"/>
    <w:rsid w:val="003036EA"/>
    <w:rsid w:val="003038FD"/>
    <w:rsid w:val="00307CD1"/>
    <w:rsid w:val="0031086D"/>
    <w:rsid w:val="00312772"/>
    <w:rsid w:val="00313073"/>
    <w:rsid w:val="0031461A"/>
    <w:rsid w:val="003159EF"/>
    <w:rsid w:val="00320416"/>
    <w:rsid w:val="003204B8"/>
    <w:rsid w:val="003218CF"/>
    <w:rsid w:val="00321DA5"/>
    <w:rsid w:val="00321E5F"/>
    <w:rsid w:val="00322EA4"/>
    <w:rsid w:val="00323320"/>
    <w:rsid w:val="00325832"/>
    <w:rsid w:val="0033138A"/>
    <w:rsid w:val="003329E0"/>
    <w:rsid w:val="00332D63"/>
    <w:rsid w:val="003362E7"/>
    <w:rsid w:val="00336C9C"/>
    <w:rsid w:val="00343849"/>
    <w:rsid w:val="00343D0F"/>
    <w:rsid w:val="003444AF"/>
    <w:rsid w:val="003473CD"/>
    <w:rsid w:val="0035257E"/>
    <w:rsid w:val="00355EEA"/>
    <w:rsid w:val="003562E3"/>
    <w:rsid w:val="00357146"/>
    <w:rsid w:val="00361A62"/>
    <w:rsid w:val="00364265"/>
    <w:rsid w:val="00367868"/>
    <w:rsid w:val="0037085F"/>
    <w:rsid w:val="00373C07"/>
    <w:rsid w:val="00374D2C"/>
    <w:rsid w:val="00377781"/>
    <w:rsid w:val="00377832"/>
    <w:rsid w:val="003839AE"/>
    <w:rsid w:val="00383A43"/>
    <w:rsid w:val="00383A58"/>
    <w:rsid w:val="0038741F"/>
    <w:rsid w:val="00387E01"/>
    <w:rsid w:val="00391345"/>
    <w:rsid w:val="003918BD"/>
    <w:rsid w:val="00391FD0"/>
    <w:rsid w:val="0039235B"/>
    <w:rsid w:val="003926CA"/>
    <w:rsid w:val="00392D91"/>
    <w:rsid w:val="00394B36"/>
    <w:rsid w:val="00395727"/>
    <w:rsid w:val="003A0AF9"/>
    <w:rsid w:val="003A4B1D"/>
    <w:rsid w:val="003A56FE"/>
    <w:rsid w:val="003A7FEB"/>
    <w:rsid w:val="003B23AD"/>
    <w:rsid w:val="003B24A5"/>
    <w:rsid w:val="003B6D2D"/>
    <w:rsid w:val="003B78E0"/>
    <w:rsid w:val="003C2C87"/>
    <w:rsid w:val="003C2DC5"/>
    <w:rsid w:val="003C3FFF"/>
    <w:rsid w:val="003C71A3"/>
    <w:rsid w:val="003C7A89"/>
    <w:rsid w:val="003D2EF8"/>
    <w:rsid w:val="003D3272"/>
    <w:rsid w:val="003E10C3"/>
    <w:rsid w:val="003E1C13"/>
    <w:rsid w:val="003E2404"/>
    <w:rsid w:val="003E2BBE"/>
    <w:rsid w:val="003E4B1B"/>
    <w:rsid w:val="003E5355"/>
    <w:rsid w:val="003E5E39"/>
    <w:rsid w:val="003E6E8F"/>
    <w:rsid w:val="003E71CA"/>
    <w:rsid w:val="003E7703"/>
    <w:rsid w:val="003F1E92"/>
    <w:rsid w:val="003F2C42"/>
    <w:rsid w:val="003F3D8B"/>
    <w:rsid w:val="003F43B7"/>
    <w:rsid w:val="003F68DF"/>
    <w:rsid w:val="003F6B18"/>
    <w:rsid w:val="003F7025"/>
    <w:rsid w:val="0040134A"/>
    <w:rsid w:val="00401ED7"/>
    <w:rsid w:val="00402916"/>
    <w:rsid w:val="00402BE6"/>
    <w:rsid w:val="0040495A"/>
    <w:rsid w:val="0040553A"/>
    <w:rsid w:val="004055D4"/>
    <w:rsid w:val="0040569C"/>
    <w:rsid w:val="004068D8"/>
    <w:rsid w:val="00410A95"/>
    <w:rsid w:val="00411416"/>
    <w:rsid w:val="00412894"/>
    <w:rsid w:val="00413972"/>
    <w:rsid w:val="004153D6"/>
    <w:rsid w:val="00415718"/>
    <w:rsid w:val="00415D1E"/>
    <w:rsid w:val="00415D39"/>
    <w:rsid w:val="004167A1"/>
    <w:rsid w:val="00416AFE"/>
    <w:rsid w:val="004170BF"/>
    <w:rsid w:val="004176FC"/>
    <w:rsid w:val="00422655"/>
    <w:rsid w:val="00422DA1"/>
    <w:rsid w:val="00423508"/>
    <w:rsid w:val="00424D37"/>
    <w:rsid w:val="00424F07"/>
    <w:rsid w:val="004267C9"/>
    <w:rsid w:val="00427F8D"/>
    <w:rsid w:val="00430F4B"/>
    <w:rsid w:val="00431536"/>
    <w:rsid w:val="00431C42"/>
    <w:rsid w:val="00432C99"/>
    <w:rsid w:val="00433C64"/>
    <w:rsid w:val="004360EE"/>
    <w:rsid w:val="004377AC"/>
    <w:rsid w:val="00437B93"/>
    <w:rsid w:val="00437DB0"/>
    <w:rsid w:val="004424FE"/>
    <w:rsid w:val="00443C74"/>
    <w:rsid w:val="00445313"/>
    <w:rsid w:val="00446120"/>
    <w:rsid w:val="004519C8"/>
    <w:rsid w:val="00454160"/>
    <w:rsid w:val="004559D5"/>
    <w:rsid w:val="00455F7E"/>
    <w:rsid w:val="00457B84"/>
    <w:rsid w:val="00460809"/>
    <w:rsid w:val="00461A5D"/>
    <w:rsid w:val="0046429B"/>
    <w:rsid w:val="00467BBC"/>
    <w:rsid w:val="004725A7"/>
    <w:rsid w:val="00472C82"/>
    <w:rsid w:val="004740E4"/>
    <w:rsid w:val="00477433"/>
    <w:rsid w:val="00480BCD"/>
    <w:rsid w:val="004826E0"/>
    <w:rsid w:val="00487CBD"/>
    <w:rsid w:val="00492931"/>
    <w:rsid w:val="00493AFE"/>
    <w:rsid w:val="00495ECD"/>
    <w:rsid w:val="00496612"/>
    <w:rsid w:val="004A0F57"/>
    <w:rsid w:val="004A1657"/>
    <w:rsid w:val="004A18BA"/>
    <w:rsid w:val="004A1E95"/>
    <w:rsid w:val="004A3709"/>
    <w:rsid w:val="004A3B65"/>
    <w:rsid w:val="004A4E98"/>
    <w:rsid w:val="004A7516"/>
    <w:rsid w:val="004A7717"/>
    <w:rsid w:val="004A7F72"/>
    <w:rsid w:val="004B08E4"/>
    <w:rsid w:val="004B0B43"/>
    <w:rsid w:val="004B22B2"/>
    <w:rsid w:val="004B2DBB"/>
    <w:rsid w:val="004B4DF3"/>
    <w:rsid w:val="004B725D"/>
    <w:rsid w:val="004C5C37"/>
    <w:rsid w:val="004D3A89"/>
    <w:rsid w:val="004D5F22"/>
    <w:rsid w:val="004D6293"/>
    <w:rsid w:val="004D6546"/>
    <w:rsid w:val="004D7A25"/>
    <w:rsid w:val="004E0B40"/>
    <w:rsid w:val="004E38E3"/>
    <w:rsid w:val="004E4E3B"/>
    <w:rsid w:val="004E6FDA"/>
    <w:rsid w:val="004F55DE"/>
    <w:rsid w:val="004F5AE9"/>
    <w:rsid w:val="004F7B5C"/>
    <w:rsid w:val="005004F6"/>
    <w:rsid w:val="00500B73"/>
    <w:rsid w:val="00501E77"/>
    <w:rsid w:val="00502349"/>
    <w:rsid w:val="005028F4"/>
    <w:rsid w:val="00502D44"/>
    <w:rsid w:val="00506C8E"/>
    <w:rsid w:val="00506CD1"/>
    <w:rsid w:val="0051073E"/>
    <w:rsid w:val="00511A2D"/>
    <w:rsid w:val="005131C3"/>
    <w:rsid w:val="00513A4E"/>
    <w:rsid w:val="005201BE"/>
    <w:rsid w:val="00521BFF"/>
    <w:rsid w:val="00522034"/>
    <w:rsid w:val="00524604"/>
    <w:rsid w:val="00525EE9"/>
    <w:rsid w:val="0053021A"/>
    <w:rsid w:val="0053026D"/>
    <w:rsid w:val="00530D50"/>
    <w:rsid w:val="005329BE"/>
    <w:rsid w:val="005334B4"/>
    <w:rsid w:val="00533CB7"/>
    <w:rsid w:val="005349D4"/>
    <w:rsid w:val="005359A4"/>
    <w:rsid w:val="00537D63"/>
    <w:rsid w:val="005407BF"/>
    <w:rsid w:val="00542508"/>
    <w:rsid w:val="00543020"/>
    <w:rsid w:val="00544107"/>
    <w:rsid w:val="005449BE"/>
    <w:rsid w:val="005506C7"/>
    <w:rsid w:val="0055079B"/>
    <w:rsid w:val="00550B2F"/>
    <w:rsid w:val="005553CF"/>
    <w:rsid w:val="00555DDD"/>
    <w:rsid w:val="0055739D"/>
    <w:rsid w:val="0056011E"/>
    <w:rsid w:val="00561038"/>
    <w:rsid w:val="005626F3"/>
    <w:rsid w:val="00562A6B"/>
    <w:rsid w:val="00563595"/>
    <w:rsid w:val="0056453E"/>
    <w:rsid w:val="00566018"/>
    <w:rsid w:val="00570D6F"/>
    <w:rsid w:val="0057120E"/>
    <w:rsid w:val="005718A8"/>
    <w:rsid w:val="00572118"/>
    <w:rsid w:val="005725C3"/>
    <w:rsid w:val="00572E0A"/>
    <w:rsid w:val="005737C6"/>
    <w:rsid w:val="005739C1"/>
    <w:rsid w:val="00575DF4"/>
    <w:rsid w:val="00580546"/>
    <w:rsid w:val="005842A0"/>
    <w:rsid w:val="0058472E"/>
    <w:rsid w:val="00584D37"/>
    <w:rsid w:val="0058705D"/>
    <w:rsid w:val="0059473B"/>
    <w:rsid w:val="005948CC"/>
    <w:rsid w:val="005953CA"/>
    <w:rsid w:val="005960BA"/>
    <w:rsid w:val="005966DE"/>
    <w:rsid w:val="005A204A"/>
    <w:rsid w:val="005A6731"/>
    <w:rsid w:val="005A69F3"/>
    <w:rsid w:val="005B352D"/>
    <w:rsid w:val="005B3CE3"/>
    <w:rsid w:val="005B631B"/>
    <w:rsid w:val="005B6420"/>
    <w:rsid w:val="005B681B"/>
    <w:rsid w:val="005C3C8F"/>
    <w:rsid w:val="005C463B"/>
    <w:rsid w:val="005C5EB1"/>
    <w:rsid w:val="005C60A0"/>
    <w:rsid w:val="005D1B17"/>
    <w:rsid w:val="005D34F6"/>
    <w:rsid w:val="005D3683"/>
    <w:rsid w:val="005D3AB2"/>
    <w:rsid w:val="005D4A74"/>
    <w:rsid w:val="005D59D2"/>
    <w:rsid w:val="005D792B"/>
    <w:rsid w:val="005E2966"/>
    <w:rsid w:val="005E6149"/>
    <w:rsid w:val="005E7FF4"/>
    <w:rsid w:val="005F09CC"/>
    <w:rsid w:val="005F0BBC"/>
    <w:rsid w:val="005F2890"/>
    <w:rsid w:val="005F297C"/>
    <w:rsid w:val="005F3EB2"/>
    <w:rsid w:val="005F486A"/>
    <w:rsid w:val="005F6C47"/>
    <w:rsid w:val="005F7DB3"/>
    <w:rsid w:val="006001B2"/>
    <w:rsid w:val="006014DA"/>
    <w:rsid w:val="0060236B"/>
    <w:rsid w:val="006038D0"/>
    <w:rsid w:val="00606818"/>
    <w:rsid w:val="00611A86"/>
    <w:rsid w:val="00611C1E"/>
    <w:rsid w:val="00612BD3"/>
    <w:rsid w:val="00612D4C"/>
    <w:rsid w:val="0061303B"/>
    <w:rsid w:val="00613FE4"/>
    <w:rsid w:val="0061499F"/>
    <w:rsid w:val="00616B13"/>
    <w:rsid w:val="00620130"/>
    <w:rsid w:val="00622108"/>
    <w:rsid w:val="00622893"/>
    <w:rsid w:val="00625361"/>
    <w:rsid w:val="0062548D"/>
    <w:rsid w:val="00630B07"/>
    <w:rsid w:val="00631029"/>
    <w:rsid w:val="00631402"/>
    <w:rsid w:val="00632268"/>
    <w:rsid w:val="00633921"/>
    <w:rsid w:val="0063478F"/>
    <w:rsid w:val="00635DAE"/>
    <w:rsid w:val="00637E05"/>
    <w:rsid w:val="00641801"/>
    <w:rsid w:val="00641F58"/>
    <w:rsid w:val="00645626"/>
    <w:rsid w:val="006478CA"/>
    <w:rsid w:val="00650450"/>
    <w:rsid w:val="006521ED"/>
    <w:rsid w:val="006522CF"/>
    <w:rsid w:val="006538BF"/>
    <w:rsid w:val="0065671E"/>
    <w:rsid w:val="00656777"/>
    <w:rsid w:val="00657014"/>
    <w:rsid w:val="006572FA"/>
    <w:rsid w:val="00662408"/>
    <w:rsid w:val="00663645"/>
    <w:rsid w:val="00665F3D"/>
    <w:rsid w:val="00667577"/>
    <w:rsid w:val="00670BE5"/>
    <w:rsid w:val="00674152"/>
    <w:rsid w:val="006741E5"/>
    <w:rsid w:val="0067617C"/>
    <w:rsid w:val="006802EF"/>
    <w:rsid w:val="00685987"/>
    <w:rsid w:val="00692004"/>
    <w:rsid w:val="00693081"/>
    <w:rsid w:val="0069668C"/>
    <w:rsid w:val="006A0991"/>
    <w:rsid w:val="006A0B69"/>
    <w:rsid w:val="006A1C8A"/>
    <w:rsid w:val="006A1DE2"/>
    <w:rsid w:val="006A437D"/>
    <w:rsid w:val="006A4825"/>
    <w:rsid w:val="006A4BDB"/>
    <w:rsid w:val="006A5D28"/>
    <w:rsid w:val="006A6F51"/>
    <w:rsid w:val="006A75E7"/>
    <w:rsid w:val="006B0EC3"/>
    <w:rsid w:val="006B2CE0"/>
    <w:rsid w:val="006B4201"/>
    <w:rsid w:val="006B52A7"/>
    <w:rsid w:val="006C0461"/>
    <w:rsid w:val="006C1836"/>
    <w:rsid w:val="006C1DA9"/>
    <w:rsid w:val="006C23C2"/>
    <w:rsid w:val="006C2D9B"/>
    <w:rsid w:val="006C52B5"/>
    <w:rsid w:val="006C59A5"/>
    <w:rsid w:val="006C7FB3"/>
    <w:rsid w:val="006E0CD2"/>
    <w:rsid w:val="006E1997"/>
    <w:rsid w:val="006E2EB7"/>
    <w:rsid w:val="006E54B4"/>
    <w:rsid w:val="006E5DC3"/>
    <w:rsid w:val="006E76A5"/>
    <w:rsid w:val="006F0645"/>
    <w:rsid w:val="006F1700"/>
    <w:rsid w:val="006F239F"/>
    <w:rsid w:val="006F2555"/>
    <w:rsid w:val="0070070A"/>
    <w:rsid w:val="00702C0D"/>
    <w:rsid w:val="00711804"/>
    <w:rsid w:val="0071193F"/>
    <w:rsid w:val="0071433C"/>
    <w:rsid w:val="007157A0"/>
    <w:rsid w:val="00720A22"/>
    <w:rsid w:val="00722BBA"/>
    <w:rsid w:val="007236BA"/>
    <w:rsid w:val="007238DD"/>
    <w:rsid w:val="00723D02"/>
    <w:rsid w:val="00723D84"/>
    <w:rsid w:val="00723EDE"/>
    <w:rsid w:val="00724717"/>
    <w:rsid w:val="00725591"/>
    <w:rsid w:val="0072660C"/>
    <w:rsid w:val="00727CF8"/>
    <w:rsid w:val="00730404"/>
    <w:rsid w:val="00730F61"/>
    <w:rsid w:val="00731AB7"/>
    <w:rsid w:val="0074180F"/>
    <w:rsid w:val="00742597"/>
    <w:rsid w:val="007428A9"/>
    <w:rsid w:val="007446DE"/>
    <w:rsid w:val="00746019"/>
    <w:rsid w:val="00746D3F"/>
    <w:rsid w:val="00747D12"/>
    <w:rsid w:val="00750250"/>
    <w:rsid w:val="00750300"/>
    <w:rsid w:val="00750AB2"/>
    <w:rsid w:val="007532A0"/>
    <w:rsid w:val="00755358"/>
    <w:rsid w:val="007558DB"/>
    <w:rsid w:val="00755AB9"/>
    <w:rsid w:val="00757FB9"/>
    <w:rsid w:val="00760746"/>
    <w:rsid w:val="007618B9"/>
    <w:rsid w:val="007621ED"/>
    <w:rsid w:val="00766299"/>
    <w:rsid w:val="007665C7"/>
    <w:rsid w:val="00766870"/>
    <w:rsid w:val="00766AA4"/>
    <w:rsid w:val="007702C7"/>
    <w:rsid w:val="007737A3"/>
    <w:rsid w:val="007738A0"/>
    <w:rsid w:val="00773DFC"/>
    <w:rsid w:val="0077606A"/>
    <w:rsid w:val="0078146D"/>
    <w:rsid w:val="00781801"/>
    <w:rsid w:val="0078423C"/>
    <w:rsid w:val="00784A9B"/>
    <w:rsid w:val="00784C33"/>
    <w:rsid w:val="00786C64"/>
    <w:rsid w:val="00786E2F"/>
    <w:rsid w:val="00787DDE"/>
    <w:rsid w:val="0079363C"/>
    <w:rsid w:val="00793B6E"/>
    <w:rsid w:val="0079785B"/>
    <w:rsid w:val="007A4BB5"/>
    <w:rsid w:val="007A4FB6"/>
    <w:rsid w:val="007A5AEB"/>
    <w:rsid w:val="007A6AA6"/>
    <w:rsid w:val="007B06F9"/>
    <w:rsid w:val="007B0F26"/>
    <w:rsid w:val="007B1550"/>
    <w:rsid w:val="007B1B3A"/>
    <w:rsid w:val="007B4E82"/>
    <w:rsid w:val="007B5D7F"/>
    <w:rsid w:val="007B7C1E"/>
    <w:rsid w:val="007C16EC"/>
    <w:rsid w:val="007C1D1B"/>
    <w:rsid w:val="007D05B4"/>
    <w:rsid w:val="007D5983"/>
    <w:rsid w:val="007D5B3D"/>
    <w:rsid w:val="007D6EC1"/>
    <w:rsid w:val="007E0946"/>
    <w:rsid w:val="007E0E61"/>
    <w:rsid w:val="007E197E"/>
    <w:rsid w:val="007E26D5"/>
    <w:rsid w:val="007E4CD6"/>
    <w:rsid w:val="007E73D8"/>
    <w:rsid w:val="007F1F0C"/>
    <w:rsid w:val="007F4D3E"/>
    <w:rsid w:val="007F5589"/>
    <w:rsid w:val="007F55DE"/>
    <w:rsid w:val="007F6768"/>
    <w:rsid w:val="007F7510"/>
    <w:rsid w:val="007F783D"/>
    <w:rsid w:val="007F79A8"/>
    <w:rsid w:val="0080028A"/>
    <w:rsid w:val="008005A8"/>
    <w:rsid w:val="008029B5"/>
    <w:rsid w:val="00802CE5"/>
    <w:rsid w:val="00805098"/>
    <w:rsid w:val="00807A77"/>
    <w:rsid w:val="0081188B"/>
    <w:rsid w:val="008133BC"/>
    <w:rsid w:val="00813CB3"/>
    <w:rsid w:val="00814C9A"/>
    <w:rsid w:val="00817833"/>
    <w:rsid w:val="008213F7"/>
    <w:rsid w:val="008259FC"/>
    <w:rsid w:val="00826405"/>
    <w:rsid w:val="0082733F"/>
    <w:rsid w:val="00832534"/>
    <w:rsid w:val="00834EDE"/>
    <w:rsid w:val="00837228"/>
    <w:rsid w:val="0084191A"/>
    <w:rsid w:val="008444AE"/>
    <w:rsid w:val="008465BF"/>
    <w:rsid w:val="00846602"/>
    <w:rsid w:val="008503C8"/>
    <w:rsid w:val="008513E9"/>
    <w:rsid w:val="008527D8"/>
    <w:rsid w:val="00852DD8"/>
    <w:rsid w:val="00852EBB"/>
    <w:rsid w:val="00854ED1"/>
    <w:rsid w:val="0085585F"/>
    <w:rsid w:val="00855FFB"/>
    <w:rsid w:val="008563E3"/>
    <w:rsid w:val="00856C7F"/>
    <w:rsid w:val="00860241"/>
    <w:rsid w:val="0086049F"/>
    <w:rsid w:val="00861293"/>
    <w:rsid w:val="008625EC"/>
    <w:rsid w:val="00864087"/>
    <w:rsid w:val="0086630A"/>
    <w:rsid w:val="00866505"/>
    <w:rsid w:val="00867303"/>
    <w:rsid w:val="00872A7C"/>
    <w:rsid w:val="00874016"/>
    <w:rsid w:val="00883479"/>
    <w:rsid w:val="00885DD4"/>
    <w:rsid w:val="00886809"/>
    <w:rsid w:val="00887276"/>
    <w:rsid w:val="00887370"/>
    <w:rsid w:val="0088750D"/>
    <w:rsid w:val="008879C5"/>
    <w:rsid w:val="0089002A"/>
    <w:rsid w:val="00890051"/>
    <w:rsid w:val="00890E84"/>
    <w:rsid w:val="0089306D"/>
    <w:rsid w:val="0089496D"/>
    <w:rsid w:val="008951B3"/>
    <w:rsid w:val="00895914"/>
    <w:rsid w:val="0089770B"/>
    <w:rsid w:val="008A1E8A"/>
    <w:rsid w:val="008A27BF"/>
    <w:rsid w:val="008A5D68"/>
    <w:rsid w:val="008B202B"/>
    <w:rsid w:val="008B3001"/>
    <w:rsid w:val="008B36FA"/>
    <w:rsid w:val="008B3CFE"/>
    <w:rsid w:val="008B5DBC"/>
    <w:rsid w:val="008C0CE7"/>
    <w:rsid w:val="008C16B7"/>
    <w:rsid w:val="008C3C92"/>
    <w:rsid w:val="008C4A14"/>
    <w:rsid w:val="008C4E8A"/>
    <w:rsid w:val="008D36CC"/>
    <w:rsid w:val="008D394D"/>
    <w:rsid w:val="008D4422"/>
    <w:rsid w:val="008D640B"/>
    <w:rsid w:val="008E2867"/>
    <w:rsid w:val="008E3C04"/>
    <w:rsid w:val="008E56E2"/>
    <w:rsid w:val="008E57F5"/>
    <w:rsid w:val="008E713C"/>
    <w:rsid w:val="008F35A8"/>
    <w:rsid w:val="008F366C"/>
    <w:rsid w:val="008F75B1"/>
    <w:rsid w:val="008F79DE"/>
    <w:rsid w:val="009016E3"/>
    <w:rsid w:val="009017F8"/>
    <w:rsid w:val="00901EE3"/>
    <w:rsid w:val="0090766A"/>
    <w:rsid w:val="0091132C"/>
    <w:rsid w:val="00912B7A"/>
    <w:rsid w:val="00913750"/>
    <w:rsid w:val="00913DFF"/>
    <w:rsid w:val="00913F09"/>
    <w:rsid w:val="0091445C"/>
    <w:rsid w:val="0091647A"/>
    <w:rsid w:val="00916DF9"/>
    <w:rsid w:val="00916EDA"/>
    <w:rsid w:val="00917496"/>
    <w:rsid w:val="0092119D"/>
    <w:rsid w:val="0092151E"/>
    <w:rsid w:val="0092600D"/>
    <w:rsid w:val="0093630E"/>
    <w:rsid w:val="00936E99"/>
    <w:rsid w:val="00937842"/>
    <w:rsid w:val="009412AF"/>
    <w:rsid w:val="0094212E"/>
    <w:rsid w:val="0094458A"/>
    <w:rsid w:val="0094466C"/>
    <w:rsid w:val="00946039"/>
    <w:rsid w:val="00947EC9"/>
    <w:rsid w:val="009516C8"/>
    <w:rsid w:val="00951A8D"/>
    <w:rsid w:val="009533CE"/>
    <w:rsid w:val="00955668"/>
    <w:rsid w:val="00955B43"/>
    <w:rsid w:val="0095612C"/>
    <w:rsid w:val="009602D2"/>
    <w:rsid w:val="00962A82"/>
    <w:rsid w:val="009662F0"/>
    <w:rsid w:val="00967AB5"/>
    <w:rsid w:val="00971BBA"/>
    <w:rsid w:val="00974525"/>
    <w:rsid w:val="00974B43"/>
    <w:rsid w:val="0097634A"/>
    <w:rsid w:val="00977FB6"/>
    <w:rsid w:val="009809F0"/>
    <w:rsid w:val="009820A2"/>
    <w:rsid w:val="009821C3"/>
    <w:rsid w:val="009829B0"/>
    <w:rsid w:val="00983903"/>
    <w:rsid w:val="00984AB0"/>
    <w:rsid w:val="0098544D"/>
    <w:rsid w:val="00985ABC"/>
    <w:rsid w:val="00987484"/>
    <w:rsid w:val="009908ED"/>
    <w:rsid w:val="00994D53"/>
    <w:rsid w:val="0099688A"/>
    <w:rsid w:val="00996CD8"/>
    <w:rsid w:val="009A02C9"/>
    <w:rsid w:val="009A0887"/>
    <w:rsid w:val="009A0D32"/>
    <w:rsid w:val="009A3371"/>
    <w:rsid w:val="009A3F39"/>
    <w:rsid w:val="009A418D"/>
    <w:rsid w:val="009A4641"/>
    <w:rsid w:val="009A5F5B"/>
    <w:rsid w:val="009A65E1"/>
    <w:rsid w:val="009A70B1"/>
    <w:rsid w:val="009A7596"/>
    <w:rsid w:val="009B2708"/>
    <w:rsid w:val="009B477B"/>
    <w:rsid w:val="009B50B5"/>
    <w:rsid w:val="009B7E64"/>
    <w:rsid w:val="009C0311"/>
    <w:rsid w:val="009C0EA3"/>
    <w:rsid w:val="009C5244"/>
    <w:rsid w:val="009C69C7"/>
    <w:rsid w:val="009D187B"/>
    <w:rsid w:val="009D1E28"/>
    <w:rsid w:val="009D2385"/>
    <w:rsid w:val="009D24A0"/>
    <w:rsid w:val="009D2A2A"/>
    <w:rsid w:val="009D5C8E"/>
    <w:rsid w:val="009E0499"/>
    <w:rsid w:val="009E105F"/>
    <w:rsid w:val="009E2558"/>
    <w:rsid w:val="009E3B6B"/>
    <w:rsid w:val="009E44DC"/>
    <w:rsid w:val="009E6664"/>
    <w:rsid w:val="009E7D35"/>
    <w:rsid w:val="009F2269"/>
    <w:rsid w:val="009F2A1C"/>
    <w:rsid w:val="009F3382"/>
    <w:rsid w:val="009F598A"/>
    <w:rsid w:val="009F5AC3"/>
    <w:rsid w:val="009F60C9"/>
    <w:rsid w:val="009F753A"/>
    <w:rsid w:val="009F7705"/>
    <w:rsid w:val="00A002FE"/>
    <w:rsid w:val="00A0055C"/>
    <w:rsid w:val="00A00EA3"/>
    <w:rsid w:val="00A01308"/>
    <w:rsid w:val="00A02228"/>
    <w:rsid w:val="00A03C90"/>
    <w:rsid w:val="00A03EDD"/>
    <w:rsid w:val="00A043E4"/>
    <w:rsid w:val="00A071FC"/>
    <w:rsid w:val="00A07548"/>
    <w:rsid w:val="00A11FFD"/>
    <w:rsid w:val="00A12C8D"/>
    <w:rsid w:val="00A13EEB"/>
    <w:rsid w:val="00A148A6"/>
    <w:rsid w:val="00A14B45"/>
    <w:rsid w:val="00A15907"/>
    <w:rsid w:val="00A2223B"/>
    <w:rsid w:val="00A22269"/>
    <w:rsid w:val="00A252F0"/>
    <w:rsid w:val="00A264A9"/>
    <w:rsid w:val="00A26C90"/>
    <w:rsid w:val="00A34CD9"/>
    <w:rsid w:val="00A3561D"/>
    <w:rsid w:val="00A35BC5"/>
    <w:rsid w:val="00A41C04"/>
    <w:rsid w:val="00A440E2"/>
    <w:rsid w:val="00A45815"/>
    <w:rsid w:val="00A5132F"/>
    <w:rsid w:val="00A5241A"/>
    <w:rsid w:val="00A53A2E"/>
    <w:rsid w:val="00A53C66"/>
    <w:rsid w:val="00A55CB3"/>
    <w:rsid w:val="00A57696"/>
    <w:rsid w:val="00A60795"/>
    <w:rsid w:val="00A60AF2"/>
    <w:rsid w:val="00A62455"/>
    <w:rsid w:val="00A63263"/>
    <w:rsid w:val="00A64F8F"/>
    <w:rsid w:val="00A67797"/>
    <w:rsid w:val="00A711EB"/>
    <w:rsid w:val="00A771E9"/>
    <w:rsid w:val="00A8009D"/>
    <w:rsid w:val="00A80AAB"/>
    <w:rsid w:val="00A81B92"/>
    <w:rsid w:val="00A83C11"/>
    <w:rsid w:val="00A90C1C"/>
    <w:rsid w:val="00A90E13"/>
    <w:rsid w:val="00A917A0"/>
    <w:rsid w:val="00A92667"/>
    <w:rsid w:val="00A92A1A"/>
    <w:rsid w:val="00A936E7"/>
    <w:rsid w:val="00A951EA"/>
    <w:rsid w:val="00A95244"/>
    <w:rsid w:val="00A9562A"/>
    <w:rsid w:val="00A958D1"/>
    <w:rsid w:val="00A97408"/>
    <w:rsid w:val="00A976D3"/>
    <w:rsid w:val="00A97998"/>
    <w:rsid w:val="00A979D9"/>
    <w:rsid w:val="00A97F10"/>
    <w:rsid w:val="00AA0692"/>
    <w:rsid w:val="00AA0FDA"/>
    <w:rsid w:val="00AA1A37"/>
    <w:rsid w:val="00AA2CF3"/>
    <w:rsid w:val="00AA3118"/>
    <w:rsid w:val="00AA33BA"/>
    <w:rsid w:val="00AA6AF8"/>
    <w:rsid w:val="00AA6B88"/>
    <w:rsid w:val="00AA71C0"/>
    <w:rsid w:val="00AA772B"/>
    <w:rsid w:val="00AA7E39"/>
    <w:rsid w:val="00AB0F96"/>
    <w:rsid w:val="00AB1AAB"/>
    <w:rsid w:val="00AB1AB2"/>
    <w:rsid w:val="00AB209F"/>
    <w:rsid w:val="00AB2B64"/>
    <w:rsid w:val="00AB472B"/>
    <w:rsid w:val="00AB57BE"/>
    <w:rsid w:val="00AB59A6"/>
    <w:rsid w:val="00AC04F7"/>
    <w:rsid w:val="00AC0B2F"/>
    <w:rsid w:val="00AC6628"/>
    <w:rsid w:val="00AC7CD8"/>
    <w:rsid w:val="00AD4123"/>
    <w:rsid w:val="00AE0CBC"/>
    <w:rsid w:val="00AE15EA"/>
    <w:rsid w:val="00AE1773"/>
    <w:rsid w:val="00AE2ECF"/>
    <w:rsid w:val="00AE4505"/>
    <w:rsid w:val="00AE5440"/>
    <w:rsid w:val="00AE5C1F"/>
    <w:rsid w:val="00AF06D9"/>
    <w:rsid w:val="00AF3DA6"/>
    <w:rsid w:val="00AF4C34"/>
    <w:rsid w:val="00B012DE"/>
    <w:rsid w:val="00B05458"/>
    <w:rsid w:val="00B063ED"/>
    <w:rsid w:val="00B070F1"/>
    <w:rsid w:val="00B07152"/>
    <w:rsid w:val="00B071F2"/>
    <w:rsid w:val="00B1194F"/>
    <w:rsid w:val="00B1328E"/>
    <w:rsid w:val="00B13707"/>
    <w:rsid w:val="00B13CD0"/>
    <w:rsid w:val="00B17E85"/>
    <w:rsid w:val="00B208E4"/>
    <w:rsid w:val="00B20B31"/>
    <w:rsid w:val="00B20EDE"/>
    <w:rsid w:val="00B2233E"/>
    <w:rsid w:val="00B24A31"/>
    <w:rsid w:val="00B25107"/>
    <w:rsid w:val="00B27648"/>
    <w:rsid w:val="00B31F81"/>
    <w:rsid w:val="00B32A76"/>
    <w:rsid w:val="00B32C88"/>
    <w:rsid w:val="00B33141"/>
    <w:rsid w:val="00B331B2"/>
    <w:rsid w:val="00B34849"/>
    <w:rsid w:val="00B37A12"/>
    <w:rsid w:val="00B37FB0"/>
    <w:rsid w:val="00B41CF8"/>
    <w:rsid w:val="00B4237D"/>
    <w:rsid w:val="00B42656"/>
    <w:rsid w:val="00B443B4"/>
    <w:rsid w:val="00B44EB2"/>
    <w:rsid w:val="00B45888"/>
    <w:rsid w:val="00B45B15"/>
    <w:rsid w:val="00B46E4C"/>
    <w:rsid w:val="00B51D96"/>
    <w:rsid w:val="00B51DD5"/>
    <w:rsid w:val="00B526E2"/>
    <w:rsid w:val="00B53BD7"/>
    <w:rsid w:val="00B54B2C"/>
    <w:rsid w:val="00B55825"/>
    <w:rsid w:val="00B558D2"/>
    <w:rsid w:val="00B56096"/>
    <w:rsid w:val="00B64DA1"/>
    <w:rsid w:val="00B662C3"/>
    <w:rsid w:val="00B6637D"/>
    <w:rsid w:val="00B666EF"/>
    <w:rsid w:val="00B671A0"/>
    <w:rsid w:val="00B6721D"/>
    <w:rsid w:val="00B672EC"/>
    <w:rsid w:val="00B67A36"/>
    <w:rsid w:val="00B7176B"/>
    <w:rsid w:val="00B71CE7"/>
    <w:rsid w:val="00B728F9"/>
    <w:rsid w:val="00B8108E"/>
    <w:rsid w:val="00B8141F"/>
    <w:rsid w:val="00B84566"/>
    <w:rsid w:val="00B85D52"/>
    <w:rsid w:val="00B86890"/>
    <w:rsid w:val="00B91501"/>
    <w:rsid w:val="00BA116E"/>
    <w:rsid w:val="00BA1219"/>
    <w:rsid w:val="00BA33E7"/>
    <w:rsid w:val="00BA48C0"/>
    <w:rsid w:val="00BA4E83"/>
    <w:rsid w:val="00BA6825"/>
    <w:rsid w:val="00BA7E36"/>
    <w:rsid w:val="00BB21E1"/>
    <w:rsid w:val="00BB5591"/>
    <w:rsid w:val="00BC0250"/>
    <w:rsid w:val="00BC3F7B"/>
    <w:rsid w:val="00BC5201"/>
    <w:rsid w:val="00BC5D73"/>
    <w:rsid w:val="00BC64F6"/>
    <w:rsid w:val="00BC6742"/>
    <w:rsid w:val="00BC74D7"/>
    <w:rsid w:val="00BC78CE"/>
    <w:rsid w:val="00BC7F52"/>
    <w:rsid w:val="00BD0EA1"/>
    <w:rsid w:val="00BD11D6"/>
    <w:rsid w:val="00BD4D2B"/>
    <w:rsid w:val="00BD5A2E"/>
    <w:rsid w:val="00BD751A"/>
    <w:rsid w:val="00BE20B2"/>
    <w:rsid w:val="00BE45C0"/>
    <w:rsid w:val="00BE4FFC"/>
    <w:rsid w:val="00BF1387"/>
    <w:rsid w:val="00BF27F1"/>
    <w:rsid w:val="00BF3297"/>
    <w:rsid w:val="00BF370B"/>
    <w:rsid w:val="00BF3B42"/>
    <w:rsid w:val="00BF402E"/>
    <w:rsid w:val="00BF5914"/>
    <w:rsid w:val="00BF735B"/>
    <w:rsid w:val="00C01AD0"/>
    <w:rsid w:val="00C030CD"/>
    <w:rsid w:val="00C0504F"/>
    <w:rsid w:val="00C052CA"/>
    <w:rsid w:val="00C05303"/>
    <w:rsid w:val="00C070CF"/>
    <w:rsid w:val="00C0765F"/>
    <w:rsid w:val="00C07C56"/>
    <w:rsid w:val="00C110DC"/>
    <w:rsid w:val="00C137F2"/>
    <w:rsid w:val="00C1421A"/>
    <w:rsid w:val="00C14FF0"/>
    <w:rsid w:val="00C214E8"/>
    <w:rsid w:val="00C2162B"/>
    <w:rsid w:val="00C23D41"/>
    <w:rsid w:val="00C24668"/>
    <w:rsid w:val="00C258AC"/>
    <w:rsid w:val="00C27942"/>
    <w:rsid w:val="00C337B7"/>
    <w:rsid w:val="00C352E4"/>
    <w:rsid w:val="00C37976"/>
    <w:rsid w:val="00C448F8"/>
    <w:rsid w:val="00C4698B"/>
    <w:rsid w:val="00C47DD1"/>
    <w:rsid w:val="00C50004"/>
    <w:rsid w:val="00C55371"/>
    <w:rsid w:val="00C553EC"/>
    <w:rsid w:val="00C555A4"/>
    <w:rsid w:val="00C55AB7"/>
    <w:rsid w:val="00C55ACC"/>
    <w:rsid w:val="00C605AE"/>
    <w:rsid w:val="00C6143B"/>
    <w:rsid w:val="00C61BFF"/>
    <w:rsid w:val="00C637D6"/>
    <w:rsid w:val="00C6657F"/>
    <w:rsid w:val="00C67013"/>
    <w:rsid w:val="00C720A2"/>
    <w:rsid w:val="00C7230E"/>
    <w:rsid w:val="00C72A5F"/>
    <w:rsid w:val="00C74286"/>
    <w:rsid w:val="00C8474B"/>
    <w:rsid w:val="00C90170"/>
    <w:rsid w:val="00C938D1"/>
    <w:rsid w:val="00C96973"/>
    <w:rsid w:val="00CA0D71"/>
    <w:rsid w:val="00CA262C"/>
    <w:rsid w:val="00CA2C16"/>
    <w:rsid w:val="00CA4635"/>
    <w:rsid w:val="00CA59AD"/>
    <w:rsid w:val="00CA6807"/>
    <w:rsid w:val="00CB0677"/>
    <w:rsid w:val="00CB1696"/>
    <w:rsid w:val="00CB684F"/>
    <w:rsid w:val="00CC3889"/>
    <w:rsid w:val="00CC3D49"/>
    <w:rsid w:val="00CC7A84"/>
    <w:rsid w:val="00CD0191"/>
    <w:rsid w:val="00CD0B61"/>
    <w:rsid w:val="00CD0FED"/>
    <w:rsid w:val="00CD214D"/>
    <w:rsid w:val="00CD2483"/>
    <w:rsid w:val="00CD48DD"/>
    <w:rsid w:val="00CD4977"/>
    <w:rsid w:val="00CD4D29"/>
    <w:rsid w:val="00CD5427"/>
    <w:rsid w:val="00CE0D9A"/>
    <w:rsid w:val="00CE143E"/>
    <w:rsid w:val="00CE1D5D"/>
    <w:rsid w:val="00CE356F"/>
    <w:rsid w:val="00CE48BF"/>
    <w:rsid w:val="00CE560F"/>
    <w:rsid w:val="00CE7B54"/>
    <w:rsid w:val="00CF083A"/>
    <w:rsid w:val="00CF1AAC"/>
    <w:rsid w:val="00CF31B8"/>
    <w:rsid w:val="00CF36AB"/>
    <w:rsid w:val="00CF3D52"/>
    <w:rsid w:val="00CF4653"/>
    <w:rsid w:val="00CF492A"/>
    <w:rsid w:val="00CF5AB7"/>
    <w:rsid w:val="00CF6EAD"/>
    <w:rsid w:val="00CF7006"/>
    <w:rsid w:val="00D0548F"/>
    <w:rsid w:val="00D059B8"/>
    <w:rsid w:val="00D05F41"/>
    <w:rsid w:val="00D06931"/>
    <w:rsid w:val="00D07C99"/>
    <w:rsid w:val="00D12CAF"/>
    <w:rsid w:val="00D13280"/>
    <w:rsid w:val="00D16646"/>
    <w:rsid w:val="00D2261A"/>
    <w:rsid w:val="00D23135"/>
    <w:rsid w:val="00D23EA4"/>
    <w:rsid w:val="00D260FE"/>
    <w:rsid w:val="00D27BDA"/>
    <w:rsid w:val="00D41CD8"/>
    <w:rsid w:val="00D4221A"/>
    <w:rsid w:val="00D43D4D"/>
    <w:rsid w:val="00D53725"/>
    <w:rsid w:val="00D57E7B"/>
    <w:rsid w:val="00D616C1"/>
    <w:rsid w:val="00D65F9B"/>
    <w:rsid w:val="00D73247"/>
    <w:rsid w:val="00D74FB4"/>
    <w:rsid w:val="00D76F11"/>
    <w:rsid w:val="00D80DE2"/>
    <w:rsid w:val="00D81CE1"/>
    <w:rsid w:val="00D8458A"/>
    <w:rsid w:val="00D85E94"/>
    <w:rsid w:val="00D86D40"/>
    <w:rsid w:val="00D872E5"/>
    <w:rsid w:val="00D873D6"/>
    <w:rsid w:val="00D87480"/>
    <w:rsid w:val="00D87A4B"/>
    <w:rsid w:val="00D87A82"/>
    <w:rsid w:val="00D91375"/>
    <w:rsid w:val="00D93AC5"/>
    <w:rsid w:val="00D94293"/>
    <w:rsid w:val="00D9463C"/>
    <w:rsid w:val="00D94BC3"/>
    <w:rsid w:val="00D9515A"/>
    <w:rsid w:val="00D97552"/>
    <w:rsid w:val="00D97DB2"/>
    <w:rsid w:val="00DA04B3"/>
    <w:rsid w:val="00DA059D"/>
    <w:rsid w:val="00DA1933"/>
    <w:rsid w:val="00DA1C99"/>
    <w:rsid w:val="00DA30D4"/>
    <w:rsid w:val="00DA3574"/>
    <w:rsid w:val="00DA3B07"/>
    <w:rsid w:val="00DA44A4"/>
    <w:rsid w:val="00DA4AE5"/>
    <w:rsid w:val="00DA5924"/>
    <w:rsid w:val="00DA744E"/>
    <w:rsid w:val="00DB0095"/>
    <w:rsid w:val="00DB1959"/>
    <w:rsid w:val="00DB3474"/>
    <w:rsid w:val="00DB682A"/>
    <w:rsid w:val="00DC0BA4"/>
    <w:rsid w:val="00DC1E27"/>
    <w:rsid w:val="00DC5888"/>
    <w:rsid w:val="00DD1BCE"/>
    <w:rsid w:val="00DD1FB1"/>
    <w:rsid w:val="00DD4A57"/>
    <w:rsid w:val="00DD4D01"/>
    <w:rsid w:val="00DD5AAB"/>
    <w:rsid w:val="00DD7985"/>
    <w:rsid w:val="00DE011F"/>
    <w:rsid w:val="00DE2842"/>
    <w:rsid w:val="00DE45AA"/>
    <w:rsid w:val="00DE4901"/>
    <w:rsid w:val="00DE4CC9"/>
    <w:rsid w:val="00DE5B26"/>
    <w:rsid w:val="00DE78D0"/>
    <w:rsid w:val="00DF03C2"/>
    <w:rsid w:val="00DF12BE"/>
    <w:rsid w:val="00DF2A97"/>
    <w:rsid w:val="00DF3628"/>
    <w:rsid w:val="00DF3ED5"/>
    <w:rsid w:val="00DF44EA"/>
    <w:rsid w:val="00DF650C"/>
    <w:rsid w:val="00E0035A"/>
    <w:rsid w:val="00E03E6D"/>
    <w:rsid w:val="00E0438B"/>
    <w:rsid w:val="00E07B01"/>
    <w:rsid w:val="00E11279"/>
    <w:rsid w:val="00E1179C"/>
    <w:rsid w:val="00E12E28"/>
    <w:rsid w:val="00E15D14"/>
    <w:rsid w:val="00E15DBA"/>
    <w:rsid w:val="00E20F2B"/>
    <w:rsid w:val="00E227FF"/>
    <w:rsid w:val="00E26969"/>
    <w:rsid w:val="00E269BA"/>
    <w:rsid w:val="00E349FE"/>
    <w:rsid w:val="00E3578B"/>
    <w:rsid w:val="00E35F8C"/>
    <w:rsid w:val="00E36C66"/>
    <w:rsid w:val="00E40D53"/>
    <w:rsid w:val="00E41D23"/>
    <w:rsid w:val="00E455E0"/>
    <w:rsid w:val="00E51DD4"/>
    <w:rsid w:val="00E53059"/>
    <w:rsid w:val="00E53369"/>
    <w:rsid w:val="00E553AE"/>
    <w:rsid w:val="00E568A2"/>
    <w:rsid w:val="00E575B1"/>
    <w:rsid w:val="00E578C5"/>
    <w:rsid w:val="00E60CAD"/>
    <w:rsid w:val="00E656AB"/>
    <w:rsid w:val="00E67265"/>
    <w:rsid w:val="00E70592"/>
    <w:rsid w:val="00E708ED"/>
    <w:rsid w:val="00E7124A"/>
    <w:rsid w:val="00E713E6"/>
    <w:rsid w:val="00E716E0"/>
    <w:rsid w:val="00E717D3"/>
    <w:rsid w:val="00E71BED"/>
    <w:rsid w:val="00E7539D"/>
    <w:rsid w:val="00E753DF"/>
    <w:rsid w:val="00E77325"/>
    <w:rsid w:val="00E81B33"/>
    <w:rsid w:val="00E81D71"/>
    <w:rsid w:val="00E831FF"/>
    <w:rsid w:val="00E839EF"/>
    <w:rsid w:val="00E84FFC"/>
    <w:rsid w:val="00E857AD"/>
    <w:rsid w:val="00E85C37"/>
    <w:rsid w:val="00E902A9"/>
    <w:rsid w:val="00E92A1C"/>
    <w:rsid w:val="00E92B29"/>
    <w:rsid w:val="00E92C60"/>
    <w:rsid w:val="00E940DA"/>
    <w:rsid w:val="00E94513"/>
    <w:rsid w:val="00EA027B"/>
    <w:rsid w:val="00EA3BA2"/>
    <w:rsid w:val="00EA43F5"/>
    <w:rsid w:val="00EA48B8"/>
    <w:rsid w:val="00EA58EC"/>
    <w:rsid w:val="00EA61D7"/>
    <w:rsid w:val="00EA6EC8"/>
    <w:rsid w:val="00EB01B6"/>
    <w:rsid w:val="00EB0A05"/>
    <w:rsid w:val="00EB1C5B"/>
    <w:rsid w:val="00EB1F35"/>
    <w:rsid w:val="00EB2419"/>
    <w:rsid w:val="00EB39C5"/>
    <w:rsid w:val="00EB47D5"/>
    <w:rsid w:val="00EB6C44"/>
    <w:rsid w:val="00EB70C1"/>
    <w:rsid w:val="00EB719C"/>
    <w:rsid w:val="00EB7702"/>
    <w:rsid w:val="00EC07CF"/>
    <w:rsid w:val="00EC0FB5"/>
    <w:rsid w:val="00EC29FA"/>
    <w:rsid w:val="00EC2FAA"/>
    <w:rsid w:val="00EC36BA"/>
    <w:rsid w:val="00EC3ACA"/>
    <w:rsid w:val="00EC554F"/>
    <w:rsid w:val="00EC6E7D"/>
    <w:rsid w:val="00ED080B"/>
    <w:rsid w:val="00ED0E03"/>
    <w:rsid w:val="00ED3B82"/>
    <w:rsid w:val="00ED3E72"/>
    <w:rsid w:val="00ED4B6D"/>
    <w:rsid w:val="00ED6893"/>
    <w:rsid w:val="00EE466B"/>
    <w:rsid w:val="00EE564B"/>
    <w:rsid w:val="00EE79D6"/>
    <w:rsid w:val="00EE7E69"/>
    <w:rsid w:val="00EF0D03"/>
    <w:rsid w:val="00EF0E84"/>
    <w:rsid w:val="00EF10D3"/>
    <w:rsid w:val="00EF18D1"/>
    <w:rsid w:val="00EF492C"/>
    <w:rsid w:val="00EF5154"/>
    <w:rsid w:val="00EF5351"/>
    <w:rsid w:val="00EF6D6A"/>
    <w:rsid w:val="00EF7338"/>
    <w:rsid w:val="00F041C4"/>
    <w:rsid w:val="00F04FF1"/>
    <w:rsid w:val="00F06646"/>
    <w:rsid w:val="00F0691A"/>
    <w:rsid w:val="00F06D5E"/>
    <w:rsid w:val="00F075BC"/>
    <w:rsid w:val="00F07FF9"/>
    <w:rsid w:val="00F1659A"/>
    <w:rsid w:val="00F17B48"/>
    <w:rsid w:val="00F21FAF"/>
    <w:rsid w:val="00F238DF"/>
    <w:rsid w:val="00F24726"/>
    <w:rsid w:val="00F25204"/>
    <w:rsid w:val="00F25935"/>
    <w:rsid w:val="00F279B9"/>
    <w:rsid w:val="00F306C7"/>
    <w:rsid w:val="00F32F05"/>
    <w:rsid w:val="00F33DDF"/>
    <w:rsid w:val="00F370AB"/>
    <w:rsid w:val="00F374A1"/>
    <w:rsid w:val="00F40389"/>
    <w:rsid w:val="00F41B8B"/>
    <w:rsid w:val="00F436AA"/>
    <w:rsid w:val="00F43FF6"/>
    <w:rsid w:val="00F447D5"/>
    <w:rsid w:val="00F44AB0"/>
    <w:rsid w:val="00F457F9"/>
    <w:rsid w:val="00F46D00"/>
    <w:rsid w:val="00F51AD2"/>
    <w:rsid w:val="00F52410"/>
    <w:rsid w:val="00F53092"/>
    <w:rsid w:val="00F57097"/>
    <w:rsid w:val="00F61CAD"/>
    <w:rsid w:val="00F6284E"/>
    <w:rsid w:val="00F645A1"/>
    <w:rsid w:val="00F64C54"/>
    <w:rsid w:val="00F66DD2"/>
    <w:rsid w:val="00F67C9D"/>
    <w:rsid w:val="00F67E53"/>
    <w:rsid w:val="00F67F16"/>
    <w:rsid w:val="00F70820"/>
    <w:rsid w:val="00F75995"/>
    <w:rsid w:val="00F76002"/>
    <w:rsid w:val="00F83946"/>
    <w:rsid w:val="00F86DB5"/>
    <w:rsid w:val="00F86E3C"/>
    <w:rsid w:val="00F86E7B"/>
    <w:rsid w:val="00F9096B"/>
    <w:rsid w:val="00F9117A"/>
    <w:rsid w:val="00F92891"/>
    <w:rsid w:val="00F930F6"/>
    <w:rsid w:val="00F94E9B"/>
    <w:rsid w:val="00F97162"/>
    <w:rsid w:val="00F975AE"/>
    <w:rsid w:val="00FA16EF"/>
    <w:rsid w:val="00FA1B18"/>
    <w:rsid w:val="00FA4865"/>
    <w:rsid w:val="00FA5282"/>
    <w:rsid w:val="00FA52A3"/>
    <w:rsid w:val="00FA620A"/>
    <w:rsid w:val="00FA64DD"/>
    <w:rsid w:val="00FB0A47"/>
    <w:rsid w:val="00FB3025"/>
    <w:rsid w:val="00FB41E2"/>
    <w:rsid w:val="00FB56AE"/>
    <w:rsid w:val="00FB5E5B"/>
    <w:rsid w:val="00FB79BE"/>
    <w:rsid w:val="00FB7D4C"/>
    <w:rsid w:val="00FC445A"/>
    <w:rsid w:val="00FC4DF5"/>
    <w:rsid w:val="00FC5AA6"/>
    <w:rsid w:val="00FC6823"/>
    <w:rsid w:val="00FC7BCC"/>
    <w:rsid w:val="00FC7FDF"/>
    <w:rsid w:val="00FD0053"/>
    <w:rsid w:val="00FD2929"/>
    <w:rsid w:val="00FD3118"/>
    <w:rsid w:val="00FD4590"/>
    <w:rsid w:val="00FD796D"/>
    <w:rsid w:val="00FD7A2F"/>
    <w:rsid w:val="00FE251C"/>
    <w:rsid w:val="00FE3329"/>
    <w:rsid w:val="00FE46C5"/>
    <w:rsid w:val="00FE4A64"/>
    <w:rsid w:val="00FE65E4"/>
    <w:rsid w:val="00FF267E"/>
    <w:rsid w:val="00FF5906"/>
    <w:rsid w:val="45F7A417"/>
    <w:rsid w:val="47E24D0A"/>
    <w:rsid w:val="51FF26EC"/>
    <w:rsid w:val="5FDF4ECC"/>
    <w:rsid w:val="6B6E8E8D"/>
    <w:rsid w:val="6FF1B1B9"/>
    <w:rsid w:val="79CFE33F"/>
    <w:rsid w:val="7CFBEE88"/>
    <w:rsid w:val="9B1D7683"/>
    <w:rsid w:val="BFFE305F"/>
    <w:rsid w:val="CDEF6CB7"/>
    <w:rsid w:val="EFFF2128"/>
    <w:rsid w:val="FEFB0C3A"/>
    <w:rsid w:val="FFDF8543"/>
    <w:rsid w:val="FFF76B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7"/>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9"/>
    <w:semiHidden/>
    <w:unhideWhenUsed/>
    <w:qFormat/>
    <w:uiPriority w:val="99"/>
    <w:pPr>
      <w:jc w:val="left"/>
    </w:pPr>
  </w:style>
  <w:style w:type="paragraph" w:styleId="6">
    <w:name w:val="Body Text"/>
    <w:basedOn w:val="1"/>
    <w:link w:val="51"/>
    <w:semiHidden/>
    <w:unhideWhenUsed/>
    <w:qFormat/>
    <w:uiPriority w:val="99"/>
    <w:pPr>
      <w:spacing w:after="120"/>
    </w:pPr>
  </w:style>
  <w:style w:type="paragraph" w:styleId="7">
    <w:name w:val="Body Text Indent"/>
    <w:basedOn w:val="1"/>
    <w:link w:val="29"/>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1"/>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4"/>
    <w:qFormat/>
    <w:uiPriority w:val="0"/>
    <w:pPr>
      <w:adjustRightInd w:val="0"/>
      <w:spacing w:line="360" w:lineRule="atLeast"/>
      <w:textAlignment w:val="baseline"/>
    </w:pPr>
    <w:rPr>
      <w:sz w:val="32"/>
    </w:rPr>
  </w:style>
  <w:style w:type="paragraph" w:styleId="12">
    <w:name w:val="Body Text Indent 2"/>
    <w:basedOn w:val="1"/>
    <w:link w:val="36"/>
    <w:semiHidden/>
    <w:unhideWhenUsed/>
    <w:qFormat/>
    <w:uiPriority w:val="99"/>
    <w:pPr>
      <w:spacing w:after="120" w:line="480" w:lineRule="auto"/>
      <w:ind w:left="420" w:leftChars="200"/>
    </w:pPr>
  </w:style>
  <w:style w:type="paragraph" w:styleId="13">
    <w:name w:val="Balloon Text"/>
    <w:basedOn w:val="1"/>
    <w:link w:val="50"/>
    <w:semiHidden/>
    <w:unhideWhenUsed/>
    <w:qFormat/>
    <w:uiPriority w:val="99"/>
    <w:rPr>
      <w:sz w:val="18"/>
      <w:szCs w:val="18"/>
    </w:rPr>
  </w:style>
  <w:style w:type="paragraph" w:styleId="14">
    <w:name w:val="footer"/>
    <w:basedOn w:val="1"/>
    <w:link w:val="33"/>
    <w:unhideWhenUsed/>
    <w:qFormat/>
    <w:uiPriority w:val="99"/>
    <w:pPr>
      <w:tabs>
        <w:tab w:val="center" w:pos="4153"/>
        <w:tab w:val="right" w:pos="8306"/>
      </w:tabs>
      <w:snapToGrid w:val="0"/>
      <w:jc w:val="left"/>
    </w:pPr>
    <w:rPr>
      <w:sz w:val="18"/>
      <w:szCs w:val="18"/>
    </w:rPr>
  </w:style>
  <w:style w:type="paragraph" w:styleId="15">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1"/>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2"/>
    <w:semiHidden/>
    <w:unhideWhenUsed/>
    <w:qFormat/>
    <w:uiPriority w:val="99"/>
    <w:pPr>
      <w:spacing w:after="120"/>
      <w:ind w:left="420" w:leftChars="200"/>
    </w:pPr>
    <w:rPr>
      <w:sz w:val="16"/>
      <w:szCs w:val="16"/>
    </w:rPr>
  </w:style>
  <w:style w:type="paragraph" w:styleId="19">
    <w:name w:val="Body Text 2"/>
    <w:basedOn w:val="1"/>
    <w:link w:val="38"/>
    <w:semiHidden/>
    <w:unhideWhenUsed/>
    <w:qFormat/>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3"/>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page number"/>
    <w:basedOn w:val="24"/>
    <w:qFormat/>
    <w:uiPriority w:val="0"/>
  </w:style>
  <w:style w:type="character" w:styleId="27">
    <w:name w:val="Hyperlink"/>
    <w:basedOn w:val="24"/>
    <w:unhideWhenUsed/>
    <w:qFormat/>
    <w:uiPriority w:val="99"/>
    <w:rPr>
      <w:color w:val="0000FF" w:themeColor="hyperlink"/>
      <w:u w:val="single"/>
      <w14:textFill>
        <w14:solidFill>
          <w14:schemeClr w14:val="hlink"/>
        </w14:solidFill>
      </w14:textFill>
    </w:rPr>
  </w:style>
  <w:style w:type="character" w:styleId="28">
    <w:name w:val="annotation reference"/>
    <w:basedOn w:val="24"/>
    <w:semiHidden/>
    <w:unhideWhenUsed/>
    <w:qFormat/>
    <w:uiPriority w:val="99"/>
    <w:rPr>
      <w:sz w:val="21"/>
      <w:szCs w:val="21"/>
    </w:rPr>
  </w:style>
  <w:style w:type="character" w:customStyle="1" w:styleId="29">
    <w:name w:val="正文文本缩进 Char"/>
    <w:basedOn w:val="24"/>
    <w:link w:val="7"/>
    <w:qFormat/>
    <w:uiPriority w:val="0"/>
    <w:rPr>
      <w:rFonts w:ascii="宋体" w:hAnsi="宋体" w:eastAsia="宋体" w:cs="Times New Roman"/>
      <w:sz w:val="24"/>
      <w:szCs w:val="20"/>
    </w:rPr>
  </w:style>
  <w:style w:type="paragraph" w:customStyle="1" w:styleId="30">
    <w:name w:val="Default"/>
    <w:link w:val="52"/>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1">
    <w:name w:val="副标题 Char"/>
    <w:basedOn w:val="24"/>
    <w:link w:val="16"/>
    <w:qFormat/>
    <w:uiPriority w:val="11"/>
    <w:rPr>
      <w:rFonts w:ascii="Cambria" w:hAnsi="Cambria" w:eastAsia="宋体" w:cs="Times New Roman"/>
      <w:b/>
      <w:bCs/>
      <w:kern w:val="28"/>
      <w:sz w:val="32"/>
      <w:szCs w:val="32"/>
      <w:lang w:val="zh-CN" w:eastAsia="zh-CN"/>
    </w:rPr>
  </w:style>
  <w:style w:type="character" w:customStyle="1" w:styleId="32">
    <w:name w:val="页眉 Char"/>
    <w:basedOn w:val="24"/>
    <w:link w:val="15"/>
    <w:qFormat/>
    <w:uiPriority w:val="99"/>
    <w:rPr>
      <w:rFonts w:ascii="Times New Roman" w:hAnsi="Times New Roman" w:eastAsia="宋体" w:cs="Times New Roman"/>
      <w:sz w:val="18"/>
      <w:szCs w:val="18"/>
    </w:rPr>
  </w:style>
  <w:style w:type="character" w:customStyle="1" w:styleId="33">
    <w:name w:val="页脚 Char"/>
    <w:basedOn w:val="24"/>
    <w:link w:val="14"/>
    <w:qFormat/>
    <w:uiPriority w:val="99"/>
    <w:rPr>
      <w:rFonts w:ascii="Times New Roman" w:hAnsi="Times New Roman" w:eastAsia="宋体" w:cs="Times New Roman"/>
      <w:sz w:val="18"/>
      <w:szCs w:val="18"/>
    </w:rPr>
  </w:style>
  <w:style w:type="character" w:customStyle="1" w:styleId="34">
    <w:name w:val="日期 Char"/>
    <w:basedOn w:val="24"/>
    <w:link w:val="11"/>
    <w:qFormat/>
    <w:uiPriority w:val="0"/>
    <w:rPr>
      <w:rFonts w:ascii="Times New Roman" w:hAnsi="Times New Roman" w:eastAsia="宋体" w:cs="Times New Roman"/>
      <w:sz w:val="32"/>
      <w:szCs w:val="20"/>
    </w:rPr>
  </w:style>
  <w:style w:type="paragraph" w:styleId="35">
    <w:name w:val="List Paragraph"/>
    <w:basedOn w:val="1"/>
    <w:link w:val="54"/>
    <w:qFormat/>
    <w:uiPriority w:val="34"/>
    <w:pPr>
      <w:ind w:firstLine="420" w:firstLineChars="200"/>
    </w:pPr>
  </w:style>
  <w:style w:type="character" w:customStyle="1" w:styleId="36">
    <w:name w:val="正文文本缩进 2 Char"/>
    <w:basedOn w:val="24"/>
    <w:link w:val="12"/>
    <w:semiHidden/>
    <w:qFormat/>
    <w:uiPriority w:val="99"/>
    <w:rPr>
      <w:rFonts w:ascii="Times New Roman" w:hAnsi="Times New Roman" w:eastAsia="宋体" w:cs="Times New Roman"/>
      <w:szCs w:val="20"/>
    </w:rPr>
  </w:style>
  <w:style w:type="character" w:customStyle="1" w:styleId="37">
    <w:name w:val="标题 3 Char"/>
    <w:basedOn w:val="24"/>
    <w:link w:val="2"/>
    <w:qFormat/>
    <w:uiPriority w:val="0"/>
    <w:rPr>
      <w:rFonts w:ascii="Times New Roman" w:hAnsi="Times New Roman" w:eastAsia="宋体" w:cs="Times New Roman"/>
      <w:b/>
      <w:bCs/>
      <w:sz w:val="32"/>
      <w:szCs w:val="32"/>
    </w:rPr>
  </w:style>
  <w:style w:type="character" w:customStyle="1" w:styleId="38">
    <w:name w:val="正文文本 2 Char"/>
    <w:basedOn w:val="24"/>
    <w:link w:val="19"/>
    <w:semiHidden/>
    <w:qFormat/>
    <w:uiPriority w:val="99"/>
    <w:rPr>
      <w:rFonts w:ascii="Times New Roman" w:hAnsi="Times New Roman" w:eastAsia="宋体" w:cs="Times New Roman"/>
      <w:szCs w:val="20"/>
    </w:rPr>
  </w:style>
  <w:style w:type="paragraph" w:customStyle="1" w:styleId="39">
    <w:name w:val="Char"/>
    <w:basedOn w:val="1"/>
    <w:autoRedefine/>
    <w:qFormat/>
    <w:uiPriority w:val="0"/>
    <w:pPr>
      <w:tabs>
        <w:tab w:val="left" w:pos="360"/>
      </w:tabs>
    </w:pPr>
    <w:rPr>
      <w:sz w:val="24"/>
      <w:szCs w:val="24"/>
    </w:rPr>
  </w:style>
  <w:style w:type="character" w:customStyle="1" w:styleId="40">
    <w:name w:val="纯文本 Char"/>
    <w:basedOn w:val="24"/>
    <w:semiHidden/>
    <w:qFormat/>
    <w:uiPriority w:val="99"/>
    <w:rPr>
      <w:rFonts w:ascii="宋体" w:hAnsi="Courier New" w:eastAsia="宋体" w:cs="Courier New"/>
      <w:szCs w:val="21"/>
    </w:rPr>
  </w:style>
  <w:style w:type="character" w:customStyle="1" w:styleId="41">
    <w:name w:val="纯文本 Char1"/>
    <w:link w:val="9"/>
    <w:qFormat/>
    <w:locked/>
    <w:uiPriority w:val="0"/>
    <w:rPr>
      <w:rFonts w:ascii="宋体" w:hAnsi="Courier New" w:eastAsia="宋体" w:cs="Times New Roman"/>
      <w:szCs w:val="20"/>
      <w:lang w:val="zh-CN" w:eastAsia="zh-CN"/>
    </w:rPr>
  </w:style>
  <w:style w:type="character" w:customStyle="1" w:styleId="42">
    <w:name w:val="正文文本缩进 3 Char"/>
    <w:basedOn w:val="24"/>
    <w:link w:val="18"/>
    <w:semiHidden/>
    <w:qFormat/>
    <w:uiPriority w:val="99"/>
    <w:rPr>
      <w:rFonts w:ascii="Times New Roman" w:hAnsi="Times New Roman" w:eastAsia="宋体" w:cs="Times New Roman"/>
      <w:sz w:val="16"/>
      <w:szCs w:val="16"/>
    </w:rPr>
  </w:style>
  <w:style w:type="paragraph" w:customStyle="1" w:styleId="43">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Char2"/>
    <w:basedOn w:val="1"/>
    <w:autoRedefine/>
    <w:qFormat/>
    <w:uiPriority w:val="0"/>
    <w:pPr>
      <w:tabs>
        <w:tab w:val="left" w:pos="360"/>
      </w:tabs>
    </w:pPr>
    <w:rPr>
      <w:sz w:val="24"/>
      <w:szCs w:val="24"/>
    </w:rPr>
  </w:style>
  <w:style w:type="paragraph" w:customStyle="1" w:styleId="48">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9">
    <w:name w:val="批注文字 Char"/>
    <w:basedOn w:val="24"/>
    <w:link w:val="5"/>
    <w:semiHidden/>
    <w:qFormat/>
    <w:uiPriority w:val="99"/>
    <w:rPr>
      <w:rFonts w:ascii="Times New Roman" w:hAnsi="Times New Roman" w:eastAsia="宋体" w:cs="Times New Roman"/>
      <w:szCs w:val="20"/>
    </w:rPr>
  </w:style>
  <w:style w:type="character" w:customStyle="1" w:styleId="50">
    <w:name w:val="批注框文本 Char"/>
    <w:basedOn w:val="24"/>
    <w:link w:val="13"/>
    <w:semiHidden/>
    <w:qFormat/>
    <w:uiPriority w:val="99"/>
    <w:rPr>
      <w:rFonts w:ascii="Times New Roman" w:hAnsi="Times New Roman" w:eastAsia="宋体" w:cs="Times New Roman"/>
      <w:sz w:val="18"/>
      <w:szCs w:val="18"/>
    </w:rPr>
  </w:style>
  <w:style w:type="character" w:customStyle="1" w:styleId="51">
    <w:name w:val="正文文本 Char"/>
    <w:basedOn w:val="24"/>
    <w:link w:val="6"/>
    <w:semiHidden/>
    <w:qFormat/>
    <w:uiPriority w:val="99"/>
    <w:rPr>
      <w:rFonts w:ascii="Times New Roman" w:hAnsi="Times New Roman" w:eastAsia="宋体" w:cs="Times New Roman"/>
      <w:szCs w:val="20"/>
    </w:rPr>
  </w:style>
  <w:style w:type="character" w:customStyle="1" w:styleId="52">
    <w:name w:val="Default Char"/>
    <w:link w:val="30"/>
    <w:qFormat/>
    <w:locked/>
    <w:uiPriority w:val="0"/>
    <w:rPr>
      <w:rFonts w:ascii="......." w:hAnsi="Calibri" w:eastAsia="......." w:cs="......."/>
      <w:color w:val="000000"/>
      <w:kern w:val="0"/>
      <w:sz w:val="24"/>
      <w:szCs w:val="24"/>
    </w:rPr>
  </w:style>
  <w:style w:type="character" w:customStyle="1" w:styleId="53">
    <w:name w:val="批注主题 Char"/>
    <w:basedOn w:val="49"/>
    <w:link w:val="21"/>
    <w:semiHidden/>
    <w:qFormat/>
    <w:uiPriority w:val="99"/>
    <w:rPr>
      <w:rFonts w:ascii="Times New Roman" w:hAnsi="Times New Roman" w:eastAsia="宋体" w:cs="Times New Roman"/>
      <w:b/>
      <w:bCs/>
      <w:szCs w:val="20"/>
    </w:rPr>
  </w:style>
  <w:style w:type="character" w:customStyle="1" w:styleId="54">
    <w:name w:val="列出段落 Char"/>
    <w:link w:val="35"/>
    <w:qFormat/>
    <w:uiPriority w:val="34"/>
    <w:rPr>
      <w:rFonts w:ascii="Times New Roman" w:hAnsi="Times New Roman" w:eastAsia="宋体" w:cs="Times New Roman"/>
      <w:szCs w:val="20"/>
    </w:rPr>
  </w:style>
  <w:style w:type="paragraph" w:customStyle="1" w:styleId="55">
    <w:name w:val="15"/>
    <w:basedOn w:val="1"/>
    <w:qFormat/>
    <w:uiPriority w:val="0"/>
    <w:pPr>
      <w:widowControl/>
      <w:jc w:val="left"/>
    </w:pPr>
    <w:rPr>
      <w:rFonts w:eastAsiaTheme="minorEastAsia"/>
      <w:kern w:val="0"/>
      <w:sz w:val="24"/>
      <w:szCs w:val="24"/>
      <w:lang w:eastAsia="en-US"/>
    </w:rPr>
  </w:style>
  <w:style w:type="paragraph" w:customStyle="1" w:styleId="56">
    <w:name w:val="16"/>
    <w:basedOn w:val="1"/>
    <w:qFormat/>
    <w:uiPriority w:val="0"/>
    <w:pPr>
      <w:widowControl/>
      <w:jc w:val="left"/>
    </w:pPr>
    <w:rPr>
      <w:rFonts w:eastAsiaTheme="minorEastAsia"/>
      <w:kern w:val="0"/>
      <w:sz w:val="24"/>
      <w:szCs w:val="24"/>
      <w:lang w:eastAsia="en-US"/>
    </w:rPr>
  </w:style>
  <w:style w:type="table" w:customStyle="1" w:styleId="57">
    <w:name w:val="17"/>
    <w:basedOn w:val="22"/>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C810C2-2D5B-4A60-B403-9F8E039761BE}">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95</Pages>
  <Words>4170</Words>
  <Characters>5044</Characters>
  <Lines>392</Lines>
  <Paragraphs>110</Paragraphs>
  <TotalTime>5</TotalTime>
  <ScaleCrop>false</ScaleCrop>
  <LinksUpToDate>false</LinksUpToDate>
  <CharactersWithSpaces>5109</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2025-12-30T01:28:00Z</dcterms:created>
  <dc:creator>未定义</dc:creator>
  <cp:lastModifiedBy>陈慧璐</cp:lastModifiedBy>
  <dcterms:modified xsi:type="dcterms:W3CDTF">2026-01-08T09:05:54Z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4C6B322BD73B40A2ACCBEEB1ED9E7354_13</vt:lpwstr>
  </property>
</Properties>
</file>