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1.6.0 -->
  <w:body>
    <w:p>
      <w:pPr>
        <w:widowControl w:val="0"/>
        <w:topLinePunct/>
        <w:autoSpaceDE w:val="0"/>
        <w:autoSpaceDN w:val="0"/>
        <w:spacing w:before="0" w:after="0" w:line="360" w:lineRule="auto"/>
        <w:jc w:val="center"/>
        <w:rPr>
          <w:rFonts w:ascii="宋体" w:eastAsia="宋体" w:hAnsi="宋体" w:cs="宋体" w:hint="eastAsia"/>
          <w:b/>
          <w:sz w:val="96"/>
          <w:szCs w:val="96"/>
          <w:lang w:eastAsia="zh-CN"/>
        </w:rPr>
      </w:pPr>
      <w:bookmarkStart w:id="0" w:name="_GoBack"/>
      <w:bookmarkEnd w:id="0"/>
    </w:p>
    <w:p>
      <w:pPr>
        <w:widowControl w:val="0"/>
        <w:topLinePunct/>
        <w:autoSpaceDE w:val="0"/>
        <w:autoSpaceDN w:val="0"/>
        <w:spacing w:before="0" w:after="0" w:line="360" w:lineRule="auto"/>
        <w:jc w:val="center"/>
        <w:rPr>
          <w:rFonts w:ascii="宋体" w:eastAsia="宋体" w:hAnsi="宋体" w:cs="宋体" w:hint="eastAsia"/>
          <w:b/>
          <w:sz w:val="96"/>
          <w:szCs w:val="96"/>
          <w:lang w:eastAsia="zh-CN"/>
        </w:rPr>
      </w:pPr>
      <w:r>
        <w:rPr>
          <w:rFonts w:ascii="宋体" w:eastAsia="宋体" w:hAnsi="宋体" w:cs="宋体" w:hint="eastAsia"/>
          <w:b/>
          <w:sz w:val="96"/>
          <w:szCs w:val="96"/>
          <w:lang w:eastAsia="zh-CN"/>
        </w:rPr>
        <w:t>采 购 需 求</w:t>
      </w:r>
    </w:p>
    <w:p>
      <w:pPr>
        <w:widowControl w:val="0"/>
        <w:topLinePunct/>
        <w:autoSpaceDE w:val="0"/>
        <w:autoSpaceDN w:val="0"/>
        <w:spacing w:before="0" w:after="0" w:line="360" w:lineRule="auto"/>
        <w:jc w:val="center"/>
        <w:rPr>
          <w:rFonts w:ascii="宋体" w:eastAsia="宋体" w:hAnsi="宋体" w:cs="宋体" w:hint="eastAsia"/>
          <w:b/>
          <w:sz w:val="80"/>
          <w:szCs w:val="80"/>
          <w:lang w:eastAsia="zh-CN"/>
        </w:rPr>
      </w:pPr>
    </w:p>
    <w:p>
      <w:pPr>
        <w:widowControl w:val="0"/>
        <w:topLinePunct/>
        <w:autoSpaceDE w:val="0"/>
        <w:autoSpaceDN w:val="0"/>
        <w:spacing w:before="0" w:after="0" w:line="360" w:lineRule="auto"/>
        <w:jc w:val="center"/>
        <w:rPr>
          <w:rFonts w:ascii="宋体" w:eastAsia="宋体" w:hAnsi="宋体" w:cs="宋体" w:hint="eastAsia"/>
          <w:b/>
          <w:sz w:val="80"/>
          <w:szCs w:val="80"/>
          <w:lang w:eastAsia="zh-CN"/>
        </w:rPr>
      </w:pPr>
    </w:p>
    <w:p>
      <w:pPr>
        <w:widowControl w:val="0"/>
        <w:topLinePunct/>
        <w:autoSpaceDE w:val="0"/>
        <w:autoSpaceDN w:val="0"/>
        <w:spacing w:before="0" w:after="0" w:line="360" w:lineRule="auto"/>
        <w:jc w:val="center"/>
        <w:rPr>
          <w:rFonts w:ascii="宋体" w:eastAsia="宋体" w:hAnsi="宋体" w:cs="宋体" w:hint="eastAsia"/>
          <w:b/>
          <w:sz w:val="80"/>
          <w:szCs w:val="80"/>
          <w:lang w:eastAsia="zh-CN"/>
        </w:rPr>
      </w:pPr>
    </w:p>
    <w:p>
      <w:pPr>
        <w:widowControl w:val="0"/>
        <w:topLinePunct/>
        <w:autoSpaceDE w:val="0"/>
        <w:autoSpaceDN w:val="0"/>
        <w:spacing w:before="0" w:after="0" w:line="360" w:lineRule="auto"/>
        <w:jc w:val="center"/>
        <w:rPr>
          <w:rFonts w:ascii="宋体" w:eastAsia="宋体" w:hAnsi="宋体" w:cs="宋体" w:hint="eastAsia"/>
          <w:b/>
          <w:sz w:val="30"/>
          <w:szCs w:val="30"/>
          <w:lang w:eastAsia="zh-CN"/>
        </w:rPr>
      </w:pPr>
      <w:r>
        <w:rPr>
          <w:rFonts w:ascii="宋体" w:eastAsia="宋体" w:hAnsi="宋体" w:cs="宋体" w:hint="eastAsia"/>
          <w:b/>
          <w:sz w:val="30"/>
          <w:szCs w:val="30"/>
          <w:lang w:eastAsia="zh-CN"/>
        </w:rPr>
        <w:t>项目名称：</w:t>
      </w:r>
      <w:bookmarkStart w:id="1" w:name="项目名称_projectName"/>
      <w:r>
        <w:rPr>
          <w:rFonts w:ascii="宋体" w:eastAsia="宋体" w:hAnsi="宋体" w:cs="宋体" w:hint="eastAsia"/>
          <w:b/>
          <w:sz w:val="30"/>
          <w:szCs w:val="30"/>
          <w:lang w:eastAsia="zh-CN"/>
        </w:rPr>
        <w:t>国家税务总局中新天津生态城税务局2026-2027年度非执法类辅助性服务采购项目</w:t>
      </w:r>
      <w:bookmarkEnd w:id="1"/>
    </w:p>
    <w:p>
      <w:pPr>
        <w:widowControl w:val="0"/>
        <w:spacing w:before="0" w:after="0" w:line="360" w:lineRule="auto"/>
        <w:jc w:val="both"/>
        <w:rPr>
          <w:rFonts w:ascii="宋体" w:eastAsia="宋体" w:hAnsi="宋体" w:cs="宋体" w:hint="eastAsia"/>
          <w:kern w:val="2"/>
          <w:sz w:val="32"/>
          <w:szCs w:val="32"/>
          <w:lang w:eastAsia="zh-CN"/>
        </w:rPr>
      </w:pPr>
    </w:p>
    <w:p>
      <w:pPr>
        <w:widowControl w:val="0"/>
        <w:spacing w:before="0" w:after="0" w:line="360" w:lineRule="auto"/>
        <w:jc w:val="both"/>
        <w:rPr>
          <w:rFonts w:ascii="宋体" w:eastAsia="宋体" w:hAnsi="宋体" w:cs="宋体"/>
          <w:kern w:val="2"/>
          <w:sz w:val="32"/>
          <w:szCs w:val="32"/>
          <w:lang w:eastAsia="zh-CN"/>
        </w:rPr>
      </w:pPr>
    </w:p>
    <w:p>
      <w:pPr>
        <w:widowControl w:val="0"/>
        <w:spacing w:before="0" w:after="0" w:line="360" w:lineRule="auto"/>
        <w:jc w:val="both"/>
        <w:rPr>
          <w:rFonts w:ascii="宋体" w:eastAsia="宋体" w:hAnsi="宋体" w:cs="宋体" w:hint="eastAsia"/>
          <w:kern w:val="2"/>
          <w:sz w:val="32"/>
          <w:szCs w:val="32"/>
          <w:lang w:eastAsia="zh-CN"/>
        </w:rPr>
      </w:pPr>
    </w:p>
    <w:p>
      <w:pPr>
        <w:widowControl w:val="0"/>
        <w:topLinePunct/>
        <w:autoSpaceDE w:val="0"/>
        <w:autoSpaceDN w:val="0"/>
        <w:spacing w:before="0" w:after="0" w:line="360" w:lineRule="auto"/>
        <w:jc w:val="both"/>
        <w:rPr>
          <w:rFonts w:ascii="宋体" w:eastAsia="宋体" w:hAnsi="宋体" w:cs="宋体" w:hint="eastAsia"/>
          <w:sz w:val="32"/>
          <w:szCs w:val="32"/>
          <w:lang w:eastAsia="zh-CN"/>
        </w:rPr>
      </w:pPr>
    </w:p>
    <w:p>
      <w:pPr>
        <w:spacing w:before="0" w:after="0" w:line="360" w:lineRule="auto"/>
        <w:jc w:val="center"/>
        <w:rPr>
          <w:rFonts w:eastAsia="宋体"/>
        </w:rPr>
      </w:pPr>
      <w:bookmarkStart w:id="2" w:name="生成日期_currentDateTime_ym"/>
      <w:r>
        <w:rPr>
          <w:rFonts w:ascii="宋体" w:eastAsia="宋体" w:hAnsi="宋体" w:cs="宋体" w:hint="eastAsia"/>
          <w:sz w:val="36"/>
          <w:szCs w:val="36"/>
          <w:lang w:eastAsia="zh-CN"/>
        </w:rPr>
        <w:t>2026年01月</w:t>
      </w:r>
      <w:bookmarkEnd w:id="2"/>
    </w:p>
    <w:p w:rsidR="00A77B3E">
      <w:pPr>
        <w:spacing w:before="0" w:after="0" w:line="360" w:lineRule="auto"/>
        <w:jc w:val="center"/>
        <w:rPr>
          <w:rFonts w:ascii="SimSun" w:eastAsia="SimSun" w:hAnsi="SimSun" w:cs="SimSun"/>
          <w:sz w:val="32"/>
        </w:rPr>
      </w:pPr>
      <w:r>
        <w:br w:type="page"/>
      </w:r>
      <w:r>
        <w:rPr>
          <w:rFonts w:ascii="SimSun" w:eastAsia="SimSun" w:hAnsi="SimSun" w:cs="SimSun"/>
          <w:sz w:val="32"/>
        </w:rPr>
        <w:t>目 录</w:t>
      </w:r>
    </w:p>
    <w:p>
      <w:pPr>
        <w:pStyle w:val="TOC1"/>
        <w:tabs>
          <w:tab w:val="right" w:leader="dot" w:pos="9016"/>
        </w:tabs>
        <w:spacing w:before="0" w:after="0" w:line="360" w:lineRule="auto"/>
        <w:rPr>
          <w:rFonts w:asciiTheme="minorHAnsi" w:hAnsiTheme="minorHAnsi"/>
          <w:noProof/>
          <w:sz w:val="22"/>
        </w:rPr>
      </w:pPr>
      <w:r w:rsidR="00A77B3E">
        <w:rPr>
          <w:rFonts w:ascii="SimSun" w:eastAsia="SimSun" w:hAnsi="SimSun" w:cs="SimSun"/>
          <w:sz w:val="32"/>
        </w:rPr>
        <w:fldChar w:fldCharType="begin"/>
      </w:r>
      <w:r w:rsidR="00A77B3E">
        <w:rPr>
          <w:rFonts w:ascii="SimSun" w:eastAsia="SimSun" w:hAnsi="SimSun" w:cs="SimSun"/>
          <w:sz w:val="32"/>
        </w:rPr>
        <w:instrText>TOC \o "1-3" \h \z \u</w:instrText>
      </w:r>
      <w:r w:rsidR="00A77B3E">
        <w:rPr>
          <w:rFonts w:ascii="SimSun" w:eastAsia="SimSun" w:hAnsi="SimSun" w:cs="SimSun"/>
          <w:sz w:val="32"/>
        </w:rPr>
        <w:fldChar w:fldCharType="separate"/>
      </w:r>
      <w:hyperlink w:anchor="_Toc256000000" w:history="1">
        <w:r>
          <w:rPr>
            <w:rStyle w:val="Hyperlink"/>
            <w:rFonts w:ascii="仿宋_GB2312" w:eastAsia="仿宋_GB2312" w:hAnsi="仿宋_GB2312" w:cs="仿宋_GB2312"/>
            <w:kern w:val="36"/>
          </w:rPr>
          <w:t>1项目概述</w:t>
        </w:r>
        <w:r>
          <w:tab/>
        </w:r>
        <w:r>
          <w:fldChar w:fldCharType="begin"/>
        </w:r>
        <w:r>
          <w:instrText xml:space="preserve"> PAGEREF _Toc256000000 \h </w:instrText>
        </w:r>
        <w:r>
          <w:fldChar w:fldCharType="separate"/>
        </w:r>
        <w:r>
          <w:t>4</w:t>
        </w:r>
        <w:r>
          <w:fldChar w:fldCharType="end"/>
        </w:r>
      </w:hyperlink>
    </w:p>
    <w:p>
      <w:pPr>
        <w:pStyle w:val="TOC2"/>
        <w:tabs>
          <w:tab w:val="right" w:leader="dot" w:pos="9016"/>
        </w:tabs>
        <w:spacing w:before="0" w:after="0" w:line="360" w:lineRule="auto"/>
        <w:rPr>
          <w:rFonts w:asciiTheme="minorHAnsi" w:hAnsiTheme="minorHAnsi"/>
          <w:noProof/>
          <w:sz w:val="22"/>
        </w:rPr>
      </w:pPr>
      <w:hyperlink w:anchor="_Toc256000001" w:history="1">
        <w:r>
          <w:rPr>
            <w:rStyle w:val="Hyperlink"/>
            <w:rFonts w:ascii="仿宋_GB2312" w:eastAsia="仿宋_GB2312" w:hAnsi="仿宋_GB2312" w:cs="仿宋_GB2312"/>
          </w:rPr>
          <w:t>1.1项目背景</w:t>
        </w:r>
        <w:r>
          <w:tab/>
        </w:r>
        <w:r>
          <w:fldChar w:fldCharType="begin"/>
        </w:r>
        <w:r>
          <w:instrText xml:space="preserve"> PAGEREF _Toc256000001 \h </w:instrText>
        </w:r>
        <w:r>
          <w:fldChar w:fldCharType="separate"/>
        </w:r>
        <w:r>
          <w:t>4</w:t>
        </w:r>
        <w:r>
          <w:fldChar w:fldCharType="end"/>
        </w:r>
      </w:hyperlink>
    </w:p>
    <w:p>
      <w:pPr>
        <w:pStyle w:val="TOC3"/>
        <w:tabs>
          <w:tab w:val="right" w:leader="dot" w:pos="9016"/>
        </w:tabs>
        <w:spacing w:before="0" w:after="0" w:line="360" w:lineRule="auto"/>
        <w:rPr>
          <w:rFonts w:asciiTheme="minorHAnsi" w:hAnsiTheme="minorHAnsi"/>
          <w:noProof/>
          <w:sz w:val="22"/>
        </w:rPr>
      </w:pPr>
      <w:hyperlink w:anchor="_Toc256000002" w:history="1">
        <w:r>
          <w:rPr>
            <w:rStyle w:val="Hyperlink"/>
            <w:rFonts w:ascii="仿宋_GB2312" w:eastAsia="仿宋_GB2312" w:hAnsi="仿宋_GB2312" w:cs="仿宋_GB2312"/>
          </w:rPr>
          <w:t>1.1.1项目目的、意义及背景</w:t>
        </w:r>
        <w:r>
          <w:tab/>
        </w:r>
        <w:r>
          <w:fldChar w:fldCharType="begin"/>
        </w:r>
        <w:r>
          <w:instrText xml:space="preserve"> PAGEREF _Toc256000002 \h </w:instrText>
        </w:r>
        <w:r>
          <w:fldChar w:fldCharType="separate"/>
        </w:r>
        <w:r>
          <w:t>4</w:t>
        </w:r>
        <w:r>
          <w:fldChar w:fldCharType="end"/>
        </w:r>
      </w:hyperlink>
    </w:p>
    <w:p>
      <w:pPr>
        <w:pStyle w:val="TOC2"/>
        <w:tabs>
          <w:tab w:val="right" w:leader="dot" w:pos="9016"/>
        </w:tabs>
        <w:spacing w:before="0" w:after="0" w:line="360" w:lineRule="auto"/>
        <w:rPr>
          <w:rFonts w:asciiTheme="minorHAnsi" w:hAnsiTheme="minorHAnsi"/>
          <w:noProof/>
          <w:sz w:val="22"/>
        </w:rPr>
      </w:pPr>
      <w:hyperlink w:anchor="_Toc256000003" w:history="1">
        <w:r>
          <w:rPr>
            <w:rStyle w:val="Hyperlink"/>
            <w:rFonts w:ascii="仿宋_GB2312" w:eastAsia="仿宋_GB2312" w:hAnsi="仿宋_GB2312" w:cs="仿宋_GB2312"/>
          </w:rPr>
          <w:t>1.2项目内容</w:t>
        </w:r>
        <w:r>
          <w:tab/>
        </w:r>
        <w:r>
          <w:fldChar w:fldCharType="begin"/>
        </w:r>
        <w:r>
          <w:instrText xml:space="preserve"> PAGEREF _Toc256000003 \h </w:instrText>
        </w:r>
        <w:r>
          <w:fldChar w:fldCharType="separate"/>
        </w:r>
        <w:r>
          <w:t>4</w:t>
        </w:r>
        <w:r>
          <w:fldChar w:fldCharType="end"/>
        </w:r>
      </w:hyperlink>
    </w:p>
    <w:p>
      <w:pPr>
        <w:pStyle w:val="TOC3"/>
        <w:tabs>
          <w:tab w:val="right" w:leader="dot" w:pos="9016"/>
        </w:tabs>
        <w:spacing w:before="0" w:after="0" w:line="360" w:lineRule="auto"/>
        <w:rPr>
          <w:rFonts w:asciiTheme="minorHAnsi" w:hAnsiTheme="minorHAnsi"/>
          <w:noProof/>
          <w:sz w:val="22"/>
        </w:rPr>
      </w:pPr>
      <w:hyperlink w:anchor="_Toc256000004" w:history="1">
        <w:r>
          <w:rPr>
            <w:rStyle w:val="Hyperlink"/>
            <w:rFonts w:ascii="仿宋_GB2312" w:eastAsia="仿宋_GB2312" w:hAnsi="仿宋_GB2312" w:cs="仿宋_GB2312"/>
          </w:rPr>
          <w:t>1.2.1项目建设思路</w:t>
        </w:r>
        <w:r>
          <w:tab/>
        </w:r>
        <w:r>
          <w:fldChar w:fldCharType="begin"/>
        </w:r>
        <w:r>
          <w:instrText xml:space="preserve"> PAGEREF _Toc256000004 \h </w:instrText>
        </w:r>
        <w:r>
          <w:fldChar w:fldCharType="separate"/>
        </w:r>
        <w:r>
          <w:t>4</w:t>
        </w:r>
        <w:r>
          <w:fldChar w:fldCharType="end"/>
        </w:r>
      </w:hyperlink>
    </w:p>
    <w:p>
      <w:pPr>
        <w:pStyle w:val="TOC3"/>
        <w:tabs>
          <w:tab w:val="right" w:leader="dot" w:pos="9016"/>
        </w:tabs>
        <w:spacing w:before="0" w:after="0" w:line="360" w:lineRule="auto"/>
        <w:rPr>
          <w:rFonts w:asciiTheme="minorHAnsi" w:hAnsiTheme="minorHAnsi"/>
          <w:noProof/>
          <w:sz w:val="22"/>
        </w:rPr>
      </w:pPr>
      <w:hyperlink w:anchor="_Toc256000005" w:history="1">
        <w:r>
          <w:rPr>
            <w:rStyle w:val="Hyperlink"/>
            <w:rFonts w:ascii="仿宋_GB2312" w:eastAsia="仿宋_GB2312" w:hAnsi="仿宋_GB2312" w:cs="仿宋_GB2312"/>
          </w:rPr>
          <w:t>1.2.2采购内容</w:t>
        </w:r>
        <w:r>
          <w:tab/>
        </w:r>
        <w:r>
          <w:fldChar w:fldCharType="begin"/>
        </w:r>
        <w:r>
          <w:instrText xml:space="preserve"> PAGEREF _Toc256000005 \h </w:instrText>
        </w:r>
        <w:r>
          <w:fldChar w:fldCharType="separate"/>
        </w:r>
        <w:r>
          <w:t>5</w:t>
        </w:r>
        <w:r>
          <w:fldChar w:fldCharType="end"/>
        </w:r>
      </w:hyperlink>
    </w:p>
    <w:p>
      <w:pPr>
        <w:pStyle w:val="TOC3"/>
        <w:tabs>
          <w:tab w:val="right" w:leader="dot" w:pos="9016"/>
        </w:tabs>
        <w:spacing w:before="0" w:after="0" w:line="360" w:lineRule="auto"/>
        <w:rPr>
          <w:rFonts w:asciiTheme="minorHAnsi" w:hAnsiTheme="minorHAnsi"/>
          <w:noProof/>
          <w:sz w:val="22"/>
        </w:rPr>
      </w:pPr>
      <w:hyperlink w:anchor="_Toc256000006" w:history="1">
        <w:r>
          <w:rPr>
            <w:rStyle w:val="Hyperlink"/>
            <w:rFonts w:ascii="仿宋_GB2312" w:eastAsia="仿宋_GB2312" w:hAnsi="仿宋_GB2312" w:cs="仿宋_GB2312"/>
          </w:rPr>
          <w:t>1.2.3项目实施要求</w:t>
        </w:r>
        <w:r>
          <w:tab/>
        </w:r>
        <w:r>
          <w:fldChar w:fldCharType="begin"/>
        </w:r>
        <w:r>
          <w:instrText xml:space="preserve"> PAGEREF _Toc256000006 \h </w:instrText>
        </w:r>
        <w:r>
          <w:fldChar w:fldCharType="separate"/>
        </w:r>
        <w:r>
          <w:t>5</w:t>
        </w:r>
        <w:r>
          <w:fldChar w:fldCharType="end"/>
        </w:r>
      </w:hyperlink>
    </w:p>
    <w:p>
      <w:pPr>
        <w:pStyle w:val="TOC2"/>
        <w:tabs>
          <w:tab w:val="right" w:leader="dot" w:pos="9016"/>
        </w:tabs>
        <w:spacing w:before="0" w:after="0" w:line="360" w:lineRule="auto"/>
        <w:rPr>
          <w:rFonts w:asciiTheme="minorHAnsi" w:hAnsiTheme="minorHAnsi"/>
          <w:noProof/>
          <w:sz w:val="22"/>
        </w:rPr>
      </w:pPr>
      <w:hyperlink w:anchor="_Toc256000007" w:history="1">
        <w:r>
          <w:rPr>
            <w:rStyle w:val="Hyperlink"/>
            <w:rFonts w:ascii="仿宋_GB2312" w:eastAsia="仿宋_GB2312" w:hAnsi="仿宋_GB2312" w:cs="仿宋_GB2312"/>
          </w:rPr>
          <w:t>1.3其他要求</w:t>
        </w:r>
        <w:r>
          <w:tab/>
        </w:r>
        <w:r>
          <w:fldChar w:fldCharType="begin"/>
        </w:r>
        <w:r>
          <w:instrText xml:space="preserve"> PAGEREF _Toc256000007 \h </w:instrText>
        </w:r>
        <w:r>
          <w:fldChar w:fldCharType="separate"/>
        </w:r>
        <w:r>
          <w:t>5</w:t>
        </w:r>
        <w:r>
          <w:fldChar w:fldCharType="end"/>
        </w:r>
      </w:hyperlink>
    </w:p>
    <w:p>
      <w:pPr>
        <w:pStyle w:val="TOC3"/>
        <w:tabs>
          <w:tab w:val="right" w:leader="dot" w:pos="9016"/>
        </w:tabs>
        <w:spacing w:before="0" w:after="0" w:line="360" w:lineRule="auto"/>
        <w:rPr>
          <w:rFonts w:asciiTheme="minorHAnsi" w:hAnsiTheme="minorHAnsi"/>
          <w:noProof/>
          <w:sz w:val="22"/>
        </w:rPr>
      </w:pPr>
      <w:hyperlink w:anchor="_Toc256000008" w:history="1">
        <w:r>
          <w:rPr>
            <w:rStyle w:val="Hyperlink"/>
            <w:rFonts w:ascii="仿宋_GB2312" w:eastAsia="仿宋_GB2312" w:hAnsi="仿宋_GB2312" w:cs="仿宋_GB2312"/>
          </w:rPr>
          <w:t>1.3.1采购标的需执行的相关标准规范</w:t>
        </w:r>
        <w:r>
          <w:tab/>
        </w:r>
        <w:r>
          <w:fldChar w:fldCharType="begin"/>
        </w:r>
        <w:r>
          <w:instrText xml:space="preserve"> PAGEREF _Toc256000008 \h </w:instrText>
        </w:r>
        <w:r>
          <w:fldChar w:fldCharType="separate"/>
        </w:r>
        <w:r>
          <w:t>5</w:t>
        </w:r>
        <w:r>
          <w:fldChar w:fldCharType="end"/>
        </w:r>
      </w:hyperlink>
    </w:p>
    <w:p>
      <w:pPr>
        <w:pStyle w:val="TOC1"/>
        <w:tabs>
          <w:tab w:val="right" w:leader="dot" w:pos="9016"/>
        </w:tabs>
        <w:spacing w:before="0" w:after="0" w:line="360" w:lineRule="auto"/>
        <w:rPr>
          <w:rFonts w:asciiTheme="minorHAnsi" w:hAnsiTheme="minorHAnsi"/>
          <w:noProof/>
          <w:sz w:val="22"/>
        </w:rPr>
      </w:pPr>
      <w:hyperlink w:anchor="_Toc256000009" w:history="1">
        <w:r>
          <w:rPr>
            <w:rStyle w:val="Hyperlink"/>
            <w:rFonts w:ascii="仿宋_GB2312" w:eastAsia="仿宋_GB2312" w:hAnsi="仿宋_GB2312" w:cs="仿宋_GB2312"/>
            <w:kern w:val="36"/>
          </w:rPr>
          <w:t>2投标/响应要求</w:t>
        </w:r>
        <w:r>
          <w:tab/>
        </w:r>
        <w:r>
          <w:fldChar w:fldCharType="begin"/>
        </w:r>
        <w:r>
          <w:instrText xml:space="preserve"> PAGEREF _Toc256000009 \h </w:instrText>
        </w:r>
        <w:r>
          <w:fldChar w:fldCharType="separate"/>
        </w:r>
        <w:r>
          <w:t>5</w:t>
        </w:r>
        <w:r>
          <w:fldChar w:fldCharType="end"/>
        </w:r>
      </w:hyperlink>
    </w:p>
    <w:p>
      <w:pPr>
        <w:pStyle w:val="TOC2"/>
        <w:tabs>
          <w:tab w:val="right" w:leader="dot" w:pos="9016"/>
        </w:tabs>
        <w:spacing w:before="0" w:after="0" w:line="360" w:lineRule="auto"/>
        <w:rPr>
          <w:rFonts w:asciiTheme="minorHAnsi" w:hAnsiTheme="minorHAnsi"/>
          <w:noProof/>
          <w:sz w:val="22"/>
        </w:rPr>
      </w:pPr>
      <w:hyperlink w:anchor="_Toc256000010" w:history="1">
        <w:r>
          <w:rPr>
            <w:rStyle w:val="Hyperlink"/>
            <w:rFonts w:ascii="仿宋_GB2312" w:eastAsia="仿宋_GB2312" w:hAnsi="仿宋_GB2312" w:cs="仿宋_GB2312"/>
          </w:rPr>
          <w:t>2.1对供应商的要求</w:t>
        </w:r>
        <w:r>
          <w:tab/>
        </w:r>
        <w:r>
          <w:fldChar w:fldCharType="begin"/>
        </w:r>
        <w:r>
          <w:instrText xml:space="preserve"> PAGEREF _Toc256000010 \h </w:instrText>
        </w:r>
        <w:r>
          <w:fldChar w:fldCharType="separate"/>
        </w:r>
        <w:r>
          <w:t>5</w:t>
        </w:r>
        <w:r>
          <w:fldChar w:fldCharType="end"/>
        </w:r>
      </w:hyperlink>
    </w:p>
    <w:p>
      <w:pPr>
        <w:pStyle w:val="TOC3"/>
        <w:tabs>
          <w:tab w:val="right" w:leader="dot" w:pos="9016"/>
        </w:tabs>
        <w:spacing w:before="0" w:after="0" w:line="360" w:lineRule="auto"/>
        <w:rPr>
          <w:rFonts w:asciiTheme="minorHAnsi" w:hAnsiTheme="minorHAnsi"/>
          <w:noProof/>
          <w:sz w:val="22"/>
        </w:rPr>
      </w:pPr>
      <w:hyperlink w:anchor="_Toc256000011" w:history="1">
        <w:r>
          <w:rPr>
            <w:rStyle w:val="Hyperlink"/>
            <w:rFonts w:ascii="仿宋_GB2312" w:eastAsia="仿宋_GB2312" w:hAnsi="仿宋_GB2312" w:cs="仿宋_GB2312"/>
          </w:rPr>
          <w:t>2.1.1必备资质</w:t>
        </w:r>
        <w:r>
          <w:tab/>
        </w:r>
        <w:r>
          <w:fldChar w:fldCharType="begin"/>
        </w:r>
        <w:r>
          <w:instrText xml:space="preserve"> PAGEREF _Toc256000011 \h </w:instrText>
        </w:r>
        <w:r>
          <w:fldChar w:fldCharType="separate"/>
        </w:r>
        <w:r>
          <w:t>6</w:t>
        </w:r>
        <w:r>
          <w:fldChar w:fldCharType="end"/>
        </w:r>
      </w:hyperlink>
    </w:p>
    <w:p>
      <w:pPr>
        <w:pStyle w:val="TOC3"/>
        <w:tabs>
          <w:tab w:val="right" w:leader="dot" w:pos="9016"/>
        </w:tabs>
        <w:spacing w:before="0" w:after="0" w:line="360" w:lineRule="auto"/>
        <w:rPr>
          <w:rFonts w:asciiTheme="minorHAnsi" w:hAnsiTheme="minorHAnsi"/>
          <w:noProof/>
          <w:sz w:val="22"/>
        </w:rPr>
      </w:pPr>
      <w:hyperlink w:anchor="_Toc256000012" w:history="1">
        <w:r>
          <w:rPr>
            <w:rStyle w:val="Hyperlink"/>
            <w:rFonts w:ascii="仿宋_GB2312" w:eastAsia="仿宋_GB2312" w:hAnsi="仿宋_GB2312" w:cs="仿宋_GB2312"/>
          </w:rPr>
          <w:t>2.1.2优选资质/优选指标</w:t>
        </w:r>
        <w:r>
          <w:tab/>
        </w:r>
        <w:r>
          <w:fldChar w:fldCharType="begin"/>
        </w:r>
        <w:r>
          <w:instrText xml:space="preserve"> PAGEREF _Toc256000012 \h </w:instrText>
        </w:r>
        <w:r>
          <w:fldChar w:fldCharType="separate"/>
        </w:r>
        <w:r>
          <w:t>6</w:t>
        </w:r>
        <w:r>
          <w:fldChar w:fldCharType="end"/>
        </w:r>
      </w:hyperlink>
    </w:p>
    <w:p>
      <w:pPr>
        <w:pStyle w:val="TOC3"/>
        <w:tabs>
          <w:tab w:val="right" w:leader="dot" w:pos="9016"/>
        </w:tabs>
        <w:spacing w:before="0" w:after="0" w:line="360" w:lineRule="auto"/>
        <w:rPr>
          <w:rFonts w:asciiTheme="minorHAnsi" w:hAnsiTheme="minorHAnsi"/>
          <w:noProof/>
          <w:sz w:val="22"/>
        </w:rPr>
      </w:pPr>
      <w:hyperlink w:anchor="_Toc256000013" w:history="1">
        <w:r>
          <w:rPr>
            <w:rStyle w:val="Hyperlink"/>
            <w:rFonts w:ascii="仿宋_GB2312" w:eastAsia="仿宋_GB2312" w:hAnsi="仿宋_GB2312" w:cs="仿宋_GB2312"/>
          </w:rPr>
          <w:t>2.1.3是否允许联合体</w:t>
        </w:r>
        <w:r>
          <w:tab/>
        </w:r>
        <w:r>
          <w:fldChar w:fldCharType="begin"/>
        </w:r>
        <w:r>
          <w:instrText xml:space="preserve"> PAGEREF _Toc256000013 \h </w:instrText>
        </w:r>
        <w:r>
          <w:fldChar w:fldCharType="separate"/>
        </w:r>
        <w:r>
          <w:t>6</w:t>
        </w:r>
        <w:r>
          <w:fldChar w:fldCharType="end"/>
        </w:r>
      </w:hyperlink>
    </w:p>
    <w:p>
      <w:pPr>
        <w:pStyle w:val="TOC3"/>
        <w:tabs>
          <w:tab w:val="right" w:leader="dot" w:pos="9016"/>
        </w:tabs>
        <w:spacing w:before="0" w:after="0" w:line="360" w:lineRule="auto"/>
        <w:rPr>
          <w:rFonts w:asciiTheme="minorHAnsi" w:hAnsiTheme="minorHAnsi"/>
          <w:noProof/>
          <w:sz w:val="22"/>
        </w:rPr>
      </w:pPr>
      <w:hyperlink w:anchor="_Toc256000014" w:history="1">
        <w:r>
          <w:rPr>
            <w:rStyle w:val="Hyperlink"/>
            <w:rFonts w:ascii="仿宋_GB2312" w:eastAsia="仿宋_GB2312" w:hAnsi="仿宋_GB2312" w:cs="仿宋_GB2312"/>
          </w:rPr>
          <w:t>2.1.4是否专门面向中小企业</w:t>
        </w:r>
        <w:r>
          <w:tab/>
        </w:r>
        <w:r>
          <w:fldChar w:fldCharType="begin"/>
        </w:r>
        <w:r>
          <w:instrText xml:space="preserve"> PAGEREF _Toc256000014 \h </w:instrText>
        </w:r>
        <w:r>
          <w:fldChar w:fldCharType="separate"/>
        </w:r>
        <w:r>
          <w:t>6</w:t>
        </w:r>
        <w:r>
          <w:fldChar w:fldCharType="end"/>
        </w:r>
      </w:hyperlink>
    </w:p>
    <w:p>
      <w:pPr>
        <w:pStyle w:val="TOC3"/>
        <w:tabs>
          <w:tab w:val="right" w:leader="dot" w:pos="9016"/>
        </w:tabs>
        <w:spacing w:before="0" w:after="0" w:line="360" w:lineRule="auto"/>
        <w:rPr>
          <w:rFonts w:asciiTheme="minorHAnsi" w:hAnsiTheme="minorHAnsi"/>
          <w:noProof/>
          <w:sz w:val="22"/>
        </w:rPr>
      </w:pPr>
      <w:hyperlink w:anchor="_Toc256000015" w:history="1">
        <w:r>
          <w:rPr>
            <w:rStyle w:val="Hyperlink"/>
            <w:rFonts w:ascii="仿宋_GB2312" w:eastAsia="仿宋_GB2312" w:hAnsi="仿宋_GB2312" w:cs="仿宋_GB2312"/>
          </w:rPr>
          <w:t>2.1.5其他要求</w:t>
        </w:r>
        <w:r>
          <w:tab/>
        </w:r>
        <w:r>
          <w:fldChar w:fldCharType="begin"/>
        </w:r>
        <w:r>
          <w:instrText xml:space="preserve"> PAGEREF _Toc256000015 \h </w:instrText>
        </w:r>
        <w:r>
          <w:fldChar w:fldCharType="separate"/>
        </w:r>
        <w:r>
          <w:t>6</w:t>
        </w:r>
        <w:r>
          <w:fldChar w:fldCharType="end"/>
        </w:r>
      </w:hyperlink>
    </w:p>
    <w:p>
      <w:pPr>
        <w:pStyle w:val="TOC2"/>
        <w:tabs>
          <w:tab w:val="right" w:leader="dot" w:pos="9016"/>
        </w:tabs>
        <w:spacing w:before="0" w:after="0" w:line="360" w:lineRule="auto"/>
        <w:rPr>
          <w:rFonts w:asciiTheme="minorHAnsi" w:hAnsiTheme="minorHAnsi"/>
          <w:noProof/>
          <w:sz w:val="22"/>
        </w:rPr>
      </w:pPr>
      <w:hyperlink w:anchor="_Toc256000016" w:history="1">
        <w:r>
          <w:rPr>
            <w:rStyle w:val="Hyperlink"/>
            <w:rFonts w:ascii="仿宋_GB2312" w:eastAsia="仿宋_GB2312" w:hAnsi="仿宋_GB2312" w:cs="仿宋_GB2312"/>
          </w:rPr>
          <w:t>2.2技术部分投标/响应内容</w:t>
        </w:r>
        <w:r>
          <w:tab/>
        </w:r>
        <w:r>
          <w:fldChar w:fldCharType="begin"/>
        </w:r>
        <w:r>
          <w:instrText xml:space="preserve"> PAGEREF _Toc256000016 \h </w:instrText>
        </w:r>
        <w:r>
          <w:fldChar w:fldCharType="separate"/>
        </w:r>
        <w:r>
          <w:t>6</w:t>
        </w:r>
        <w:r>
          <w:fldChar w:fldCharType="end"/>
        </w:r>
      </w:hyperlink>
    </w:p>
    <w:p>
      <w:pPr>
        <w:pStyle w:val="TOC3"/>
        <w:tabs>
          <w:tab w:val="right" w:leader="dot" w:pos="9016"/>
        </w:tabs>
        <w:spacing w:before="0" w:after="0" w:line="360" w:lineRule="auto"/>
        <w:rPr>
          <w:rFonts w:asciiTheme="minorHAnsi" w:hAnsiTheme="minorHAnsi"/>
          <w:noProof/>
          <w:sz w:val="22"/>
        </w:rPr>
      </w:pPr>
      <w:hyperlink w:anchor="_Toc256000017" w:history="1">
        <w:r>
          <w:rPr>
            <w:rStyle w:val="Hyperlink"/>
            <w:rFonts w:ascii="仿宋_GB2312" w:eastAsia="仿宋_GB2312" w:hAnsi="仿宋_GB2312" w:cs="仿宋_GB2312"/>
          </w:rPr>
          <w:t>2.2.1技术投标/响应总要求</w:t>
        </w:r>
        <w:r>
          <w:tab/>
        </w:r>
        <w:r>
          <w:fldChar w:fldCharType="begin"/>
        </w:r>
        <w:r>
          <w:instrText xml:space="preserve"> PAGEREF _Toc256000017 \h </w:instrText>
        </w:r>
        <w:r>
          <w:fldChar w:fldCharType="separate"/>
        </w:r>
        <w:r>
          <w:t>6</w:t>
        </w:r>
        <w:r>
          <w:fldChar w:fldCharType="end"/>
        </w:r>
      </w:hyperlink>
    </w:p>
    <w:p>
      <w:pPr>
        <w:pStyle w:val="TOC3"/>
        <w:tabs>
          <w:tab w:val="right" w:leader="dot" w:pos="9016"/>
        </w:tabs>
        <w:spacing w:before="0" w:after="0" w:line="360" w:lineRule="auto"/>
        <w:rPr>
          <w:rFonts w:asciiTheme="minorHAnsi" w:hAnsiTheme="minorHAnsi"/>
          <w:noProof/>
          <w:sz w:val="22"/>
        </w:rPr>
      </w:pPr>
      <w:hyperlink w:anchor="_Toc256000018" w:history="1">
        <w:r>
          <w:rPr>
            <w:rStyle w:val="Hyperlink"/>
            <w:rFonts w:ascii="仿宋_GB2312" w:eastAsia="仿宋_GB2312" w:hAnsi="仿宋_GB2312" w:cs="仿宋_GB2312"/>
          </w:rPr>
          <w:t>2.2.2投标/响应方案要求</w:t>
        </w:r>
        <w:r>
          <w:tab/>
        </w:r>
        <w:r>
          <w:fldChar w:fldCharType="begin"/>
        </w:r>
        <w:r>
          <w:instrText xml:space="preserve"> PAGEREF _Toc256000018 \h </w:instrText>
        </w:r>
        <w:r>
          <w:fldChar w:fldCharType="separate"/>
        </w:r>
        <w:r>
          <w:t>7</w:t>
        </w:r>
        <w:r>
          <w:fldChar w:fldCharType="end"/>
        </w:r>
      </w:hyperlink>
    </w:p>
    <w:p>
      <w:pPr>
        <w:pStyle w:val="TOC1"/>
        <w:tabs>
          <w:tab w:val="right" w:leader="dot" w:pos="9016"/>
        </w:tabs>
        <w:spacing w:before="0" w:after="0" w:line="360" w:lineRule="auto"/>
        <w:rPr>
          <w:rFonts w:asciiTheme="minorHAnsi" w:hAnsiTheme="minorHAnsi"/>
          <w:noProof/>
          <w:sz w:val="22"/>
        </w:rPr>
      </w:pPr>
      <w:hyperlink w:anchor="_Toc256000019" w:history="1">
        <w:r>
          <w:rPr>
            <w:rStyle w:val="Hyperlink"/>
            <w:rFonts w:ascii="仿宋_GB2312" w:eastAsia="仿宋_GB2312" w:hAnsi="仿宋_GB2312" w:cs="仿宋_GB2312"/>
            <w:kern w:val="36"/>
          </w:rPr>
          <w:t>3项目需求</w:t>
        </w:r>
        <w:r>
          <w:tab/>
        </w:r>
        <w:r>
          <w:fldChar w:fldCharType="begin"/>
        </w:r>
        <w:r>
          <w:instrText xml:space="preserve"> PAGEREF _Toc256000019 \h </w:instrText>
        </w:r>
        <w:r>
          <w:fldChar w:fldCharType="separate"/>
        </w:r>
        <w:r>
          <w:t>8</w:t>
        </w:r>
        <w:r>
          <w:fldChar w:fldCharType="end"/>
        </w:r>
      </w:hyperlink>
    </w:p>
    <w:p>
      <w:pPr>
        <w:pStyle w:val="TOC2"/>
        <w:tabs>
          <w:tab w:val="right" w:leader="dot" w:pos="9016"/>
        </w:tabs>
        <w:spacing w:before="0" w:after="0" w:line="360" w:lineRule="auto"/>
        <w:rPr>
          <w:rFonts w:asciiTheme="minorHAnsi" w:hAnsiTheme="minorHAnsi"/>
          <w:noProof/>
          <w:sz w:val="22"/>
        </w:rPr>
      </w:pPr>
      <w:hyperlink w:anchor="_Toc256000020" w:history="1">
        <w:r>
          <w:rPr>
            <w:rStyle w:val="Hyperlink"/>
            <w:rFonts w:ascii="仿宋_GB2312" w:eastAsia="仿宋_GB2312" w:hAnsi="仿宋_GB2312" w:cs="仿宋_GB2312"/>
          </w:rPr>
          <w:t>3.1总体要求</w:t>
        </w:r>
        <w:r>
          <w:tab/>
        </w:r>
        <w:r>
          <w:fldChar w:fldCharType="begin"/>
        </w:r>
        <w:r>
          <w:instrText xml:space="preserve"> PAGEREF _Toc256000020 \h </w:instrText>
        </w:r>
        <w:r>
          <w:fldChar w:fldCharType="separate"/>
        </w:r>
        <w:r>
          <w:t>8</w:t>
        </w:r>
        <w:r>
          <w:fldChar w:fldCharType="end"/>
        </w:r>
      </w:hyperlink>
    </w:p>
    <w:p>
      <w:pPr>
        <w:pStyle w:val="TOC2"/>
        <w:tabs>
          <w:tab w:val="right" w:leader="dot" w:pos="9016"/>
        </w:tabs>
        <w:spacing w:before="0" w:after="0" w:line="360" w:lineRule="auto"/>
        <w:rPr>
          <w:rFonts w:asciiTheme="minorHAnsi" w:hAnsiTheme="minorHAnsi"/>
          <w:noProof/>
          <w:sz w:val="22"/>
        </w:rPr>
      </w:pPr>
      <w:hyperlink w:anchor="_Toc256000021" w:history="1">
        <w:r>
          <w:rPr>
            <w:rStyle w:val="Hyperlink"/>
            <w:rFonts w:ascii="仿宋_GB2312" w:eastAsia="仿宋_GB2312" w:hAnsi="仿宋_GB2312" w:cs="仿宋_GB2312"/>
          </w:rPr>
          <w:t>3.2服务内容和要求</w:t>
        </w:r>
        <w:r>
          <w:tab/>
        </w:r>
        <w:r>
          <w:fldChar w:fldCharType="begin"/>
        </w:r>
        <w:r>
          <w:instrText xml:space="preserve"> PAGEREF _Toc256000021 \h </w:instrText>
        </w:r>
        <w:r>
          <w:fldChar w:fldCharType="separate"/>
        </w:r>
        <w:r>
          <w:t>8</w:t>
        </w:r>
        <w:r>
          <w:fldChar w:fldCharType="end"/>
        </w:r>
      </w:hyperlink>
    </w:p>
    <w:p>
      <w:pPr>
        <w:pStyle w:val="TOC3"/>
        <w:tabs>
          <w:tab w:val="right" w:leader="dot" w:pos="9016"/>
        </w:tabs>
        <w:spacing w:before="0" w:after="0" w:line="360" w:lineRule="auto"/>
        <w:rPr>
          <w:rFonts w:asciiTheme="minorHAnsi" w:hAnsiTheme="minorHAnsi"/>
          <w:noProof/>
          <w:sz w:val="22"/>
        </w:rPr>
      </w:pPr>
      <w:hyperlink w:anchor="_Toc256000022" w:history="1">
        <w:r>
          <w:rPr>
            <w:rStyle w:val="Hyperlink"/>
            <w:rFonts w:ascii="仿宋_GB2312" w:eastAsia="仿宋_GB2312" w:hAnsi="仿宋_GB2312" w:cs="仿宋_GB2312"/>
          </w:rPr>
          <w:t>3.2.1技术和服务客观指标</w:t>
        </w:r>
        <w:r>
          <w:tab/>
        </w:r>
        <w:r>
          <w:fldChar w:fldCharType="begin"/>
        </w:r>
        <w:r>
          <w:instrText xml:space="preserve"> PAGEREF _Toc256000022 \h </w:instrText>
        </w:r>
        <w:r>
          <w:fldChar w:fldCharType="separate"/>
        </w:r>
        <w:r>
          <w:t>8</w:t>
        </w:r>
        <w:r>
          <w:fldChar w:fldCharType="end"/>
        </w:r>
      </w:hyperlink>
    </w:p>
    <w:p>
      <w:pPr>
        <w:pStyle w:val="TOC3"/>
        <w:tabs>
          <w:tab w:val="right" w:leader="dot" w:pos="9016"/>
        </w:tabs>
        <w:spacing w:before="0" w:after="0" w:line="360" w:lineRule="auto"/>
        <w:rPr>
          <w:rFonts w:asciiTheme="minorHAnsi" w:hAnsiTheme="minorHAnsi"/>
          <w:noProof/>
          <w:sz w:val="22"/>
        </w:rPr>
      </w:pPr>
      <w:hyperlink w:anchor="_Toc256000023" w:history="1">
        <w:r>
          <w:rPr>
            <w:rStyle w:val="Hyperlink"/>
            <w:rFonts w:ascii="仿宋_GB2312" w:eastAsia="仿宋_GB2312" w:hAnsi="仿宋_GB2312" w:cs="仿宋_GB2312"/>
          </w:rPr>
          <w:t>3.2.2技术和服务其他要求</w:t>
        </w:r>
        <w:r>
          <w:tab/>
        </w:r>
        <w:r>
          <w:fldChar w:fldCharType="begin"/>
        </w:r>
        <w:r>
          <w:instrText xml:space="preserve"> PAGEREF _Toc256000023 \h </w:instrText>
        </w:r>
        <w:r>
          <w:fldChar w:fldCharType="separate"/>
        </w:r>
        <w:r>
          <w:t>9</w:t>
        </w:r>
        <w:r>
          <w:fldChar w:fldCharType="end"/>
        </w:r>
      </w:hyperlink>
    </w:p>
    <w:p>
      <w:pPr>
        <w:pStyle w:val="TOC1"/>
        <w:tabs>
          <w:tab w:val="right" w:leader="dot" w:pos="9016"/>
        </w:tabs>
        <w:spacing w:before="0" w:after="0" w:line="360" w:lineRule="auto"/>
        <w:rPr>
          <w:rFonts w:asciiTheme="minorHAnsi" w:hAnsiTheme="minorHAnsi"/>
          <w:noProof/>
          <w:sz w:val="22"/>
        </w:rPr>
      </w:pPr>
      <w:hyperlink w:anchor="_Toc256000024" w:history="1">
        <w:r>
          <w:rPr>
            <w:rStyle w:val="Hyperlink"/>
            <w:rFonts w:ascii="仿宋_GB2312" w:eastAsia="仿宋_GB2312" w:hAnsi="仿宋_GB2312" w:cs="仿宋_GB2312"/>
            <w:kern w:val="36"/>
          </w:rPr>
          <w:t>4人员要求</w:t>
        </w:r>
        <w:r>
          <w:tab/>
        </w:r>
        <w:r>
          <w:fldChar w:fldCharType="begin"/>
        </w:r>
        <w:r>
          <w:instrText xml:space="preserve"> PAGEREF _Toc256000024 \h </w:instrText>
        </w:r>
        <w:r>
          <w:fldChar w:fldCharType="separate"/>
        </w:r>
        <w:r>
          <w:t>9</w:t>
        </w:r>
        <w:r>
          <w:fldChar w:fldCharType="end"/>
        </w:r>
      </w:hyperlink>
    </w:p>
    <w:p>
      <w:pPr>
        <w:pStyle w:val="TOC2"/>
        <w:tabs>
          <w:tab w:val="right" w:leader="dot" w:pos="9016"/>
        </w:tabs>
        <w:spacing w:before="0" w:after="0" w:line="360" w:lineRule="auto"/>
        <w:rPr>
          <w:rFonts w:asciiTheme="minorHAnsi" w:hAnsiTheme="minorHAnsi"/>
          <w:noProof/>
          <w:sz w:val="22"/>
        </w:rPr>
      </w:pPr>
      <w:hyperlink w:anchor="_Toc256000025" w:history="1">
        <w:r>
          <w:rPr>
            <w:rStyle w:val="Hyperlink"/>
            <w:rFonts w:ascii="仿宋_GB2312" w:eastAsia="仿宋_GB2312" w:hAnsi="仿宋_GB2312" w:cs="仿宋_GB2312"/>
          </w:rPr>
          <w:t>4.1总体要求</w:t>
        </w:r>
        <w:r>
          <w:tab/>
        </w:r>
        <w:r>
          <w:fldChar w:fldCharType="begin"/>
        </w:r>
        <w:r>
          <w:instrText xml:space="preserve"> PAGEREF _Toc256000025 \h </w:instrText>
        </w:r>
        <w:r>
          <w:fldChar w:fldCharType="separate"/>
        </w:r>
        <w:r>
          <w:t>9</w:t>
        </w:r>
        <w:r>
          <w:fldChar w:fldCharType="end"/>
        </w:r>
      </w:hyperlink>
    </w:p>
    <w:p>
      <w:pPr>
        <w:pStyle w:val="TOC2"/>
        <w:tabs>
          <w:tab w:val="right" w:leader="dot" w:pos="9016"/>
        </w:tabs>
        <w:spacing w:before="0" w:after="0" w:line="360" w:lineRule="auto"/>
        <w:rPr>
          <w:rFonts w:asciiTheme="minorHAnsi" w:hAnsiTheme="minorHAnsi"/>
          <w:noProof/>
          <w:sz w:val="22"/>
        </w:rPr>
      </w:pPr>
      <w:hyperlink w:anchor="_Toc256000026" w:history="1">
        <w:r>
          <w:rPr>
            <w:rStyle w:val="Hyperlink"/>
            <w:rFonts w:ascii="仿宋_GB2312" w:eastAsia="仿宋_GB2312" w:hAnsi="仿宋_GB2312" w:cs="仿宋_GB2312"/>
          </w:rPr>
          <w:t>4.2管理团队</w:t>
        </w:r>
        <w:r>
          <w:tab/>
        </w:r>
        <w:r>
          <w:fldChar w:fldCharType="begin"/>
        </w:r>
        <w:r>
          <w:instrText xml:space="preserve"> PAGEREF _Toc256000026 \h </w:instrText>
        </w:r>
        <w:r>
          <w:fldChar w:fldCharType="separate"/>
        </w:r>
        <w:r>
          <w:t>9</w:t>
        </w:r>
        <w:r>
          <w:fldChar w:fldCharType="end"/>
        </w:r>
      </w:hyperlink>
    </w:p>
    <w:p>
      <w:pPr>
        <w:pStyle w:val="TOC3"/>
        <w:tabs>
          <w:tab w:val="right" w:leader="dot" w:pos="9016"/>
        </w:tabs>
        <w:spacing w:before="0" w:after="0" w:line="360" w:lineRule="auto"/>
        <w:rPr>
          <w:rFonts w:asciiTheme="minorHAnsi" w:hAnsiTheme="minorHAnsi"/>
          <w:noProof/>
          <w:sz w:val="22"/>
        </w:rPr>
      </w:pPr>
      <w:hyperlink w:anchor="_Toc256000027" w:history="1">
        <w:r>
          <w:rPr>
            <w:rStyle w:val="Hyperlink"/>
            <w:rFonts w:ascii="仿宋_GB2312" w:eastAsia="仿宋_GB2312" w:hAnsi="仿宋_GB2312" w:cs="仿宋_GB2312"/>
          </w:rPr>
          <w:t>4.2.1项目经理</w:t>
        </w:r>
        <w:r>
          <w:tab/>
        </w:r>
        <w:r>
          <w:fldChar w:fldCharType="begin"/>
        </w:r>
        <w:r>
          <w:instrText xml:space="preserve"> PAGEREF _Toc256000027 \h </w:instrText>
        </w:r>
        <w:r>
          <w:fldChar w:fldCharType="separate"/>
        </w:r>
        <w:r>
          <w:t>9</w:t>
        </w:r>
        <w:r>
          <w:fldChar w:fldCharType="end"/>
        </w:r>
      </w:hyperlink>
    </w:p>
    <w:p>
      <w:pPr>
        <w:pStyle w:val="TOC2"/>
        <w:tabs>
          <w:tab w:val="right" w:leader="dot" w:pos="9016"/>
        </w:tabs>
        <w:spacing w:before="0" w:after="0" w:line="360" w:lineRule="auto"/>
        <w:rPr>
          <w:rFonts w:asciiTheme="minorHAnsi" w:hAnsiTheme="minorHAnsi"/>
          <w:noProof/>
          <w:sz w:val="22"/>
        </w:rPr>
      </w:pPr>
      <w:hyperlink w:anchor="_Toc256000028" w:history="1">
        <w:r>
          <w:rPr>
            <w:rStyle w:val="Hyperlink"/>
            <w:rFonts w:ascii="仿宋_GB2312" w:eastAsia="仿宋_GB2312" w:hAnsi="仿宋_GB2312" w:cs="仿宋_GB2312"/>
          </w:rPr>
          <w:t>4.3技术团队</w:t>
        </w:r>
        <w:r>
          <w:tab/>
        </w:r>
        <w:r>
          <w:fldChar w:fldCharType="begin"/>
        </w:r>
        <w:r>
          <w:instrText xml:space="preserve"> PAGEREF _Toc256000028 \h </w:instrText>
        </w:r>
        <w:r>
          <w:fldChar w:fldCharType="separate"/>
        </w:r>
        <w:r>
          <w:t>9</w:t>
        </w:r>
        <w:r>
          <w:fldChar w:fldCharType="end"/>
        </w:r>
      </w:hyperlink>
    </w:p>
    <w:p>
      <w:pPr>
        <w:pStyle w:val="TOC2"/>
        <w:tabs>
          <w:tab w:val="right" w:leader="dot" w:pos="9016"/>
        </w:tabs>
        <w:spacing w:before="0" w:after="0" w:line="360" w:lineRule="auto"/>
        <w:rPr>
          <w:rFonts w:asciiTheme="minorHAnsi" w:hAnsiTheme="minorHAnsi"/>
          <w:noProof/>
          <w:sz w:val="22"/>
        </w:rPr>
      </w:pPr>
      <w:hyperlink w:anchor="_Toc256000029" w:history="1">
        <w:r>
          <w:rPr>
            <w:rStyle w:val="Hyperlink"/>
            <w:rFonts w:ascii="仿宋_GB2312" w:eastAsia="仿宋_GB2312" w:hAnsi="仿宋_GB2312" w:cs="仿宋_GB2312"/>
          </w:rPr>
          <w:t>4.4人员具体要求</w:t>
        </w:r>
        <w:r>
          <w:tab/>
        </w:r>
        <w:r>
          <w:fldChar w:fldCharType="begin"/>
        </w:r>
        <w:r>
          <w:instrText xml:space="preserve"> PAGEREF _Toc256000029 \h </w:instrText>
        </w:r>
        <w:r>
          <w:fldChar w:fldCharType="separate"/>
        </w:r>
        <w:r>
          <w:t>10</w:t>
        </w:r>
        <w:r>
          <w:fldChar w:fldCharType="end"/>
        </w:r>
      </w:hyperlink>
    </w:p>
    <w:p>
      <w:pPr>
        <w:pStyle w:val="TOC2"/>
        <w:tabs>
          <w:tab w:val="right" w:leader="dot" w:pos="9016"/>
        </w:tabs>
        <w:spacing w:before="0" w:after="0" w:line="360" w:lineRule="auto"/>
        <w:rPr>
          <w:rFonts w:asciiTheme="minorHAnsi" w:hAnsiTheme="minorHAnsi"/>
          <w:noProof/>
          <w:sz w:val="22"/>
        </w:rPr>
      </w:pPr>
      <w:hyperlink w:anchor="_Toc256000030" w:history="1">
        <w:r>
          <w:rPr>
            <w:rStyle w:val="Hyperlink"/>
            <w:rFonts w:ascii="仿宋_GB2312" w:eastAsia="仿宋_GB2312" w:hAnsi="仿宋_GB2312" w:cs="仿宋_GB2312"/>
          </w:rPr>
          <w:t>4.5优选资质/优选指标</w:t>
        </w:r>
        <w:r>
          <w:tab/>
        </w:r>
        <w:r>
          <w:fldChar w:fldCharType="begin"/>
        </w:r>
        <w:r>
          <w:instrText xml:space="preserve"> PAGEREF _Toc256000030 \h </w:instrText>
        </w:r>
        <w:r>
          <w:fldChar w:fldCharType="separate"/>
        </w:r>
        <w:r>
          <w:t>11</w:t>
        </w:r>
        <w:r>
          <w:fldChar w:fldCharType="end"/>
        </w:r>
      </w:hyperlink>
    </w:p>
    <w:p>
      <w:pPr>
        <w:pStyle w:val="TOC1"/>
        <w:tabs>
          <w:tab w:val="right" w:leader="dot" w:pos="9016"/>
        </w:tabs>
        <w:spacing w:before="0" w:after="0" w:line="360" w:lineRule="auto"/>
        <w:rPr>
          <w:rFonts w:asciiTheme="minorHAnsi" w:hAnsiTheme="minorHAnsi"/>
          <w:noProof/>
          <w:sz w:val="22"/>
        </w:rPr>
      </w:pPr>
      <w:hyperlink w:anchor="_Toc256000031" w:history="1">
        <w:r>
          <w:rPr>
            <w:rStyle w:val="Hyperlink"/>
            <w:rFonts w:ascii="仿宋_GB2312" w:eastAsia="仿宋_GB2312" w:hAnsi="仿宋_GB2312" w:cs="仿宋_GB2312"/>
            <w:kern w:val="36"/>
          </w:rPr>
          <w:t>5管理实施要求</w:t>
        </w:r>
        <w:r>
          <w:tab/>
        </w:r>
        <w:r>
          <w:fldChar w:fldCharType="begin"/>
        </w:r>
        <w:r>
          <w:instrText xml:space="preserve"> PAGEREF _Toc256000031 \h </w:instrText>
        </w:r>
        <w:r>
          <w:fldChar w:fldCharType="separate"/>
        </w:r>
        <w:r>
          <w:t>11</w:t>
        </w:r>
        <w:r>
          <w:fldChar w:fldCharType="end"/>
        </w:r>
      </w:hyperlink>
    </w:p>
    <w:p>
      <w:pPr>
        <w:pStyle w:val="TOC1"/>
        <w:tabs>
          <w:tab w:val="right" w:leader="dot" w:pos="9016"/>
        </w:tabs>
        <w:spacing w:before="0" w:after="0" w:line="360" w:lineRule="auto"/>
        <w:rPr>
          <w:rFonts w:asciiTheme="minorHAnsi" w:hAnsiTheme="minorHAnsi"/>
          <w:noProof/>
          <w:sz w:val="22"/>
        </w:rPr>
      </w:pPr>
      <w:hyperlink w:anchor="_Toc256000032" w:history="1">
        <w:r>
          <w:rPr>
            <w:rStyle w:val="Hyperlink"/>
            <w:rFonts w:ascii="仿宋_GB2312" w:eastAsia="仿宋_GB2312" w:hAnsi="仿宋_GB2312" w:cs="仿宋_GB2312"/>
            <w:kern w:val="36"/>
          </w:rPr>
          <w:t>6风险管控要求</w:t>
        </w:r>
        <w:r>
          <w:tab/>
        </w:r>
        <w:r>
          <w:fldChar w:fldCharType="begin"/>
        </w:r>
        <w:r>
          <w:instrText xml:space="preserve"> PAGEREF _Toc256000032 \h </w:instrText>
        </w:r>
        <w:r>
          <w:fldChar w:fldCharType="separate"/>
        </w:r>
        <w:r>
          <w:t>12</w:t>
        </w:r>
        <w:r>
          <w:fldChar w:fldCharType="end"/>
        </w:r>
      </w:hyperlink>
    </w:p>
    <w:p>
      <w:pPr>
        <w:pStyle w:val="TOC1"/>
        <w:tabs>
          <w:tab w:val="right" w:leader="dot" w:pos="9016"/>
        </w:tabs>
        <w:spacing w:before="0" w:after="0" w:line="360" w:lineRule="auto"/>
        <w:rPr>
          <w:rFonts w:asciiTheme="minorHAnsi" w:hAnsiTheme="minorHAnsi"/>
          <w:noProof/>
          <w:sz w:val="22"/>
        </w:rPr>
      </w:pPr>
      <w:hyperlink w:anchor="_Toc256000033" w:history="1">
        <w:r>
          <w:rPr>
            <w:rStyle w:val="Hyperlink"/>
            <w:rFonts w:ascii="仿宋_GB2312" w:eastAsia="仿宋_GB2312" w:hAnsi="仿宋_GB2312" w:cs="仿宋_GB2312"/>
            <w:kern w:val="36"/>
          </w:rPr>
          <w:t>7履约验收要求</w:t>
        </w:r>
        <w:r>
          <w:tab/>
        </w:r>
        <w:r>
          <w:fldChar w:fldCharType="begin"/>
        </w:r>
        <w:r>
          <w:instrText xml:space="preserve"> PAGEREF _Toc256000033 \h </w:instrText>
        </w:r>
        <w:r>
          <w:fldChar w:fldCharType="separate"/>
        </w:r>
        <w:r>
          <w:t>12</w:t>
        </w:r>
        <w:r>
          <w:fldChar w:fldCharType="end"/>
        </w:r>
      </w:hyperlink>
    </w:p>
    <w:p>
      <w:pPr>
        <w:pStyle w:val="TOC2"/>
        <w:tabs>
          <w:tab w:val="right" w:leader="dot" w:pos="9016"/>
        </w:tabs>
        <w:spacing w:before="0" w:after="0" w:line="360" w:lineRule="auto"/>
        <w:rPr>
          <w:rFonts w:asciiTheme="minorHAnsi" w:hAnsiTheme="minorHAnsi"/>
          <w:noProof/>
          <w:sz w:val="22"/>
        </w:rPr>
      </w:pPr>
      <w:hyperlink w:anchor="_Toc256000034" w:history="1">
        <w:r>
          <w:rPr>
            <w:rStyle w:val="Hyperlink"/>
            <w:rFonts w:ascii="仿宋_GB2312" w:eastAsia="仿宋_GB2312" w:hAnsi="仿宋_GB2312" w:cs="仿宋_GB2312"/>
          </w:rPr>
          <w:t>7.1总体要求</w:t>
        </w:r>
        <w:r>
          <w:tab/>
        </w:r>
        <w:r>
          <w:fldChar w:fldCharType="begin"/>
        </w:r>
        <w:r>
          <w:instrText xml:space="preserve"> PAGEREF _Toc256000034 \h </w:instrText>
        </w:r>
        <w:r>
          <w:fldChar w:fldCharType="separate"/>
        </w:r>
        <w:r>
          <w:t>13</w:t>
        </w:r>
        <w:r>
          <w:fldChar w:fldCharType="end"/>
        </w:r>
      </w:hyperlink>
    </w:p>
    <w:p>
      <w:pPr>
        <w:pStyle w:val="TOC2"/>
        <w:tabs>
          <w:tab w:val="right" w:leader="dot" w:pos="9016"/>
        </w:tabs>
        <w:spacing w:before="0" w:after="0" w:line="360" w:lineRule="auto"/>
        <w:rPr>
          <w:rFonts w:asciiTheme="minorHAnsi" w:hAnsiTheme="minorHAnsi"/>
          <w:noProof/>
          <w:sz w:val="22"/>
        </w:rPr>
      </w:pPr>
      <w:hyperlink w:anchor="_Toc256000035" w:history="1">
        <w:r>
          <w:rPr>
            <w:rStyle w:val="Hyperlink"/>
            <w:rFonts w:ascii="仿宋_GB2312" w:eastAsia="仿宋_GB2312" w:hAnsi="仿宋_GB2312" w:cs="仿宋_GB2312"/>
          </w:rPr>
          <w:t>7.2具体要求</w:t>
        </w:r>
        <w:r>
          <w:tab/>
        </w:r>
        <w:r>
          <w:fldChar w:fldCharType="begin"/>
        </w:r>
        <w:r>
          <w:instrText xml:space="preserve"> PAGEREF _Toc256000035 \h </w:instrText>
        </w:r>
        <w:r>
          <w:fldChar w:fldCharType="separate"/>
        </w:r>
        <w:r>
          <w:t>13</w:t>
        </w:r>
        <w:r>
          <w:fldChar w:fldCharType="end"/>
        </w:r>
      </w:hyperlink>
    </w:p>
    <w:p>
      <w:pPr>
        <w:pStyle w:val="TOC1"/>
        <w:tabs>
          <w:tab w:val="right" w:leader="dot" w:pos="9016"/>
        </w:tabs>
        <w:spacing w:before="0" w:after="0" w:line="360" w:lineRule="auto"/>
        <w:rPr>
          <w:rFonts w:asciiTheme="minorHAnsi" w:hAnsiTheme="minorHAnsi"/>
          <w:noProof/>
          <w:sz w:val="22"/>
        </w:rPr>
      </w:pPr>
      <w:hyperlink w:anchor="_Toc256000036" w:history="1">
        <w:r>
          <w:rPr>
            <w:rStyle w:val="Hyperlink"/>
            <w:rFonts w:ascii="仿宋_GB2312" w:eastAsia="仿宋_GB2312" w:hAnsi="仿宋_GB2312" w:cs="仿宋_GB2312"/>
            <w:kern w:val="36"/>
          </w:rPr>
          <w:t>8其他要求</w:t>
        </w:r>
        <w:r>
          <w:tab/>
        </w:r>
        <w:r>
          <w:fldChar w:fldCharType="begin"/>
        </w:r>
        <w:r>
          <w:instrText xml:space="preserve"> PAGEREF _Toc256000036 \h </w:instrText>
        </w:r>
        <w:r>
          <w:fldChar w:fldCharType="separate"/>
        </w:r>
        <w:r>
          <w:t>14</w:t>
        </w:r>
        <w:r>
          <w:fldChar w:fldCharType="end"/>
        </w:r>
      </w:hyperlink>
    </w:p>
    <w:p>
      <w:pPr>
        <w:pStyle w:val="TOC2"/>
        <w:tabs>
          <w:tab w:val="right" w:leader="dot" w:pos="9016"/>
        </w:tabs>
        <w:spacing w:before="0" w:after="0" w:line="360" w:lineRule="auto"/>
        <w:rPr>
          <w:rFonts w:asciiTheme="minorHAnsi" w:hAnsiTheme="minorHAnsi"/>
          <w:noProof/>
          <w:sz w:val="22"/>
        </w:rPr>
      </w:pPr>
      <w:hyperlink w:anchor="_Toc256000037" w:history="1">
        <w:r>
          <w:rPr>
            <w:rStyle w:val="Hyperlink"/>
            <w:rFonts w:ascii="仿宋_GB2312" w:eastAsia="仿宋_GB2312" w:hAnsi="仿宋_GB2312" w:cs="仿宋_GB2312"/>
          </w:rPr>
          <w:t>8.1必备要求</w:t>
        </w:r>
        <w:r>
          <w:tab/>
        </w:r>
        <w:r>
          <w:fldChar w:fldCharType="begin"/>
        </w:r>
        <w:r>
          <w:instrText xml:space="preserve"> PAGEREF _Toc256000037 \h </w:instrText>
        </w:r>
        <w:r>
          <w:fldChar w:fldCharType="separate"/>
        </w:r>
        <w:r>
          <w:t>14</w:t>
        </w:r>
        <w:r>
          <w:fldChar w:fldCharType="end"/>
        </w:r>
      </w:hyperlink>
    </w:p>
    <w:p>
      <w:pPr>
        <w:pStyle w:val="TOC3"/>
        <w:tabs>
          <w:tab w:val="right" w:leader="dot" w:pos="9016"/>
        </w:tabs>
        <w:spacing w:before="0" w:after="0" w:line="360" w:lineRule="auto"/>
        <w:rPr>
          <w:rFonts w:asciiTheme="minorHAnsi" w:hAnsiTheme="minorHAnsi"/>
          <w:noProof/>
          <w:sz w:val="22"/>
        </w:rPr>
      </w:pPr>
      <w:hyperlink w:anchor="_Toc256000038" w:history="1">
        <w:r>
          <w:rPr>
            <w:rStyle w:val="Hyperlink"/>
            <w:rFonts w:ascii="仿宋_GB2312" w:eastAsia="仿宋_GB2312" w:hAnsi="仿宋_GB2312" w:cs="仿宋_GB2312"/>
          </w:rPr>
          <w:t>8.1.1通用必备要求</w:t>
        </w:r>
        <w:r>
          <w:tab/>
        </w:r>
        <w:r>
          <w:fldChar w:fldCharType="begin"/>
        </w:r>
        <w:r>
          <w:instrText xml:space="preserve"> PAGEREF _Toc256000038 \h </w:instrText>
        </w:r>
        <w:r>
          <w:fldChar w:fldCharType="separate"/>
        </w:r>
        <w:r>
          <w:t>14</w:t>
        </w:r>
        <w:r>
          <w:fldChar w:fldCharType="end"/>
        </w:r>
      </w:hyperlink>
    </w:p>
    <w:p>
      <w:pPr>
        <w:pStyle w:val="TOC2"/>
        <w:tabs>
          <w:tab w:val="right" w:leader="dot" w:pos="9016"/>
        </w:tabs>
        <w:spacing w:before="0" w:after="0" w:line="360" w:lineRule="auto"/>
        <w:rPr>
          <w:rFonts w:asciiTheme="minorHAnsi" w:hAnsiTheme="minorHAnsi"/>
          <w:noProof/>
          <w:sz w:val="22"/>
        </w:rPr>
      </w:pPr>
      <w:hyperlink w:anchor="_Toc256000039" w:history="1">
        <w:r>
          <w:rPr>
            <w:rStyle w:val="Hyperlink"/>
            <w:rFonts w:ascii="仿宋_GB2312" w:eastAsia="仿宋_GB2312" w:hAnsi="仿宋_GB2312" w:cs="仿宋_GB2312"/>
          </w:rPr>
          <w:t>8.2付款安排建议</w:t>
        </w:r>
        <w:r>
          <w:tab/>
        </w:r>
        <w:r>
          <w:fldChar w:fldCharType="begin"/>
        </w:r>
        <w:r>
          <w:instrText xml:space="preserve"> PAGEREF _Toc256000039 \h </w:instrText>
        </w:r>
        <w:r>
          <w:fldChar w:fldCharType="separate"/>
        </w:r>
        <w:r>
          <w:t>14</w:t>
        </w:r>
        <w:r>
          <w:fldChar w:fldCharType="end"/>
        </w:r>
      </w:hyperlink>
    </w:p>
    <w:p>
      <w:pPr>
        <w:pStyle w:val="TOC2"/>
        <w:tabs>
          <w:tab w:val="right" w:leader="dot" w:pos="9016"/>
        </w:tabs>
        <w:spacing w:before="0" w:after="0" w:line="360" w:lineRule="auto"/>
        <w:rPr>
          <w:rFonts w:asciiTheme="minorHAnsi" w:hAnsiTheme="minorHAnsi"/>
          <w:noProof/>
          <w:sz w:val="22"/>
        </w:rPr>
      </w:pPr>
      <w:hyperlink w:anchor="_Toc256000040" w:history="1">
        <w:r>
          <w:rPr>
            <w:rStyle w:val="Hyperlink"/>
            <w:rFonts w:ascii="仿宋_GB2312" w:eastAsia="仿宋_GB2312" w:hAnsi="仿宋_GB2312" w:cs="仿宋_GB2312"/>
          </w:rPr>
          <w:t>8.3其他要求</w:t>
        </w:r>
        <w:r>
          <w:tab/>
        </w:r>
        <w:r>
          <w:fldChar w:fldCharType="begin"/>
        </w:r>
        <w:r>
          <w:instrText xml:space="preserve"> PAGEREF _Toc256000040 \h </w:instrText>
        </w:r>
        <w:r>
          <w:fldChar w:fldCharType="separate"/>
        </w:r>
        <w:r>
          <w:t>15</w:t>
        </w:r>
        <w:r>
          <w:fldChar w:fldCharType="end"/>
        </w:r>
      </w:hyperlink>
    </w:p>
    <w:p>
      <w:pPr>
        <w:pStyle w:val="TOC3"/>
        <w:tabs>
          <w:tab w:val="right" w:leader="dot" w:pos="9016"/>
        </w:tabs>
        <w:spacing w:before="0" w:after="0" w:line="360" w:lineRule="auto"/>
        <w:rPr>
          <w:rFonts w:asciiTheme="minorHAnsi" w:hAnsiTheme="minorHAnsi"/>
          <w:noProof/>
          <w:sz w:val="22"/>
        </w:rPr>
      </w:pPr>
      <w:hyperlink w:anchor="_Toc256000041" w:history="1">
        <w:r>
          <w:rPr>
            <w:rStyle w:val="Hyperlink"/>
            <w:rFonts w:ascii="仿宋_GB2312" w:eastAsia="仿宋_GB2312" w:hAnsi="仿宋_GB2312" w:cs="仿宋_GB2312"/>
          </w:rPr>
          <w:t>8.3.1保密要求</w:t>
        </w:r>
        <w:r>
          <w:tab/>
        </w:r>
        <w:r>
          <w:fldChar w:fldCharType="begin"/>
        </w:r>
        <w:r>
          <w:instrText xml:space="preserve"> PAGEREF _Toc256000041 \h </w:instrText>
        </w:r>
        <w:r>
          <w:fldChar w:fldCharType="separate"/>
        </w:r>
        <w:r>
          <w:t>15</w:t>
        </w:r>
        <w:r>
          <w:fldChar w:fldCharType="end"/>
        </w:r>
      </w:hyperlink>
    </w:p>
    <w:p>
      <w:pPr>
        <w:pStyle w:val="TOC3"/>
        <w:tabs>
          <w:tab w:val="right" w:leader="dot" w:pos="9016"/>
        </w:tabs>
        <w:spacing w:before="0" w:after="0" w:line="360" w:lineRule="auto"/>
        <w:rPr>
          <w:rFonts w:asciiTheme="minorHAnsi" w:hAnsiTheme="minorHAnsi"/>
          <w:noProof/>
          <w:sz w:val="22"/>
        </w:rPr>
      </w:pPr>
      <w:hyperlink w:anchor="_Toc256000042" w:history="1">
        <w:r>
          <w:rPr>
            <w:rStyle w:val="Hyperlink"/>
            <w:rFonts w:ascii="仿宋_GB2312" w:eastAsia="仿宋_GB2312" w:hAnsi="仿宋_GB2312" w:cs="仿宋_GB2312"/>
          </w:rPr>
          <w:t>8.3.2知识转移要求</w:t>
        </w:r>
        <w:r>
          <w:tab/>
        </w:r>
        <w:r>
          <w:fldChar w:fldCharType="begin"/>
        </w:r>
        <w:r>
          <w:instrText xml:space="preserve"> PAGEREF _Toc256000042 \h </w:instrText>
        </w:r>
        <w:r>
          <w:fldChar w:fldCharType="separate"/>
        </w:r>
        <w:r>
          <w:t>16</w:t>
        </w:r>
        <w:r>
          <w:fldChar w:fldCharType="end"/>
        </w:r>
      </w:hyperlink>
    </w:p>
    <w:p>
      <w:pPr>
        <w:pStyle w:val="TOC3"/>
        <w:tabs>
          <w:tab w:val="right" w:leader="dot" w:pos="9016"/>
        </w:tabs>
        <w:spacing w:before="0" w:after="0" w:line="360" w:lineRule="auto"/>
        <w:rPr>
          <w:rFonts w:asciiTheme="minorHAnsi" w:hAnsiTheme="minorHAnsi"/>
          <w:noProof/>
          <w:sz w:val="22"/>
        </w:rPr>
      </w:pPr>
      <w:hyperlink w:anchor="_Toc256000043" w:history="1">
        <w:r>
          <w:rPr>
            <w:rStyle w:val="Hyperlink"/>
            <w:rFonts w:ascii="仿宋_GB2312" w:eastAsia="仿宋_GB2312" w:hAnsi="仿宋_GB2312" w:cs="仿宋_GB2312"/>
          </w:rPr>
          <w:t>8.3.3知识产权要求</w:t>
        </w:r>
        <w:r>
          <w:tab/>
        </w:r>
        <w:r>
          <w:fldChar w:fldCharType="begin"/>
        </w:r>
        <w:r>
          <w:instrText xml:space="preserve"> PAGEREF _Toc256000043 \h </w:instrText>
        </w:r>
        <w:r>
          <w:fldChar w:fldCharType="separate"/>
        </w:r>
        <w:r>
          <w:t>16</w:t>
        </w:r>
        <w:r>
          <w:fldChar w:fldCharType="end"/>
        </w:r>
      </w:hyperlink>
    </w:p>
    <w:p>
      <w:pPr>
        <w:spacing w:before="0" w:after="0" w:line="360" w:lineRule="auto"/>
        <w:jc w:val="left"/>
      </w:pPr>
      <w:r w:rsidR="00A77B3E">
        <w:rPr>
          <w:rFonts w:ascii="SimSun" w:eastAsia="SimSun" w:hAnsi="SimSun" w:cs="SimSun"/>
          <w:sz w:val="32"/>
        </w:rPr>
        <w:fldChar w:fldCharType="end"/>
      </w:r>
      <w:r>
        <w:br w:type="page"/>
      </w:r>
    </w:p>
    <w:p>
      <w:pPr>
        <w:pStyle w:val="Heading1"/>
        <w:keepNext w:val="0"/>
        <w:spacing w:before="0" w:after="0" w:line="360" w:lineRule="auto"/>
        <w:jc w:val="center"/>
        <w:rPr>
          <w:rFonts w:ascii="仿宋_GB2312" w:eastAsia="仿宋_GB2312" w:hAnsi="仿宋_GB2312" w:cs="仿宋_GB2312"/>
          <w:b/>
          <w:bCs/>
          <w:sz w:val="32"/>
          <w:szCs w:val="32"/>
        </w:rPr>
      </w:pPr>
      <w:bookmarkStart w:id="3" w:name="_Toc256000000"/>
      <w:r>
        <w:rPr>
          <w:rFonts w:ascii="仿宋_GB2312" w:eastAsia="仿宋_GB2312" w:hAnsi="仿宋_GB2312" w:cs="仿宋_GB2312"/>
          <w:kern w:val="36"/>
        </w:rPr>
        <w:t>1项目概述</w:t>
      </w:r>
      <w:bookmarkEnd w:id="3"/>
    </w:p>
    <w:p>
      <w:pPr>
        <w:pStyle w:val="Heading2"/>
        <w:keepNext w:val="0"/>
        <w:spacing w:before="0" w:after="0" w:line="360" w:lineRule="auto"/>
        <w:rPr>
          <w:rFonts w:ascii="仿宋_GB2312" w:eastAsia="仿宋_GB2312" w:hAnsi="仿宋_GB2312" w:cs="仿宋_GB2312"/>
          <w:b/>
          <w:bCs/>
          <w:sz w:val="28"/>
          <w:szCs w:val="28"/>
        </w:rPr>
      </w:pPr>
      <w:bookmarkStart w:id="4" w:name="_Toc256000001"/>
      <w:r>
        <w:rPr>
          <w:rFonts w:ascii="仿宋_GB2312" w:eastAsia="仿宋_GB2312" w:hAnsi="仿宋_GB2312" w:cs="仿宋_GB2312"/>
          <w:i w:val="0"/>
          <w:iCs w:val="0"/>
        </w:rPr>
        <w:t>1.1项目背景</w:t>
      </w:r>
      <w:bookmarkEnd w:id="4"/>
    </w:p>
    <w:p>
      <w:pPr>
        <w:pStyle w:val="Heading3"/>
        <w:keepNext w:val="0"/>
        <w:spacing w:before="0" w:after="0" w:line="360" w:lineRule="auto"/>
        <w:rPr>
          <w:rFonts w:ascii="仿宋_GB2312" w:eastAsia="仿宋_GB2312" w:hAnsi="仿宋_GB2312" w:cs="仿宋_GB2312"/>
          <w:b/>
          <w:bCs/>
          <w:sz w:val="28"/>
          <w:szCs w:val="28"/>
        </w:rPr>
      </w:pPr>
      <w:bookmarkStart w:id="5" w:name="_Toc256000002"/>
      <w:r>
        <w:rPr>
          <w:rFonts w:ascii="仿宋_GB2312" w:eastAsia="仿宋_GB2312" w:hAnsi="仿宋_GB2312" w:cs="仿宋_GB2312"/>
          <w:sz w:val="28"/>
          <w:szCs w:val="28"/>
        </w:rPr>
        <w:t>1.1.1项目目的、意义及背景</w:t>
      </w:r>
      <w:bookmarkEnd w:id="5"/>
    </w:p>
    <w:p>
      <w:pPr>
        <w:pStyle w:val="15"/>
        <w:spacing w:before="0" w:after="0" w:line="360" w:lineRule="auto"/>
        <w:ind w:firstLine="640"/>
        <w:rPr>
          <w:rFonts w:ascii="Times New Roman" w:eastAsia="Times New Roman" w:hAnsi="Times New Roman" w:cs="Times New Roman"/>
        </w:rPr>
      </w:pPr>
      <w:r>
        <w:rPr>
          <w:rFonts w:ascii="仿宋_GB2312" w:eastAsia="仿宋_GB2312" w:hAnsi="仿宋_GB2312" w:cs="仿宋_GB2312"/>
          <w:sz w:val="28"/>
          <w:szCs w:val="28"/>
        </w:rPr>
        <w:t>近年来，税务系统正逐步转型</w:t>
      </w:r>
      <w:r>
        <w:rPr>
          <w:rFonts w:ascii="仿宋_GB2312" w:eastAsia="仿宋_GB2312" w:hAnsi="仿宋_GB2312" w:cs="仿宋_GB2312"/>
          <w:sz w:val="28"/>
          <w:szCs w:val="28"/>
        </w:rPr>
        <w:t>升级，工作重点更加聚焦</w:t>
      </w:r>
      <w:r>
        <w:rPr>
          <w:rFonts w:ascii="仿宋_GB2312" w:eastAsia="仿宋_GB2312" w:hAnsi="仿宋_GB2312" w:cs="仿宋_GB2312"/>
          <w:sz w:val="28"/>
          <w:szCs w:val="28"/>
        </w:rPr>
        <w:t>税费政策制定、税源管理</w:t>
      </w:r>
      <w:r>
        <w:rPr>
          <w:rFonts w:ascii="仿宋_GB2312" w:eastAsia="仿宋_GB2312" w:hAnsi="仿宋_GB2312" w:cs="仿宋_GB2312"/>
          <w:sz w:val="28"/>
          <w:szCs w:val="28"/>
        </w:rPr>
        <w:t>及</w:t>
      </w:r>
      <w:r>
        <w:rPr>
          <w:rFonts w:ascii="仿宋_GB2312" w:eastAsia="仿宋_GB2312" w:hAnsi="仿宋_GB2312" w:cs="仿宋_GB2312"/>
          <w:sz w:val="28"/>
          <w:szCs w:val="28"/>
        </w:rPr>
        <w:t>风险防控等核心执法业务</w:t>
      </w:r>
      <w:r>
        <w:rPr>
          <w:rFonts w:ascii="仿宋_GB2312" w:eastAsia="仿宋_GB2312" w:hAnsi="仿宋_GB2312" w:cs="仿宋_GB2312"/>
          <w:sz w:val="28"/>
          <w:szCs w:val="28"/>
        </w:rPr>
        <w:t>。在此背景下，通过政府采购等方式将</w:t>
      </w:r>
      <w:r>
        <w:rPr>
          <w:rFonts w:ascii="仿宋_GB2312" w:eastAsia="仿宋_GB2312" w:hAnsi="仿宋_GB2312" w:cs="仿宋_GB2312"/>
          <w:sz w:val="28"/>
          <w:szCs w:val="28"/>
        </w:rPr>
        <w:t>辅助性、事务性工作</w:t>
      </w:r>
      <w:r>
        <w:rPr>
          <w:rFonts w:ascii="仿宋_GB2312" w:eastAsia="仿宋_GB2312" w:hAnsi="仿宋_GB2312" w:cs="仿宋_GB2312"/>
          <w:sz w:val="28"/>
          <w:szCs w:val="28"/>
        </w:rPr>
        <w:t>交由专业服务机构承接，已成为提升工作效能的重要路径。为保障日常运转顺畅，持续提升税费服务效率与质量，</w:t>
      </w:r>
      <w:r>
        <w:rPr>
          <w:rFonts w:ascii="仿宋_GB2312" w:eastAsia="仿宋_GB2312" w:hAnsi="仿宋_GB2312" w:cs="仿宋_GB2312"/>
          <w:sz w:val="28"/>
          <w:szCs w:val="28"/>
        </w:rPr>
        <w:t>国家税务总局</w:t>
      </w:r>
      <w:r>
        <w:rPr>
          <w:rFonts w:ascii="仿宋_GB2312" w:eastAsia="仿宋_GB2312" w:hAnsi="仿宋_GB2312" w:cs="仿宋_GB2312"/>
          <w:sz w:val="28"/>
          <w:szCs w:val="28"/>
        </w:rPr>
        <w:t>中新天津生态城税务局将以政府采购形式引入非执法辅助类服务。目前，区局已连续多年采用此模式，相关服务内容正逐步走向标准化、专业化，有效推动了税费服务质效的整体提升。</w:t>
      </w:r>
    </w:p>
    <w:p>
      <w:pPr>
        <w:pStyle w:val="Heading2"/>
        <w:keepNext w:val="0"/>
        <w:spacing w:before="0" w:after="0" w:line="360" w:lineRule="auto"/>
        <w:rPr>
          <w:rFonts w:ascii="仿宋_GB2312" w:eastAsia="仿宋_GB2312" w:hAnsi="仿宋_GB2312" w:cs="仿宋_GB2312"/>
          <w:b/>
          <w:bCs/>
          <w:sz w:val="28"/>
          <w:szCs w:val="28"/>
        </w:rPr>
      </w:pPr>
      <w:bookmarkStart w:id="6" w:name="_Toc256000003"/>
      <w:r>
        <w:rPr>
          <w:rFonts w:ascii="仿宋_GB2312" w:eastAsia="仿宋_GB2312" w:hAnsi="仿宋_GB2312" w:cs="仿宋_GB2312"/>
          <w:i w:val="0"/>
          <w:iCs w:val="0"/>
        </w:rPr>
        <w:t>1.2项目内容</w:t>
      </w:r>
      <w:bookmarkEnd w:id="6"/>
    </w:p>
    <w:p>
      <w:pPr>
        <w:pStyle w:val="Heading3"/>
        <w:keepNext w:val="0"/>
        <w:spacing w:before="0" w:after="0" w:line="360" w:lineRule="auto"/>
        <w:rPr>
          <w:rFonts w:ascii="仿宋_GB2312" w:eastAsia="仿宋_GB2312" w:hAnsi="仿宋_GB2312" w:cs="仿宋_GB2312"/>
          <w:b/>
          <w:bCs/>
          <w:sz w:val="28"/>
          <w:szCs w:val="28"/>
        </w:rPr>
      </w:pPr>
      <w:bookmarkStart w:id="7" w:name="_Toc256000004"/>
      <w:r>
        <w:rPr>
          <w:rFonts w:ascii="仿宋_GB2312" w:eastAsia="仿宋_GB2312" w:hAnsi="仿宋_GB2312" w:cs="仿宋_GB2312"/>
          <w:sz w:val="28"/>
          <w:szCs w:val="28"/>
        </w:rPr>
        <w:t>1.2.1项目建设思路</w:t>
      </w:r>
      <w:bookmarkEnd w:id="7"/>
    </w:p>
    <w:p>
      <w:pPr>
        <w:pStyle w:val="15"/>
        <w:spacing w:before="0" w:after="0" w:line="360" w:lineRule="auto"/>
        <w:ind w:firstLine="640"/>
        <w:rPr>
          <w:rFonts w:ascii="Times New Roman" w:eastAsia="Times New Roman" w:hAnsi="Times New Roman" w:cs="Times New Roman"/>
        </w:rPr>
      </w:pPr>
      <w:r>
        <w:rPr>
          <w:rFonts w:ascii="仿宋_GB2312" w:eastAsia="仿宋_GB2312" w:hAnsi="仿宋_GB2312" w:cs="仿宋_GB2312"/>
          <w:sz w:val="28"/>
          <w:szCs w:val="28"/>
        </w:rPr>
        <w:t>立足税务系统</w:t>
      </w:r>
      <w:r>
        <w:rPr>
          <w:rFonts w:ascii="仿宋_GB2312" w:eastAsia="仿宋_GB2312" w:hAnsi="仿宋_GB2312" w:cs="仿宋_GB2312"/>
          <w:sz w:val="28"/>
          <w:szCs w:val="28"/>
        </w:rPr>
        <w:t>“服务型”转型的总体要求，为进一步提升税费服务质效，区局将为围绕购买非执法类辅助性服务工作明确以下思路：</w:t>
      </w:r>
    </w:p>
    <w:p>
      <w:pPr>
        <w:pStyle w:val="15"/>
        <w:spacing w:before="0" w:after="0" w:line="360" w:lineRule="auto"/>
        <w:ind w:firstLine="640"/>
        <w:rPr>
          <w:rFonts w:ascii="Times New Roman" w:eastAsia="Times New Roman" w:hAnsi="Times New Roman" w:cs="Times New Roman"/>
        </w:rPr>
      </w:pPr>
      <w:r>
        <w:rPr>
          <w:rFonts w:ascii="仿宋_GB2312" w:eastAsia="仿宋_GB2312" w:hAnsi="仿宋_GB2312" w:cs="仿宋_GB2312"/>
          <w:sz w:val="28"/>
          <w:szCs w:val="28"/>
        </w:rPr>
        <w:t>一是持续深化服务转型，聚焦政策制定、税源管理等核心业务，稳步推进辅助性事务外包，释放专业执法力量。向各税源管理所、纳税宣传等部门提供非执法类相关辅助性服务，促进纳税人缴费人依法诚信纳税，保护纳税人缴费人合法权益。</w:t>
      </w:r>
    </w:p>
    <w:p>
      <w:pPr>
        <w:pStyle w:val="15"/>
        <w:spacing w:before="0" w:after="0" w:line="360" w:lineRule="auto"/>
        <w:ind w:firstLine="640"/>
        <w:rPr>
          <w:rFonts w:ascii="Times New Roman" w:eastAsia="Times New Roman" w:hAnsi="Times New Roman" w:cs="Times New Roman"/>
        </w:rPr>
      </w:pPr>
      <w:r>
        <w:rPr>
          <w:rFonts w:ascii="仿宋_GB2312" w:eastAsia="仿宋_GB2312" w:hAnsi="仿宋_GB2312" w:cs="仿宋_GB2312"/>
          <w:sz w:val="28"/>
          <w:szCs w:val="28"/>
        </w:rPr>
        <w:t>二是优化采购与监管机制，严格按照政府采购流程，精选专业化服务机构，完善服务标准与质量评估体系，推动服务内容标准化、专业化建设。</w:t>
      </w:r>
    </w:p>
    <w:p>
      <w:pPr>
        <w:pStyle w:val="15"/>
        <w:spacing w:before="0" w:after="0" w:line="360" w:lineRule="auto"/>
        <w:ind w:firstLine="640"/>
        <w:rPr>
          <w:rFonts w:ascii="Times New Roman" w:eastAsia="Times New Roman" w:hAnsi="Times New Roman" w:cs="Times New Roman"/>
        </w:rPr>
      </w:pPr>
      <w:r>
        <w:rPr>
          <w:rFonts w:ascii="仿宋_GB2312" w:eastAsia="仿宋_GB2312" w:hAnsi="仿宋_GB2312" w:cs="仿宋_GB2312"/>
          <w:sz w:val="28"/>
          <w:szCs w:val="28"/>
        </w:rPr>
        <w:t>三是强化协同与效能提升，加强内外工作衔接，依托购买服务提升日常运转效率与纳税人缴费人满意度，持续助力税收治理现代化。</w:t>
      </w:r>
    </w:p>
    <w:p>
      <w:pPr>
        <w:pStyle w:val="MsoNormal"/>
        <w:spacing w:before="0" w:after="0" w:line="360" w:lineRule="auto"/>
        <w:rPr>
          <w:rFonts w:ascii="Times New Roman" w:eastAsia="Times New Roman" w:hAnsi="Times New Roman" w:cs="Times New Roman"/>
        </w:rPr>
      </w:pPr>
      <w:r>
        <w:rPr>
          <w:rFonts w:ascii="仿宋_GB2312" w:eastAsia="仿宋_GB2312" w:hAnsi="仿宋_GB2312" w:cs="仿宋_GB2312"/>
          <w:sz w:val="28"/>
          <w:szCs w:val="28"/>
        </w:rPr>
        <w:t>通过上述措施，系统性保障服务工作规范、高效运行，切实推动税费服务质效再上新台阶。</w:t>
      </w:r>
    </w:p>
    <w:p>
      <w:pPr>
        <w:pStyle w:val="Heading3"/>
        <w:keepNext w:val="0"/>
        <w:spacing w:before="0" w:after="0" w:line="360" w:lineRule="auto"/>
        <w:rPr>
          <w:rFonts w:ascii="仿宋_GB2312" w:eastAsia="仿宋_GB2312" w:hAnsi="仿宋_GB2312" w:cs="仿宋_GB2312"/>
          <w:b/>
          <w:bCs/>
          <w:sz w:val="28"/>
          <w:szCs w:val="28"/>
        </w:rPr>
      </w:pPr>
      <w:bookmarkStart w:id="8" w:name="_Toc256000005"/>
      <w:r>
        <w:rPr>
          <w:rFonts w:ascii="仿宋_GB2312" w:eastAsia="仿宋_GB2312" w:hAnsi="仿宋_GB2312" w:cs="仿宋_GB2312"/>
          <w:sz w:val="28"/>
          <w:szCs w:val="28"/>
        </w:rPr>
        <w:t>1.2.2采购内容</w:t>
      </w:r>
      <w:bookmarkEnd w:id="8"/>
    </w:p>
    <w:p>
      <w:pPr>
        <w:pStyle w:val="15"/>
        <w:spacing w:before="0" w:after="0" w:line="360" w:lineRule="auto"/>
        <w:ind w:firstLine="640"/>
        <w:rPr>
          <w:rFonts w:ascii="Times New Roman" w:eastAsia="Times New Roman" w:hAnsi="Times New Roman" w:cs="Times New Roman"/>
        </w:rPr>
      </w:pPr>
      <w:r>
        <w:rPr>
          <w:rFonts w:ascii="仿宋_GB2312" w:eastAsia="仿宋_GB2312" w:hAnsi="仿宋_GB2312" w:cs="仿宋_GB2312"/>
          <w:sz w:val="28"/>
          <w:szCs w:val="28"/>
        </w:rPr>
        <w:t>协助各税源管理所、纳宣等部门做好日常资料传递、信息动态编撰、事务性报表填报、涉税服务需求响应、逾期申报及其他事项统计、纳税人缴费人难点、热点问题收集整理、涉税中介协议采集辅导、业务前置资料完整性审核等辅助性服务。</w:t>
      </w:r>
    </w:p>
    <w:p>
      <w:pPr>
        <w:pStyle w:val="15"/>
        <w:spacing w:before="0" w:after="0" w:line="360" w:lineRule="auto"/>
        <w:ind w:firstLine="640"/>
        <w:rPr>
          <w:rFonts w:ascii="Times New Roman" w:eastAsia="Times New Roman" w:hAnsi="Times New Roman" w:cs="Times New Roman"/>
        </w:rPr>
      </w:pPr>
      <w:r>
        <w:rPr>
          <w:rFonts w:ascii="仿宋_GB2312" w:eastAsia="仿宋_GB2312" w:hAnsi="仿宋_GB2312" w:cs="仿宋_GB2312"/>
          <w:sz w:val="28"/>
          <w:szCs w:val="28"/>
        </w:rPr>
        <w:t>项目服务期限为</w:t>
      </w:r>
      <w:r>
        <w:rPr>
          <w:rFonts w:ascii="仿宋_GB2312" w:eastAsia="仿宋_GB2312" w:hAnsi="仿宋_GB2312" w:cs="仿宋_GB2312"/>
          <w:sz w:val="28"/>
          <w:szCs w:val="28"/>
        </w:rPr>
        <w:t>二</w:t>
      </w:r>
      <w:r>
        <w:rPr>
          <w:rFonts w:ascii="仿宋_GB2312" w:eastAsia="仿宋_GB2312" w:hAnsi="仿宋_GB2312" w:cs="仿宋_GB2312"/>
          <w:sz w:val="28"/>
          <w:szCs w:val="28"/>
        </w:rPr>
        <w:t>年。本项目需要服务人员</w:t>
      </w:r>
      <w:r>
        <w:rPr>
          <w:rFonts w:ascii="仿宋_GB2312" w:eastAsia="仿宋_GB2312" w:hAnsi="仿宋_GB2312" w:cs="仿宋_GB2312"/>
          <w:sz w:val="28"/>
          <w:szCs w:val="28"/>
        </w:rPr>
        <w:t>7</w:t>
      </w:r>
      <w:r>
        <w:rPr>
          <w:rFonts w:ascii="仿宋_GB2312" w:eastAsia="仿宋_GB2312" w:hAnsi="仿宋_GB2312" w:cs="仿宋_GB2312"/>
          <w:sz w:val="28"/>
          <w:szCs w:val="28"/>
        </w:rPr>
        <w:t>人，中标供应商按照</w:t>
      </w:r>
      <w:r>
        <w:rPr>
          <w:rFonts w:ascii="仿宋_GB2312" w:eastAsia="仿宋_GB2312" w:hAnsi="仿宋_GB2312" w:cs="仿宋_GB2312"/>
          <w:sz w:val="28"/>
          <w:szCs w:val="28"/>
        </w:rPr>
        <w:t>国家税务总局中新天津生态城税务局</w:t>
      </w:r>
      <w:r>
        <w:rPr>
          <w:rFonts w:ascii="仿宋_GB2312" w:eastAsia="仿宋_GB2312" w:hAnsi="仿宋_GB2312" w:cs="仿宋_GB2312"/>
          <w:sz w:val="28"/>
          <w:szCs w:val="28"/>
        </w:rPr>
        <w:t>要求招聘、培训、管理非执法性辅助服务人员，配合</w:t>
      </w:r>
      <w:r>
        <w:rPr>
          <w:rFonts w:ascii="仿宋_GB2312" w:eastAsia="仿宋_GB2312" w:hAnsi="仿宋_GB2312" w:cs="仿宋_GB2312"/>
          <w:sz w:val="28"/>
          <w:szCs w:val="28"/>
        </w:rPr>
        <w:t>国家税务总局中新天津生态城税务局</w:t>
      </w:r>
      <w:r>
        <w:rPr>
          <w:rFonts w:ascii="仿宋_GB2312" w:eastAsia="仿宋_GB2312" w:hAnsi="仿宋_GB2312" w:cs="仿宋_GB2312"/>
          <w:sz w:val="28"/>
          <w:szCs w:val="28"/>
        </w:rPr>
        <w:t>负责对非执法人员的日常管理工作，共同完善服务规范和绩效管理办法等制度体系建设。</w:t>
      </w:r>
    </w:p>
    <w:p>
      <w:pPr>
        <w:pStyle w:val="Heading3"/>
        <w:keepNext w:val="0"/>
        <w:spacing w:before="0" w:after="0" w:line="360" w:lineRule="auto"/>
        <w:rPr>
          <w:rFonts w:ascii="仿宋_GB2312" w:eastAsia="仿宋_GB2312" w:hAnsi="仿宋_GB2312" w:cs="仿宋_GB2312"/>
          <w:b/>
          <w:bCs/>
          <w:sz w:val="28"/>
          <w:szCs w:val="28"/>
        </w:rPr>
      </w:pPr>
      <w:bookmarkStart w:id="9" w:name="_Toc256000006"/>
      <w:r>
        <w:rPr>
          <w:rFonts w:ascii="仿宋_GB2312" w:eastAsia="仿宋_GB2312" w:hAnsi="仿宋_GB2312" w:cs="仿宋_GB2312"/>
          <w:sz w:val="28"/>
          <w:szCs w:val="28"/>
        </w:rPr>
        <w:t>1.2.3项目实施要求</w:t>
      </w:r>
      <w:bookmarkEnd w:id="9"/>
    </w:p>
    <w:p>
      <w:pPr>
        <w:pStyle w:val="Heading4"/>
        <w:keepNext w:val="0"/>
        <w:spacing w:before="0" w:after="0" w:line="360" w:lineRule="auto"/>
        <w:rPr>
          <w:rFonts w:ascii="仿宋_GB2312" w:eastAsia="仿宋_GB2312" w:hAnsi="仿宋_GB2312" w:cs="仿宋_GB2312"/>
          <w:b/>
          <w:bCs/>
          <w:sz w:val="28"/>
          <w:szCs w:val="28"/>
        </w:rPr>
      </w:pPr>
      <w:r>
        <w:rPr>
          <w:rFonts w:ascii="仿宋_GB2312" w:eastAsia="仿宋_GB2312" w:hAnsi="仿宋_GB2312" w:cs="仿宋_GB2312"/>
        </w:rPr>
        <w:t>1.2.3.1实施范围要求</w:t>
      </w:r>
    </w:p>
    <w:p>
      <w:pPr>
        <w:pStyle w:val="MsoNormal"/>
        <w:spacing w:before="0" w:after="0" w:line="360" w:lineRule="auto"/>
        <w:ind w:firstLine="480"/>
        <w:rPr>
          <w:rFonts w:ascii="Times New Roman" w:eastAsia="Times New Roman" w:hAnsi="Times New Roman" w:cs="Times New Roman"/>
        </w:rPr>
      </w:pPr>
      <w:r>
        <w:rPr>
          <w:rFonts w:ascii="仿宋_GB2312" w:eastAsia="仿宋_GB2312" w:hAnsi="仿宋_GB2312" w:cs="仿宋_GB2312"/>
          <w:sz w:val="28"/>
          <w:szCs w:val="28"/>
        </w:rPr>
        <w:t>项目实施范围为国家税务总局中新天津生态城税务局。</w:t>
      </w:r>
    </w:p>
    <w:p>
      <w:pPr>
        <w:pStyle w:val="Heading4"/>
        <w:keepNext w:val="0"/>
        <w:spacing w:before="0" w:after="0" w:line="360" w:lineRule="auto"/>
        <w:rPr>
          <w:rFonts w:ascii="仿宋_GB2312" w:eastAsia="仿宋_GB2312" w:hAnsi="仿宋_GB2312" w:cs="仿宋_GB2312"/>
          <w:b/>
          <w:bCs/>
          <w:sz w:val="28"/>
          <w:szCs w:val="28"/>
        </w:rPr>
      </w:pPr>
      <w:r>
        <w:rPr>
          <w:rFonts w:ascii="仿宋_GB2312" w:eastAsia="仿宋_GB2312" w:hAnsi="仿宋_GB2312" w:cs="仿宋_GB2312"/>
        </w:rPr>
        <w:t>1.2.3.2实施时间要求</w:t>
      </w:r>
    </w:p>
    <w:p>
      <w:pPr>
        <w:pStyle w:val="MsoNormal"/>
        <w:spacing w:before="0" w:after="0" w:line="360" w:lineRule="auto"/>
        <w:ind w:firstLine="480"/>
        <w:rPr>
          <w:rFonts w:ascii="Times New Roman" w:eastAsia="Times New Roman" w:hAnsi="Times New Roman" w:cs="Times New Roman"/>
        </w:rPr>
      </w:pPr>
      <w:r>
        <w:rPr>
          <w:rFonts w:ascii="仿宋_GB2312" w:eastAsia="仿宋_GB2312" w:hAnsi="仿宋_GB2312" w:cs="仿宋_GB2312"/>
          <w:sz w:val="28"/>
          <w:szCs w:val="28"/>
        </w:rPr>
        <w:t>自合同规定的服务起始之日起</w:t>
      </w:r>
      <w:r>
        <w:rPr>
          <w:rFonts w:ascii="仿宋_GB2312" w:eastAsia="仿宋_GB2312" w:hAnsi="仿宋_GB2312" w:cs="仿宋_GB2312"/>
          <w:sz w:val="28"/>
          <w:szCs w:val="28"/>
        </w:rPr>
        <w:t>二</w:t>
      </w:r>
      <w:r>
        <w:rPr>
          <w:rFonts w:ascii="仿宋_GB2312" w:eastAsia="仿宋_GB2312" w:hAnsi="仿宋_GB2312" w:cs="仿宋_GB2312"/>
          <w:sz w:val="28"/>
          <w:szCs w:val="28"/>
        </w:rPr>
        <w:t>年</w:t>
      </w:r>
      <w:r>
        <w:rPr>
          <w:rFonts w:ascii="仿宋_GB2312" w:eastAsia="仿宋_GB2312" w:hAnsi="仿宋_GB2312" w:cs="仿宋_GB2312"/>
          <w:sz w:val="28"/>
          <w:szCs w:val="28"/>
        </w:rPr>
        <w:t>。</w:t>
      </w:r>
      <w:r>
        <w:rPr>
          <w:rFonts w:ascii="仿宋_GB2312" w:eastAsia="仿宋_GB2312" w:hAnsi="仿宋_GB2312" w:cs="仿宋_GB2312"/>
          <w:sz w:val="28"/>
          <w:szCs w:val="28"/>
        </w:rPr>
        <w:t>合同每年一签。</w:t>
      </w:r>
    </w:p>
    <w:p>
      <w:pPr>
        <w:pStyle w:val="Heading4"/>
        <w:keepNext w:val="0"/>
        <w:spacing w:before="0" w:after="0" w:line="360" w:lineRule="auto"/>
        <w:rPr>
          <w:rFonts w:ascii="仿宋_GB2312" w:eastAsia="仿宋_GB2312" w:hAnsi="仿宋_GB2312" w:cs="仿宋_GB2312"/>
          <w:b/>
          <w:bCs/>
          <w:sz w:val="28"/>
          <w:szCs w:val="28"/>
        </w:rPr>
      </w:pPr>
      <w:r>
        <w:rPr>
          <w:rFonts w:ascii="仿宋_GB2312" w:eastAsia="仿宋_GB2312" w:hAnsi="仿宋_GB2312" w:cs="仿宋_GB2312"/>
        </w:rPr>
        <w:t>1.2.3.3实施地点要求</w:t>
      </w:r>
    </w:p>
    <w:p>
      <w:pPr>
        <w:pStyle w:val="MsoNormal"/>
        <w:spacing w:before="0" w:after="0" w:line="360" w:lineRule="auto"/>
        <w:ind w:firstLine="480"/>
        <w:rPr>
          <w:rFonts w:ascii="Times New Roman" w:eastAsia="Times New Roman" w:hAnsi="Times New Roman" w:cs="Times New Roman"/>
        </w:rPr>
      </w:pPr>
      <w:r>
        <w:rPr>
          <w:rFonts w:ascii="仿宋_GB2312" w:eastAsia="仿宋_GB2312" w:hAnsi="仿宋_GB2312" w:cs="仿宋_GB2312"/>
          <w:sz w:val="28"/>
          <w:szCs w:val="28"/>
        </w:rPr>
        <w:t>项目实施地点</w:t>
      </w:r>
      <w:r>
        <w:rPr>
          <w:rFonts w:ascii="仿宋_GB2312" w:eastAsia="仿宋_GB2312" w:hAnsi="仿宋_GB2312" w:cs="仿宋_GB2312"/>
          <w:sz w:val="28"/>
          <w:szCs w:val="28"/>
        </w:rPr>
        <w:t>为</w:t>
      </w:r>
      <w:r>
        <w:rPr>
          <w:rFonts w:ascii="仿宋_GB2312" w:eastAsia="仿宋_GB2312" w:hAnsi="仿宋_GB2312" w:cs="仿宋_GB2312"/>
          <w:sz w:val="28"/>
          <w:szCs w:val="28"/>
        </w:rPr>
        <w:t>第二税务所、</w:t>
      </w:r>
      <w:r>
        <w:rPr>
          <w:rFonts w:ascii="仿宋_GB2312" w:eastAsia="仿宋_GB2312" w:hAnsi="仿宋_GB2312" w:cs="仿宋_GB2312"/>
          <w:sz w:val="28"/>
          <w:szCs w:val="28"/>
        </w:rPr>
        <w:t>中新天津</w:t>
      </w:r>
      <w:r>
        <w:rPr>
          <w:rFonts w:ascii="仿宋_GB2312" w:eastAsia="仿宋_GB2312" w:hAnsi="仿宋_GB2312" w:cs="仿宋_GB2312"/>
          <w:sz w:val="28"/>
          <w:szCs w:val="28"/>
        </w:rPr>
        <w:t>生态城税务所、汉沽税务所、动漫园税务所、寨上税务所等。</w:t>
      </w:r>
    </w:p>
    <w:p>
      <w:pPr>
        <w:pStyle w:val="Heading2"/>
        <w:keepNext w:val="0"/>
        <w:spacing w:before="0" w:after="0" w:line="360" w:lineRule="auto"/>
        <w:rPr>
          <w:rFonts w:ascii="仿宋_GB2312" w:eastAsia="仿宋_GB2312" w:hAnsi="仿宋_GB2312" w:cs="仿宋_GB2312"/>
          <w:b/>
          <w:bCs/>
          <w:sz w:val="28"/>
          <w:szCs w:val="28"/>
        </w:rPr>
      </w:pPr>
      <w:bookmarkStart w:id="10" w:name="_Toc256000007"/>
      <w:r>
        <w:rPr>
          <w:rFonts w:ascii="仿宋_GB2312" w:eastAsia="仿宋_GB2312" w:hAnsi="仿宋_GB2312" w:cs="仿宋_GB2312"/>
          <w:i w:val="0"/>
          <w:iCs w:val="0"/>
        </w:rPr>
        <w:t>1.3其他要求</w:t>
      </w:r>
      <w:bookmarkEnd w:id="10"/>
    </w:p>
    <w:p>
      <w:pPr>
        <w:pStyle w:val="Heading3"/>
        <w:keepNext w:val="0"/>
        <w:spacing w:before="0" w:after="0" w:line="360" w:lineRule="auto"/>
        <w:rPr>
          <w:rFonts w:ascii="仿宋_GB2312" w:eastAsia="仿宋_GB2312" w:hAnsi="仿宋_GB2312" w:cs="仿宋_GB2312"/>
          <w:b/>
          <w:bCs/>
          <w:sz w:val="28"/>
          <w:szCs w:val="28"/>
        </w:rPr>
      </w:pPr>
      <w:bookmarkStart w:id="11" w:name="_Toc256000008"/>
      <w:r>
        <w:rPr>
          <w:rFonts w:ascii="仿宋_GB2312" w:eastAsia="仿宋_GB2312" w:hAnsi="仿宋_GB2312" w:cs="仿宋_GB2312"/>
          <w:sz w:val="28"/>
          <w:szCs w:val="28"/>
        </w:rPr>
        <w:t>1.3.1采购标的需执行的相关标准规范</w:t>
      </w:r>
      <w:bookmarkEnd w:id="11"/>
    </w:p>
    <w:p>
      <w:pPr>
        <w:pStyle w:val="15"/>
        <w:spacing w:before="0" w:after="0" w:line="360" w:lineRule="auto"/>
        <w:ind w:firstLine="560"/>
        <w:rPr>
          <w:rFonts w:ascii="Times New Roman" w:eastAsia="Times New Roman" w:hAnsi="Times New Roman" w:cs="Times New Roman"/>
        </w:rPr>
      </w:pPr>
      <w:r>
        <w:rPr>
          <w:rFonts w:ascii="仿宋_GB2312" w:eastAsia="仿宋_GB2312" w:hAnsi="仿宋_GB2312" w:cs="仿宋_GB2312"/>
          <w:sz w:val="28"/>
          <w:szCs w:val="28"/>
        </w:rPr>
        <w:t>无</w:t>
      </w:r>
    </w:p>
    <w:p>
      <w:pPr>
        <w:pStyle w:val="Heading1"/>
        <w:keepNext w:val="0"/>
        <w:spacing w:before="0" w:after="0" w:line="360" w:lineRule="auto"/>
        <w:jc w:val="center"/>
        <w:rPr>
          <w:rFonts w:ascii="仿宋_GB2312" w:eastAsia="仿宋_GB2312" w:hAnsi="仿宋_GB2312" w:cs="仿宋_GB2312"/>
          <w:b/>
          <w:bCs/>
          <w:sz w:val="32"/>
          <w:szCs w:val="32"/>
        </w:rPr>
      </w:pPr>
      <w:bookmarkStart w:id="12" w:name="_Toc256000009"/>
      <w:r>
        <w:rPr>
          <w:rFonts w:ascii="仿宋_GB2312" w:eastAsia="仿宋_GB2312" w:hAnsi="仿宋_GB2312" w:cs="仿宋_GB2312"/>
          <w:kern w:val="36"/>
        </w:rPr>
        <w:t>2投标/响应要求</w:t>
      </w:r>
      <w:bookmarkEnd w:id="12"/>
    </w:p>
    <w:p>
      <w:pPr>
        <w:pStyle w:val="Heading2"/>
        <w:keepNext w:val="0"/>
        <w:spacing w:before="0" w:after="0" w:line="360" w:lineRule="auto"/>
        <w:rPr>
          <w:rFonts w:ascii="仿宋_GB2312" w:eastAsia="仿宋_GB2312" w:hAnsi="仿宋_GB2312" w:cs="仿宋_GB2312"/>
          <w:b/>
          <w:bCs/>
          <w:sz w:val="28"/>
          <w:szCs w:val="28"/>
        </w:rPr>
      </w:pPr>
      <w:bookmarkStart w:id="13" w:name="_Toc256000010"/>
      <w:r>
        <w:rPr>
          <w:rFonts w:ascii="仿宋_GB2312" w:eastAsia="仿宋_GB2312" w:hAnsi="仿宋_GB2312" w:cs="仿宋_GB2312"/>
          <w:i w:val="0"/>
          <w:iCs w:val="0"/>
        </w:rPr>
        <w:t>2.1对供应商的要求</w:t>
      </w:r>
      <w:bookmarkEnd w:id="13"/>
    </w:p>
    <w:p>
      <w:pPr>
        <w:pStyle w:val="Heading3"/>
        <w:keepNext w:val="0"/>
        <w:spacing w:before="0" w:after="0" w:line="360" w:lineRule="auto"/>
        <w:rPr>
          <w:rFonts w:ascii="仿宋_GB2312" w:eastAsia="仿宋_GB2312" w:hAnsi="仿宋_GB2312" w:cs="仿宋_GB2312"/>
          <w:b/>
          <w:bCs/>
          <w:sz w:val="28"/>
          <w:szCs w:val="28"/>
        </w:rPr>
      </w:pPr>
      <w:bookmarkStart w:id="14" w:name="_Toc256000011"/>
      <w:r>
        <w:rPr>
          <w:rFonts w:ascii="仿宋_GB2312" w:eastAsia="仿宋_GB2312" w:hAnsi="仿宋_GB2312" w:cs="仿宋_GB2312"/>
          <w:sz w:val="28"/>
          <w:szCs w:val="28"/>
        </w:rPr>
        <w:t>2.1.1必备资质</w:t>
      </w:r>
      <w:bookmarkEnd w:id="14"/>
    </w:p>
    <w:p>
      <w:pPr>
        <w:pStyle w:val="Heading4"/>
        <w:keepNext w:val="0"/>
        <w:spacing w:before="0" w:after="0" w:line="360" w:lineRule="auto"/>
        <w:rPr>
          <w:rFonts w:ascii="仿宋_GB2312" w:eastAsia="仿宋_GB2312" w:hAnsi="仿宋_GB2312" w:cs="仿宋_GB2312"/>
          <w:b/>
          <w:bCs/>
          <w:sz w:val="28"/>
          <w:szCs w:val="28"/>
        </w:rPr>
      </w:pPr>
      <w:r>
        <w:rPr>
          <w:rFonts w:ascii="仿宋_GB2312" w:eastAsia="仿宋_GB2312" w:hAnsi="仿宋_GB2312" w:cs="仿宋_GB2312"/>
        </w:rPr>
        <w:t>2.1.1.1投标人应遵守有关国家法律、法规和条例,具备《中华人民共和国政府采购法》第二十二条的规定和本文件中规定的条件。</w:t>
      </w:r>
    </w:p>
    <w:p>
      <w:pPr>
        <w:pStyle w:val="Heading4"/>
        <w:keepNext w:val="0"/>
        <w:spacing w:before="0" w:after="0" w:line="360" w:lineRule="auto"/>
        <w:rPr>
          <w:rFonts w:ascii="仿宋_GB2312" w:eastAsia="仿宋_GB2312" w:hAnsi="仿宋_GB2312" w:cs="仿宋_GB2312"/>
          <w:b/>
          <w:bCs/>
          <w:sz w:val="28"/>
          <w:szCs w:val="28"/>
        </w:rPr>
      </w:pPr>
      <w:r>
        <w:rPr>
          <w:rFonts w:ascii="仿宋_GB2312" w:eastAsia="仿宋_GB2312" w:hAnsi="仿宋_GB2312" w:cs="仿宋_GB2312"/>
        </w:rPr>
        <w:t>2.1.1.2本项目的特定资格要求</w:t>
      </w:r>
    </w:p>
    <w:p>
      <w:pPr>
        <w:pStyle w:val="MsoNormal"/>
        <w:spacing w:before="0" w:after="0" w:line="360" w:lineRule="auto"/>
        <w:ind w:firstLine="480"/>
        <w:rPr>
          <w:rFonts w:ascii="Times New Roman" w:eastAsia="Times New Roman" w:hAnsi="Times New Roman" w:cs="Times New Roman"/>
        </w:rPr>
      </w:pPr>
      <w:r>
        <w:rPr>
          <w:rFonts w:ascii="仿宋_GB2312" w:eastAsia="仿宋_GB2312" w:hAnsi="仿宋_GB2312" w:cs="仿宋_GB2312"/>
          <w:sz w:val="28"/>
          <w:szCs w:val="28"/>
        </w:rPr>
        <w:t>无</w:t>
      </w:r>
    </w:p>
    <w:p>
      <w:pPr>
        <w:pStyle w:val="Heading3"/>
        <w:keepNext w:val="0"/>
        <w:spacing w:before="0" w:after="0" w:line="360" w:lineRule="auto"/>
        <w:rPr>
          <w:rFonts w:ascii="仿宋_GB2312" w:eastAsia="仿宋_GB2312" w:hAnsi="仿宋_GB2312" w:cs="仿宋_GB2312"/>
          <w:b/>
          <w:bCs/>
          <w:sz w:val="28"/>
          <w:szCs w:val="28"/>
        </w:rPr>
      </w:pPr>
      <w:bookmarkStart w:id="15" w:name="_Toc256000012"/>
      <w:r>
        <w:rPr>
          <w:rFonts w:ascii="仿宋_GB2312" w:eastAsia="仿宋_GB2312" w:hAnsi="仿宋_GB2312" w:cs="仿宋_GB2312"/>
          <w:sz w:val="28"/>
          <w:szCs w:val="28"/>
        </w:rPr>
        <w:t>2.1.2优选资质/优选指标</w:t>
      </w:r>
      <w:bookmarkEnd w:id="15"/>
    </w:p>
    <w:p>
      <w:pPr>
        <w:pStyle w:val="Heading4"/>
        <w:keepNext w:val="0"/>
        <w:spacing w:before="0" w:after="0" w:line="360" w:lineRule="auto"/>
        <w:rPr>
          <w:rFonts w:ascii="仿宋_GB2312" w:eastAsia="仿宋_GB2312" w:hAnsi="仿宋_GB2312" w:cs="仿宋_GB2312"/>
          <w:b/>
          <w:bCs/>
          <w:sz w:val="28"/>
          <w:szCs w:val="28"/>
        </w:rPr>
      </w:pPr>
      <w:r>
        <w:rPr>
          <w:rFonts w:ascii="仿宋_GB2312" w:eastAsia="仿宋_GB2312" w:hAnsi="仿宋_GB2312" w:cs="仿宋_GB2312"/>
        </w:rPr>
        <w:t>2.1.2.1相关证书</w:t>
      </w:r>
    </w:p>
    <w:p>
      <w:pPr>
        <w:pStyle w:val="Heading4"/>
        <w:keepNext w:val="0"/>
        <w:spacing w:before="0" w:after="0" w:line="360" w:lineRule="auto"/>
        <w:rPr>
          <w:rFonts w:ascii="仿宋_GB2312" w:eastAsia="仿宋_GB2312" w:hAnsi="仿宋_GB2312" w:cs="仿宋_GB2312"/>
          <w:b/>
          <w:bCs/>
          <w:sz w:val="28"/>
          <w:szCs w:val="28"/>
        </w:rPr>
      </w:pPr>
      <w:r>
        <w:rPr>
          <w:rFonts w:ascii="仿宋_GB2312" w:eastAsia="仿宋_GB2312" w:hAnsi="仿宋_GB2312" w:cs="仿宋_GB2312"/>
        </w:rPr>
        <w:t>2.1.2.2成功案例</w:t>
      </w:r>
    </w:p>
    <w:p>
      <w:pPr>
        <w:pStyle w:val="15"/>
        <w:spacing w:before="0" w:after="0" w:line="360" w:lineRule="auto"/>
        <w:ind w:firstLine="640"/>
        <w:jc w:val="both"/>
        <w:rPr>
          <w:rFonts w:ascii="Times New Roman" w:eastAsia="Times New Roman" w:hAnsi="Times New Roman" w:cs="Times New Roman"/>
        </w:rPr>
      </w:pPr>
      <w:r>
        <w:rPr>
          <w:rFonts w:ascii="仿宋_GB2312" w:eastAsia="仿宋_GB2312" w:hAnsi="仿宋_GB2312" w:cs="仿宋_GB2312"/>
          <w:sz w:val="28"/>
          <w:szCs w:val="28"/>
        </w:rPr>
        <w:t>1.投标人提供2023年11月以来（以合同签订日期为准）独立承担的与本项目相类似且已完成的案例。</w:t>
      </w:r>
    </w:p>
    <w:p>
      <w:pPr>
        <w:pStyle w:val="15"/>
        <w:spacing w:before="0" w:after="0" w:line="360" w:lineRule="auto"/>
        <w:ind w:firstLine="640"/>
        <w:jc w:val="both"/>
        <w:rPr>
          <w:rFonts w:ascii="Times New Roman" w:eastAsia="Times New Roman" w:hAnsi="Times New Roman" w:cs="Times New Roman"/>
        </w:rPr>
      </w:pPr>
      <w:r>
        <w:rPr>
          <w:rFonts w:ascii="仿宋_GB2312" w:eastAsia="仿宋_GB2312" w:hAnsi="仿宋_GB2312" w:cs="仿宋_GB2312"/>
          <w:sz w:val="28"/>
          <w:szCs w:val="28"/>
        </w:rPr>
        <w:t>2.已完成的合同，提供加盖合同甲方单位公章的成功履行合同的相关证明材料原件扫描件，合同正在实施的，提供加盖合同甲方单位公章的合同履行情况良好的相关证明材料原件扫描件。</w:t>
      </w:r>
    </w:p>
    <w:p>
      <w:pPr>
        <w:pStyle w:val="Heading3"/>
        <w:keepNext w:val="0"/>
        <w:spacing w:before="0" w:after="0" w:line="360" w:lineRule="auto"/>
        <w:rPr>
          <w:rFonts w:ascii="仿宋_GB2312" w:eastAsia="仿宋_GB2312" w:hAnsi="仿宋_GB2312" w:cs="仿宋_GB2312"/>
          <w:b/>
          <w:bCs/>
          <w:sz w:val="28"/>
          <w:szCs w:val="28"/>
        </w:rPr>
      </w:pPr>
      <w:bookmarkStart w:id="16" w:name="_Toc256000013"/>
      <w:r>
        <w:rPr>
          <w:rFonts w:ascii="仿宋_GB2312" w:eastAsia="仿宋_GB2312" w:hAnsi="仿宋_GB2312" w:cs="仿宋_GB2312"/>
          <w:sz w:val="28"/>
          <w:szCs w:val="28"/>
        </w:rPr>
        <w:t>2.1.3是否允许联合体</w:t>
      </w:r>
      <w:bookmarkEnd w:id="16"/>
    </w:p>
    <w:p>
      <w:pPr>
        <w:spacing w:before="0" w:after="0" w:line="360" w:lineRule="auto"/>
        <w:ind w:firstLine="561"/>
        <w:rPr>
          <w:rFonts w:ascii="仿宋_GB2312" w:eastAsia="仿宋_GB2312" w:hAnsi="仿宋_GB2312" w:cs="仿宋_GB2312"/>
          <w:sz w:val="28"/>
          <w:szCs w:val="28"/>
        </w:rPr>
      </w:pPr>
      <w:r>
        <w:rPr>
          <w:rFonts w:ascii="仿宋_GB2312" w:eastAsia="仿宋_GB2312" w:hAnsi="仿宋_GB2312" w:cs="仿宋_GB2312"/>
          <w:sz w:val="28"/>
          <w:szCs w:val="28"/>
        </w:rPr>
        <w:t>否</w:t>
      </w:r>
    </w:p>
    <w:p>
      <w:pPr>
        <w:pStyle w:val="Heading3"/>
        <w:keepNext w:val="0"/>
        <w:spacing w:before="0" w:after="0" w:line="360" w:lineRule="auto"/>
        <w:rPr>
          <w:rFonts w:ascii="仿宋_GB2312" w:eastAsia="仿宋_GB2312" w:hAnsi="仿宋_GB2312" w:cs="仿宋_GB2312"/>
          <w:b/>
          <w:bCs/>
          <w:sz w:val="28"/>
          <w:szCs w:val="28"/>
        </w:rPr>
      </w:pPr>
      <w:bookmarkStart w:id="17" w:name="_Toc256000014"/>
      <w:r>
        <w:rPr>
          <w:rFonts w:ascii="仿宋_GB2312" w:eastAsia="仿宋_GB2312" w:hAnsi="仿宋_GB2312" w:cs="仿宋_GB2312"/>
          <w:sz w:val="28"/>
          <w:szCs w:val="28"/>
        </w:rPr>
        <w:t>2.1.4是否专门面向中小企业</w:t>
      </w:r>
      <w:bookmarkEnd w:id="17"/>
    </w:p>
    <w:p>
      <w:pPr>
        <w:spacing w:before="0" w:after="0" w:line="360" w:lineRule="auto"/>
        <w:ind w:firstLine="561"/>
        <w:rPr>
          <w:rFonts w:ascii="仿宋_GB2312" w:eastAsia="仿宋_GB2312" w:hAnsi="仿宋_GB2312" w:cs="仿宋_GB2312"/>
          <w:sz w:val="28"/>
          <w:szCs w:val="28"/>
        </w:rPr>
      </w:pPr>
      <w:r>
        <w:rPr>
          <w:rFonts w:ascii="仿宋_GB2312" w:eastAsia="仿宋_GB2312" w:hAnsi="仿宋_GB2312" w:cs="仿宋_GB2312"/>
          <w:sz w:val="28"/>
          <w:szCs w:val="28"/>
        </w:rPr>
        <w:t>本项目不专门面向中小企业采购项目</w:t>
      </w:r>
    </w:p>
    <w:p>
      <w:pPr>
        <w:pStyle w:val="Heading3"/>
        <w:keepNext w:val="0"/>
        <w:spacing w:before="0" w:after="0" w:line="360" w:lineRule="auto"/>
        <w:rPr>
          <w:rFonts w:ascii="仿宋_GB2312" w:eastAsia="仿宋_GB2312" w:hAnsi="仿宋_GB2312" w:cs="仿宋_GB2312"/>
          <w:b/>
          <w:bCs/>
          <w:sz w:val="28"/>
          <w:szCs w:val="28"/>
        </w:rPr>
      </w:pPr>
      <w:bookmarkStart w:id="18" w:name="_Toc256000015"/>
      <w:r>
        <w:rPr>
          <w:rFonts w:ascii="仿宋_GB2312" w:eastAsia="仿宋_GB2312" w:hAnsi="仿宋_GB2312" w:cs="仿宋_GB2312"/>
          <w:sz w:val="28"/>
          <w:szCs w:val="28"/>
        </w:rPr>
        <w:t>2.1.5其他要求</w:t>
      </w:r>
      <w:bookmarkEnd w:id="18"/>
    </w:p>
    <w:p>
      <w:pPr>
        <w:pStyle w:val="MsoNormal"/>
        <w:spacing w:before="0" w:after="0" w:line="360" w:lineRule="auto"/>
        <w:ind w:firstLine="480"/>
        <w:rPr>
          <w:rFonts w:ascii="Times New Roman" w:eastAsia="Times New Roman" w:hAnsi="Times New Roman" w:cs="Times New Roman"/>
        </w:rPr>
      </w:pPr>
      <w:r>
        <w:rPr>
          <w:rFonts w:ascii="仿宋_GB2312" w:eastAsia="仿宋_GB2312" w:hAnsi="仿宋_GB2312" w:cs="仿宋_GB2312"/>
          <w:sz w:val="28"/>
          <w:szCs w:val="28"/>
        </w:rPr>
        <w:t>无</w:t>
      </w:r>
    </w:p>
    <w:p>
      <w:pPr>
        <w:pStyle w:val="Heading2"/>
        <w:keepNext w:val="0"/>
        <w:spacing w:before="0" w:after="0" w:line="360" w:lineRule="auto"/>
        <w:rPr>
          <w:rFonts w:ascii="仿宋_GB2312" w:eastAsia="仿宋_GB2312" w:hAnsi="仿宋_GB2312" w:cs="仿宋_GB2312"/>
          <w:b/>
          <w:bCs/>
          <w:sz w:val="28"/>
          <w:szCs w:val="28"/>
        </w:rPr>
      </w:pPr>
      <w:bookmarkStart w:id="19" w:name="_Toc256000016"/>
      <w:r>
        <w:rPr>
          <w:rFonts w:ascii="仿宋_GB2312" w:eastAsia="仿宋_GB2312" w:hAnsi="仿宋_GB2312" w:cs="仿宋_GB2312"/>
          <w:i w:val="0"/>
          <w:iCs w:val="0"/>
        </w:rPr>
        <w:t>2.2技术部分投标/响应内容</w:t>
      </w:r>
      <w:bookmarkEnd w:id="19"/>
    </w:p>
    <w:p>
      <w:pPr>
        <w:pStyle w:val="Heading3"/>
        <w:keepNext w:val="0"/>
        <w:spacing w:before="0" w:after="0" w:line="360" w:lineRule="auto"/>
        <w:rPr>
          <w:rFonts w:ascii="仿宋_GB2312" w:eastAsia="仿宋_GB2312" w:hAnsi="仿宋_GB2312" w:cs="仿宋_GB2312"/>
          <w:b/>
          <w:bCs/>
          <w:sz w:val="28"/>
          <w:szCs w:val="28"/>
        </w:rPr>
      </w:pPr>
      <w:bookmarkStart w:id="20" w:name="_Toc256000017"/>
      <w:r>
        <w:rPr>
          <w:rFonts w:ascii="仿宋_GB2312" w:eastAsia="仿宋_GB2312" w:hAnsi="仿宋_GB2312" w:cs="仿宋_GB2312"/>
          <w:sz w:val="28"/>
          <w:szCs w:val="28"/>
        </w:rPr>
        <w:t>2.2.1技术投标/响应总要求</w:t>
      </w:r>
      <w:bookmarkEnd w:id="20"/>
    </w:p>
    <w:p>
      <w:pPr>
        <w:pStyle w:val="15"/>
        <w:spacing w:before="0" w:after="0" w:line="360" w:lineRule="auto"/>
        <w:ind w:right="-99" w:firstLine="640"/>
        <w:rPr>
          <w:rFonts w:ascii="Times New Roman" w:eastAsia="Times New Roman" w:hAnsi="Times New Roman" w:cs="Times New Roman"/>
        </w:rPr>
      </w:pPr>
      <w:r>
        <w:rPr>
          <w:rFonts w:ascii="仿宋_GB2312" w:eastAsia="仿宋_GB2312" w:hAnsi="仿宋_GB2312" w:cs="仿宋_GB2312"/>
          <w:sz w:val="28"/>
          <w:szCs w:val="28"/>
        </w:rPr>
        <w:t>1.投标人应满足《中华人民共和国政府采购法》第二十二条规定。</w:t>
      </w:r>
    </w:p>
    <w:p>
      <w:pPr>
        <w:pStyle w:val="15"/>
        <w:spacing w:before="0" w:after="0" w:line="360" w:lineRule="auto"/>
        <w:ind w:right="-99" w:firstLine="640"/>
        <w:rPr>
          <w:rFonts w:ascii="Times New Roman" w:eastAsia="Times New Roman" w:hAnsi="Times New Roman" w:cs="Times New Roman"/>
        </w:rPr>
      </w:pPr>
      <w:r>
        <w:rPr>
          <w:rFonts w:ascii="仿宋_GB2312" w:eastAsia="仿宋_GB2312" w:hAnsi="仿宋_GB2312" w:cs="仿宋_GB2312"/>
          <w:sz w:val="28"/>
          <w:szCs w:val="28"/>
        </w:rPr>
        <w:t>2.本项目不组织踏勘现场。</w:t>
      </w:r>
    </w:p>
    <w:p>
      <w:pPr>
        <w:pStyle w:val="Heading3"/>
        <w:keepNext w:val="0"/>
        <w:spacing w:before="0" w:after="0" w:line="360" w:lineRule="auto"/>
        <w:rPr>
          <w:rFonts w:ascii="仿宋_GB2312" w:eastAsia="仿宋_GB2312" w:hAnsi="仿宋_GB2312" w:cs="仿宋_GB2312"/>
          <w:b/>
          <w:bCs/>
          <w:sz w:val="28"/>
          <w:szCs w:val="28"/>
        </w:rPr>
      </w:pPr>
      <w:bookmarkStart w:id="21" w:name="_Toc256000018"/>
      <w:r>
        <w:rPr>
          <w:rFonts w:ascii="仿宋_GB2312" w:eastAsia="仿宋_GB2312" w:hAnsi="仿宋_GB2312" w:cs="仿宋_GB2312"/>
          <w:sz w:val="28"/>
          <w:szCs w:val="28"/>
        </w:rPr>
        <w:t>2.2.2投标/响应方案要求</w:t>
      </w:r>
      <w:bookmarkEnd w:id="21"/>
    </w:p>
    <w:p>
      <w:pPr>
        <w:spacing w:before="0" w:after="0" w:line="360" w:lineRule="auto"/>
        <w:ind w:firstLine="561"/>
        <w:rPr>
          <w:rFonts w:ascii="仿宋_GB2312" w:eastAsia="仿宋_GB2312" w:hAnsi="仿宋_GB2312" w:cs="仿宋_GB2312"/>
          <w:sz w:val="28"/>
          <w:szCs w:val="28"/>
        </w:rPr>
      </w:pPr>
      <w:r>
        <w:rPr>
          <w:rFonts w:ascii="仿宋_GB2312" w:eastAsia="仿宋_GB2312" w:hAnsi="仿宋_GB2312" w:cs="仿宋_GB2312"/>
          <w:sz w:val="28"/>
          <w:szCs w:val="28"/>
        </w:rPr>
        <w:t>以下相关方案，若作为评审因素，则投标人应在满足★必备指标项要求的前提下，根据项目特点和采购需求，制定更为完整、详细、可操作性强的方案。</w:t>
      </w:r>
    </w:p>
    <w:p>
      <w:pPr>
        <w:pStyle w:val="15"/>
        <w:spacing w:before="0" w:after="0" w:line="360" w:lineRule="auto"/>
        <w:ind w:left="0" w:right="0" w:firstLine="561"/>
        <w:rPr>
          <w:rFonts w:ascii="Times New Roman" w:eastAsia="Times New Roman" w:hAnsi="Times New Roman" w:cs="Times New Roman"/>
        </w:rPr>
      </w:pPr>
      <w:r>
        <w:rPr>
          <w:rFonts w:ascii="仿宋_GB2312" w:eastAsia="仿宋_GB2312" w:hAnsi="仿宋_GB2312" w:cs="仿宋_GB2312"/>
          <w:sz w:val="28"/>
          <w:szCs w:val="28"/>
        </w:rPr>
        <w:t>投标人要根据采购人的要求，按照服务内容的整体设想和规程策划，对员工出勤率、工作作风、工作质量、服务质量等内容制订考核标准，并承诺保证目标的实现程度。根据采购人的采购内容，制定相关人员、岗位配置方案；针对本项目特点的专业化管理方案；对项目重点、难点的理解；进驻和接管方案；应急预案；人员保密管理方案；人员稳定性方案；价格测算方案，若作为评审因素，制定更为完整、详细、可操作性强的方案。</w:t>
      </w:r>
    </w:p>
    <w:p>
      <w:pPr>
        <w:pStyle w:val="15"/>
        <w:spacing w:before="0" w:after="0" w:line="360" w:lineRule="auto"/>
        <w:ind w:left="0" w:right="0" w:firstLine="561"/>
        <w:rPr>
          <w:rFonts w:ascii="Times New Roman" w:eastAsia="Times New Roman" w:hAnsi="Times New Roman" w:cs="Times New Roman"/>
        </w:rPr>
      </w:pPr>
      <w:r>
        <w:rPr>
          <w:sz w:val="28"/>
          <w:szCs w:val="28"/>
        </w:rPr>
        <w:t> </w:t>
      </w:r>
      <w:r>
        <w:rPr>
          <w:rFonts w:ascii="仿宋_GB2312" w:eastAsia="仿宋_GB2312" w:hAnsi="仿宋_GB2312" w:cs="仿宋_GB2312"/>
          <w:sz w:val="28"/>
          <w:szCs w:val="28"/>
        </w:rPr>
        <w:t>1.人员、岗位配置方案，至少包含各岗位投入人员数量、各岗位内部人员安排配置方案。</w:t>
      </w:r>
    </w:p>
    <w:p>
      <w:pPr>
        <w:pStyle w:val="16"/>
        <w:spacing w:before="0" w:after="0" w:line="360" w:lineRule="auto"/>
        <w:ind w:firstLine="640"/>
        <w:rPr>
          <w:rFonts w:ascii="Times New Roman" w:eastAsia="Times New Roman" w:hAnsi="Times New Roman" w:cs="Times New Roman"/>
        </w:rPr>
      </w:pPr>
      <w:r>
        <w:rPr>
          <w:rFonts w:ascii="仿宋_GB2312" w:eastAsia="仿宋_GB2312" w:hAnsi="仿宋_GB2312" w:cs="仿宋_GB2312"/>
          <w:sz w:val="28"/>
          <w:szCs w:val="28"/>
        </w:rPr>
        <w:t>2.针对本项目特点的专业化管理方案，至少包含针对本项目的人员管理、人员培训等方案。</w:t>
      </w:r>
    </w:p>
    <w:p>
      <w:pPr>
        <w:pStyle w:val="16"/>
        <w:spacing w:before="0" w:after="0" w:line="360" w:lineRule="auto"/>
        <w:ind w:firstLine="640"/>
        <w:rPr>
          <w:rFonts w:ascii="Times New Roman" w:eastAsia="Times New Roman" w:hAnsi="Times New Roman" w:cs="Times New Roman"/>
        </w:rPr>
      </w:pPr>
      <w:r>
        <w:rPr>
          <w:rFonts w:ascii="仿宋_GB2312" w:eastAsia="仿宋_GB2312" w:hAnsi="仿宋_GB2312" w:cs="仿宋_GB2312"/>
          <w:sz w:val="28"/>
          <w:szCs w:val="28"/>
        </w:rPr>
        <w:t>3.对项目重点、难点的理解，至少包含针对本项目重点和难点的理解以及针对重点难点的应对解决方案。</w:t>
      </w:r>
    </w:p>
    <w:p>
      <w:pPr>
        <w:pStyle w:val="16"/>
        <w:spacing w:before="0" w:after="0" w:line="360" w:lineRule="auto"/>
        <w:ind w:firstLine="640"/>
        <w:rPr>
          <w:rFonts w:ascii="Times New Roman" w:eastAsia="Times New Roman" w:hAnsi="Times New Roman" w:cs="Times New Roman"/>
        </w:rPr>
      </w:pPr>
      <w:r>
        <w:rPr>
          <w:rFonts w:ascii="仿宋_GB2312" w:eastAsia="仿宋_GB2312" w:hAnsi="仿宋_GB2312" w:cs="仿宋_GB2312"/>
          <w:sz w:val="28"/>
          <w:szCs w:val="28"/>
        </w:rPr>
        <w:t>4.进驻和接管方案，至少包含中标后如何及时配齐所需人员，在规定的时间内保证全体服务人员按时进场服务的措施，与前任公司交接措施，保留相关记录，做到服务平稳过渡，对采购人工作无不良影响。</w:t>
      </w:r>
    </w:p>
    <w:p>
      <w:pPr>
        <w:pStyle w:val="16"/>
        <w:spacing w:before="0" w:after="0" w:line="360" w:lineRule="auto"/>
        <w:ind w:firstLine="640"/>
        <w:rPr>
          <w:rFonts w:ascii="Times New Roman" w:eastAsia="Times New Roman" w:hAnsi="Times New Roman" w:cs="Times New Roman"/>
        </w:rPr>
      </w:pPr>
      <w:r>
        <w:rPr>
          <w:rFonts w:ascii="仿宋_GB2312" w:eastAsia="仿宋_GB2312" w:hAnsi="仿宋_GB2312" w:cs="仿宋_GB2312"/>
          <w:sz w:val="28"/>
          <w:szCs w:val="28"/>
        </w:rPr>
        <w:t>5.应急管理方案，至少包含当出现不可预知紧急情况时（例如停水停电、极端天气、群体事件、自然灾害等，可根据项目具体情况列举），如何保证服务正常运转的措施，临时增配人员设备、现有人员岗位职责临时增加、与相关政府部门协调配合等措施。</w:t>
      </w:r>
    </w:p>
    <w:p>
      <w:pPr>
        <w:pStyle w:val="16"/>
        <w:spacing w:before="0" w:after="0" w:line="360" w:lineRule="auto"/>
        <w:ind w:firstLine="640"/>
        <w:rPr>
          <w:rFonts w:ascii="Times New Roman" w:eastAsia="Times New Roman" w:hAnsi="Times New Roman" w:cs="Times New Roman"/>
        </w:rPr>
      </w:pPr>
      <w:r>
        <w:rPr>
          <w:rFonts w:ascii="仿宋_GB2312" w:eastAsia="仿宋_GB2312" w:hAnsi="仿宋_GB2312" w:cs="仿宋_GB2312"/>
          <w:sz w:val="28"/>
          <w:szCs w:val="28"/>
        </w:rPr>
        <w:t>6.人员保密管理方案，至少包含保证服务过程中有可能获取的保密信息不泄露的措施：制定保密制度、服务人员保密培训、泄密惩罚办法。</w:t>
      </w:r>
    </w:p>
    <w:p>
      <w:pPr>
        <w:pStyle w:val="16"/>
        <w:spacing w:before="0" w:after="0" w:line="360" w:lineRule="auto"/>
        <w:ind w:firstLine="640"/>
        <w:rPr>
          <w:rFonts w:ascii="Times New Roman" w:eastAsia="Times New Roman" w:hAnsi="Times New Roman" w:cs="Times New Roman"/>
        </w:rPr>
      </w:pPr>
      <w:r>
        <w:rPr>
          <w:rFonts w:ascii="仿宋_GB2312" w:eastAsia="仿宋_GB2312" w:hAnsi="仿宋_GB2312" w:cs="仿宋_GB2312"/>
          <w:sz w:val="28"/>
          <w:szCs w:val="28"/>
        </w:rPr>
        <w:t>7.人员稳定性方案，至少包含服务期内保证人员更换率不得超过招标文件要求的措施，保证更换人员不得低于采购需求，且应经采购人同意的措施。</w:t>
      </w:r>
    </w:p>
    <w:p>
      <w:pPr>
        <w:pStyle w:val="16"/>
        <w:spacing w:before="0" w:after="0" w:line="360" w:lineRule="auto"/>
        <w:ind w:firstLine="640"/>
        <w:rPr>
          <w:rFonts w:ascii="Times New Roman" w:eastAsia="Times New Roman" w:hAnsi="Times New Roman" w:cs="Times New Roman"/>
        </w:rPr>
      </w:pPr>
      <w:r>
        <w:rPr>
          <w:rFonts w:ascii="仿宋_GB2312" w:eastAsia="仿宋_GB2312" w:hAnsi="仿宋_GB2312" w:cs="仿宋_GB2312"/>
          <w:sz w:val="28"/>
          <w:szCs w:val="28"/>
        </w:rPr>
        <w:t>8.价格测算方案，价格测算方案评价，根据投标文件报价情况综合评定，其中社会保险、住房公积金应在投标文件中对人员保险、公积金缴纳类别及测算标准另附说明，如有人员享有优惠政策，须将享有优惠政策的批准文件和政策文件一并提供，否则不予认定。</w:t>
      </w:r>
    </w:p>
    <w:p>
      <w:pPr>
        <w:pStyle w:val="Heading1"/>
        <w:keepNext w:val="0"/>
        <w:spacing w:before="0" w:after="0" w:line="360" w:lineRule="auto"/>
        <w:jc w:val="center"/>
        <w:rPr>
          <w:rFonts w:ascii="仿宋_GB2312" w:eastAsia="仿宋_GB2312" w:hAnsi="仿宋_GB2312" w:cs="仿宋_GB2312"/>
          <w:b/>
          <w:bCs/>
          <w:sz w:val="32"/>
          <w:szCs w:val="32"/>
        </w:rPr>
      </w:pPr>
      <w:bookmarkStart w:id="22" w:name="_Toc256000019"/>
      <w:r>
        <w:rPr>
          <w:rFonts w:ascii="仿宋_GB2312" w:eastAsia="仿宋_GB2312" w:hAnsi="仿宋_GB2312" w:cs="仿宋_GB2312"/>
          <w:kern w:val="36"/>
        </w:rPr>
        <w:t>3项目需求</w:t>
      </w:r>
      <w:bookmarkEnd w:id="22"/>
    </w:p>
    <w:p>
      <w:pPr>
        <w:pStyle w:val="Heading2"/>
        <w:keepNext w:val="0"/>
        <w:spacing w:before="0" w:after="0" w:line="360" w:lineRule="auto"/>
        <w:rPr>
          <w:rFonts w:ascii="仿宋_GB2312" w:eastAsia="仿宋_GB2312" w:hAnsi="仿宋_GB2312" w:cs="仿宋_GB2312"/>
          <w:b/>
          <w:bCs/>
          <w:sz w:val="28"/>
          <w:szCs w:val="28"/>
        </w:rPr>
      </w:pPr>
      <w:bookmarkStart w:id="23" w:name="_Toc256000020"/>
      <w:r>
        <w:rPr>
          <w:rFonts w:ascii="仿宋_GB2312" w:eastAsia="仿宋_GB2312" w:hAnsi="仿宋_GB2312" w:cs="仿宋_GB2312"/>
          <w:i w:val="0"/>
          <w:iCs w:val="0"/>
        </w:rPr>
        <w:t>3.1总体要求</w:t>
      </w:r>
      <w:bookmarkEnd w:id="23"/>
    </w:p>
    <w:p>
      <w:pPr>
        <w:pStyle w:val="MsoNormal"/>
        <w:spacing w:before="0" w:after="0" w:line="360" w:lineRule="auto"/>
        <w:ind w:firstLine="480"/>
        <w:rPr>
          <w:rFonts w:ascii="Times New Roman" w:eastAsia="Times New Roman" w:hAnsi="Times New Roman" w:cs="Times New Roman"/>
        </w:rPr>
      </w:pPr>
      <w:r>
        <w:rPr>
          <w:rFonts w:ascii="仿宋_GB2312" w:eastAsia="仿宋_GB2312" w:hAnsi="仿宋_GB2312" w:cs="仿宋_GB2312"/>
          <w:sz w:val="28"/>
          <w:szCs w:val="28"/>
        </w:rPr>
        <w:t>按照采购方需求提供</w:t>
      </w:r>
      <w:r>
        <w:rPr>
          <w:rFonts w:ascii="仿宋_GB2312" w:eastAsia="仿宋_GB2312" w:hAnsi="仿宋_GB2312" w:cs="仿宋_GB2312"/>
          <w:sz w:val="28"/>
          <w:szCs w:val="28"/>
        </w:rPr>
        <w:t>非执法类税务辅</w:t>
      </w:r>
      <w:r>
        <w:rPr>
          <w:rFonts w:ascii="仿宋_GB2312" w:eastAsia="仿宋_GB2312" w:hAnsi="仿宋_GB2312" w:cs="仿宋_GB2312"/>
          <w:sz w:val="28"/>
          <w:szCs w:val="28"/>
        </w:rPr>
        <w:t>助服务</w:t>
      </w:r>
      <w:r>
        <w:rPr>
          <w:rFonts w:ascii="仿宋_GB2312" w:eastAsia="仿宋_GB2312" w:hAnsi="仿宋_GB2312" w:cs="仿宋_GB2312"/>
          <w:sz w:val="28"/>
          <w:szCs w:val="28"/>
        </w:rPr>
        <w:t>，服务范围为</w:t>
      </w:r>
      <w:r>
        <w:rPr>
          <w:rFonts w:ascii="仿宋_GB2312" w:eastAsia="仿宋_GB2312" w:hAnsi="仿宋_GB2312" w:cs="仿宋_GB2312"/>
          <w:sz w:val="28"/>
          <w:szCs w:val="28"/>
        </w:rPr>
        <w:t>国家税务总局中新天津生态城税务局</w:t>
      </w:r>
      <w:r>
        <w:rPr>
          <w:rFonts w:ascii="仿宋_GB2312" w:eastAsia="仿宋_GB2312" w:hAnsi="仿宋_GB2312" w:cs="仿宋_GB2312"/>
          <w:sz w:val="28"/>
          <w:szCs w:val="28"/>
        </w:rPr>
        <w:t>。</w:t>
      </w:r>
    </w:p>
    <w:p>
      <w:pPr>
        <w:pStyle w:val="Heading2"/>
        <w:keepNext w:val="0"/>
        <w:spacing w:before="0" w:after="0" w:line="360" w:lineRule="auto"/>
        <w:rPr>
          <w:rFonts w:ascii="仿宋_GB2312" w:eastAsia="仿宋_GB2312" w:hAnsi="仿宋_GB2312" w:cs="仿宋_GB2312"/>
          <w:b/>
          <w:bCs/>
          <w:sz w:val="28"/>
          <w:szCs w:val="28"/>
        </w:rPr>
      </w:pPr>
      <w:bookmarkStart w:id="24" w:name="_Toc256000021"/>
      <w:r>
        <w:rPr>
          <w:rFonts w:ascii="仿宋_GB2312" w:eastAsia="仿宋_GB2312" w:hAnsi="仿宋_GB2312" w:cs="仿宋_GB2312"/>
          <w:i w:val="0"/>
          <w:iCs w:val="0"/>
        </w:rPr>
        <w:t>3.2服务内容和要求</w:t>
      </w:r>
      <w:bookmarkEnd w:id="24"/>
    </w:p>
    <w:p>
      <w:pPr>
        <w:spacing w:before="0" w:after="0" w:line="360" w:lineRule="auto"/>
        <w:ind w:firstLine="561"/>
        <w:rPr>
          <w:rFonts w:ascii="仿宋_GB2312" w:eastAsia="仿宋_GB2312" w:hAnsi="仿宋_GB2312" w:cs="仿宋_GB2312"/>
          <w:sz w:val="28"/>
          <w:szCs w:val="28"/>
        </w:rPr>
      </w:pPr>
      <w:r>
        <w:rPr>
          <w:rFonts w:ascii="仿宋_GB2312" w:eastAsia="仿宋_GB2312" w:hAnsi="仿宋_GB2312" w:cs="仿宋_GB2312"/>
          <w:sz w:val="28"/>
          <w:szCs w:val="28"/>
        </w:rPr>
        <w:t>采购文件（技术部分）中有标注★号的，为必备要求，必须满足，如未作出响应，将导致响应无效；#为重要内容、△为一般内容。</w:t>
      </w:r>
    </w:p>
    <w:p>
      <w:pPr>
        <w:pStyle w:val="Heading3"/>
        <w:keepNext w:val="0"/>
        <w:spacing w:before="0" w:after="0" w:line="360" w:lineRule="auto"/>
        <w:rPr>
          <w:rFonts w:ascii="仿宋_GB2312" w:eastAsia="仿宋_GB2312" w:hAnsi="仿宋_GB2312" w:cs="仿宋_GB2312"/>
          <w:b/>
          <w:bCs/>
          <w:sz w:val="28"/>
          <w:szCs w:val="28"/>
        </w:rPr>
      </w:pPr>
      <w:bookmarkStart w:id="25" w:name="_Toc256000022"/>
      <w:r>
        <w:rPr>
          <w:rFonts w:ascii="仿宋_GB2312" w:eastAsia="仿宋_GB2312" w:hAnsi="仿宋_GB2312" w:cs="仿宋_GB2312"/>
          <w:sz w:val="28"/>
          <w:szCs w:val="28"/>
        </w:rPr>
        <w:t>3.2.1技术和服务客观指标</w:t>
      </w:r>
      <w:bookmarkEnd w:id="25"/>
    </w:p>
    <w:p>
      <w:pPr>
        <w:pStyle w:val="Heading4"/>
        <w:keepNext w:val="0"/>
        <w:spacing w:before="0" w:after="0" w:line="360" w:lineRule="auto"/>
        <w:rPr>
          <w:rFonts w:ascii="仿宋_GB2312" w:eastAsia="仿宋_GB2312" w:hAnsi="仿宋_GB2312" w:cs="仿宋_GB2312"/>
          <w:b/>
          <w:bCs/>
          <w:sz w:val="28"/>
          <w:szCs w:val="28"/>
        </w:rPr>
      </w:pPr>
      <w:r>
        <w:rPr>
          <w:rFonts w:ascii="仿宋_GB2312" w:eastAsia="仿宋_GB2312" w:hAnsi="仿宋_GB2312" w:cs="仿宋_GB2312"/>
        </w:rPr>
        <w:t>3.2.1.1服务1</w:t>
      </w:r>
    </w:p>
    <w:tbl>
      <w:tblPr>
        <w:tblW w:w="5000" w:type="pct"/>
        <w:tblInd w:w="30" w:type="dxa"/>
        <w:tblCellMar>
          <w:top w:w="15" w:type="dxa"/>
          <w:left w:w="15" w:type="dxa"/>
          <w:bottom w:w="15" w:type="dxa"/>
          <w:right w:w="15" w:type="dxa"/>
        </w:tblCellMar>
      </w:tblPr>
      <w:tblGrid>
        <w:gridCol w:w="410"/>
        <w:gridCol w:w="757"/>
        <w:gridCol w:w="2315"/>
        <w:gridCol w:w="26160"/>
        <w:gridCol w:w="584"/>
        <w:gridCol w:w="1454"/>
      </w:tblGrid>
      <w:tr>
        <w:tblPrEx>
          <w:tblW w:w="5000" w:type="pct"/>
          <w:tblInd w:w="30" w:type="dxa"/>
          <w:tblCellMar>
            <w:top w:w="15" w:type="dxa"/>
            <w:left w:w="15" w:type="dxa"/>
            <w:bottom w:w="15" w:type="dxa"/>
            <w:right w:w="15" w:type="dxa"/>
          </w:tblCellMar>
        </w:tblPrEx>
        <w:tc>
          <w:tcPr>
            <w:tcW w:w="500" w:type="pct"/>
            <w:tcBorders>
              <w:top w:val="single" w:sz="6" w:space="0" w:color="000000"/>
              <w:left w:val="single" w:sz="6" w:space="0" w:color="000000"/>
              <w:bottom w:val="single" w:sz="6" w:space="0" w:color="000000"/>
              <w:right w:val="single" w:sz="6" w:space="0" w:color="000000"/>
            </w:tcBorders>
            <w:shd w:val="clear" w:color="auto" w:fill="D3D3D3"/>
            <w:noWrap w:val="0"/>
            <w:tcMar>
              <w:top w:w="22" w:type="dxa"/>
              <w:left w:w="22" w:type="dxa"/>
              <w:bottom w:w="22" w:type="dxa"/>
              <w:right w:w="22" w:type="dxa"/>
            </w:tcMar>
            <w:vAlign w:val="center"/>
            <w:hideMark/>
          </w:tcPr>
          <w:p>
            <w:pPr>
              <w:jc w:val="center"/>
              <w:rPr>
                <w:rFonts w:ascii="仿宋_GB2312" w:eastAsia="仿宋_GB2312" w:hAnsi="仿宋_GB2312" w:cs="仿宋_GB2312"/>
                <w:b/>
                <w:bCs/>
                <w:i w:val="0"/>
                <w:iCs w:val="0"/>
                <w:smallCaps w:val="0"/>
                <w:color w:val="000000"/>
                <w:sz w:val="21"/>
                <w:szCs w:val="21"/>
              </w:rPr>
            </w:pPr>
            <w:r>
              <w:rPr>
                <w:rFonts w:ascii="仿宋_GB2312" w:eastAsia="仿宋_GB2312" w:hAnsi="仿宋_GB2312" w:cs="仿宋_GB2312"/>
                <w:b/>
                <w:bCs/>
                <w:i w:val="0"/>
                <w:iCs w:val="0"/>
                <w:smallCaps w:val="0"/>
                <w:color w:val="000000"/>
                <w:sz w:val="21"/>
                <w:szCs w:val="21"/>
              </w:rPr>
              <w:t>序号</w:t>
            </w:r>
          </w:p>
        </w:tc>
        <w:tc>
          <w:tcPr>
            <w:tcW w:w="900" w:type="pct"/>
            <w:tcBorders>
              <w:top w:val="single" w:sz="6" w:space="0" w:color="000000"/>
              <w:left w:val="single" w:sz="6" w:space="0" w:color="000000"/>
              <w:bottom w:val="single" w:sz="6" w:space="0" w:color="000000"/>
              <w:right w:val="single" w:sz="6" w:space="0" w:color="000000"/>
            </w:tcBorders>
            <w:shd w:val="clear" w:color="auto" w:fill="D3D3D3"/>
            <w:noWrap w:val="0"/>
            <w:tcMar>
              <w:top w:w="22" w:type="dxa"/>
              <w:left w:w="22" w:type="dxa"/>
              <w:bottom w:w="22" w:type="dxa"/>
              <w:right w:w="22" w:type="dxa"/>
            </w:tcMar>
            <w:vAlign w:val="center"/>
            <w:hideMark/>
          </w:tcPr>
          <w:p>
            <w:pPr>
              <w:jc w:val="center"/>
              <w:rPr>
                <w:rFonts w:ascii="仿宋_GB2312" w:eastAsia="仿宋_GB2312" w:hAnsi="仿宋_GB2312" w:cs="仿宋_GB2312"/>
                <w:b/>
                <w:bCs/>
                <w:i w:val="0"/>
                <w:iCs w:val="0"/>
                <w:smallCaps w:val="0"/>
                <w:color w:val="000000"/>
                <w:sz w:val="21"/>
                <w:szCs w:val="21"/>
              </w:rPr>
            </w:pPr>
            <w:r>
              <w:rPr>
                <w:rFonts w:ascii="仿宋_GB2312" w:eastAsia="仿宋_GB2312" w:hAnsi="仿宋_GB2312" w:cs="仿宋_GB2312"/>
                <w:b/>
                <w:bCs/>
                <w:i w:val="0"/>
                <w:iCs w:val="0"/>
                <w:smallCaps w:val="0"/>
                <w:color w:val="000000"/>
                <w:sz w:val="21"/>
                <w:szCs w:val="21"/>
              </w:rPr>
              <w:t>指标种类</w:t>
            </w:r>
          </w:p>
        </w:tc>
        <w:tc>
          <w:tcPr>
            <w:tcW w:w="900" w:type="pct"/>
            <w:tcBorders>
              <w:top w:val="single" w:sz="6" w:space="0" w:color="000000"/>
              <w:left w:val="single" w:sz="6" w:space="0" w:color="000000"/>
              <w:bottom w:val="single" w:sz="6" w:space="0" w:color="000000"/>
              <w:right w:val="single" w:sz="6" w:space="0" w:color="000000"/>
            </w:tcBorders>
            <w:shd w:val="clear" w:color="auto" w:fill="D3D3D3"/>
            <w:noWrap w:val="0"/>
            <w:tcMar>
              <w:top w:w="22" w:type="dxa"/>
              <w:left w:w="22" w:type="dxa"/>
              <w:bottom w:w="22" w:type="dxa"/>
              <w:right w:w="22" w:type="dxa"/>
            </w:tcMar>
            <w:vAlign w:val="center"/>
            <w:hideMark/>
          </w:tcPr>
          <w:p>
            <w:pPr>
              <w:jc w:val="center"/>
              <w:rPr>
                <w:rFonts w:ascii="仿宋_GB2312" w:eastAsia="仿宋_GB2312" w:hAnsi="仿宋_GB2312" w:cs="仿宋_GB2312"/>
                <w:b/>
                <w:bCs/>
                <w:i w:val="0"/>
                <w:iCs w:val="0"/>
                <w:smallCaps w:val="0"/>
                <w:color w:val="000000"/>
                <w:sz w:val="21"/>
                <w:szCs w:val="21"/>
              </w:rPr>
            </w:pPr>
            <w:r>
              <w:rPr>
                <w:rFonts w:ascii="仿宋_GB2312" w:eastAsia="仿宋_GB2312" w:hAnsi="仿宋_GB2312" w:cs="仿宋_GB2312"/>
                <w:b/>
                <w:bCs/>
                <w:i w:val="0"/>
                <w:iCs w:val="0"/>
                <w:smallCaps w:val="0"/>
                <w:color w:val="000000"/>
                <w:sz w:val="21"/>
                <w:szCs w:val="21"/>
              </w:rPr>
              <w:t>指标名称</w:t>
            </w:r>
          </w:p>
        </w:tc>
        <w:tc>
          <w:tcPr>
            <w:tcW w:w="900" w:type="pct"/>
            <w:tcBorders>
              <w:top w:val="single" w:sz="6" w:space="0" w:color="000000"/>
              <w:left w:val="single" w:sz="6" w:space="0" w:color="000000"/>
              <w:bottom w:val="single" w:sz="6" w:space="0" w:color="000000"/>
              <w:right w:val="single" w:sz="6" w:space="0" w:color="000000"/>
            </w:tcBorders>
            <w:shd w:val="clear" w:color="auto" w:fill="D3D3D3"/>
            <w:noWrap w:val="0"/>
            <w:tcMar>
              <w:top w:w="22" w:type="dxa"/>
              <w:left w:w="22" w:type="dxa"/>
              <w:bottom w:w="22" w:type="dxa"/>
              <w:right w:w="22" w:type="dxa"/>
            </w:tcMar>
            <w:vAlign w:val="center"/>
            <w:hideMark/>
          </w:tcPr>
          <w:p>
            <w:pPr>
              <w:jc w:val="center"/>
              <w:rPr>
                <w:rFonts w:ascii="仿宋_GB2312" w:eastAsia="仿宋_GB2312" w:hAnsi="仿宋_GB2312" w:cs="仿宋_GB2312"/>
                <w:b/>
                <w:bCs/>
                <w:i w:val="0"/>
                <w:iCs w:val="0"/>
                <w:smallCaps w:val="0"/>
                <w:color w:val="000000"/>
                <w:sz w:val="21"/>
                <w:szCs w:val="21"/>
              </w:rPr>
            </w:pPr>
            <w:r>
              <w:rPr>
                <w:rFonts w:ascii="仿宋_GB2312" w:eastAsia="仿宋_GB2312" w:hAnsi="仿宋_GB2312" w:cs="仿宋_GB2312"/>
                <w:b/>
                <w:bCs/>
                <w:i w:val="0"/>
                <w:iCs w:val="0"/>
                <w:smallCaps w:val="0"/>
                <w:color w:val="000000"/>
                <w:sz w:val="21"/>
                <w:szCs w:val="21"/>
              </w:rPr>
              <w:t>指标内容</w:t>
            </w:r>
          </w:p>
        </w:tc>
        <w:tc>
          <w:tcPr>
            <w:tcW w:w="900" w:type="pct"/>
            <w:tcBorders>
              <w:top w:val="single" w:sz="6" w:space="0" w:color="000000"/>
              <w:left w:val="single" w:sz="6" w:space="0" w:color="000000"/>
              <w:bottom w:val="single" w:sz="6" w:space="0" w:color="000000"/>
              <w:right w:val="single" w:sz="6" w:space="0" w:color="000000"/>
            </w:tcBorders>
            <w:shd w:val="clear" w:color="auto" w:fill="D3D3D3"/>
            <w:noWrap w:val="0"/>
            <w:tcMar>
              <w:top w:w="22" w:type="dxa"/>
              <w:left w:w="22" w:type="dxa"/>
              <w:bottom w:w="22" w:type="dxa"/>
              <w:right w:w="22" w:type="dxa"/>
            </w:tcMar>
            <w:vAlign w:val="center"/>
            <w:hideMark/>
          </w:tcPr>
          <w:p>
            <w:pPr>
              <w:jc w:val="center"/>
              <w:rPr>
                <w:rFonts w:ascii="仿宋_GB2312" w:eastAsia="仿宋_GB2312" w:hAnsi="仿宋_GB2312" w:cs="仿宋_GB2312"/>
                <w:b/>
                <w:bCs/>
                <w:i w:val="0"/>
                <w:iCs w:val="0"/>
                <w:smallCaps w:val="0"/>
                <w:color w:val="000000"/>
                <w:sz w:val="21"/>
                <w:szCs w:val="21"/>
              </w:rPr>
            </w:pPr>
            <w:r>
              <w:rPr>
                <w:rFonts w:ascii="仿宋_GB2312" w:eastAsia="仿宋_GB2312" w:hAnsi="仿宋_GB2312" w:cs="仿宋_GB2312"/>
                <w:b/>
                <w:bCs/>
                <w:i w:val="0"/>
                <w:iCs w:val="0"/>
                <w:smallCaps w:val="0"/>
                <w:color w:val="000000"/>
                <w:sz w:val="21"/>
                <w:szCs w:val="21"/>
              </w:rPr>
              <w:t>重要性</w:t>
            </w:r>
          </w:p>
        </w:tc>
        <w:tc>
          <w:tcPr>
            <w:tcW w:w="900" w:type="pct"/>
            <w:tcBorders>
              <w:top w:val="single" w:sz="6" w:space="0" w:color="000000"/>
              <w:left w:val="single" w:sz="6" w:space="0" w:color="000000"/>
              <w:bottom w:val="single" w:sz="6" w:space="0" w:color="000000"/>
              <w:right w:val="single" w:sz="6" w:space="0" w:color="000000"/>
            </w:tcBorders>
            <w:shd w:val="clear" w:color="auto" w:fill="D3D3D3"/>
            <w:noWrap w:val="0"/>
            <w:tcMar>
              <w:top w:w="22" w:type="dxa"/>
              <w:left w:w="22" w:type="dxa"/>
              <w:bottom w:w="22" w:type="dxa"/>
              <w:right w:w="22" w:type="dxa"/>
            </w:tcMar>
            <w:vAlign w:val="center"/>
            <w:hideMark/>
          </w:tcPr>
          <w:p>
            <w:pPr>
              <w:jc w:val="center"/>
              <w:rPr>
                <w:rFonts w:ascii="仿宋_GB2312" w:eastAsia="仿宋_GB2312" w:hAnsi="仿宋_GB2312" w:cs="仿宋_GB2312"/>
                <w:b/>
                <w:bCs/>
                <w:i w:val="0"/>
                <w:iCs w:val="0"/>
                <w:smallCaps w:val="0"/>
                <w:color w:val="000000"/>
                <w:sz w:val="21"/>
                <w:szCs w:val="21"/>
              </w:rPr>
            </w:pPr>
            <w:r>
              <w:rPr>
                <w:rFonts w:ascii="仿宋_GB2312" w:eastAsia="仿宋_GB2312" w:hAnsi="仿宋_GB2312" w:cs="仿宋_GB2312"/>
                <w:b/>
                <w:bCs/>
                <w:i w:val="0"/>
                <w:iCs w:val="0"/>
                <w:smallCaps w:val="0"/>
                <w:color w:val="000000"/>
                <w:sz w:val="21"/>
                <w:szCs w:val="21"/>
              </w:rPr>
              <w:t>是否需要证明材料</w:t>
            </w:r>
          </w:p>
        </w:tc>
      </w:tr>
      <w:tr>
        <w:tblPrEx>
          <w:tblW w:w="5000" w:type="pct"/>
          <w:tblInd w:w="30" w:type="dxa"/>
          <w:tblCellMar>
            <w:top w:w="15" w:type="dxa"/>
            <w:left w:w="15" w:type="dxa"/>
            <w:bottom w:w="15" w:type="dxa"/>
            <w:right w:w="15" w:type="dxa"/>
          </w:tblCellMar>
        </w:tblPrEx>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center"/>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1</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服务内容</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日常文件传递</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协助5个税源管理所、纳宣等部门做好日常文件传递等辅助性工作，包含但不限于在两个办公区、四个办公地点之间进行工作通知、业务资料等非涉密文件的接收、分类、编码、传递与归档工作。确保文件流转渠道畅通、及时准确、编排有序，杜绝积压、延误和错漏。严格遵守保密纪律，严禁泄露、擅自对外发布或者讨论文件内容。确保文件材料完好、整洁，严禁涂改、圈划、污损、撤换、抽取或擅自增添任何内容。</w:t>
            </w:r>
            <w:r>
              <w:rPr>
                <w:rFonts w:ascii="仿宋_GB2312" w:eastAsia="仿宋_GB2312" w:hAnsi="仿宋_GB2312" w:cs="仿宋_GB2312"/>
                <w:b w:val="0"/>
                <w:bCs w:val="0"/>
                <w:i w:val="0"/>
                <w:iCs w:val="0"/>
                <w:smallCaps w:val="0"/>
                <w:color w:val="000000"/>
                <w:sz w:val="21"/>
                <w:szCs w:val="21"/>
              </w:rPr>
              <w:br/>
            </w:r>
            <w:r>
              <w:rPr>
                <w:rFonts w:ascii="仿宋_GB2312" w:eastAsia="仿宋_GB2312" w:hAnsi="仿宋_GB2312" w:cs="仿宋_GB2312"/>
                <w:b w:val="0"/>
                <w:bCs w:val="0"/>
                <w:i w:val="0"/>
                <w:iCs w:val="0"/>
                <w:smallCaps w:val="0"/>
                <w:color w:val="000000"/>
                <w:sz w:val="21"/>
                <w:szCs w:val="21"/>
              </w:rPr>
              <w:t>考核标准：文件分类、编码、传递准确率须达到100%，归档材料完整有序。常规文件确保在1个工作日内完成流转，紧急文件即收即转。</w:t>
            </w:r>
            <w:r>
              <w:rPr>
                <w:rFonts w:ascii="仿宋_GB2312" w:eastAsia="仿宋_GB2312" w:hAnsi="仿宋_GB2312" w:cs="仿宋_GB2312"/>
                <w:b w:val="0"/>
                <w:bCs w:val="0"/>
                <w:i w:val="0"/>
                <w:iCs w:val="0"/>
                <w:smallCaps w:val="0"/>
                <w:color w:val="000000"/>
                <w:sz w:val="21"/>
                <w:szCs w:val="21"/>
              </w:rPr>
              <w:br/>
            </w:r>
            <w:r>
              <w:rPr>
                <w:rFonts w:ascii="仿宋_GB2312" w:eastAsia="仿宋_GB2312" w:hAnsi="仿宋_GB2312" w:cs="仿宋_GB2312"/>
                <w:b w:val="0"/>
                <w:bCs w:val="0"/>
                <w:i w:val="0"/>
                <w:iCs w:val="0"/>
                <w:smallCaps w:val="0"/>
                <w:color w:val="000000"/>
                <w:sz w:val="21"/>
                <w:szCs w:val="21"/>
              </w:rPr>
              <w:t>考核标准：文件分类、编码、传递准确率须达到100%，归档材料完整有序。常规文件确保在1个工作日内完成流转，紧急文件即收即转。</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否</w:t>
            </w:r>
          </w:p>
        </w:tc>
      </w:tr>
      <w:tr>
        <w:tblPrEx>
          <w:tblW w:w="5000" w:type="pct"/>
          <w:tblInd w:w="30" w:type="dxa"/>
          <w:tblCellMar>
            <w:top w:w="15" w:type="dxa"/>
            <w:left w:w="15" w:type="dxa"/>
            <w:bottom w:w="15" w:type="dxa"/>
            <w:right w:w="15" w:type="dxa"/>
          </w:tblCellMar>
        </w:tblPrEx>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center"/>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2</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服务内容</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非涉密工作报表的填写与报送</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协助5个税源管理所、纳宣等部门做好各类常规性、事务性非涉密工作报表的填写与报送，确保数据来源可靠、填报及时、内容准确、格式规范。参与撰写部门工作动态、信息简报等材料，确保选题紧扣工作重点，内容精炼、数据准确、文字流畅、报送及时。</w:t>
            </w:r>
            <w:r>
              <w:rPr>
                <w:rFonts w:ascii="仿宋_GB2312" w:eastAsia="仿宋_GB2312" w:hAnsi="仿宋_GB2312" w:cs="仿宋_GB2312"/>
                <w:b w:val="0"/>
                <w:bCs w:val="0"/>
                <w:i w:val="0"/>
                <w:iCs w:val="0"/>
                <w:smallCaps w:val="0"/>
                <w:color w:val="000000"/>
                <w:sz w:val="21"/>
                <w:szCs w:val="21"/>
              </w:rPr>
              <w:br/>
            </w:r>
            <w:r>
              <w:rPr>
                <w:rFonts w:ascii="仿宋_GB2312" w:eastAsia="仿宋_GB2312" w:hAnsi="仿宋_GB2312" w:cs="仿宋_GB2312"/>
                <w:b w:val="0"/>
                <w:bCs w:val="0"/>
                <w:i w:val="0"/>
                <w:iCs w:val="0"/>
                <w:smallCaps w:val="0"/>
                <w:color w:val="000000"/>
                <w:sz w:val="21"/>
                <w:szCs w:val="21"/>
              </w:rPr>
              <w:t>考核标准：填报的各类报表及编撰的信息动态，数据准确率须达到100%，关键信息零错误。确保报表填报、信息报送、数据统计等任务，在规定时限内完成。</w:t>
            </w:r>
            <w:r>
              <w:rPr>
                <w:rFonts w:ascii="仿宋_GB2312" w:eastAsia="仿宋_GB2312" w:hAnsi="仿宋_GB2312" w:cs="仿宋_GB2312"/>
                <w:b w:val="0"/>
                <w:bCs w:val="0"/>
                <w:i w:val="0"/>
                <w:iCs w:val="0"/>
                <w:smallCaps w:val="0"/>
                <w:color w:val="000000"/>
                <w:sz w:val="21"/>
                <w:szCs w:val="21"/>
              </w:rPr>
              <w:br/>
            </w:r>
            <w:r>
              <w:rPr>
                <w:rFonts w:ascii="仿宋_GB2312" w:eastAsia="仿宋_GB2312" w:hAnsi="仿宋_GB2312" w:cs="仿宋_GB2312"/>
                <w:b w:val="0"/>
                <w:bCs w:val="0"/>
                <w:i w:val="0"/>
                <w:iCs w:val="0"/>
                <w:smallCaps w:val="0"/>
                <w:color w:val="000000"/>
                <w:sz w:val="21"/>
                <w:szCs w:val="21"/>
              </w:rPr>
              <w:t>填报的各类报表及编撰的信息动态，数据准确率须达到100%，关键信息零错误。确保报表填报、信息报送、数据统计等任务，在规定时限内完成。</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否</w:t>
            </w:r>
          </w:p>
        </w:tc>
      </w:tr>
      <w:tr>
        <w:tblPrEx>
          <w:tblW w:w="5000" w:type="pct"/>
          <w:tblInd w:w="30" w:type="dxa"/>
          <w:tblCellMar>
            <w:top w:w="15" w:type="dxa"/>
            <w:left w:w="15" w:type="dxa"/>
            <w:bottom w:w="15" w:type="dxa"/>
            <w:right w:w="15" w:type="dxa"/>
          </w:tblCellMar>
        </w:tblPrEx>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center"/>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3</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服务内容</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做好逾期申报催报催缴</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协助5个税源管理所、纳宣部门做好逾期申报催报催缴及其他事项等的数据统计、初步整理及汇报上报税管员。解答纳税人缴费人关于税费业务办理的常见咨询，提供清晰、准确的指引和帮助。接收、记录、归集纳税人缴费人的各类业务咨询，并按照既定流程及时整理、反馈与移交。协助开展纳税人缴费人满意度调查工作，包括前期准备、通知发放、问卷回收与数据整理等辅助性任务。</w:t>
            </w:r>
            <w:r>
              <w:rPr>
                <w:rFonts w:ascii="仿宋_GB2312" w:eastAsia="仿宋_GB2312" w:hAnsi="仿宋_GB2312" w:cs="仿宋_GB2312"/>
                <w:b w:val="0"/>
                <w:bCs w:val="0"/>
                <w:i w:val="0"/>
                <w:iCs w:val="0"/>
                <w:smallCaps w:val="0"/>
                <w:color w:val="000000"/>
                <w:sz w:val="21"/>
                <w:szCs w:val="21"/>
              </w:rPr>
              <w:br/>
            </w:r>
            <w:r>
              <w:rPr>
                <w:rFonts w:ascii="仿宋_GB2312" w:eastAsia="仿宋_GB2312" w:hAnsi="仿宋_GB2312" w:cs="仿宋_GB2312"/>
                <w:b w:val="0"/>
                <w:bCs w:val="0"/>
                <w:i w:val="0"/>
                <w:iCs w:val="0"/>
                <w:smallCaps w:val="0"/>
                <w:color w:val="000000"/>
                <w:sz w:val="21"/>
                <w:szCs w:val="21"/>
              </w:rPr>
              <w:t>考核标准：对纳税人缴费人的咨询解答应该准确、规范。纳税人缴费人的业务咨询应在接收后1个工作日内完成归集与上报税管员。在与纳税人缴费人沟通过程中，确保符合税费服务规范相关要求。在满意度调查等跨部门协作中，积极主动，配合度高。严格遵守文件管理、信息报送等各项工作流程与规范，严格履行保密义务，严禁发生失密、泄密事件。</w:t>
            </w:r>
            <w:r>
              <w:rPr>
                <w:rFonts w:ascii="仿宋_GB2312" w:eastAsia="仿宋_GB2312" w:hAnsi="仿宋_GB2312" w:cs="仿宋_GB2312"/>
                <w:b w:val="0"/>
                <w:bCs w:val="0"/>
                <w:i w:val="0"/>
                <w:iCs w:val="0"/>
                <w:smallCaps w:val="0"/>
                <w:color w:val="000000"/>
                <w:sz w:val="21"/>
                <w:szCs w:val="21"/>
              </w:rPr>
              <w:br/>
            </w:r>
            <w:r>
              <w:rPr>
                <w:rFonts w:ascii="仿宋_GB2312" w:eastAsia="仿宋_GB2312" w:hAnsi="仿宋_GB2312" w:cs="仿宋_GB2312"/>
                <w:b w:val="0"/>
                <w:bCs w:val="0"/>
                <w:i w:val="0"/>
                <w:iCs w:val="0"/>
                <w:smallCaps w:val="0"/>
                <w:color w:val="000000"/>
                <w:sz w:val="21"/>
                <w:szCs w:val="21"/>
              </w:rPr>
              <w:t>对纳税人缴费人的咨询解答应该准确、规范。纳税人缴费人的业务咨询应在接收后1个工作日内完成归集与上报税管员。在与纳税人缴费人沟通过程中，确保符合税费服务规范相关要求。在满意度调查等跨部门协作中，积极主动，配合度高。严格遵守文件管理、信息报送等各项工作流程与规范，严格履行保密义务，严禁发生失密、泄密事件。</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否</w:t>
            </w:r>
          </w:p>
        </w:tc>
      </w:tr>
      <w:tr>
        <w:tblPrEx>
          <w:tblW w:w="5000" w:type="pct"/>
          <w:tblInd w:w="30" w:type="dxa"/>
          <w:tblCellMar>
            <w:top w:w="15" w:type="dxa"/>
            <w:left w:w="15" w:type="dxa"/>
            <w:bottom w:w="15" w:type="dxa"/>
            <w:right w:w="15" w:type="dxa"/>
          </w:tblCellMar>
        </w:tblPrEx>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center"/>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4</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应急服务</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应急处理机制</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要求中标方必须建立和完善突发事件的应急处理机制和预案，防患于未然。当出现不可预知的紧急情况时，保证服务正常开展。</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否</w:t>
            </w:r>
          </w:p>
        </w:tc>
      </w:tr>
      <w:tr>
        <w:tblPrEx>
          <w:tblW w:w="5000" w:type="pct"/>
          <w:tblInd w:w="30" w:type="dxa"/>
          <w:tblCellMar>
            <w:top w:w="15" w:type="dxa"/>
            <w:left w:w="15" w:type="dxa"/>
            <w:bottom w:w="15" w:type="dxa"/>
            <w:right w:w="15" w:type="dxa"/>
          </w:tblCellMar>
        </w:tblPrEx>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center"/>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5</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人员</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人员保密要求</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1.中标方签订合同前必须按照国家相关保密规定和采购方签订《保密协议》，对违反《保密协议》相关内容规定的，采购方有权追究其法律责任。所有服务人员必须严格遵守国家、地方、行业相关保密管理政策规定。</w:t>
            </w:r>
            <w:r>
              <w:rPr>
                <w:rFonts w:ascii="仿宋_GB2312" w:eastAsia="仿宋_GB2312" w:hAnsi="仿宋_GB2312" w:cs="仿宋_GB2312"/>
                <w:b w:val="0"/>
                <w:bCs w:val="0"/>
                <w:i w:val="0"/>
                <w:iCs w:val="0"/>
                <w:smallCaps w:val="0"/>
                <w:color w:val="000000"/>
                <w:sz w:val="21"/>
                <w:szCs w:val="21"/>
              </w:rPr>
              <w:br/>
            </w:r>
            <w:r>
              <w:rPr>
                <w:rFonts w:ascii="仿宋_GB2312" w:eastAsia="仿宋_GB2312" w:hAnsi="仿宋_GB2312" w:cs="仿宋_GB2312"/>
                <w:b w:val="0"/>
                <w:bCs w:val="0"/>
                <w:i w:val="0"/>
                <w:iCs w:val="0"/>
                <w:smallCaps w:val="0"/>
                <w:color w:val="000000"/>
                <w:sz w:val="21"/>
                <w:szCs w:val="21"/>
              </w:rPr>
              <w:t>2.中标方录用前必须对所录用人员进行政治审查，签订保密协议书，组织岗前保密培训；制定人员保密工作制度，建立信息档案，定期开展保密教育。服务人员对陌生人员或社会媒体询问采购方内部情况和政务事项时，严禁擅自接受询问。务必做到不该看的不看，不该问的不问，不该说的不说，不该动的不动。每名员工不得向外界透露采购人内部情况及工作相关信息。成交供应商应与曾服务此项目的解聘、辞职人员签订离岗保密承诺书，并对其离岗后提出保密要求。如有违反，采购方有权向中标方追究法律责任。中标方应保证加强教育管理，禁止各岗位服务人员随意发表、交流、讨论、传播采购方内部人员信息或工作事项，如有违反，严肃处理。</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否</w:t>
            </w:r>
          </w:p>
        </w:tc>
      </w:tr>
      <w:tr>
        <w:tblPrEx>
          <w:tblW w:w="5000" w:type="pct"/>
          <w:tblInd w:w="30" w:type="dxa"/>
          <w:tblCellMar>
            <w:top w:w="15" w:type="dxa"/>
            <w:left w:w="15" w:type="dxa"/>
            <w:bottom w:w="15" w:type="dxa"/>
            <w:right w:w="15" w:type="dxa"/>
          </w:tblCellMar>
        </w:tblPrEx>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center"/>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6</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人员</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人员稳定性要求</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在服务期间，未经采购方同意，中标方不得随意更换服务人员。服务人员因为调走、辞职或被中标方辞退等原因导致服务人员不足时，需在三天内补充，缺席人数不能同时超过2人，中标方在3天内未能及时补齐符合完成项目需求的服务人员，同月内不得超过2次，否则视为中标方违约，采购方有权终止合同。</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否</w:t>
            </w:r>
          </w:p>
        </w:tc>
      </w:tr>
      <w:tr>
        <w:tblPrEx>
          <w:tblW w:w="5000" w:type="pct"/>
          <w:tblInd w:w="30" w:type="dxa"/>
          <w:tblCellMar>
            <w:top w:w="15" w:type="dxa"/>
            <w:left w:w="15" w:type="dxa"/>
            <w:bottom w:w="15" w:type="dxa"/>
            <w:right w:w="15" w:type="dxa"/>
          </w:tblCellMar>
        </w:tblPrEx>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center"/>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7</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人员</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运行质量要求</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1.须满足采购方的各项要求，按时保质保量完成采购方提出的其他合理需求，比如巡视整改要求、营商环境质量提升要求等。</w:t>
            </w:r>
            <w:r>
              <w:rPr>
                <w:rFonts w:ascii="仿宋_GB2312" w:eastAsia="仿宋_GB2312" w:hAnsi="仿宋_GB2312" w:cs="仿宋_GB2312"/>
                <w:b w:val="0"/>
                <w:bCs w:val="0"/>
                <w:i w:val="0"/>
                <w:iCs w:val="0"/>
                <w:smallCaps w:val="0"/>
                <w:color w:val="000000"/>
                <w:sz w:val="21"/>
                <w:szCs w:val="21"/>
              </w:rPr>
              <w:br/>
            </w:r>
            <w:r>
              <w:rPr>
                <w:rFonts w:ascii="仿宋_GB2312" w:eastAsia="仿宋_GB2312" w:hAnsi="仿宋_GB2312" w:cs="仿宋_GB2312"/>
                <w:b w:val="0"/>
                <w:bCs w:val="0"/>
                <w:i w:val="0"/>
                <w:iCs w:val="0"/>
                <w:smallCaps w:val="0"/>
                <w:color w:val="000000"/>
                <w:sz w:val="21"/>
                <w:szCs w:val="21"/>
              </w:rPr>
              <w:t>2.不得存在因中标供应商及服务人员业务差错、服务态度问题等原因引起的有效投诉或负面舆情。</w:t>
            </w:r>
            <w:r>
              <w:rPr>
                <w:rFonts w:ascii="仿宋_GB2312" w:eastAsia="仿宋_GB2312" w:hAnsi="仿宋_GB2312" w:cs="仿宋_GB2312"/>
                <w:b w:val="0"/>
                <w:bCs w:val="0"/>
                <w:i w:val="0"/>
                <w:iCs w:val="0"/>
                <w:smallCaps w:val="0"/>
                <w:color w:val="000000"/>
                <w:sz w:val="21"/>
                <w:szCs w:val="21"/>
              </w:rPr>
              <w:br/>
            </w:r>
            <w:r>
              <w:rPr>
                <w:rFonts w:ascii="仿宋_GB2312" w:eastAsia="仿宋_GB2312" w:hAnsi="仿宋_GB2312" w:cs="仿宋_GB2312"/>
                <w:b w:val="0"/>
                <w:bCs w:val="0"/>
                <w:i w:val="0"/>
                <w:iCs w:val="0"/>
                <w:smallCaps w:val="0"/>
                <w:color w:val="000000"/>
                <w:sz w:val="21"/>
                <w:szCs w:val="21"/>
              </w:rPr>
              <w:t>3.服务人员应保障出勤率，工作日保持除值班轮休人员外全员在岗。</w:t>
            </w:r>
            <w:r>
              <w:rPr>
                <w:rFonts w:ascii="仿宋_GB2312" w:eastAsia="仿宋_GB2312" w:hAnsi="仿宋_GB2312" w:cs="仿宋_GB2312"/>
                <w:b w:val="0"/>
                <w:bCs w:val="0"/>
                <w:i w:val="0"/>
                <w:iCs w:val="0"/>
                <w:smallCaps w:val="0"/>
                <w:color w:val="000000"/>
                <w:sz w:val="21"/>
                <w:szCs w:val="21"/>
              </w:rPr>
              <w:br/>
            </w:r>
            <w:r>
              <w:rPr>
                <w:rFonts w:ascii="仿宋_GB2312" w:eastAsia="仿宋_GB2312" w:hAnsi="仿宋_GB2312" w:cs="仿宋_GB2312"/>
                <w:b w:val="0"/>
                <w:bCs w:val="0"/>
                <w:i w:val="0"/>
                <w:iCs w:val="0"/>
                <w:smallCaps w:val="0"/>
                <w:color w:val="000000"/>
                <w:sz w:val="21"/>
                <w:szCs w:val="21"/>
              </w:rPr>
              <w:t>4.年度人员流失率即签约满一年的员工流失量（不包含已待岗或辞退、开除的员工）/考核期末员工总数，不高于20%。</w:t>
            </w:r>
            <w:r>
              <w:rPr>
                <w:rFonts w:ascii="仿宋_GB2312" w:eastAsia="仿宋_GB2312" w:hAnsi="仿宋_GB2312" w:cs="仿宋_GB2312"/>
                <w:b w:val="0"/>
                <w:bCs w:val="0"/>
                <w:i w:val="0"/>
                <w:iCs w:val="0"/>
                <w:smallCaps w:val="0"/>
                <w:color w:val="000000"/>
                <w:sz w:val="21"/>
                <w:szCs w:val="21"/>
              </w:rPr>
              <w:br/>
            </w:r>
            <w:r>
              <w:rPr>
                <w:rFonts w:ascii="仿宋_GB2312" w:eastAsia="仿宋_GB2312" w:hAnsi="仿宋_GB2312" w:cs="仿宋_GB2312"/>
                <w:b w:val="0"/>
                <w:bCs w:val="0"/>
                <w:i w:val="0"/>
                <w:iCs w:val="0"/>
                <w:smallCaps w:val="0"/>
                <w:color w:val="000000"/>
                <w:sz w:val="21"/>
                <w:szCs w:val="21"/>
              </w:rPr>
              <w:t>以上考核标准为正常业务量情况下，依据采购方的相关要求和采购方工作需要制定。如出现业务量突发增长等情况，具体考核标准由采购方另行制定，如出现国家税务总局、国家税务总局天津市税务局对部分内容存在考核要求变化，具体考核标准同步调整。</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否</w:t>
            </w:r>
          </w:p>
        </w:tc>
      </w:tr>
      <w:tr>
        <w:tblPrEx>
          <w:tblW w:w="5000" w:type="pct"/>
          <w:tblInd w:w="30" w:type="dxa"/>
          <w:tblCellMar>
            <w:top w:w="15" w:type="dxa"/>
            <w:left w:w="15" w:type="dxa"/>
            <w:bottom w:w="15" w:type="dxa"/>
            <w:right w:w="15" w:type="dxa"/>
          </w:tblCellMar>
        </w:tblPrEx>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center"/>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8</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人员</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社保及相关证书</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投标人提供拟投入人员的大专（或以上）毕业证书扫描和近三个月社保证明扫描件。</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否</w:t>
            </w:r>
          </w:p>
        </w:tc>
      </w:tr>
      <w:tr>
        <w:tblPrEx>
          <w:tblW w:w="5000" w:type="pct"/>
          <w:tblInd w:w="30" w:type="dxa"/>
          <w:tblCellMar>
            <w:top w:w="15" w:type="dxa"/>
            <w:left w:w="15" w:type="dxa"/>
            <w:bottom w:w="15" w:type="dxa"/>
            <w:right w:w="15" w:type="dxa"/>
          </w:tblCellMar>
        </w:tblPrEx>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center"/>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9</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费用</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费用分割</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1.投入的服务人员统一着装上岗，服装费由中标供应商承担；</w:t>
            </w:r>
            <w:r>
              <w:rPr>
                <w:rFonts w:ascii="仿宋_GB2312" w:eastAsia="仿宋_GB2312" w:hAnsi="仿宋_GB2312" w:cs="仿宋_GB2312"/>
                <w:b w:val="0"/>
                <w:bCs w:val="0"/>
                <w:i w:val="0"/>
                <w:iCs w:val="0"/>
                <w:smallCaps w:val="0"/>
                <w:color w:val="000000"/>
                <w:sz w:val="21"/>
                <w:szCs w:val="21"/>
              </w:rPr>
              <w:br/>
            </w:r>
            <w:r>
              <w:rPr>
                <w:rFonts w:ascii="仿宋_GB2312" w:eastAsia="仿宋_GB2312" w:hAnsi="仿宋_GB2312" w:cs="仿宋_GB2312"/>
                <w:b w:val="0"/>
                <w:bCs w:val="0"/>
                <w:i w:val="0"/>
                <w:iCs w:val="0"/>
                <w:smallCaps w:val="0"/>
                <w:color w:val="000000"/>
                <w:sz w:val="21"/>
                <w:szCs w:val="21"/>
              </w:rPr>
              <w:t>2.服务所需的办公设备、文具等用品由采购人提供；</w:t>
            </w:r>
            <w:r>
              <w:rPr>
                <w:rFonts w:ascii="仿宋_GB2312" w:eastAsia="仿宋_GB2312" w:hAnsi="仿宋_GB2312" w:cs="仿宋_GB2312"/>
                <w:b w:val="0"/>
                <w:bCs w:val="0"/>
                <w:i w:val="0"/>
                <w:iCs w:val="0"/>
                <w:smallCaps w:val="0"/>
                <w:color w:val="000000"/>
                <w:sz w:val="21"/>
                <w:szCs w:val="21"/>
              </w:rPr>
              <w:br/>
            </w:r>
            <w:r>
              <w:rPr>
                <w:rFonts w:ascii="仿宋_GB2312" w:eastAsia="仿宋_GB2312" w:hAnsi="仿宋_GB2312" w:cs="仿宋_GB2312"/>
                <w:b w:val="0"/>
                <w:bCs w:val="0"/>
                <w:i w:val="0"/>
                <w:iCs w:val="0"/>
                <w:smallCaps w:val="0"/>
                <w:color w:val="000000"/>
                <w:sz w:val="21"/>
                <w:szCs w:val="21"/>
              </w:rPr>
              <w:t>3.服务人员住宿自行解决。</w:t>
            </w:r>
            <w:r>
              <w:rPr>
                <w:rFonts w:ascii="仿宋_GB2312" w:eastAsia="仿宋_GB2312" w:hAnsi="仿宋_GB2312" w:cs="仿宋_GB2312"/>
                <w:b w:val="0"/>
                <w:bCs w:val="0"/>
                <w:i w:val="0"/>
                <w:iCs w:val="0"/>
                <w:smallCaps w:val="0"/>
                <w:color w:val="000000"/>
                <w:sz w:val="21"/>
                <w:szCs w:val="21"/>
              </w:rPr>
              <w:br/>
            </w:r>
            <w:r>
              <w:rPr>
                <w:rFonts w:ascii="仿宋_GB2312" w:eastAsia="仿宋_GB2312" w:hAnsi="仿宋_GB2312" w:cs="仿宋_GB2312"/>
                <w:b w:val="0"/>
                <w:bCs w:val="0"/>
                <w:i w:val="0"/>
                <w:iCs w:val="0"/>
                <w:smallCaps w:val="0"/>
                <w:color w:val="000000"/>
                <w:sz w:val="21"/>
                <w:szCs w:val="21"/>
              </w:rPr>
              <w:t>4.服务人员自愿在采购人食堂用早午餐，费用自理。</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否</w:t>
            </w:r>
          </w:p>
        </w:tc>
      </w:tr>
      <w:tr>
        <w:tblPrEx>
          <w:tblW w:w="5000" w:type="pct"/>
          <w:tblInd w:w="30" w:type="dxa"/>
          <w:tblCellMar>
            <w:top w:w="15" w:type="dxa"/>
            <w:left w:w="15" w:type="dxa"/>
            <w:bottom w:w="15" w:type="dxa"/>
            <w:right w:w="15" w:type="dxa"/>
          </w:tblCellMar>
        </w:tblPrEx>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center"/>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10</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进驻</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进驻和接管要求</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签订合同之日起7日内服务人员进场（特殊情况以合同为准）。为保证本项目日常工作稳定有序持续进行，要求中标方以科学严谨的态度制定完善的进驻、接管方案，确保按时顺利交接，平稳过渡。中标方需承诺：在规定时间内配齐所需人员，并保证按照项目需求中要求配备全体服务人员并按时进场服务。进驻、接管保留相关记录。</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p>
        </w:tc>
      </w:tr>
    </w:tbl>
    <w:p>
      <w:pPr>
        <w:pStyle w:val="Heading3"/>
        <w:keepNext w:val="0"/>
        <w:spacing w:before="0" w:after="0" w:line="360" w:lineRule="auto"/>
        <w:rPr>
          <w:rFonts w:ascii="仿宋_GB2312" w:eastAsia="仿宋_GB2312" w:hAnsi="仿宋_GB2312" w:cs="仿宋_GB2312"/>
          <w:b/>
          <w:bCs/>
          <w:sz w:val="28"/>
          <w:szCs w:val="28"/>
        </w:rPr>
      </w:pPr>
      <w:bookmarkStart w:id="26" w:name="_Toc256000023"/>
      <w:r>
        <w:rPr>
          <w:rFonts w:ascii="仿宋_GB2312" w:eastAsia="仿宋_GB2312" w:hAnsi="仿宋_GB2312" w:cs="仿宋_GB2312"/>
          <w:sz w:val="28"/>
          <w:szCs w:val="28"/>
        </w:rPr>
        <w:t>3.2.2技术和服务其他要求</w:t>
      </w:r>
      <w:bookmarkEnd w:id="26"/>
    </w:p>
    <w:p>
      <w:pPr>
        <w:spacing w:before="0" w:after="0" w:line="360" w:lineRule="auto"/>
        <w:ind w:firstLine="560"/>
        <w:rPr>
          <w:rFonts w:ascii="FangSong_GB2312" w:eastAsia="FangSong_GB2312" w:hAnsi="FangSong_GB2312" w:cs="FangSong_GB2312"/>
          <w:sz w:val="28"/>
          <w:szCs w:val="28"/>
        </w:rPr>
      </w:pPr>
      <w:r>
        <w:rPr>
          <w:rFonts w:ascii="FangSong_GB2312" w:eastAsia="FangSong_GB2312" w:hAnsi="FangSong_GB2312" w:cs="FangSong_GB2312"/>
          <w:sz w:val="28"/>
          <w:szCs w:val="28"/>
        </w:rPr>
        <w:t>无</w:t>
      </w:r>
    </w:p>
    <w:p>
      <w:pPr>
        <w:pStyle w:val="Heading1"/>
        <w:keepNext w:val="0"/>
        <w:spacing w:before="0" w:after="0" w:line="360" w:lineRule="auto"/>
        <w:jc w:val="center"/>
        <w:rPr>
          <w:rFonts w:ascii="仿宋_GB2312" w:eastAsia="仿宋_GB2312" w:hAnsi="仿宋_GB2312" w:cs="仿宋_GB2312"/>
          <w:b/>
          <w:bCs/>
          <w:sz w:val="32"/>
          <w:szCs w:val="32"/>
        </w:rPr>
      </w:pPr>
      <w:bookmarkStart w:id="27" w:name="_Toc256000024"/>
      <w:r>
        <w:rPr>
          <w:rFonts w:ascii="仿宋_GB2312" w:eastAsia="仿宋_GB2312" w:hAnsi="仿宋_GB2312" w:cs="仿宋_GB2312"/>
          <w:kern w:val="36"/>
        </w:rPr>
        <w:t>4人员要求</w:t>
      </w:r>
      <w:bookmarkEnd w:id="27"/>
    </w:p>
    <w:p>
      <w:pPr>
        <w:pStyle w:val="Heading2"/>
        <w:keepNext w:val="0"/>
        <w:spacing w:before="0" w:after="0" w:line="360" w:lineRule="auto"/>
        <w:rPr>
          <w:rFonts w:ascii="仿宋_GB2312" w:eastAsia="仿宋_GB2312" w:hAnsi="仿宋_GB2312" w:cs="仿宋_GB2312"/>
          <w:b/>
          <w:bCs/>
          <w:sz w:val="28"/>
          <w:szCs w:val="28"/>
        </w:rPr>
      </w:pPr>
      <w:bookmarkStart w:id="28" w:name="_Toc256000025"/>
      <w:r>
        <w:rPr>
          <w:rFonts w:ascii="仿宋_GB2312" w:eastAsia="仿宋_GB2312" w:hAnsi="仿宋_GB2312" w:cs="仿宋_GB2312"/>
          <w:i w:val="0"/>
          <w:iCs w:val="0"/>
        </w:rPr>
        <w:t>4.1总体要求</w:t>
      </w:r>
      <w:bookmarkEnd w:id="28"/>
    </w:p>
    <w:p>
      <w:pPr>
        <w:pStyle w:val="MsoNormal"/>
        <w:spacing w:before="0" w:after="0" w:line="360" w:lineRule="auto"/>
        <w:ind w:firstLine="480"/>
        <w:rPr>
          <w:rFonts w:ascii="Times New Roman" w:eastAsia="Times New Roman" w:hAnsi="Times New Roman" w:cs="Times New Roman"/>
        </w:rPr>
      </w:pPr>
      <w:r>
        <w:rPr>
          <w:rFonts w:ascii="仿宋_GB2312" w:eastAsia="仿宋_GB2312" w:hAnsi="仿宋_GB2312" w:cs="仿宋_GB2312"/>
          <w:sz w:val="28"/>
          <w:szCs w:val="28"/>
        </w:rPr>
        <w:t>一是提供</w:t>
      </w:r>
      <w:r>
        <w:rPr>
          <w:rFonts w:ascii="仿宋_GB2312" w:eastAsia="仿宋_GB2312" w:hAnsi="仿宋_GB2312" w:cs="仿宋_GB2312"/>
          <w:sz w:val="28"/>
          <w:szCs w:val="28"/>
        </w:rPr>
        <w:t>具有</w:t>
      </w:r>
      <w:r>
        <w:rPr>
          <w:rFonts w:ascii="仿宋_GB2312" w:eastAsia="仿宋_GB2312" w:hAnsi="仿宋_GB2312" w:cs="仿宋_GB2312"/>
          <w:sz w:val="28"/>
          <w:szCs w:val="28"/>
        </w:rPr>
        <w:t>丰富行业经验和专业的服务团队，能够更好理解和掌握税</w:t>
      </w:r>
      <w:r>
        <w:rPr>
          <w:rFonts w:ascii="仿宋_GB2312" w:eastAsia="仿宋_GB2312" w:hAnsi="仿宋_GB2312" w:cs="仿宋_GB2312"/>
          <w:sz w:val="28"/>
          <w:szCs w:val="28"/>
        </w:rPr>
        <w:t>费</w:t>
      </w:r>
      <w:r>
        <w:rPr>
          <w:rFonts w:ascii="仿宋_GB2312" w:eastAsia="仿宋_GB2312" w:hAnsi="仿宋_GB2312" w:cs="仿宋_GB2312"/>
          <w:sz w:val="28"/>
          <w:szCs w:val="28"/>
        </w:rPr>
        <w:t>相关</w:t>
      </w:r>
      <w:r>
        <w:rPr>
          <w:rFonts w:ascii="仿宋_GB2312" w:eastAsia="仿宋_GB2312" w:hAnsi="仿宋_GB2312" w:cs="仿宋_GB2312"/>
          <w:sz w:val="28"/>
          <w:szCs w:val="28"/>
        </w:rPr>
        <w:t>业务</w:t>
      </w:r>
      <w:r>
        <w:rPr>
          <w:rFonts w:ascii="仿宋_GB2312" w:eastAsia="仿宋_GB2312" w:hAnsi="仿宋_GB2312" w:cs="仿宋_GB2312"/>
          <w:sz w:val="28"/>
          <w:szCs w:val="28"/>
        </w:rPr>
        <w:t>知识</w:t>
      </w:r>
      <w:r>
        <w:rPr>
          <w:rFonts w:ascii="仿宋_GB2312" w:eastAsia="仿宋_GB2312" w:hAnsi="仿宋_GB2312" w:cs="仿宋_GB2312"/>
          <w:sz w:val="28"/>
          <w:szCs w:val="28"/>
        </w:rPr>
        <w:t>，为纳税人缴费人提供准确、专业的解答与服务</w:t>
      </w:r>
      <w:r>
        <w:rPr>
          <w:rFonts w:ascii="仿宋_GB2312" w:eastAsia="仿宋_GB2312" w:hAnsi="仿宋_GB2312" w:cs="仿宋_GB2312"/>
          <w:sz w:val="28"/>
          <w:szCs w:val="28"/>
        </w:rPr>
        <w:t>；二是需要具有完善的质量管理体系和服务标准，能够确保服务的稳定性和可靠性；三是需按照采购方要求培训、管理工作人员，配合区局完成各项服务内容，完善服务规范，落实绩效管理相关要求。</w:t>
      </w:r>
      <w:r>
        <w:rPr>
          <w:rFonts w:ascii="仿宋_GB2312" w:eastAsia="仿宋_GB2312" w:hAnsi="仿宋_GB2312" w:cs="仿宋_GB2312"/>
          <w:sz w:val="28"/>
          <w:szCs w:val="28"/>
        </w:rPr>
        <w:t>为本项目提供非执法服务人员</w:t>
      </w:r>
      <w:r>
        <w:rPr>
          <w:rFonts w:ascii="仿宋_GB2312" w:eastAsia="仿宋_GB2312" w:hAnsi="仿宋_GB2312" w:cs="仿宋_GB2312"/>
          <w:sz w:val="28"/>
          <w:szCs w:val="28"/>
        </w:rPr>
        <w:t>7</w:t>
      </w:r>
      <w:r>
        <w:rPr>
          <w:rFonts w:ascii="仿宋_GB2312" w:eastAsia="仿宋_GB2312" w:hAnsi="仿宋_GB2312" w:cs="仿宋_GB2312"/>
          <w:sz w:val="28"/>
          <w:szCs w:val="28"/>
        </w:rPr>
        <w:t>人，指定其中</w:t>
      </w:r>
      <w:r>
        <w:rPr>
          <w:rFonts w:ascii="仿宋_GB2312" w:eastAsia="仿宋_GB2312" w:hAnsi="仿宋_GB2312" w:cs="仿宋_GB2312"/>
          <w:sz w:val="28"/>
          <w:szCs w:val="28"/>
        </w:rPr>
        <w:t>1人为组长。</w:t>
      </w:r>
    </w:p>
    <w:p>
      <w:pPr>
        <w:pStyle w:val="Heading2"/>
        <w:keepNext w:val="0"/>
        <w:spacing w:before="0" w:after="0" w:line="360" w:lineRule="auto"/>
        <w:rPr>
          <w:rFonts w:ascii="仿宋_GB2312" w:eastAsia="仿宋_GB2312" w:hAnsi="仿宋_GB2312" w:cs="仿宋_GB2312"/>
          <w:b/>
          <w:bCs/>
          <w:sz w:val="28"/>
          <w:szCs w:val="28"/>
        </w:rPr>
      </w:pPr>
      <w:bookmarkStart w:id="29" w:name="_Toc256000026"/>
      <w:r>
        <w:rPr>
          <w:rFonts w:ascii="仿宋_GB2312" w:eastAsia="仿宋_GB2312" w:hAnsi="仿宋_GB2312" w:cs="仿宋_GB2312"/>
          <w:i w:val="0"/>
          <w:iCs w:val="0"/>
        </w:rPr>
        <w:t>4.2管理团队</w:t>
      </w:r>
      <w:bookmarkEnd w:id="29"/>
    </w:p>
    <w:p>
      <w:pPr>
        <w:pStyle w:val="Heading3"/>
        <w:keepNext w:val="0"/>
        <w:spacing w:before="0" w:after="0" w:line="360" w:lineRule="auto"/>
        <w:rPr>
          <w:rFonts w:ascii="仿宋_GB2312" w:eastAsia="仿宋_GB2312" w:hAnsi="仿宋_GB2312" w:cs="仿宋_GB2312"/>
          <w:b/>
          <w:bCs/>
          <w:sz w:val="28"/>
          <w:szCs w:val="28"/>
        </w:rPr>
      </w:pPr>
      <w:bookmarkStart w:id="30" w:name="_Toc256000027"/>
      <w:r>
        <w:rPr>
          <w:rFonts w:ascii="仿宋_GB2312" w:eastAsia="仿宋_GB2312" w:hAnsi="仿宋_GB2312" w:cs="仿宋_GB2312"/>
          <w:sz w:val="28"/>
          <w:szCs w:val="28"/>
        </w:rPr>
        <w:t>4.2.1项目经理</w:t>
      </w:r>
      <w:bookmarkEnd w:id="30"/>
    </w:p>
    <w:p>
      <w:pPr>
        <w:pStyle w:val="15"/>
        <w:spacing w:before="0" w:after="0" w:line="360" w:lineRule="auto"/>
        <w:ind w:firstLine="480"/>
        <w:rPr>
          <w:rFonts w:ascii="Times New Roman" w:eastAsia="Times New Roman" w:hAnsi="Times New Roman" w:cs="Times New Roman"/>
        </w:rPr>
      </w:pPr>
      <w:r>
        <w:rPr>
          <w:rFonts w:ascii="仿宋_GB2312" w:eastAsia="仿宋_GB2312" w:hAnsi="仿宋_GB2312" w:cs="仿宋_GB2312"/>
          <w:sz w:val="28"/>
          <w:szCs w:val="28"/>
        </w:rPr>
        <w:t>组长负责管理人员的现场工作、人员考勤及工作纪律管控；负责解决工作人员求助问题、各类疑难问题和工单处理，汇总每日工作情况，确保团队整体工作的顺利完成。</w:t>
      </w:r>
    </w:p>
    <w:p>
      <w:pPr>
        <w:pStyle w:val="Heading2"/>
        <w:keepNext w:val="0"/>
        <w:spacing w:before="0" w:after="0" w:line="360" w:lineRule="auto"/>
        <w:rPr>
          <w:rFonts w:ascii="仿宋_GB2312" w:eastAsia="仿宋_GB2312" w:hAnsi="仿宋_GB2312" w:cs="仿宋_GB2312"/>
          <w:b/>
          <w:bCs/>
          <w:sz w:val="28"/>
          <w:szCs w:val="28"/>
        </w:rPr>
      </w:pPr>
      <w:bookmarkStart w:id="31" w:name="_Toc256000028"/>
      <w:r>
        <w:rPr>
          <w:rFonts w:ascii="仿宋_GB2312" w:eastAsia="仿宋_GB2312" w:hAnsi="仿宋_GB2312" w:cs="仿宋_GB2312"/>
          <w:i w:val="0"/>
          <w:iCs w:val="0"/>
        </w:rPr>
        <w:t>4.3技术团队</w:t>
      </w:r>
      <w:bookmarkEnd w:id="31"/>
    </w:p>
    <w:p>
      <w:pPr>
        <w:pStyle w:val="15"/>
        <w:spacing w:before="0" w:after="0" w:line="360" w:lineRule="auto"/>
        <w:ind w:firstLine="480"/>
        <w:rPr>
          <w:rFonts w:ascii="Times New Roman" w:eastAsia="Times New Roman" w:hAnsi="Times New Roman" w:cs="Times New Roman"/>
        </w:rPr>
      </w:pPr>
      <w:r>
        <w:rPr>
          <w:rFonts w:ascii="仿宋_GB2312" w:eastAsia="仿宋_GB2312" w:hAnsi="仿宋_GB2312" w:cs="仿宋_GB2312"/>
          <w:sz w:val="28"/>
          <w:szCs w:val="28"/>
        </w:rPr>
        <w:t>其他工作人员负责协助各税源管理所、纳宣等部门做好日常资料传递、信息动态编撰、事务性报表填报、涉税服务需求响应、逾期申报及其他事项统计、纳税人缴费人难点、热点问题收集整理、涉税中介协议采集辅导、业务前置资料完整性审核等辅助性服务。</w:t>
      </w:r>
    </w:p>
    <w:p>
      <w:pPr>
        <w:pStyle w:val="Heading2"/>
        <w:keepNext w:val="0"/>
        <w:spacing w:before="0" w:after="0" w:line="360" w:lineRule="auto"/>
        <w:rPr>
          <w:rFonts w:ascii="仿宋_GB2312" w:eastAsia="仿宋_GB2312" w:hAnsi="仿宋_GB2312" w:cs="仿宋_GB2312"/>
          <w:b/>
          <w:bCs/>
          <w:sz w:val="28"/>
          <w:szCs w:val="28"/>
        </w:rPr>
      </w:pPr>
      <w:bookmarkStart w:id="32" w:name="_Toc256000029"/>
      <w:r>
        <w:rPr>
          <w:rFonts w:ascii="仿宋_GB2312" w:eastAsia="仿宋_GB2312" w:hAnsi="仿宋_GB2312" w:cs="仿宋_GB2312"/>
          <w:i w:val="0"/>
          <w:iCs w:val="0"/>
        </w:rPr>
        <w:t>4.4人员具体要求</w:t>
      </w:r>
      <w:bookmarkEnd w:id="32"/>
    </w:p>
    <w:p>
      <w:pPr>
        <w:pStyle w:val="15"/>
        <w:spacing w:before="0" w:after="0" w:line="360" w:lineRule="auto"/>
        <w:ind w:firstLine="560"/>
        <w:rPr>
          <w:rFonts w:ascii="Times New Roman" w:eastAsia="Times New Roman" w:hAnsi="Times New Roman" w:cs="Times New Roman"/>
        </w:rPr>
      </w:pPr>
      <w:r>
        <w:rPr>
          <w:rFonts w:ascii="仿宋_GB2312" w:eastAsia="仿宋_GB2312" w:hAnsi="仿宋_GB2312" w:cs="仿宋_GB2312"/>
          <w:sz w:val="28"/>
          <w:szCs w:val="28"/>
        </w:rPr>
        <w:t>中标人提供的服务人员需要符合以下条件：</w:t>
      </w:r>
    </w:p>
    <w:p>
      <w:pPr>
        <w:pStyle w:val="15"/>
        <w:spacing w:before="0" w:after="0" w:line="360" w:lineRule="auto"/>
        <w:ind w:firstLine="480"/>
        <w:rPr>
          <w:rFonts w:ascii="Times New Roman" w:eastAsia="Times New Roman" w:hAnsi="Times New Roman" w:cs="Times New Roman"/>
        </w:rPr>
      </w:pPr>
      <w:r>
        <w:rPr>
          <w:rFonts w:ascii="仿宋_GB2312" w:eastAsia="仿宋_GB2312" w:hAnsi="仿宋_GB2312" w:cs="仿宋_GB2312"/>
          <w:sz w:val="28"/>
          <w:szCs w:val="28"/>
        </w:rPr>
        <w:t>1.遵纪守法，具有良好的思想品德，作风正派，无违法犯罪记录，家庭成员以及近亲属无服刑</w:t>
      </w:r>
      <w:r>
        <w:rPr>
          <w:rFonts w:ascii="仿宋_GB2312" w:eastAsia="仿宋_GB2312" w:hAnsi="仿宋_GB2312" w:cs="仿宋_GB2312"/>
          <w:sz w:val="28"/>
          <w:szCs w:val="28"/>
        </w:rPr>
        <w:t>，</w:t>
      </w:r>
      <w:r>
        <w:rPr>
          <w:rFonts w:ascii="仿宋_GB2312" w:eastAsia="仿宋_GB2312" w:hAnsi="仿宋_GB2312" w:cs="仿宋_GB2312"/>
          <w:sz w:val="28"/>
          <w:szCs w:val="28"/>
        </w:rPr>
        <w:t>能严格遵守办税服务有关的规章制度和工作纪律；</w:t>
      </w:r>
    </w:p>
    <w:p>
      <w:pPr>
        <w:pStyle w:val="15"/>
        <w:spacing w:before="0" w:after="0" w:line="360" w:lineRule="auto"/>
        <w:ind w:firstLine="480"/>
        <w:rPr>
          <w:rFonts w:ascii="Times New Roman" w:eastAsia="Times New Roman" w:hAnsi="Times New Roman" w:cs="Times New Roman"/>
        </w:rPr>
      </w:pPr>
      <w:r>
        <w:rPr>
          <w:rFonts w:ascii="仿宋_GB2312" w:eastAsia="仿宋_GB2312" w:hAnsi="仿宋_GB2312" w:cs="仿宋_GB2312"/>
          <w:sz w:val="28"/>
          <w:szCs w:val="28"/>
        </w:rPr>
        <w:t>2.身体健康，无传染病；具有正常履行职责的身体条件和工作能力，工作责任感强，能吃苦耐劳，承受工作压力，有良好的团队合作精神</w:t>
      </w:r>
      <w:r>
        <w:rPr>
          <w:rFonts w:ascii="仿宋_GB2312" w:eastAsia="仿宋_GB2312" w:hAnsi="仿宋_GB2312" w:cs="仿宋_GB2312"/>
          <w:sz w:val="28"/>
          <w:szCs w:val="28"/>
        </w:rPr>
        <w:t>，服从安排，按时保质保量完成单位所安排的各项工作任务；</w:t>
      </w:r>
    </w:p>
    <w:p>
      <w:pPr>
        <w:pStyle w:val="15"/>
        <w:spacing w:before="0" w:after="0" w:line="360" w:lineRule="auto"/>
        <w:ind w:firstLine="480"/>
        <w:rPr>
          <w:rFonts w:ascii="Times New Roman" w:eastAsia="Times New Roman" w:hAnsi="Times New Roman" w:cs="Times New Roman"/>
        </w:rPr>
      </w:pPr>
      <w:r>
        <w:rPr>
          <w:rFonts w:ascii="仿宋_GB2312" w:eastAsia="仿宋_GB2312" w:hAnsi="仿宋_GB2312" w:cs="仿宋_GB2312"/>
          <w:sz w:val="28"/>
          <w:szCs w:val="28"/>
        </w:rPr>
        <w:t>3.</w:t>
      </w:r>
      <w:r>
        <w:rPr>
          <w:rFonts w:ascii="仿宋_GB2312" w:eastAsia="仿宋_GB2312" w:hAnsi="仿宋_GB2312" w:cs="仿宋_GB2312"/>
          <w:sz w:val="28"/>
          <w:szCs w:val="28"/>
        </w:rPr>
        <w:t>爱岗敬业，服从管理。注重言谈举止，积极参与各项文明创建活动，严格执行文明礼仪规范；</w:t>
      </w:r>
    </w:p>
    <w:p>
      <w:pPr>
        <w:pStyle w:val="15"/>
        <w:spacing w:before="0" w:after="0" w:line="360" w:lineRule="auto"/>
        <w:ind w:firstLine="480"/>
        <w:rPr>
          <w:rFonts w:ascii="Times New Roman" w:eastAsia="Times New Roman" w:hAnsi="Times New Roman" w:cs="Times New Roman"/>
        </w:rPr>
      </w:pPr>
      <w:r>
        <w:rPr>
          <w:rFonts w:ascii="仿宋_GB2312" w:eastAsia="仿宋_GB2312" w:hAnsi="仿宋_GB2312" w:cs="仿宋_GB2312"/>
          <w:sz w:val="28"/>
          <w:szCs w:val="28"/>
        </w:rPr>
        <w:t>4.</w:t>
      </w:r>
      <w:r>
        <w:rPr>
          <w:rFonts w:ascii="仿宋_GB2312" w:eastAsia="仿宋_GB2312" w:hAnsi="仿宋_GB2312" w:cs="仿宋_GB2312"/>
          <w:sz w:val="28"/>
          <w:szCs w:val="28"/>
        </w:rPr>
        <w:t>有较娴熟的计算机操作技能，汉字录入速度不低于</w:t>
      </w:r>
      <w:r>
        <w:rPr>
          <w:rFonts w:ascii="仿宋_GB2312" w:eastAsia="仿宋_GB2312" w:hAnsi="仿宋_GB2312" w:cs="仿宋_GB2312"/>
          <w:sz w:val="28"/>
          <w:szCs w:val="28"/>
        </w:rPr>
        <w:t>80字/分钟；</w:t>
      </w:r>
    </w:p>
    <w:p>
      <w:pPr>
        <w:pStyle w:val="15"/>
        <w:spacing w:before="0" w:after="0" w:line="360" w:lineRule="auto"/>
        <w:ind w:firstLine="480"/>
        <w:rPr>
          <w:rFonts w:ascii="Times New Roman" w:eastAsia="Times New Roman" w:hAnsi="Times New Roman" w:cs="Times New Roman"/>
        </w:rPr>
      </w:pPr>
      <w:r>
        <w:rPr>
          <w:rFonts w:ascii="仿宋_GB2312" w:eastAsia="仿宋_GB2312" w:hAnsi="仿宋_GB2312" w:cs="仿宋_GB2312"/>
          <w:sz w:val="28"/>
          <w:szCs w:val="28"/>
        </w:rPr>
        <w:t>5.</w:t>
      </w:r>
      <w:r>
        <w:rPr>
          <w:rFonts w:ascii="仿宋_GB2312" w:eastAsia="仿宋_GB2312" w:hAnsi="仿宋_GB2312" w:cs="仿宋_GB2312"/>
          <w:sz w:val="28"/>
          <w:szCs w:val="28"/>
        </w:rPr>
        <w:t>普通话发音基本标准，语调自然，表达流畅，具备较强的服务意识和良好的语言表达能力、沟通能力、记忆能力、心理承受能力和学习能力；</w:t>
      </w:r>
    </w:p>
    <w:p>
      <w:pPr>
        <w:pStyle w:val="15"/>
        <w:spacing w:before="0" w:after="0" w:line="360" w:lineRule="auto"/>
        <w:ind w:firstLine="480"/>
        <w:rPr>
          <w:rFonts w:ascii="Times New Roman" w:eastAsia="Times New Roman" w:hAnsi="Times New Roman" w:cs="Times New Roman"/>
        </w:rPr>
      </w:pPr>
      <w:r>
        <w:rPr>
          <w:rFonts w:ascii="仿宋_GB2312" w:eastAsia="仿宋_GB2312" w:hAnsi="仿宋_GB2312" w:cs="仿宋_GB2312"/>
          <w:sz w:val="28"/>
          <w:szCs w:val="28"/>
        </w:rPr>
        <w:t>6.</w:t>
      </w:r>
      <w:r>
        <w:rPr>
          <w:rFonts w:ascii="仿宋_GB2312" w:eastAsia="仿宋_GB2312" w:hAnsi="仿宋_GB2312" w:cs="仿宋_GB2312"/>
          <w:sz w:val="28"/>
          <w:szCs w:val="28"/>
        </w:rPr>
        <w:t>遵守保密协议。无论何种原因，必须对局内在服务期内所掌握的与本服务有关的文件、资料、数据、信息做好保密措施，否则有权追究相关人员责任。</w:t>
      </w:r>
    </w:p>
    <w:p>
      <w:pPr>
        <w:pStyle w:val="15"/>
        <w:spacing w:before="0" w:after="0" w:line="360" w:lineRule="auto"/>
        <w:ind w:firstLine="480"/>
        <w:rPr>
          <w:rFonts w:ascii="Times New Roman" w:eastAsia="Times New Roman" w:hAnsi="Times New Roman" w:cs="Times New Roman"/>
        </w:rPr>
      </w:pPr>
      <w:r>
        <w:rPr>
          <w:rFonts w:ascii="仿宋_GB2312" w:eastAsia="仿宋_GB2312" w:hAnsi="仿宋_GB2312" w:cs="仿宋_GB2312"/>
          <w:sz w:val="28"/>
          <w:szCs w:val="28"/>
        </w:rPr>
        <w:t>7.</w:t>
      </w:r>
      <w:r>
        <w:rPr>
          <w:rFonts w:ascii="仿宋_GB2312" w:eastAsia="仿宋_GB2312" w:hAnsi="仿宋_GB2312" w:cs="仿宋_GB2312"/>
          <w:sz w:val="28"/>
          <w:szCs w:val="28"/>
        </w:rPr>
        <w:t>接受采购方的工作安排和培训安排。</w:t>
      </w:r>
    </w:p>
    <w:p>
      <w:pPr>
        <w:pStyle w:val="15"/>
        <w:spacing w:before="0" w:after="0" w:line="360" w:lineRule="auto"/>
        <w:ind w:firstLine="480"/>
        <w:rPr>
          <w:rFonts w:ascii="Times New Roman" w:eastAsia="Times New Roman" w:hAnsi="Times New Roman" w:cs="Times New Roman"/>
        </w:rPr>
      </w:pPr>
      <w:r>
        <w:rPr>
          <w:rFonts w:ascii="仿宋_GB2312" w:eastAsia="仿宋_GB2312" w:hAnsi="仿宋_GB2312" w:cs="仿宋_GB2312"/>
          <w:sz w:val="28"/>
          <w:szCs w:val="28"/>
        </w:rPr>
        <w:t>8.</w:t>
      </w:r>
      <w:r>
        <w:rPr>
          <w:rFonts w:ascii="仿宋_GB2312" w:eastAsia="仿宋_GB2312" w:hAnsi="仿宋_GB2312" w:cs="仿宋_GB2312"/>
          <w:sz w:val="28"/>
          <w:szCs w:val="28"/>
        </w:rPr>
        <w:t>符合采购方要求及日常管理工作规范。</w:t>
      </w:r>
    </w:p>
    <w:p>
      <w:pPr>
        <w:pStyle w:val="15"/>
        <w:spacing w:before="0" w:after="0" w:line="360" w:lineRule="auto"/>
        <w:ind w:firstLine="480"/>
        <w:rPr>
          <w:rFonts w:ascii="Times New Roman" w:eastAsia="Times New Roman" w:hAnsi="Times New Roman" w:cs="Times New Roman"/>
        </w:rPr>
      </w:pPr>
      <w:r>
        <w:rPr>
          <w:rFonts w:ascii="仿宋_GB2312" w:eastAsia="仿宋_GB2312" w:hAnsi="仿宋_GB2312" w:cs="仿宋_GB2312"/>
          <w:sz w:val="28"/>
          <w:szCs w:val="28"/>
        </w:rPr>
        <w:t>注：</w:t>
      </w:r>
    </w:p>
    <w:p>
      <w:pPr>
        <w:pStyle w:val="15"/>
        <w:spacing w:before="0" w:after="0" w:line="360" w:lineRule="auto"/>
        <w:ind w:firstLine="480"/>
        <w:rPr>
          <w:rFonts w:ascii="Times New Roman" w:eastAsia="Times New Roman" w:hAnsi="Times New Roman" w:cs="Times New Roman"/>
        </w:rPr>
      </w:pPr>
      <w:r>
        <w:rPr>
          <w:rFonts w:ascii="仿宋_GB2312" w:eastAsia="仿宋_GB2312" w:hAnsi="仿宋_GB2312" w:cs="仿宋_GB2312"/>
          <w:sz w:val="28"/>
          <w:szCs w:val="28"/>
        </w:rPr>
        <w:t>按劳动法和国务院关于职工工作时间的规定，正常情况下，上述人员每日工作不超过</w:t>
      </w:r>
      <w:r>
        <w:rPr>
          <w:rFonts w:ascii="仿宋_GB2312" w:eastAsia="仿宋_GB2312" w:hAnsi="仿宋_GB2312" w:cs="仿宋_GB2312"/>
          <w:sz w:val="28"/>
          <w:szCs w:val="28"/>
        </w:rPr>
        <w:t>8小时，每周工作不超过40小时。</w:t>
      </w:r>
    </w:p>
    <w:p>
      <w:pPr>
        <w:pStyle w:val="15"/>
        <w:spacing w:before="0" w:after="0" w:line="360" w:lineRule="auto"/>
        <w:ind w:firstLine="480"/>
        <w:rPr>
          <w:rFonts w:ascii="Times New Roman" w:eastAsia="Times New Roman" w:hAnsi="Times New Roman" w:cs="Times New Roman"/>
        </w:rPr>
      </w:pPr>
      <w:r>
        <w:rPr>
          <w:rFonts w:ascii="仿宋_GB2312" w:eastAsia="仿宋_GB2312" w:hAnsi="仿宋_GB2312" w:cs="仿宋_GB2312"/>
          <w:sz w:val="28"/>
          <w:szCs w:val="28"/>
        </w:rPr>
        <w:t>一旦获得中标资格，上述人员按要求投入本项目服务，非经采购人同意，不随意更换人员。</w:t>
      </w:r>
    </w:p>
    <w:p>
      <w:pPr>
        <w:pStyle w:val="MsoNormal"/>
        <w:spacing w:before="0" w:after="0" w:line="360" w:lineRule="auto"/>
        <w:rPr>
          <w:rFonts w:ascii="Times New Roman" w:eastAsia="Times New Roman" w:hAnsi="Times New Roman" w:cs="Times New Roman"/>
        </w:rPr>
      </w:pPr>
      <w:r>
        <w:rPr>
          <w:rFonts w:ascii="仿宋_GB2312" w:eastAsia="仿宋_GB2312" w:hAnsi="仿宋_GB2312" w:cs="仿宋_GB2312"/>
          <w:sz w:val="28"/>
          <w:szCs w:val="28"/>
        </w:rPr>
        <w:t>采购合同履行过程中，如遇国家和我市相关政策调整等法定情形的，采购人可以与供应商签订补充合同，补充合同应当按照政府采购法律法规的相关要求报同级财政部门备案。</w:t>
      </w:r>
    </w:p>
    <w:p>
      <w:pPr>
        <w:pStyle w:val="Heading2"/>
        <w:keepNext w:val="0"/>
        <w:spacing w:before="0" w:after="0" w:line="360" w:lineRule="auto"/>
        <w:rPr>
          <w:rFonts w:ascii="仿宋_GB2312" w:eastAsia="仿宋_GB2312" w:hAnsi="仿宋_GB2312" w:cs="仿宋_GB2312"/>
          <w:b/>
          <w:bCs/>
          <w:sz w:val="28"/>
          <w:szCs w:val="28"/>
        </w:rPr>
      </w:pPr>
      <w:bookmarkStart w:id="33" w:name="_Toc256000030"/>
      <w:r>
        <w:rPr>
          <w:rFonts w:ascii="仿宋_GB2312" w:eastAsia="仿宋_GB2312" w:hAnsi="仿宋_GB2312" w:cs="仿宋_GB2312"/>
          <w:i w:val="0"/>
          <w:iCs w:val="0"/>
        </w:rPr>
        <w:t>4.5优选资质/优选指标</w:t>
      </w:r>
      <w:bookmarkEnd w:id="33"/>
    </w:p>
    <w:p>
      <w:pPr>
        <w:pStyle w:val="Heading1"/>
        <w:keepNext w:val="0"/>
        <w:spacing w:before="0" w:after="0" w:line="360" w:lineRule="auto"/>
        <w:jc w:val="center"/>
        <w:rPr>
          <w:rFonts w:ascii="仿宋_GB2312" w:eastAsia="仿宋_GB2312" w:hAnsi="仿宋_GB2312" w:cs="仿宋_GB2312"/>
          <w:b/>
          <w:bCs/>
          <w:sz w:val="32"/>
          <w:szCs w:val="32"/>
        </w:rPr>
      </w:pPr>
      <w:bookmarkStart w:id="34" w:name="_Toc256000031"/>
      <w:r>
        <w:rPr>
          <w:rFonts w:ascii="仿宋_GB2312" w:eastAsia="仿宋_GB2312" w:hAnsi="仿宋_GB2312" w:cs="仿宋_GB2312"/>
          <w:kern w:val="36"/>
        </w:rPr>
        <w:t>5管理实施要求</w:t>
      </w:r>
      <w:bookmarkEnd w:id="34"/>
    </w:p>
    <w:p>
      <w:pPr>
        <w:pStyle w:val="15"/>
        <w:spacing w:before="0" w:after="0" w:line="360" w:lineRule="auto"/>
        <w:ind w:firstLine="480"/>
        <w:rPr>
          <w:rFonts w:ascii="Times New Roman" w:eastAsia="Times New Roman" w:hAnsi="Times New Roman" w:cs="Times New Roman"/>
        </w:rPr>
      </w:pPr>
      <w:r>
        <w:rPr>
          <w:rFonts w:ascii="仿宋_GB2312" w:eastAsia="仿宋_GB2312" w:hAnsi="仿宋_GB2312" w:cs="仿宋_GB2312"/>
          <w:sz w:val="28"/>
          <w:szCs w:val="28"/>
        </w:rPr>
        <w:t>1.中标方应提供所有服务人员的个人档案资料，经采购方确认后方可参与服务工作。</w:t>
      </w:r>
    </w:p>
    <w:p>
      <w:pPr>
        <w:pStyle w:val="15"/>
        <w:spacing w:before="0" w:after="0" w:line="360" w:lineRule="auto"/>
        <w:ind w:firstLine="480"/>
        <w:rPr>
          <w:rFonts w:ascii="Times New Roman" w:eastAsia="Times New Roman" w:hAnsi="Times New Roman" w:cs="Times New Roman"/>
        </w:rPr>
      </w:pPr>
      <w:r>
        <w:rPr>
          <w:rFonts w:ascii="仿宋_GB2312" w:eastAsia="仿宋_GB2312" w:hAnsi="仿宋_GB2312" w:cs="仿宋_GB2312"/>
          <w:sz w:val="28"/>
          <w:szCs w:val="28"/>
        </w:rPr>
        <w:t>2.中标方需按照采购方要求，根据采购方需求适时组织培训提升服务质量，不断规范人员服务行为，提升人员服务水平。</w:t>
      </w:r>
    </w:p>
    <w:p>
      <w:pPr>
        <w:pStyle w:val="15"/>
        <w:spacing w:before="0" w:after="0" w:line="360" w:lineRule="auto"/>
        <w:ind w:firstLine="480"/>
        <w:rPr>
          <w:rFonts w:ascii="Times New Roman" w:eastAsia="Times New Roman" w:hAnsi="Times New Roman" w:cs="Times New Roman"/>
        </w:rPr>
      </w:pPr>
      <w:r>
        <w:rPr>
          <w:rFonts w:ascii="仿宋_GB2312" w:eastAsia="仿宋_GB2312" w:hAnsi="仿宋_GB2312" w:cs="仿宋_GB2312"/>
          <w:sz w:val="28"/>
          <w:szCs w:val="28"/>
        </w:rPr>
        <w:t>（</w:t>
      </w:r>
      <w:r>
        <w:rPr>
          <w:rFonts w:ascii="仿宋_GB2312" w:eastAsia="仿宋_GB2312" w:hAnsi="仿宋_GB2312" w:cs="仿宋_GB2312"/>
          <w:sz w:val="28"/>
          <w:szCs w:val="28"/>
        </w:rPr>
        <w:t>1）供应商应事先编制详细周密额全过程培训计划，并提供相关培训资料，帮助</w:t>
      </w:r>
      <w:r>
        <w:rPr>
          <w:rFonts w:ascii="仿宋_GB2312" w:eastAsia="仿宋_GB2312" w:hAnsi="仿宋_GB2312" w:cs="仿宋_GB2312"/>
          <w:sz w:val="28"/>
          <w:szCs w:val="28"/>
        </w:rPr>
        <w:t>非执法</w:t>
      </w:r>
      <w:r>
        <w:rPr>
          <w:rFonts w:ascii="仿宋_GB2312" w:eastAsia="仿宋_GB2312" w:hAnsi="仿宋_GB2312" w:cs="仿宋_GB2312"/>
          <w:sz w:val="28"/>
          <w:szCs w:val="28"/>
        </w:rPr>
        <w:t>辅助人员进一步认同组织文化和目标，增强团队意识和凝聚力，持续提升专业能力和服务水平，以不断满足纳税人缴费人需求、提升纳税人缴费人的满意度。培训团队需要配备取得税务师证书的自有培训师资，且具有</w:t>
      </w:r>
      <w:r>
        <w:rPr>
          <w:rFonts w:ascii="仿宋_GB2312" w:eastAsia="仿宋_GB2312" w:hAnsi="仿宋_GB2312" w:cs="仿宋_GB2312"/>
          <w:sz w:val="28"/>
          <w:szCs w:val="28"/>
        </w:rPr>
        <w:t>3年以上与本项目类似的相关工作经验。</w:t>
      </w:r>
    </w:p>
    <w:p>
      <w:pPr>
        <w:pStyle w:val="15"/>
        <w:spacing w:before="0" w:after="0" w:line="360" w:lineRule="auto"/>
        <w:ind w:firstLine="480"/>
        <w:rPr>
          <w:rFonts w:ascii="Times New Roman" w:eastAsia="Times New Roman" w:hAnsi="Times New Roman" w:cs="Times New Roman"/>
        </w:rPr>
      </w:pPr>
      <w:r>
        <w:rPr>
          <w:rFonts w:ascii="仿宋_GB2312" w:eastAsia="仿宋_GB2312" w:hAnsi="仿宋_GB2312" w:cs="仿宋_GB2312"/>
          <w:sz w:val="28"/>
          <w:szCs w:val="28"/>
        </w:rPr>
        <w:t>（</w:t>
      </w:r>
      <w:r>
        <w:rPr>
          <w:rFonts w:ascii="仿宋_GB2312" w:eastAsia="仿宋_GB2312" w:hAnsi="仿宋_GB2312" w:cs="仿宋_GB2312"/>
          <w:sz w:val="28"/>
          <w:szCs w:val="28"/>
        </w:rPr>
        <w:t>2）培训实施后，对参加培训的坐席人员进行考核，要求实现编制详细的考核计划和考核标准，考核通过后方可正式上线。</w:t>
      </w:r>
    </w:p>
    <w:p>
      <w:pPr>
        <w:pStyle w:val="15"/>
        <w:spacing w:before="0" w:after="0" w:line="360" w:lineRule="auto"/>
        <w:ind w:firstLine="480"/>
        <w:rPr>
          <w:rFonts w:ascii="Times New Roman" w:eastAsia="Times New Roman" w:hAnsi="Times New Roman" w:cs="Times New Roman"/>
        </w:rPr>
      </w:pPr>
      <w:r>
        <w:rPr>
          <w:rFonts w:ascii="仿宋_GB2312" w:eastAsia="仿宋_GB2312" w:hAnsi="仿宋_GB2312" w:cs="仿宋_GB2312"/>
          <w:sz w:val="28"/>
          <w:szCs w:val="28"/>
        </w:rPr>
        <w:t>（</w:t>
      </w:r>
      <w:r>
        <w:rPr>
          <w:rFonts w:ascii="仿宋_GB2312" w:eastAsia="仿宋_GB2312" w:hAnsi="仿宋_GB2312" w:cs="仿宋_GB2312"/>
          <w:sz w:val="28"/>
          <w:szCs w:val="28"/>
        </w:rPr>
        <w:t>3）培训结束后，要定期向采购方反馈培训成效及考核结果，对于培训效果不理想、考核不合格的不予录用。</w:t>
      </w:r>
    </w:p>
    <w:p>
      <w:pPr>
        <w:pStyle w:val="15"/>
        <w:spacing w:before="0" w:after="0" w:line="360" w:lineRule="auto"/>
        <w:ind w:firstLine="480"/>
        <w:rPr>
          <w:rFonts w:ascii="Times New Roman" w:eastAsia="Times New Roman" w:hAnsi="Times New Roman" w:cs="Times New Roman"/>
        </w:rPr>
      </w:pPr>
      <w:r>
        <w:rPr>
          <w:rFonts w:ascii="仿宋_GB2312" w:eastAsia="仿宋_GB2312" w:hAnsi="仿宋_GB2312" w:cs="仿宋_GB2312"/>
          <w:sz w:val="28"/>
          <w:szCs w:val="28"/>
        </w:rPr>
        <w:t>3</w:t>
      </w:r>
      <w:r>
        <w:rPr>
          <w:rFonts w:ascii="仿宋_GB2312" w:eastAsia="仿宋_GB2312" w:hAnsi="仿宋_GB2312" w:cs="仿宋_GB2312"/>
          <w:sz w:val="28"/>
          <w:szCs w:val="28"/>
        </w:rPr>
        <w:t>.中标方需按照采购方要求，根据采购方需求适时组织培训提升服务质量，不断规范人员服务行为，提升人员服务水平。</w:t>
      </w:r>
    </w:p>
    <w:p>
      <w:pPr>
        <w:pStyle w:val="15"/>
        <w:spacing w:before="0" w:after="0" w:line="360" w:lineRule="auto"/>
        <w:ind w:firstLine="480"/>
        <w:rPr>
          <w:rFonts w:ascii="Times New Roman" w:eastAsia="Times New Roman" w:hAnsi="Times New Roman" w:cs="Times New Roman"/>
        </w:rPr>
      </w:pPr>
      <w:r>
        <w:rPr>
          <w:rFonts w:ascii="仿宋_GB2312" w:eastAsia="仿宋_GB2312" w:hAnsi="仿宋_GB2312" w:cs="仿宋_GB2312"/>
          <w:sz w:val="28"/>
          <w:szCs w:val="28"/>
        </w:rPr>
        <w:t>4</w:t>
      </w:r>
      <w:r>
        <w:rPr>
          <w:rFonts w:ascii="仿宋_GB2312" w:eastAsia="仿宋_GB2312" w:hAnsi="仿宋_GB2312" w:cs="仿宋_GB2312"/>
          <w:sz w:val="28"/>
          <w:szCs w:val="28"/>
        </w:rPr>
        <w:t>.中标方需确保所提供非执法类服务的工作时长，工作期间不得擅离职守，注重仪容</w:t>
      </w:r>
      <w:r>
        <w:rPr>
          <w:rFonts w:ascii="仿宋_GB2312" w:eastAsia="仿宋_GB2312" w:hAnsi="仿宋_GB2312" w:cs="仿宋_GB2312"/>
          <w:sz w:val="28"/>
          <w:szCs w:val="28"/>
        </w:rPr>
        <w:t>仪表、工作态度，保证为</w:t>
      </w:r>
      <w:r>
        <w:rPr>
          <w:rFonts w:ascii="仿宋_GB2312" w:eastAsia="仿宋_GB2312" w:hAnsi="仿宋_GB2312" w:cs="仿宋_GB2312"/>
          <w:sz w:val="28"/>
          <w:szCs w:val="28"/>
        </w:rPr>
        <w:t>纳税人缴费人</w:t>
      </w:r>
      <w:r>
        <w:rPr>
          <w:rFonts w:ascii="仿宋_GB2312" w:eastAsia="仿宋_GB2312" w:hAnsi="仿宋_GB2312" w:cs="仿宋_GB2312"/>
          <w:sz w:val="28"/>
          <w:szCs w:val="28"/>
        </w:rPr>
        <w:t>提供准确、快捷的</w:t>
      </w:r>
      <w:r>
        <w:rPr>
          <w:rFonts w:ascii="仿宋_GB2312" w:eastAsia="仿宋_GB2312" w:hAnsi="仿宋_GB2312" w:cs="仿宋_GB2312"/>
          <w:sz w:val="28"/>
          <w:szCs w:val="28"/>
        </w:rPr>
        <w:t>税费</w:t>
      </w:r>
      <w:r>
        <w:rPr>
          <w:rFonts w:ascii="仿宋_GB2312" w:eastAsia="仿宋_GB2312" w:hAnsi="仿宋_GB2312" w:cs="仿宋_GB2312"/>
          <w:sz w:val="28"/>
          <w:szCs w:val="28"/>
        </w:rPr>
        <w:t>服务。</w:t>
      </w:r>
    </w:p>
    <w:p>
      <w:pPr>
        <w:pStyle w:val="15"/>
        <w:spacing w:before="0" w:after="0" w:line="360" w:lineRule="auto"/>
        <w:ind w:firstLine="480"/>
        <w:rPr>
          <w:rFonts w:ascii="Times New Roman" w:eastAsia="Times New Roman" w:hAnsi="Times New Roman" w:cs="Times New Roman"/>
        </w:rPr>
      </w:pPr>
      <w:r>
        <w:rPr>
          <w:rFonts w:ascii="仿宋_GB2312" w:eastAsia="仿宋_GB2312" w:hAnsi="仿宋_GB2312" w:cs="仿宋_GB2312"/>
          <w:sz w:val="28"/>
          <w:szCs w:val="28"/>
        </w:rPr>
        <w:t>5</w:t>
      </w:r>
      <w:r>
        <w:rPr>
          <w:rFonts w:ascii="仿宋_GB2312" w:eastAsia="仿宋_GB2312" w:hAnsi="仿宋_GB2312" w:cs="仿宋_GB2312"/>
          <w:sz w:val="28"/>
          <w:szCs w:val="28"/>
        </w:rPr>
        <w:t>.中标方需确保提供非执法类服务过程中遵守采购方各项廉洁纪律，做到认真履行工作职责，谨言慎行，坚决不做损害纳税人</w:t>
      </w:r>
      <w:r>
        <w:rPr>
          <w:rFonts w:ascii="仿宋_GB2312" w:eastAsia="仿宋_GB2312" w:hAnsi="仿宋_GB2312" w:cs="仿宋_GB2312"/>
          <w:sz w:val="28"/>
          <w:szCs w:val="28"/>
        </w:rPr>
        <w:t>缴费人</w:t>
      </w:r>
      <w:r>
        <w:rPr>
          <w:rFonts w:ascii="仿宋_GB2312" w:eastAsia="仿宋_GB2312" w:hAnsi="仿宋_GB2312" w:cs="仿宋_GB2312"/>
          <w:sz w:val="28"/>
          <w:szCs w:val="28"/>
        </w:rPr>
        <w:t>利益</w:t>
      </w:r>
      <w:r>
        <w:rPr>
          <w:rFonts w:ascii="仿宋_GB2312" w:eastAsia="仿宋_GB2312" w:hAnsi="仿宋_GB2312" w:cs="仿宋_GB2312"/>
          <w:sz w:val="28"/>
          <w:szCs w:val="28"/>
        </w:rPr>
        <w:t>和损害税务机关形象的事情。</w:t>
      </w:r>
    </w:p>
    <w:p>
      <w:pPr>
        <w:pStyle w:val="15"/>
        <w:spacing w:before="0" w:after="0" w:line="360" w:lineRule="auto"/>
        <w:ind w:firstLine="480"/>
        <w:rPr>
          <w:rFonts w:ascii="Times New Roman" w:eastAsia="Times New Roman" w:hAnsi="Times New Roman" w:cs="Times New Roman"/>
        </w:rPr>
      </w:pPr>
      <w:r>
        <w:rPr>
          <w:rFonts w:ascii="仿宋_GB2312" w:eastAsia="仿宋_GB2312" w:hAnsi="仿宋_GB2312" w:cs="仿宋_GB2312"/>
          <w:sz w:val="28"/>
          <w:szCs w:val="28"/>
        </w:rPr>
        <w:t>6</w:t>
      </w:r>
      <w:r>
        <w:rPr>
          <w:rFonts w:ascii="仿宋_GB2312" w:eastAsia="仿宋_GB2312" w:hAnsi="仿宋_GB2312" w:cs="仿宋_GB2312"/>
          <w:sz w:val="28"/>
          <w:szCs w:val="28"/>
        </w:rPr>
        <w:t>.如因中标方引起的劳资纠纷问题，影响正常工作的，采购方有权另行聘请人员确保正常工作，所产生的费用由中标方承担，采购方不承担所产生的任何费用。</w:t>
      </w:r>
    </w:p>
    <w:p>
      <w:pPr>
        <w:pStyle w:val="15"/>
        <w:spacing w:before="0" w:after="0" w:line="360" w:lineRule="auto"/>
        <w:ind w:firstLine="480"/>
        <w:rPr>
          <w:rFonts w:ascii="Times New Roman" w:eastAsia="Times New Roman" w:hAnsi="Times New Roman" w:cs="Times New Roman"/>
        </w:rPr>
      </w:pPr>
      <w:r>
        <w:rPr>
          <w:rFonts w:ascii="仿宋_GB2312" w:eastAsia="仿宋_GB2312" w:hAnsi="仿宋_GB2312" w:cs="仿宋_GB2312"/>
          <w:sz w:val="28"/>
          <w:szCs w:val="28"/>
        </w:rPr>
        <w:t>7</w:t>
      </w:r>
      <w:r>
        <w:rPr>
          <w:rFonts w:ascii="仿宋_GB2312" w:eastAsia="仿宋_GB2312" w:hAnsi="仿宋_GB2312" w:cs="仿宋_GB2312"/>
          <w:sz w:val="28"/>
          <w:szCs w:val="28"/>
        </w:rPr>
        <w:t>.如采购方对中标方提供的人员出现3次不服从管理、违反采购方制定的相关规章制度，采购方可以要求更换，中标方必须及时且无条件的为采购方更换合格的人员。</w:t>
      </w:r>
    </w:p>
    <w:p>
      <w:pPr>
        <w:pStyle w:val="15"/>
        <w:spacing w:before="0" w:after="0" w:line="360" w:lineRule="auto"/>
        <w:ind w:firstLine="480"/>
        <w:rPr>
          <w:rFonts w:ascii="Times New Roman" w:eastAsia="Times New Roman" w:hAnsi="Times New Roman" w:cs="Times New Roman"/>
        </w:rPr>
      </w:pPr>
      <w:r>
        <w:rPr>
          <w:rFonts w:ascii="仿宋_GB2312" w:eastAsia="仿宋_GB2312" w:hAnsi="仿宋_GB2312" w:cs="仿宋_GB2312"/>
          <w:sz w:val="28"/>
          <w:szCs w:val="28"/>
        </w:rPr>
        <w:t>8</w:t>
      </w:r>
      <w:r>
        <w:rPr>
          <w:rFonts w:ascii="仿宋_GB2312" w:eastAsia="仿宋_GB2312" w:hAnsi="仿宋_GB2312" w:cs="仿宋_GB2312"/>
          <w:sz w:val="28"/>
          <w:szCs w:val="28"/>
        </w:rPr>
        <w:t>.服务期内，采购方按季度对中标方的工作质量、履约情况、工作配合度等进行综合评价，评价合格则继续履行服务合同。如项目服务未达到要求，则采购方上报监管部门终止服务合同。</w:t>
      </w:r>
    </w:p>
    <w:p>
      <w:pPr>
        <w:pStyle w:val="15"/>
        <w:spacing w:before="0" w:after="0" w:line="360" w:lineRule="auto"/>
        <w:ind w:firstLine="480"/>
        <w:rPr>
          <w:rFonts w:ascii="Times New Roman" w:eastAsia="Times New Roman" w:hAnsi="Times New Roman" w:cs="Times New Roman"/>
        </w:rPr>
      </w:pPr>
      <w:r>
        <w:rPr>
          <w:rFonts w:ascii="仿宋_GB2312" w:eastAsia="仿宋_GB2312" w:hAnsi="仿宋_GB2312" w:cs="仿宋_GB2312"/>
          <w:sz w:val="28"/>
          <w:szCs w:val="28"/>
        </w:rPr>
        <w:t>9</w:t>
      </w:r>
      <w:r>
        <w:rPr>
          <w:rFonts w:ascii="仿宋_GB2312" w:eastAsia="仿宋_GB2312" w:hAnsi="仿宋_GB2312" w:cs="仿宋_GB2312"/>
          <w:sz w:val="28"/>
          <w:szCs w:val="28"/>
        </w:rPr>
        <w:t>.服务人员的工作由采购方进行分配、管理，对服务人员的奖惩、撤换或辞退等须经采购方同意认可。</w:t>
      </w:r>
    </w:p>
    <w:p>
      <w:pPr>
        <w:pStyle w:val="15"/>
        <w:spacing w:before="0" w:after="0" w:line="360" w:lineRule="auto"/>
        <w:ind w:firstLine="480"/>
        <w:rPr>
          <w:rFonts w:ascii="Times New Roman" w:eastAsia="Times New Roman" w:hAnsi="Times New Roman" w:cs="Times New Roman"/>
        </w:rPr>
      </w:pPr>
      <w:r>
        <w:rPr>
          <w:rFonts w:ascii="仿宋_GB2312" w:eastAsia="仿宋_GB2312" w:hAnsi="仿宋_GB2312" w:cs="仿宋_GB2312"/>
          <w:sz w:val="28"/>
          <w:szCs w:val="28"/>
        </w:rPr>
        <w:t>10</w:t>
      </w:r>
      <w:r>
        <w:rPr>
          <w:rFonts w:ascii="仿宋_GB2312" w:eastAsia="仿宋_GB2312" w:hAnsi="仿宋_GB2312" w:cs="仿宋_GB2312"/>
          <w:sz w:val="28"/>
          <w:szCs w:val="28"/>
        </w:rPr>
        <w:t>.合同期内，如发生政策变化等特殊情况时，采购方可按实际工作需求适时减少服务人员数量，人员数量需求减少时，应提前一个月通知中标方。合同结算金额以实际发生金额为准。</w:t>
      </w:r>
    </w:p>
    <w:p>
      <w:pPr>
        <w:pStyle w:val="Heading1"/>
        <w:keepNext w:val="0"/>
        <w:spacing w:before="0" w:after="0" w:line="360" w:lineRule="auto"/>
        <w:jc w:val="center"/>
        <w:rPr>
          <w:rFonts w:ascii="仿宋_GB2312" w:eastAsia="仿宋_GB2312" w:hAnsi="仿宋_GB2312" w:cs="仿宋_GB2312"/>
          <w:b/>
          <w:bCs/>
          <w:sz w:val="32"/>
          <w:szCs w:val="32"/>
        </w:rPr>
      </w:pPr>
      <w:bookmarkStart w:id="35" w:name="_Toc256000032"/>
      <w:r>
        <w:rPr>
          <w:rFonts w:ascii="仿宋_GB2312" w:eastAsia="仿宋_GB2312" w:hAnsi="仿宋_GB2312" w:cs="仿宋_GB2312"/>
          <w:kern w:val="36"/>
        </w:rPr>
        <w:t>6风险管控要求</w:t>
      </w:r>
      <w:bookmarkEnd w:id="35"/>
    </w:p>
    <w:p>
      <w:pPr>
        <w:pStyle w:val="15"/>
        <w:spacing w:before="0" w:after="0" w:line="360" w:lineRule="auto"/>
        <w:ind w:firstLine="480"/>
        <w:rPr>
          <w:rFonts w:ascii="Times New Roman" w:eastAsia="Times New Roman" w:hAnsi="Times New Roman" w:cs="Times New Roman"/>
        </w:rPr>
      </w:pPr>
      <w:r>
        <w:rPr>
          <w:rFonts w:ascii="仿宋_GB2312" w:eastAsia="仿宋_GB2312" w:hAnsi="仿宋_GB2312" w:cs="仿宋_GB2312"/>
          <w:sz w:val="28"/>
          <w:szCs w:val="28"/>
        </w:rPr>
        <w:t>1.中标方签订合同前必须按照国家相关保密规定和采购方签订《保密协议》，对违反《保密协议》相关内容规定的，采购方有权追究其法律责任。</w:t>
      </w:r>
    </w:p>
    <w:p>
      <w:pPr>
        <w:pStyle w:val="15"/>
        <w:spacing w:before="0" w:after="0" w:line="360" w:lineRule="auto"/>
        <w:ind w:firstLine="480"/>
        <w:rPr>
          <w:rFonts w:ascii="Times New Roman" w:eastAsia="Times New Roman" w:hAnsi="Times New Roman" w:cs="Times New Roman"/>
        </w:rPr>
      </w:pPr>
      <w:r>
        <w:rPr>
          <w:rFonts w:ascii="仿宋_GB2312" w:eastAsia="仿宋_GB2312" w:hAnsi="仿宋_GB2312" w:cs="仿宋_GB2312"/>
          <w:sz w:val="28"/>
          <w:szCs w:val="28"/>
        </w:rPr>
        <w:t>2.服务期内发生各种事故：包括安全、交通、防火和劳资纠纷等事件均由中标方承担相应责任，在实际工作中可能与群众产生的法律纠纷，由中标方承担责任，采购方不承担任何责任。</w:t>
      </w:r>
    </w:p>
    <w:p>
      <w:pPr>
        <w:pStyle w:val="Heading1"/>
        <w:keepNext w:val="0"/>
        <w:spacing w:before="0" w:after="0" w:line="360" w:lineRule="auto"/>
        <w:jc w:val="center"/>
        <w:rPr>
          <w:rFonts w:ascii="仿宋_GB2312" w:eastAsia="仿宋_GB2312" w:hAnsi="仿宋_GB2312" w:cs="仿宋_GB2312"/>
          <w:b/>
          <w:bCs/>
          <w:sz w:val="32"/>
          <w:szCs w:val="32"/>
        </w:rPr>
      </w:pPr>
      <w:bookmarkStart w:id="36" w:name="_Toc256000033"/>
      <w:r>
        <w:rPr>
          <w:rFonts w:ascii="仿宋_GB2312" w:eastAsia="仿宋_GB2312" w:hAnsi="仿宋_GB2312" w:cs="仿宋_GB2312"/>
          <w:kern w:val="36"/>
        </w:rPr>
        <w:t>7履约验收要求</w:t>
      </w:r>
      <w:bookmarkEnd w:id="36"/>
    </w:p>
    <w:p>
      <w:pPr>
        <w:pStyle w:val="Heading2"/>
        <w:keepNext w:val="0"/>
        <w:spacing w:before="0" w:after="0" w:line="360" w:lineRule="auto"/>
        <w:rPr>
          <w:rFonts w:ascii="仿宋_GB2312" w:eastAsia="仿宋_GB2312" w:hAnsi="仿宋_GB2312" w:cs="仿宋_GB2312"/>
          <w:b/>
          <w:bCs/>
          <w:sz w:val="28"/>
          <w:szCs w:val="28"/>
        </w:rPr>
      </w:pPr>
      <w:bookmarkStart w:id="37" w:name="_Toc256000034"/>
      <w:r>
        <w:rPr>
          <w:rFonts w:ascii="仿宋_GB2312" w:eastAsia="仿宋_GB2312" w:hAnsi="仿宋_GB2312" w:cs="仿宋_GB2312"/>
          <w:i w:val="0"/>
          <w:iCs w:val="0"/>
        </w:rPr>
        <w:t>7.1总体要求</w:t>
      </w:r>
      <w:bookmarkEnd w:id="37"/>
    </w:p>
    <w:tbl>
      <w:tblPr>
        <w:tblW w:w="5000" w:type="pct"/>
        <w:tblInd w:w="30" w:type="dxa"/>
        <w:tblCellMar>
          <w:top w:w="15" w:type="dxa"/>
          <w:left w:w="15" w:type="dxa"/>
          <w:bottom w:w="15" w:type="dxa"/>
          <w:right w:w="15" w:type="dxa"/>
        </w:tblCellMar>
      </w:tblPr>
      <w:tblGrid>
        <w:gridCol w:w="917"/>
        <w:gridCol w:w="8894"/>
      </w:tblGrid>
      <w:tr>
        <w:tblPrEx>
          <w:tblW w:w="5000" w:type="pct"/>
          <w:tblInd w:w="30" w:type="dxa"/>
          <w:tblCellMar>
            <w:top w:w="15" w:type="dxa"/>
            <w:left w:w="15" w:type="dxa"/>
            <w:bottom w:w="15" w:type="dxa"/>
            <w:right w:w="15" w:type="dxa"/>
          </w:tblCellMar>
        </w:tblPrEx>
        <w:tc>
          <w:tcPr>
            <w:tcW w:w="2500" w:type="pct"/>
            <w:tcBorders>
              <w:top w:val="single" w:sz="6" w:space="0" w:color="000000"/>
              <w:left w:val="single" w:sz="6" w:space="0" w:color="000000"/>
              <w:bottom w:val="single" w:sz="6" w:space="0" w:color="000000"/>
              <w:right w:val="single" w:sz="6" w:space="0" w:color="000000"/>
            </w:tcBorders>
            <w:shd w:val="clear" w:color="auto" w:fill="D3D3D3"/>
            <w:noWrap w:val="0"/>
            <w:tcMar>
              <w:top w:w="22" w:type="dxa"/>
              <w:left w:w="22" w:type="dxa"/>
              <w:bottom w:w="22" w:type="dxa"/>
              <w:right w:w="22" w:type="dxa"/>
            </w:tcMar>
            <w:vAlign w:val="center"/>
            <w:hideMark/>
          </w:tcPr>
          <w:p>
            <w:pPr>
              <w:jc w:val="center"/>
              <w:rPr>
                <w:rFonts w:ascii="仿宋_GB2312" w:eastAsia="仿宋_GB2312" w:hAnsi="仿宋_GB2312" w:cs="仿宋_GB2312"/>
                <w:b/>
                <w:bCs/>
                <w:i w:val="0"/>
                <w:iCs w:val="0"/>
                <w:smallCaps w:val="0"/>
                <w:color w:val="000000"/>
                <w:sz w:val="21"/>
                <w:szCs w:val="21"/>
              </w:rPr>
            </w:pPr>
            <w:r>
              <w:rPr>
                <w:rFonts w:ascii="仿宋_GB2312" w:eastAsia="仿宋_GB2312" w:hAnsi="仿宋_GB2312" w:cs="仿宋_GB2312"/>
                <w:b/>
                <w:bCs/>
                <w:i w:val="0"/>
                <w:iCs w:val="0"/>
                <w:smallCaps w:val="0"/>
                <w:color w:val="000000"/>
                <w:sz w:val="21"/>
                <w:szCs w:val="21"/>
              </w:rPr>
              <w:t>验收名称</w:t>
            </w:r>
          </w:p>
        </w:tc>
        <w:tc>
          <w:tcPr>
            <w:tcW w:w="2500" w:type="pct"/>
            <w:tcBorders>
              <w:top w:val="single" w:sz="6" w:space="0" w:color="000000"/>
              <w:left w:val="single" w:sz="6" w:space="0" w:color="000000"/>
              <w:bottom w:val="single" w:sz="6" w:space="0" w:color="000000"/>
              <w:right w:val="single" w:sz="6" w:space="0" w:color="000000"/>
            </w:tcBorders>
            <w:shd w:val="clear" w:color="auto" w:fill="D3D3D3"/>
            <w:noWrap w:val="0"/>
            <w:tcMar>
              <w:top w:w="22" w:type="dxa"/>
              <w:left w:w="22" w:type="dxa"/>
              <w:bottom w:w="22" w:type="dxa"/>
              <w:right w:w="22" w:type="dxa"/>
            </w:tcMar>
            <w:vAlign w:val="center"/>
            <w:hideMark/>
          </w:tcPr>
          <w:p>
            <w:pPr>
              <w:jc w:val="center"/>
              <w:rPr>
                <w:rFonts w:ascii="仿宋_GB2312" w:eastAsia="仿宋_GB2312" w:hAnsi="仿宋_GB2312" w:cs="仿宋_GB2312"/>
                <w:b/>
                <w:bCs/>
                <w:i w:val="0"/>
                <w:iCs w:val="0"/>
                <w:smallCaps w:val="0"/>
                <w:color w:val="000000"/>
                <w:sz w:val="21"/>
                <w:szCs w:val="21"/>
              </w:rPr>
            </w:pPr>
            <w:r>
              <w:rPr>
                <w:rFonts w:ascii="仿宋_GB2312" w:eastAsia="仿宋_GB2312" w:hAnsi="仿宋_GB2312" w:cs="仿宋_GB2312"/>
                <w:b/>
                <w:bCs/>
                <w:i w:val="0"/>
                <w:iCs w:val="0"/>
                <w:smallCaps w:val="0"/>
                <w:color w:val="000000"/>
                <w:sz w:val="21"/>
                <w:szCs w:val="21"/>
              </w:rPr>
              <w:t>验收要求</w:t>
            </w:r>
          </w:p>
        </w:tc>
      </w:tr>
      <w:tr>
        <w:tblPrEx>
          <w:tblW w:w="5000" w:type="pct"/>
          <w:tblInd w:w="30" w:type="dxa"/>
          <w:tblCellMar>
            <w:top w:w="15" w:type="dxa"/>
            <w:left w:w="15" w:type="dxa"/>
            <w:bottom w:w="15" w:type="dxa"/>
            <w:right w:w="15" w:type="dxa"/>
          </w:tblCellMar>
        </w:tblPrEx>
        <w:tc>
          <w:tcPr>
            <w:tcW w:w="2500" w:type="pct"/>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按月验收</w:t>
            </w:r>
          </w:p>
        </w:tc>
        <w:tc>
          <w:tcPr>
            <w:tcW w:w="2500" w:type="pct"/>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中标供应商应依据合同约定按时按质提供服务，每季度服务期满后，采购方进行服务质量验收。</w:t>
            </w:r>
          </w:p>
        </w:tc>
      </w:tr>
    </w:tbl>
    <w:p>
      <w:pPr>
        <w:pStyle w:val="Heading2"/>
        <w:keepNext w:val="0"/>
        <w:spacing w:before="0" w:after="0" w:line="360" w:lineRule="auto"/>
        <w:rPr>
          <w:rFonts w:ascii="仿宋_GB2312" w:eastAsia="仿宋_GB2312" w:hAnsi="仿宋_GB2312" w:cs="仿宋_GB2312"/>
          <w:b/>
          <w:bCs/>
          <w:sz w:val="28"/>
          <w:szCs w:val="28"/>
        </w:rPr>
      </w:pPr>
      <w:bookmarkStart w:id="38" w:name="_Toc256000035"/>
      <w:r>
        <w:rPr>
          <w:rFonts w:ascii="仿宋_GB2312" w:eastAsia="仿宋_GB2312" w:hAnsi="仿宋_GB2312" w:cs="仿宋_GB2312"/>
          <w:i w:val="0"/>
          <w:iCs w:val="0"/>
        </w:rPr>
        <w:t>7.2具体要求</w:t>
      </w:r>
      <w:bookmarkEnd w:id="38"/>
    </w:p>
    <w:p>
      <w:pPr>
        <w:pStyle w:val="15"/>
        <w:spacing w:before="0" w:after="0" w:line="360" w:lineRule="auto"/>
        <w:ind w:firstLine="480"/>
        <w:rPr>
          <w:rFonts w:ascii="Times New Roman" w:eastAsia="Times New Roman" w:hAnsi="Times New Roman" w:cs="Times New Roman"/>
        </w:rPr>
      </w:pPr>
      <w:r>
        <w:rPr>
          <w:rFonts w:ascii="仿宋_GB2312" w:eastAsia="仿宋_GB2312" w:hAnsi="仿宋_GB2312" w:cs="仿宋_GB2312"/>
          <w:b/>
          <w:bCs/>
          <w:sz w:val="28"/>
          <w:szCs w:val="28"/>
        </w:rPr>
        <w:t>履约责任</w:t>
      </w:r>
    </w:p>
    <w:p>
      <w:pPr>
        <w:pStyle w:val="15"/>
        <w:spacing w:before="0" w:after="0" w:line="360" w:lineRule="auto"/>
        <w:ind w:firstLine="480"/>
        <w:rPr>
          <w:rFonts w:ascii="Times New Roman" w:eastAsia="Times New Roman" w:hAnsi="Times New Roman" w:cs="Times New Roman"/>
        </w:rPr>
      </w:pPr>
      <w:r>
        <w:rPr>
          <w:rFonts w:ascii="仿宋_GB2312" w:eastAsia="仿宋_GB2312" w:hAnsi="仿宋_GB2312" w:cs="仿宋_GB2312"/>
          <w:sz w:val="28"/>
          <w:szCs w:val="28"/>
        </w:rPr>
        <w:t>1.未经采购方同意，中标方不得将承包项目发包，否则，视为中标方违约，采购方有权解除服务合同。</w:t>
      </w:r>
    </w:p>
    <w:p>
      <w:pPr>
        <w:pStyle w:val="15"/>
        <w:spacing w:before="0" w:after="0" w:line="360" w:lineRule="auto"/>
        <w:ind w:firstLine="480"/>
        <w:rPr>
          <w:rFonts w:ascii="Times New Roman" w:eastAsia="Times New Roman" w:hAnsi="Times New Roman" w:cs="Times New Roman"/>
        </w:rPr>
      </w:pPr>
      <w:r>
        <w:rPr>
          <w:rFonts w:ascii="仿宋_GB2312" w:eastAsia="仿宋_GB2312" w:hAnsi="仿宋_GB2312" w:cs="仿宋_GB2312"/>
          <w:sz w:val="28"/>
          <w:szCs w:val="28"/>
        </w:rPr>
        <w:t>2.在服务期间，未经采购方同意，中标方不得随意更换服务人员。服务人员因为调走、辞职或被中标方辞退等原因导致服务人员不足时，需在三天内补充，同一办公地点同时缺席人数不能超过</w:t>
      </w:r>
      <w:r>
        <w:rPr>
          <w:rFonts w:ascii="仿宋_GB2312" w:eastAsia="仿宋_GB2312" w:hAnsi="仿宋_GB2312" w:cs="仿宋_GB2312"/>
          <w:sz w:val="28"/>
          <w:szCs w:val="28"/>
        </w:rPr>
        <w:t>2</w:t>
      </w:r>
      <w:r>
        <w:rPr>
          <w:rFonts w:ascii="仿宋_GB2312" w:eastAsia="仿宋_GB2312" w:hAnsi="仿宋_GB2312" w:cs="仿宋_GB2312"/>
          <w:sz w:val="28"/>
          <w:szCs w:val="28"/>
        </w:rPr>
        <w:t>人，中标方在</w:t>
      </w:r>
      <w:r>
        <w:rPr>
          <w:rFonts w:ascii="仿宋_GB2312" w:eastAsia="仿宋_GB2312" w:hAnsi="仿宋_GB2312" w:cs="仿宋_GB2312"/>
          <w:sz w:val="28"/>
          <w:szCs w:val="28"/>
        </w:rPr>
        <w:t>3天内未能及时补齐符合完成项目需求的服务人员，同月内不得超过二次，否则视为中标方违约，采购方有权终止合同。因服务人员未能及时补充而引起采购方造成经济损失的，由中标方承担并赔偿损失。</w:t>
      </w:r>
    </w:p>
    <w:p>
      <w:pPr>
        <w:pStyle w:val="15"/>
        <w:spacing w:before="0" w:after="0" w:line="360" w:lineRule="auto"/>
        <w:ind w:firstLine="480"/>
        <w:rPr>
          <w:rFonts w:ascii="Times New Roman" w:eastAsia="Times New Roman" w:hAnsi="Times New Roman" w:cs="Times New Roman"/>
        </w:rPr>
      </w:pPr>
      <w:r>
        <w:rPr>
          <w:rFonts w:ascii="仿宋_GB2312" w:eastAsia="仿宋_GB2312" w:hAnsi="仿宋_GB2312" w:cs="仿宋_GB2312"/>
          <w:sz w:val="28"/>
          <w:szCs w:val="28"/>
        </w:rPr>
        <w:t>3.由于中标方工作失误的原因，造成与提供服务人员的经济损失，所产生的损失及后果由中标方承担。因中标方服务人员蓄意破坏设备设施、违反规程造成重大事故的，一经查实，则视为中标方严重违约，采购方有权终止合同，责令中标方赔偿损失，并依法追究其责任。</w:t>
      </w:r>
    </w:p>
    <w:p>
      <w:pPr>
        <w:pStyle w:val="15"/>
        <w:spacing w:before="0" w:after="0" w:line="360" w:lineRule="auto"/>
        <w:ind w:firstLine="480"/>
        <w:rPr>
          <w:rFonts w:ascii="Times New Roman" w:eastAsia="Times New Roman" w:hAnsi="Times New Roman" w:cs="Times New Roman"/>
        </w:rPr>
      </w:pPr>
      <w:r>
        <w:rPr>
          <w:rFonts w:ascii="仿宋_GB2312" w:eastAsia="仿宋_GB2312" w:hAnsi="仿宋_GB2312" w:cs="仿宋_GB2312"/>
          <w:sz w:val="28"/>
          <w:szCs w:val="28"/>
        </w:rPr>
        <w:t>4.若中标方在1年内违反其服务承诺或以下情况三次或以上，则视为中标方违约，采购方有权拒绝支付本期项目服务费，并中止合同。</w:t>
      </w:r>
    </w:p>
    <w:p>
      <w:pPr>
        <w:pStyle w:val="15"/>
        <w:spacing w:before="0" w:after="0" w:line="360" w:lineRule="auto"/>
        <w:ind w:firstLine="480"/>
        <w:rPr>
          <w:rFonts w:ascii="Times New Roman" w:eastAsia="Times New Roman" w:hAnsi="Times New Roman" w:cs="Times New Roman"/>
        </w:rPr>
      </w:pPr>
      <w:r>
        <w:rPr>
          <w:rFonts w:ascii="仿宋_GB2312" w:eastAsia="仿宋_GB2312" w:hAnsi="仿宋_GB2312" w:cs="仿宋_GB2312"/>
          <w:sz w:val="28"/>
          <w:szCs w:val="28"/>
        </w:rPr>
        <w:t>（</w:t>
      </w:r>
      <w:r>
        <w:rPr>
          <w:rFonts w:ascii="仿宋_GB2312" w:eastAsia="仿宋_GB2312" w:hAnsi="仿宋_GB2312" w:cs="仿宋_GB2312"/>
          <w:sz w:val="28"/>
          <w:szCs w:val="28"/>
        </w:rPr>
        <w:t>1）不按时足额发放服务人员工资，导致服务出现质量问题。</w:t>
      </w:r>
    </w:p>
    <w:p>
      <w:pPr>
        <w:pStyle w:val="15"/>
        <w:spacing w:before="0" w:after="0" w:line="360" w:lineRule="auto"/>
        <w:ind w:firstLine="480"/>
        <w:rPr>
          <w:rFonts w:ascii="Times New Roman" w:eastAsia="Times New Roman" w:hAnsi="Times New Roman" w:cs="Times New Roman"/>
        </w:rPr>
      </w:pPr>
      <w:r>
        <w:rPr>
          <w:rFonts w:ascii="仿宋_GB2312" w:eastAsia="仿宋_GB2312" w:hAnsi="仿宋_GB2312" w:cs="仿宋_GB2312"/>
          <w:sz w:val="28"/>
          <w:szCs w:val="28"/>
        </w:rPr>
        <w:t>（</w:t>
      </w:r>
      <w:r>
        <w:rPr>
          <w:rFonts w:ascii="仿宋_GB2312" w:eastAsia="仿宋_GB2312" w:hAnsi="仿宋_GB2312" w:cs="仿宋_GB2312"/>
          <w:sz w:val="28"/>
          <w:szCs w:val="28"/>
        </w:rPr>
        <w:t>2）服务人员因为调走、辞职或被中标方辞退等原因导致服务人员不足（同一地点不能同时超过</w:t>
      </w:r>
      <w:r>
        <w:rPr>
          <w:rFonts w:ascii="仿宋_GB2312" w:eastAsia="仿宋_GB2312" w:hAnsi="仿宋_GB2312" w:cs="仿宋_GB2312"/>
          <w:sz w:val="28"/>
          <w:szCs w:val="28"/>
        </w:rPr>
        <w:t>2</w:t>
      </w:r>
      <w:r>
        <w:rPr>
          <w:rFonts w:ascii="仿宋_GB2312" w:eastAsia="仿宋_GB2312" w:hAnsi="仿宋_GB2312" w:cs="仿宋_GB2312"/>
          <w:sz w:val="28"/>
          <w:szCs w:val="28"/>
        </w:rPr>
        <w:t>人），中标方未能在</w:t>
      </w:r>
      <w:r>
        <w:rPr>
          <w:rFonts w:ascii="仿宋_GB2312" w:eastAsia="仿宋_GB2312" w:hAnsi="仿宋_GB2312" w:cs="仿宋_GB2312"/>
          <w:sz w:val="28"/>
          <w:szCs w:val="28"/>
        </w:rPr>
        <w:t>3天内及时补齐符合项目要求的服务人员，或每月缺员超过2人次。</w:t>
      </w:r>
    </w:p>
    <w:p>
      <w:pPr>
        <w:pStyle w:val="15"/>
        <w:spacing w:before="0" w:after="0" w:line="360" w:lineRule="auto"/>
        <w:ind w:firstLine="480"/>
        <w:rPr>
          <w:rFonts w:ascii="Times New Roman" w:eastAsia="Times New Roman" w:hAnsi="Times New Roman" w:cs="Times New Roman"/>
        </w:rPr>
      </w:pPr>
      <w:r>
        <w:rPr>
          <w:rFonts w:ascii="仿宋_GB2312" w:eastAsia="仿宋_GB2312" w:hAnsi="仿宋_GB2312" w:cs="仿宋_GB2312"/>
          <w:sz w:val="28"/>
          <w:szCs w:val="28"/>
        </w:rPr>
        <w:t>（</w:t>
      </w:r>
      <w:r>
        <w:rPr>
          <w:rFonts w:ascii="仿宋_GB2312" w:eastAsia="仿宋_GB2312" w:hAnsi="仿宋_GB2312" w:cs="仿宋_GB2312"/>
          <w:sz w:val="28"/>
          <w:szCs w:val="28"/>
        </w:rPr>
        <w:t>3）没有按照采购方要求对服务人员进行管理、培训、调配。</w:t>
      </w:r>
    </w:p>
    <w:p>
      <w:pPr>
        <w:pStyle w:val="15"/>
        <w:spacing w:before="0" w:after="0" w:line="360" w:lineRule="auto"/>
        <w:ind w:firstLine="480"/>
        <w:rPr>
          <w:rFonts w:ascii="Times New Roman" w:eastAsia="Times New Roman" w:hAnsi="Times New Roman" w:cs="Times New Roman"/>
        </w:rPr>
      </w:pPr>
      <w:r>
        <w:rPr>
          <w:rFonts w:ascii="仿宋_GB2312" w:eastAsia="仿宋_GB2312" w:hAnsi="仿宋_GB2312" w:cs="仿宋_GB2312"/>
          <w:sz w:val="28"/>
          <w:szCs w:val="28"/>
        </w:rPr>
        <w:t>（</w:t>
      </w:r>
      <w:r>
        <w:rPr>
          <w:rFonts w:ascii="仿宋_GB2312" w:eastAsia="仿宋_GB2312" w:hAnsi="仿宋_GB2312" w:cs="仿宋_GB2312"/>
          <w:sz w:val="28"/>
          <w:szCs w:val="28"/>
        </w:rPr>
        <w:t>4）完成服务达标量低于80%的。</w:t>
      </w:r>
    </w:p>
    <w:p>
      <w:pPr>
        <w:pStyle w:val="15"/>
        <w:spacing w:before="0" w:after="0" w:line="360" w:lineRule="auto"/>
        <w:ind w:firstLine="480"/>
        <w:rPr>
          <w:rFonts w:ascii="Times New Roman" w:eastAsia="Times New Roman" w:hAnsi="Times New Roman" w:cs="Times New Roman"/>
        </w:rPr>
      </w:pPr>
      <w:r>
        <w:rPr>
          <w:rFonts w:ascii="仿宋_GB2312" w:eastAsia="仿宋_GB2312" w:hAnsi="仿宋_GB2312" w:cs="仿宋_GB2312"/>
          <w:b/>
          <w:bCs/>
          <w:sz w:val="28"/>
          <w:szCs w:val="28"/>
        </w:rPr>
        <w:t>验收要求</w:t>
      </w:r>
    </w:p>
    <w:p>
      <w:pPr>
        <w:pStyle w:val="15"/>
        <w:spacing w:before="0" w:after="0" w:line="360" w:lineRule="auto"/>
        <w:ind w:firstLine="480"/>
        <w:rPr>
          <w:rFonts w:ascii="Times New Roman" w:eastAsia="Times New Roman" w:hAnsi="Times New Roman" w:cs="Times New Roman"/>
        </w:rPr>
      </w:pPr>
      <w:r>
        <w:rPr>
          <w:rFonts w:ascii="Times New Roman" w:eastAsia="Times New Roman" w:hAnsi="Times New Roman" w:cs="Times New Roman"/>
        </w:rPr>
        <w:t> </w:t>
      </w:r>
    </w:p>
    <w:p>
      <w:pPr>
        <w:pStyle w:val="15"/>
        <w:spacing w:before="0" w:after="0" w:line="360" w:lineRule="auto"/>
        <w:ind w:firstLine="480"/>
        <w:rPr>
          <w:rFonts w:ascii="Times New Roman" w:eastAsia="Times New Roman" w:hAnsi="Times New Roman" w:cs="Times New Roman"/>
        </w:rPr>
      </w:pPr>
      <w:r>
        <w:rPr>
          <w:rFonts w:ascii="仿宋_GB2312" w:eastAsia="仿宋_GB2312" w:hAnsi="仿宋_GB2312" w:cs="仿宋_GB2312"/>
          <w:sz w:val="28"/>
          <w:szCs w:val="28"/>
        </w:rPr>
        <w:t>中标方定期会同采购方共同对服务工作进行考核，并委托采购方进行服务人员的现场管理和工作考核，相关考核、考勤和奖惩资料由采购方提供。中标方依据采购方提供的考核、考勤和奖惩资料及时足额给服务人员发放工资福利，绩效考核按照采购方标准执行。</w:t>
      </w:r>
    </w:p>
    <w:p>
      <w:pPr>
        <w:pStyle w:val="Heading1"/>
        <w:keepNext w:val="0"/>
        <w:spacing w:before="0" w:after="0" w:line="360" w:lineRule="auto"/>
        <w:jc w:val="center"/>
        <w:rPr>
          <w:rFonts w:ascii="仿宋_GB2312" w:eastAsia="仿宋_GB2312" w:hAnsi="仿宋_GB2312" w:cs="仿宋_GB2312"/>
          <w:b/>
          <w:bCs/>
          <w:sz w:val="32"/>
          <w:szCs w:val="32"/>
        </w:rPr>
      </w:pPr>
      <w:bookmarkStart w:id="39" w:name="_Toc256000036"/>
      <w:r>
        <w:rPr>
          <w:rFonts w:ascii="仿宋_GB2312" w:eastAsia="仿宋_GB2312" w:hAnsi="仿宋_GB2312" w:cs="仿宋_GB2312"/>
          <w:kern w:val="36"/>
        </w:rPr>
        <w:t>8其他要求</w:t>
      </w:r>
      <w:bookmarkEnd w:id="39"/>
    </w:p>
    <w:p>
      <w:pPr>
        <w:pStyle w:val="Heading2"/>
        <w:keepNext w:val="0"/>
        <w:spacing w:before="0" w:after="0" w:line="360" w:lineRule="auto"/>
        <w:rPr>
          <w:rFonts w:ascii="仿宋_GB2312" w:eastAsia="仿宋_GB2312" w:hAnsi="仿宋_GB2312" w:cs="仿宋_GB2312"/>
          <w:b/>
          <w:bCs/>
          <w:sz w:val="28"/>
          <w:szCs w:val="28"/>
        </w:rPr>
      </w:pPr>
      <w:bookmarkStart w:id="40" w:name="_Toc256000037"/>
      <w:r>
        <w:rPr>
          <w:rFonts w:ascii="仿宋_GB2312" w:eastAsia="仿宋_GB2312" w:hAnsi="仿宋_GB2312" w:cs="仿宋_GB2312"/>
          <w:i w:val="0"/>
          <w:iCs w:val="0"/>
        </w:rPr>
        <w:t>8.1必备要求</w:t>
      </w:r>
      <w:bookmarkEnd w:id="40"/>
    </w:p>
    <w:p>
      <w:pPr>
        <w:pStyle w:val="Heading3"/>
        <w:keepNext w:val="0"/>
        <w:spacing w:before="0" w:after="0" w:line="360" w:lineRule="auto"/>
        <w:rPr>
          <w:rFonts w:ascii="仿宋_GB2312" w:eastAsia="仿宋_GB2312" w:hAnsi="仿宋_GB2312" w:cs="仿宋_GB2312"/>
          <w:b/>
          <w:bCs/>
          <w:sz w:val="28"/>
          <w:szCs w:val="28"/>
        </w:rPr>
      </w:pPr>
      <w:bookmarkStart w:id="41" w:name="_Toc256000038"/>
      <w:r>
        <w:rPr>
          <w:rFonts w:ascii="仿宋_GB2312" w:eastAsia="仿宋_GB2312" w:hAnsi="仿宋_GB2312" w:cs="仿宋_GB2312"/>
          <w:sz w:val="28"/>
          <w:szCs w:val="28"/>
        </w:rPr>
        <w:t>8.1.1通用必备要求</w:t>
      </w:r>
      <w:bookmarkEnd w:id="41"/>
    </w:p>
    <w:p>
      <w:pPr>
        <w:spacing w:before="0" w:after="0" w:line="360" w:lineRule="auto"/>
        <w:ind w:firstLine="561"/>
        <w:rPr>
          <w:rFonts w:ascii="仿宋_GB2312" w:eastAsia="仿宋_GB2312" w:hAnsi="仿宋_GB2312" w:cs="仿宋_GB2312"/>
          <w:sz w:val="28"/>
          <w:szCs w:val="28"/>
        </w:rPr>
      </w:pPr>
      <w:r>
        <w:rPr>
          <w:rFonts w:ascii="仿宋_GB2312" w:eastAsia="仿宋_GB2312" w:hAnsi="仿宋_GB2312" w:cs="仿宋_GB2312"/>
          <w:sz w:val="28"/>
          <w:szCs w:val="28"/>
        </w:rPr>
        <w:t xml:space="preserve">1.本项目中如涉及商品包装和快递包装的，其包装需求标准应不低于《关于印发&lt;商品包装政府采购需求标准（试行）&gt;、&lt;快递包装政府采购需求标准（试行）&gt;的通知》（财办库〔2020〕123 号）规定的包装要求，如有其他包装需求，详见采购文件技术部分相关章节。 </w:t>
      </w:r>
    </w:p>
    <w:p>
      <w:pPr>
        <w:spacing w:before="0" w:after="0" w:line="360" w:lineRule="auto"/>
        <w:ind w:firstLine="561"/>
        <w:rPr>
          <w:rFonts w:ascii="仿宋_GB2312" w:eastAsia="仿宋_GB2312" w:hAnsi="仿宋_GB2312" w:cs="仿宋_GB2312"/>
          <w:sz w:val="28"/>
          <w:szCs w:val="28"/>
        </w:rPr>
      </w:pPr>
      <w:r>
        <w:rPr>
          <w:rFonts w:ascii="仿宋_GB2312" w:eastAsia="仿宋_GB2312" w:hAnsi="仿宋_GB2312" w:cs="仿宋_GB2312"/>
          <w:sz w:val="28"/>
          <w:szCs w:val="28"/>
        </w:rPr>
        <w:t xml:space="preserve">2.本项目中如涉及网络关键设备或网络安全专用产品的，应严格执行国家互联网信息办公室、工业和信息化部、公安部、财政部和国家认证认可监督管理委员会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 </w:t>
      </w:r>
    </w:p>
    <w:p>
      <w:pPr>
        <w:spacing w:before="0" w:after="0" w:line="360" w:lineRule="auto"/>
        <w:ind w:firstLine="561"/>
        <w:rPr>
          <w:rFonts w:ascii="仿宋_GB2312" w:eastAsia="仿宋_GB2312" w:hAnsi="仿宋_GB2312" w:cs="仿宋_GB2312"/>
          <w:sz w:val="28"/>
          <w:szCs w:val="28"/>
        </w:rPr>
      </w:pPr>
      <w:r>
        <w:rPr>
          <w:rFonts w:ascii="仿宋_GB2312" w:eastAsia="仿宋_GB2312" w:hAnsi="仿宋_GB2312" w:cs="仿宋_GB2312"/>
          <w:sz w:val="28"/>
          <w:szCs w:val="28"/>
        </w:rPr>
        <w:t xml:space="preserve">3.本项目中如涉及国家强制性产品认证证书（CCC 认证证书）、电信设备进网许可证、无线电发射设备核准证等市场准入类资质的，应严格执行国家相关法律法规的要求。 </w:t>
      </w:r>
    </w:p>
    <w:p>
      <w:pPr>
        <w:spacing w:before="0" w:after="0" w:line="360" w:lineRule="auto"/>
        <w:ind w:firstLine="561"/>
        <w:rPr>
          <w:rFonts w:ascii="仿宋_GB2312" w:eastAsia="仿宋_GB2312" w:hAnsi="仿宋_GB2312" w:cs="仿宋_GB2312"/>
          <w:sz w:val="28"/>
          <w:szCs w:val="28"/>
        </w:rPr>
      </w:pPr>
      <w:r>
        <w:rPr>
          <w:rFonts w:ascii="仿宋_GB2312" w:eastAsia="仿宋_GB2312" w:hAnsi="仿宋_GB2312" w:cs="仿宋_GB2312"/>
          <w:sz w:val="28"/>
          <w:szCs w:val="28"/>
        </w:rPr>
        <w:t>以上相关要求，由供应商在响应时应答，在履约验收中，采购人将按照采购文件、中标/成交供应商响应文件、采购合同等对中标/成交供应商提供的货物和服务进行验收，必要时依法依规开展相应检测、认证。</w:t>
      </w:r>
    </w:p>
    <w:p>
      <w:pPr>
        <w:pStyle w:val="Heading2"/>
        <w:keepNext w:val="0"/>
        <w:spacing w:before="0" w:after="0" w:line="360" w:lineRule="auto"/>
        <w:rPr>
          <w:rFonts w:ascii="仿宋_GB2312" w:eastAsia="仿宋_GB2312" w:hAnsi="仿宋_GB2312" w:cs="仿宋_GB2312"/>
          <w:b/>
          <w:bCs/>
          <w:sz w:val="28"/>
          <w:szCs w:val="28"/>
        </w:rPr>
      </w:pPr>
      <w:bookmarkStart w:id="42" w:name="_Toc256000039"/>
      <w:r>
        <w:rPr>
          <w:rFonts w:ascii="仿宋_GB2312" w:eastAsia="仿宋_GB2312" w:hAnsi="仿宋_GB2312" w:cs="仿宋_GB2312"/>
          <w:i w:val="0"/>
          <w:iCs w:val="0"/>
        </w:rPr>
        <w:t>8.2付款安排建议</w:t>
      </w:r>
      <w:bookmarkEnd w:id="42"/>
    </w:p>
    <w:tbl>
      <w:tblPr>
        <w:tblW w:w="5000" w:type="pct"/>
        <w:tblInd w:w="30" w:type="dxa"/>
        <w:tblCellMar>
          <w:top w:w="15" w:type="dxa"/>
          <w:left w:w="15" w:type="dxa"/>
          <w:bottom w:w="15" w:type="dxa"/>
          <w:right w:w="15" w:type="dxa"/>
        </w:tblCellMar>
      </w:tblPr>
      <w:tblGrid>
        <w:gridCol w:w="1866"/>
        <w:gridCol w:w="5598"/>
        <w:gridCol w:w="1866"/>
      </w:tblGrid>
      <w:tr>
        <w:tblPrEx>
          <w:tblW w:w="5000" w:type="pct"/>
          <w:tblInd w:w="30" w:type="dxa"/>
          <w:tblCellMar>
            <w:top w:w="15" w:type="dxa"/>
            <w:left w:w="15" w:type="dxa"/>
            <w:bottom w:w="15" w:type="dxa"/>
            <w:right w:w="15" w:type="dxa"/>
          </w:tblCellMar>
        </w:tblPrEx>
        <w:tc>
          <w:tcPr>
            <w:tcW w:w="1000" w:type="pct"/>
            <w:tcBorders>
              <w:top w:val="single" w:sz="6" w:space="0" w:color="000000"/>
              <w:left w:val="single" w:sz="6" w:space="0" w:color="000000"/>
              <w:bottom w:val="single" w:sz="6" w:space="0" w:color="000000"/>
              <w:right w:val="single" w:sz="6" w:space="0" w:color="000000"/>
            </w:tcBorders>
            <w:shd w:val="clear" w:color="auto" w:fill="D3D3D3"/>
            <w:noWrap w:val="0"/>
            <w:tcMar>
              <w:top w:w="22" w:type="dxa"/>
              <w:left w:w="22" w:type="dxa"/>
              <w:bottom w:w="22" w:type="dxa"/>
              <w:right w:w="22" w:type="dxa"/>
            </w:tcMar>
            <w:vAlign w:val="center"/>
            <w:hideMark/>
          </w:tcPr>
          <w:p>
            <w:pPr>
              <w:jc w:val="center"/>
              <w:rPr>
                <w:rFonts w:ascii="仿宋_GB2312" w:eastAsia="仿宋_GB2312" w:hAnsi="仿宋_GB2312" w:cs="仿宋_GB2312"/>
                <w:b/>
                <w:bCs/>
                <w:i w:val="0"/>
                <w:iCs w:val="0"/>
                <w:smallCaps w:val="0"/>
                <w:color w:val="000000"/>
                <w:sz w:val="21"/>
                <w:szCs w:val="21"/>
              </w:rPr>
            </w:pPr>
            <w:r>
              <w:rPr>
                <w:rFonts w:ascii="仿宋_GB2312" w:eastAsia="仿宋_GB2312" w:hAnsi="仿宋_GB2312" w:cs="仿宋_GB2312"/>
                <w:b/>
                <w:bCs/>
                <w:i w:val="0"/>
                <w:iCs w:val="0"/>
                <w:smallCaps w:val="0"/>
                <w:color w:val="000000"/>
                <w:sz w:val="21"/>
                <w:szCs w:val="21"/>
              </w:rPr>
              <w:t>付款名称</w:t>
            </w:r>
          </w:p>
        </w:tc>
        <w:tc>
          <w:tcPr>
            <w:tcW w:w="3000" w:type="pct"/>
            <w:tcBorders>
              <w:top w:val="single" w:sz="6" w:space="0" w:color="000000"/>
              <w:left w:val="single" w:sz="6" w:space="0" w:color="000000"/>
              <w:bottom w:val="single" w:sz="6" w:space="0" w:color="000000"/>
              <w:right w:val="single" w:sz="6" w:space="0" w:color="000000"/>
            </w:tcBorders>
            <w:shd w:val="clear" w:color="auto" w:fill="D3D3D3"/>
            <w:noWrap w:val="0"/>
            <w:tcMar>
              <w:top w:w="22" w:type="dxa"/>
              <w:left w:w="22" w:type="dxa"/>
              <w:bottom w:w="22" w:type="dxa"/>
              <w:right w:w="22" w:type="dxa"/>
            </w:tcMar>
            <w:vAlign w:val="center"/>
            <w:hideMark/>
          </w:tcPr>
          <w:p>
            <w:pPr>
              <w:jc w:val="center"/>
              <w:rPr>
                <w:rFonts w:ascii="仿宋_GB2312" w:eastAsia="仿宋_GB2312" w:hAnsi="仿宋_GB2312" w:cs="仿宋_GB2312"/>
                <w:b/>
                <w:bCs/>
                <w:i w:val="0"/>
                <w:iCs w:val="0"/>
                <w:smallCaps w:val="0"/>
                <w:color w:val="000000"/>
                <w:sz w:val="21"/>
                <w:szCs w:val="21"/>
              </w:rPr>
            </w:pPr>
            <w:r>
              <w:rPr>
                <w:rFonts w:ascii="仿宋_GB2312" w:eastAsia="仿宋_GB2312" w:hAnsi="仿宋_GB2312" w:cs="仿宋_GB2312"/>
                <w:b/>
                <w:bCs/>
                <w:i w:val="0"/>
                <w:iCs w:val="0"/>
                <w:smallCaps w:val="0"/>
                <w:color w:val="000000"/>
                <w:sz w:val="21"/>
                <w:szCs w:val="21"/>
              </w:rPr>
              <w:t>付款要求</w:t>
            </w:r>
          </w:p>
        </w:tc>
        <w:tc>
          <w:tcPr>
            <w:tcW w:w="1000" w:type="pct"/>
            <w:tcBorders>
              <w:top w:val="single" w:sz="6" w:space="0" w:color="000000"/>
              <w:left w:val="single" w:sz="6" w:space="0" w:color="000000"/>
              <w:bottom w:val="single" w:sz="6" w:space="0" w:color="000000"/>
              <w:right w:val="single" w:sz="6" w:space="0" w:color="000000"/>
            </w:tcBorders>
            <w:shd w:val="clear" w:color="auto" w:fill="D3D3D3"/>
            <w:noWrap w:val="0"/>
            <w:tcMar>
              <w:top w:w="22" w:type="dxa"/>
              <w:left w:w="22" w:type="dxa"/>
              <w:bottom w:w="22" w:type="dxa"/>
              <w:right w:w="22" w:type="dxa"/>
            </w:tcMar>
            <w:vAlign w:val="center"/>
            <w:hideMark/>
          </w:tcPr>
          <w:p>
            <w:pPr>
              <w:jc w:val="center"/>
              <w:rPr>
                <w:rFonts w:ascii="仿宋_GB2312" w:eastAsia="仿宋_GB2312" w:hAnsi="仿宋_GB2312" w:cs="仿宋_GB2312"/>
                <w:b/>
                <w:bCs/>
                <w:i w:val="0"/>
                <w:iCs w:val="0"/>
                <w:smallCaps w:val="0"/>
                <w:color w:val="000000"/>
                <w:sz w:val="21"/>
                <w:szCs w:val="21"/>
              </w:rPr>
            </w:pPr>
            <w:r>
              <w:rPr>
                <w:rFonts w:ascii="仿宋_GB2312" w:eastAsia="仿宋_GB2312" w:hAnsi="仿宋_GB2312" w:cs="仿宋_GB2312"/>
                <w:b/>
                <w:bCs/>
                <w:i w:val="0"/>
                <w:iCs w:val="0"/>
                <w:smallCaps w:val="0"/>
                <w:color w:val="000000"/>
                <w:sz w:val="21"/>
                <w:szCs w:val="21"/>
              </w:rPr>
              <w:t>付款比例(%)</w:t>
            </w:r>
          </w:p>
        </w:tc>
      </w:tr>
      <w:tr>
        <w:tblPrEx>
          <w:tblW w:w="5000" w:type="pct"/>
          <w:tblInd w:w="30" w:type="dxa"/>
          <w:tblCellMar>
            <w:top w:w="15" w:type="dxa"/>
            <w:left w:w="15" w:type="dxa"/>
            <w:bottom w:w="15" w:type="dxa"/>
            <w:right w:w="15" w:type="dxa"/>
          </w:tblCellMar>
        </w:tblPrEx>
        <w:tc>
          <w:tcPr>
            <w:tcW w:w="795" w:type="dxa"/>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第1次付款</w:t>
            </w:r>
          </w:p>
        </w:tc>
        <w:tc>
          <w:tcPr>
            <w:tcW w:w="2295" w:type="dxa"/>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项目验收合格</w:t>
            </w:r>
          </w:p>
        </w:tc>
        <w:tc>
          <w:tcPr>
            <w:tcW w:w="795" w:type="dxa"/>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4.16</w:t>
            </w:r>
          </w:p>
        </w:tc>
      </w:tr>
      <w:tr>
        <w:tblPrEx>
          <w:tblW w:w="5000" w:type="pct"/>
          <w:tblInd w:w="30" w:type="dxa"/>
          <w:tblCellMar>
            <w:top w:w="15" w:type="dxa"/>
            <w:left w:w="15" w:type="dxa"/>
            <w:bottom w:w="15" w:type="dxa"/>
            <w:right w:w="15" w:type="dxa"/>
          </w:tblCellMar>
        </w:tblPrEx>
        <w:tc>
          <w:tcPr>
            <w:tcW w:w="795" w:type="dxa"/>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第2次付款</w:t>
            </w:r>
          </w:p>
        </w:tc>
        <w:tc>
          <w:tcPr>
            <w:tcW w:w="2295" w:type="dxa"/>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项目验收合格</w:t>
            </w:r>
          </w:p>
        </w:tc>
        <w:tc>
          <w:tcPr>
            <w:tcW w:w="795" w:type="dxa"/>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4.16</w:t>
            </w:r>
          </w:p>
        </w:tc>
      </w:tr>
      <w:tr>
        <w:tblPrEx>
          <w:tblW w:w="5000" w:type="pct"/>
          <w:tblInd w:w="30" w:type="dxa"/>
          <w:tblCellMar>
            <w:top w:w="15" w:type="dxa"/>
            <w:left w:w="15" w:type="dxa"/>
            <w:bottom w:w="15" w:type="dxa"/>
            <w:right w:w="15" w:type="dxa"/>
          </w:tblCellMar>
        </w:tblPrEx>
        <w:tc>
          <w:tcPr>
            <w:tcW w:w="795" w:type="dxa"/>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第3次付款</w:t>
            </w:r>
          </w:p>
        </w:tc>
        <w:tc>
          <w:tcPr>
            <w:tcW w:w="2295" w:type="dxa"/>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项目验收合格</w:t>
            </w:r>
          </w:p>
        </w:tc>
        <w:tc>
          <w:tcPr>
            <w:tcW w:w="795" w:type="dxa"/>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4.16</w:t>
            </w:r>
          </w:p>
        </w:tc>
      </w:tr>
      <w:tr>
        <w:tblPrEx>
          <w:tblW w:w="5000" w:type="pct"/>
          <w:tblInd w:w="30" w:type="dxa"/>
          <w:tblCellMar>
            <w:top w:w="15" w:type="dxa"/>
            <w:left w:w="15" w:type="dxa"/>
            <w:bottom w:w="15" w:type="dxa"/>
            <w:right w:w="15" w:type="dxa"/>
          </w:tblCellMar>
        </w:tblPrEx>
        <w:tc>
          <w:tcPr>
            <w:tcW w:w="795" w:type="dxa"/>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第4次付款</w:t>
            </w:r>
          </w:p>
        </w:tc>
        <w:tc>
          <w:tcPr>
            <w:tcW w:w="2295" w:type="dxa"/>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项目验收合格</w:t>
            </w:r>
          </w:p>
        </w:tc>
        <w:tc>
          <w:tcPr>
            <w:tcW w:w="795" w:type="dxa"/>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4.16</w:t>
            </w:r>
          </w:p>
        </w:tc>
      </w:tr>
      <w:tr>
        <w:tblPrEx>
          <w:tblW w:w="5000" w:type="pct"/>
          <w:tblInd w:w="30" w:type="dxa"/>
          <w:tblCellMar>
            <w:top w:w="15" w:type="dxa"/>
            <w:left w:w="15" w:type="dxa"/>
            <w:bottom w:w="15" w:type="dxa"/>
            <w:right w:w="15" w:type="dxa"/>
          </w:tblCellMar>
        </w:tblPrEx>
        <w:tc>
          <w:tcPr>
            <w:tcW w:w="795" w:type="dxa"/>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第5次付款</w:t>
            </w:r>
          </w:p>
        </w:tc>
        <w:tc>
          <w:tcPr>
            <w:tcW w:w="2295" w:type="dxa"/>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项目验收合格</w:t>
            </w:r>
          </w:p>
        </w:tc>
        <w:tc>
          <w:tcPr>
            <w:tcW w:w="795" w:type="dxa"/>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4.16</w:t>
            </w:r>
          </w:p>
        </w:tc>
      </w:tr>
      <w:tr>
        <w:tblPrEx>
          <w:tblW w:w="5000" w:type="pct"/>
          <w:tblInd w:w="30" w:type="dxa"/>
          <w:tblCellMar>
            <w:top w:w="15" w:type="dxa"/>
            <w:left w:w="15" w:type="dxa"/>
            <w:bottom w:w="15" w:type="dxa"/>
            <w:right w:w="15" w:type="dxa"/>
          </w:tblCellMar>
        </w:tblPrEx>
        <w:tc>
          <w:tcPr>
            <w:tcW w:w="795" w:type="dxa"/>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第6次付款</w:t>
            </w:r>
          </w:p>
        </w:tc>
        <w:tc>
          <w:tcPr>
            <w:tcW w:w="2295" w:type="dxa"/>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项目验收合格</w:t>
            </w:r>
          </w:p>
        </w:tc>
        <w:tc>
          <w:tcPr>
            <w:tcW w:w="795" w:type="dxa"/>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4.16</w:t>
            </w:r>
          </w:p>
        </w:tc>
      </w:tr>
      <w:tr>
        <w:tblPrEx>
          <w:tblW w:w="5000" w:type="pct"/>
          <w:tblInd w:w="30" w:type="dxa"/>
          <w:tblCellMar>
            <w:top w:w="15" w:type="dxa"/>
            <w:left w:w="15" w:type="dxa"/>
            <w:bottom w:w="15" w:type="dxa"/>
            <w:right w:w="15" w:type="dxa"/>
          </w:tblCellMar>
        </w:tblPrEx>
        <w:tc>
          <w:tcPr>
            <w:tcW w:w="795" w:type="dxa"/>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第7次付款</w:t>
            </w:r>
          </w:p>
        </w:tc>
        <w:tc>
          <w:tcPr>
            <w:tcW w:w="2295" w:type="dxa"/>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项目验收合格</w:t>
            </w:r>
          </w:p>
        </w:tc>
        <w:tc>
          <w:tcPr>
            <w:tcW w:w="795" w:type="dxa"/>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4.16</w:t>
            </w:r>
          </w:p>
        </w:tc>
      </w:tr>
      <w:tr>
        <w:tblPrEx>
          <w:tblW w:w="5000" w:type="pct"/>
          <w:tblInd w:w="30" w:type="dxa"/>
          <w:tblCellMar>
            <w:top w:w="15" w:type="dxa"/>
            <w:left w:w="15" w:type="dxa"/>
            <w:bottom w:w="15" w:type="dxa"/>
            <w:right w:w="15" w:type="dxa"/>
          </w:tblCellMar>
        </w:tblPrEx>
        <w:tc>
          <w:tcPr>
            <w:tcW w:w="795" w:type="dxa"/>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第8次付款</w:t>
            </w:r>
          </w:p>
        </w:tc>
        <w:tc>
          <w:tcPr>
            <w:tcW w:w="2295" w:type="dxa"/>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项目验收合格</w:t>
            </w:r>
          </w:p>
        </w:tc>
        <w:tc>
          <w:tcPr>
            <w:tcW w:w="795" w:type="dxa"/>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4.16</w:t>
            </w:r>
          </w:p>
        </w:tc>
      </w:tr>
      <w:tr>
        <w:tblPrEx>
          <w:tblW w:w="5000" w:type="pct"/>
          <w:tblInd w:w="30" w:type="dxa"/>
          <w:tblCellMar>
            <w:top w:w="15" w:type="dxa"/>
            <w:left w:w="15" w:type="dxa"/>
            <w:bottom w:w="15" w:type="dxa"/>
            <w:right w:w="15" w:type="dxa"/>
          </w:tblCellMar>
        </w:tblPrEx>
        <w:tc>
          <w:tcPr>
            <w:tcW w:w="795" w:type="dxa"/>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第9次付款</w:t>
            </w:r>
          </w:p>
        </w:tc>
        <w:tc>
          <w:tcPr>
            <w:tcW w:w="2295" w:type="dxa"/>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项目验收合格</w:t>
            </w:r>
          </w:p>
        </w:tc>
        <w:tc>
          <w:tcPr>
            <w:tcW w:w="795" w:type="dxa"/>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4.16</w:t>
            </w:r>
          </w:p>
        </w:tc>
      </w:tr>
      <w:tr>
        <w:tblPrEx>
          <w:tblW w:w="5000" w:type="pct"/>
          <w:tblInd w:w="30" w:type="dxa"/>
          <w:tblCellMar>
            <w:top w:w="15" w:type="dxa"/>
            <w:left w:w="15" w:type="dxa"/>
            <w:bottom w:w="15" w:type="dxa"/>
            <w:right w:w="15" w:type="dxa"/>
          </w:tblCellMar>
        </w:tblPrEx>
        <w:tc>
          <w:tcPr>
            <w:tcW w:w="795" w:type="dxa"/>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第10次付款</w:t>
            </w:r>
          </w:p>
        </w:tc>
        <w:tc>
          <w:tcPr>
            <w:tcW w:w="2295" w:type="dxa"/>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项目验收合格</w:t>
            </w:r>
          </w:p>
        </w:tc>
        <w:tc>
          <w:tcPr>
            <w:tcW w:w="795" w:type="dxa"/>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4.16</w:t>
            </w:r>
          </w:p>
        </w:tc>
      </w:tr>
      <w:tr>
        <w:tblPrEx>
          <w:tblW w:w="5000" w:type="pct"/>
          <w:tblInd w:w="30" w:type="dxa"/>
          <w:tblCellMar>
            <w:top w:w="15" w:type="dxa"/>
            <w:left w:w="15" w:type="dxa"/>
            <w:bottom w:w="15" w:type="dxa"/>
            <w:right w:w="15" w:type="dxa"/>
          </w:tblCellMar>
        </w:tblPrEx>
        <w:tc>
          <w:tcPr>
            <w:tcW w:w="795" w:type="dxa"/>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第11次付款</w:t>
            </w:r>
          </w:p>
        </w:tc>
        <w:tc>
          <w:tcPr>
            <w:tcW w:w="2295" w:type="dxa"/>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项目验收合格</w:t>
            </w:r>
          </w:p>
        </w:tc>
        <w:tc>
          <w:tcPr>
            <w:tcW w:w="795" w:type="dxa"/>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4.16</w:t>
            </w:r>
          </w:p>
        </w:tc>
      </w:tr>
      <w:tr>
        <w:tblPrEx>
          <w:tblW w:w="5000" w:type="pct"/>
          <w:tblInd w:w="30" w:type="dxa"/>
          <w:tblCellMar>
            <w:top w:w="15" w:type="dxa"/>
            <w:left w:w="15" w:type="dxa"/>
            <w:bottom w:w="15" w:type="dxa"/>
            <w:right w:w="15" w:type="dxa"/>
          </w:tblCellMar>
        </w:tblPrEx>
        <w:tc>
          <w:tcPr>
            <w:tcW w:w="795" w:type="dxa"/>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第12次付款</w:t>
            </w:r>
          </w:p>
        </w:tc>
        <w:tc>
          <w:tcPr>
            <w:tcW w:w="2295" w:type="dxa"/>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项目验收合格</w:t>
            </w:r>
          </w:p>
        </w:tc>
        <w:tc>
          <w:tcPr>
            <w:tcW w:w="795" w:type="dxa"/>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4.24</w:t>
            </w:r>
          </w:p>
        </w:tc>
      </w:tr>
      <w:tr>
        <w:tblPrEx>
          <w:tblW w:w="5000" w:type="pct"/>
          <w:tblInd w:w="30" w:type="dxa"/>
          <w:tblCellMar>
            <w:top w:w="15" w:type="dxa"/>
            <w:left w:w="15" w:type="dxa"/>
            <w:bottom w:w="15" w:type="dxa"/>
            <w:right w:w="15" w:type="dxa"/>
          </w:tblCellMar>
        </w:tblPrEx>
        <w:tc>
          <w:tcPr>
            <w:tcW w:w="795" w:type="dxa"/>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第13次付款</w:t>
            </w:r>
          </w:p>
        </w:tc>
        <w:tc>
          <w:tcPr>
            <w:tcW w:w="2295" w:type="dxa"/>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项目验收合格</w:t>
            </w:r>
          </w:p>
        </w:tc>
        <w:tc>
          <w:tcPr>
            <w:tcW w:w="795" w:type="dxa"/>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4.16</w:t>
            </w:r>
          </w:p>
        </w:tc>
      </w:tr>
      <w:tr>
        <w:tblPrEx>
          <w:tblW w:w="5000" w:type="pct"/>
          <w:tblInd w:w="30" w:type="dxa"/>
          <w:tblCellMar>
            <w:top w:w="15" w:type="dxa"/>
            <w:left w:w="15" w:type="dxa"/>
            <w:bottom w:w="15" w:type="dxa"/>
            <w:right w:w="15" w:type="dxa"/>
          </w:tblCellMar>
        </w:tblPrEx>
        <w:tc>
          <w:tcPr>
            <w:tcW w:w="795" w:type="dxa"/>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第14次付款</w:t>
            </w:r>
          </w:p>
        </w:tc>
        <w:tc>
          <w:tcPr>
            <w:tcW w:w="2295" w:type="dxa"/>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项目验收合格</w:t>
            </w:r>
          </w:p>
        </w:tc>
        <w:tc>
          <w:tcPr>
            <w:tcW w:w="795" w:type="dxa"/>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4.16</w:t>
            </w:r>
          </w:p>
        </w:tc>
      </w:tr>
      <w:tr>
        <w:tblPrEx>
          <w:tblW w:w="5000" w:type="pct"/>
          <w:tblInd w:w="30" w:type="dxa"/>
          <w:tblCellMar>
            <w:top w:w="15" w:type="dxa"/>
            <w:left w:w="15" w:type="dxa"/>
            <w:bottom w:w="15" w:type="dxa"/>
            <w:right w:w="15" w:type="dxa"/>
          </w:tblCellMar>
        </w:tblPrEx>
        <w:tc>
          <w:tcPr>
            <w:tcW w:w="795" w:type="dxa"/>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第15次付款</w:t>
            </w:r>
          </w:p>
        </w:tc>
        <w:tc>
          <w:tcPr>
            <w:tcW w:w="2295" w:type="dxa"/>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项目验收合格</w:t>
            </w:r>
          </w:p>
        </w:tc>
        <w:tc>
          <w:tcPr>
            <w:tcW w:w="795" w:type="dxa"/>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4.16</w:t>
            </w:r>
          </w:p>
        </w:tc>
      </w:tr>
      <w:tr>
        <w:tblPrEx>
          <w:tblW w:w="5000" w:type="pct"/>
          <w:tblInd w:w="30" w:type="dxa"/>
          <w:tblCellMar>
            <w:top w:w="15" w:type="dxa"/>
            <w:left w:w="15" w:type="dxa"/>
            <w:bottom w:w="15" w:type="dxa"/>
            <w:right w:w="15" w:type="dxa"/>
          </w:tblCellMar>
        </w:tblPrEx>
        <w:tc>
          <w:tcPr>
            <w:tcW w:w="795" w:type="dxa"/>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第16次付款</w:t>
            </w:r>
          </w:p>
        </w:tc>
        <w:tc>
          <w:tcPr>
            <w:tcW w:w="2295" w:type="dxa"/>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项目验收合格</w:t>
            </w:r>
          </w:p>
        </w:tc>
        <w:tc>
          <w:tcPr>
            <w:tcW w:w="795" w:type="dxa"/>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4.16</w:t>
            </w:r>
          </w:p>
        </w:tc>
      </w:tr>
      <w:tr>
        <w:tblPrEx>
          <w:tblW w:w="5000" w:type="pct"/>
          <w:tblInd w:w="30" w:type="dxa"/>
          <w:tblCellMar>
            <w:top w:w="15" w:type="dxa"/>
            <w:left w:w="15" w:type="dxa"/>
            <w:bottom w:w="15" w:type="dxa"/>
            <w:right w:w="15" w:type="dxa"/>
          </w:tblCellMar>
        </w:tblPrEx>
        <w:tc>
          <w:tcPr>
            <w:tcW w:w="795" w:type="dxa"/>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第17次付款</w:t>
            </w:r>
          </w:p>
        </w:tc>
        <w:tc>
          <w:tcPr>
            <w:tcW w:w="2295" w:type="dxa"/>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项目验收合格</w:t>
            </w:r>
          </w:p>
        </w:tc>
        <w:tc>
          <w:tcPr>
            <w:tcW w:w="795" w:type="dxa"/>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4.16</w:t>
            </w:r>
          </w:p>
        </w:tc>
      </w:tr>
      <w:tr>
        <w:tblPrEx>
          <w:tblW w:w="5000" w:type="pct"/>
          <w:tblInd w:w="30" w:type="dxa"/>
          <w:tblCellMar>
            <w:top w:w="15" w:type="dxa"/>
            <w:left w:w="15" w:type="dxa"/>
            <w:bottom w:w="15" w:type="dxa"/>
            <w:right w:w="15" w:type="dxa"/>
          </w:tblCellMar>
        </w:tblPrEx>
        <w:tc>
          <w:tcPr>
            <w:tcW w:w="795" w:type="dxa"/>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第18次付款</w:t>
            </w:r>
          </w:p>
        </w:tc>
        <w:tc>
          <w:tcPr>
            <w:tcW w:w="2295" w:type="dxa"/>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项目验收合格</w:t>
            </w:r>
          </w:p>
        </w:tc>
        <w:tc>
          <w:tcPr>
            <w:tcW w:w="795" w:type="dxa"/>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4.16</w:t>
            </w:r>
          </w:p>
        </w:tc>
      </w:tr>
      <w:tr>
        <w:tblPrEx>
          <w:tblW w:w="5000" w:type="pct"/>
          <w:tblInd w:w="30" w:type="dxa"/>
          <w:tblCellMar>
            <w:top w:w="15" w:type="dxa"/>
            <w:left w:w="15" w:type="dxa"/>
            <w:bottom w:w="15" w:type="dxa"/>
            <w:right w:w="15" w:type="dxa"/>
          </w:tblCellMar>
        </w:tblPrEx>
        <w:tc>
          <w:tcPr>
            <w:tcW w:w="795" w:type="dxa"/>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第19次付款</w:t>
            </w:r>
          </w:p>
        </w:tc>
        <w:tc>
          <w:tcPr>
            <w:tcW w:w="2295" w:type="dxa"/>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项目验收合格</w:t>
            </w:r>
          </w:p>
        </w:tc>
        <w:tc>
          <w:tcPr>
            <w:tcW w:w="795" w:type="dxa"/>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4.16</w:t>
            </w:r>
          </w:p>
        </w:tc>
      </w:tr>
      <w:tr>
        <w:tblPrEx>
          <w:tblW w:w="5000" w:type="pct"/>
          <w:tblInd w:w="30" w:type="dxa"/>
          <w:tblCellMar>
            <w:top w:w="15" w:type="dxa"/>
            <w:left w:w="15" w:type="dxa"/>
            <w:bottom w:w="15" w:type="dxa"/>
            <w:right w:w="15" w:type="dxa"/>
          </w:tblCellMar>
        </w:tblPrEx>
        <w:tc>
          <w:tcPr>
            <w:tcW w:w="795" w:type="dxa"/>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第20次付款</w:t>
            </w:r>
          </w:p>
        </w:tc>
        <w:tc>
          <w:tcPr>
            <w:tcW w:w="2295" w:type="dxa"/>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项目验收合格</w:t>
            </w:r>
          </w:p>
        </w:tc>
        <w:tc>
          <w:tcPr>
            <w:tcW w:w="795" w:type="dxa"/>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4.16</w:t>
            </w:r>
          </w:p>
        </w:tc>
      </w:tr>
      <w:tr>
        <w:tblPrEx>
          <w:tblW w:w="5000" w:type="pct"/>
          <w:tblInd w:w="30" w:type="dxa"/>
          <w:tblCellMar>
            <w:top w:w="15" w:type="dxa"/>
            <w:left w:w="15" w:type="dxa"/>
            <w:bottom w:w="15" w:type="dxa"/>
            <w:right w:w="15" w:type="dxa"/>
          </w:tblCellMar>
        </w:tblPrEx>
        <w:tc>
          <w:tcPr>
            <w:tcW w:w="795" w:type="dxa"/>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第21次付款</w:t>
            </w:r>
          </w:p>
        </w:tc>
        <w:tc>
          <w:tcPr>
            <w:tcW w:w="2295" w:type="dxa"/>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项目验收合格</w:t>
            </w:r>
          </w:p>
        </w:tc>
        <w:tc>
          <w:tcPr>
            <w:tcW w:w="795" w:type="dxa"/>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4.16</w:t>
            </w:r>
          </w:p>
        </w:tc>
      </w:tr>
      <w:tr>
        <w:tblPrEx>
          <w:tblW w:w="5000" w:type="pct"/>
          <w:tblInd w:w="30" w:type="dxa"/>
          <w:tblCellMar>
            <w:top w:w="15" w:type="dxa"/>
            <w:left w:w="15" w:type="dxa"/>
            <w:bottom w:w="15" w:type="dxa"/>
            <w:right w:w="15" w:type="dxa"/>
          </w:tblCellMar>
        </w:tblPrEx>
        <w:tc>
          <w:tcPr>
            <w:tcW w:w="795" w:type="dxa"/>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第22次付款</w:t>
            </w:r>
          </w:p>
        </w:tc>
        <w:tc>
          <w:tcPr>
            <w:tcW w:w="2295" w:type="dxa"/>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项目验收合格</w:t>
            </w:r>
          </w:p>
        </w:tc>
        <w:tc>
          <w:tcPr>
            <w:tcW w:w="795" w:type="dxa"/>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4.16</w:t>
            </w:r>
          </w:p>
        </w:tc>
      </w:tr>
      <w:tr>
        <w:tblPrEx>
          <w:tblW w:w="5000" w:type="pct"/>
          <w:tblInd w:w="30" w:type="dxa"/>
          <w:tblCellMar>
            <w:top w:w="15" w:type="dxa"/>
            <w:left w:w="15" w:type="dxa"/>
            <w:bottom w:w="15" w:type="dxa"/>
            <w:right w:w="15" w:type="dxa"/>
          </w:tblCellMar>
        </w:tblPrEx>
        <w:tc>
          <w:tcPr>
            <w:tcW w:w="795" w:type="dxa"/>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第23次付款</w:t>
            </w:r>
          </w:p>
        </w:tc>
        <w:tc>
          <w:tcPr>
            <w:tcW w:w="2295" w:type="dxa"/>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项目验收合格</w:t>
            </w:r>
          </w:p>
        </w:tc>
        <w:tc>
          <w:tcPr>
            <w:tcW w:w="795" w:type="dxa"/>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4.16</w:t>
            </w:r>
          </w:p>
        </w:tc>
      </w:tr>
      <w:tr>
        <w:tblPrEx>
          <w:tblW w:w="5000" w:type="pct"/>
          <w:tblInd w:w="30" w:type="dxa"/>
          <w:tblCellMar>
            <w:top w:w="15" w:type="dxa"/>
            <w:left w:w="15" w:type="dxa"/>
            <w:bottom w:w="15" w:type="dxa"/>
            <w:right w:w="15" w:type="dxa"/>
          </w:tblCellMar>
        </w:tblPrEx>
        <w:tc>
          <w:tcPr>
            <w:tcW w:w="795" w:type="dxa"/>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第24次付款</w:t>
            </w:r>
          </w:p>
        </w:tc>
        <w:tc>
          <w:tcPr>
            <w:tcW w:w="2295" w:type="dxa"/>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项目验收合格</w:t>
            </w:r>
          </w:p>
        </w:tc>
        <w:tc>
          <w:tcPr>
            <w:tcW w:w="795" w:type="dxa"/>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4.24</w:t>
            </w:r>
          </w:p>
        </w:tc>
      </w:tr>
    </w:tbl>
    <w:p>
      <w:pPr>
        <w:pStyle w:val="Heading2"/>
        <w:keepNext w:val="0"/>
        <w:spacing w:before="0" w:after="0" w:line="360" w:lineRule="auto"/>
        <w:rPr>
          <w:rFonts w:ascii="仿宋_GB2312" w:eastAsia="仿宋_GB2312" w:hAnsi="仿宋_GB2312" w:cs="仿宋_GB2312"/>
          <w:b/>
          <w:bCs/>
          <w:sz w:val="28"/>
          <w:szCs w:val="28"/>
        </w:rPr>
      </w:pPr>
      <w:bookmarkStart w:id="43" w:name="_Toc256000040"/>
      <w:r>
        <w:rPr>
          <w:rFonts w:ascii="仿宋_GB2312" w:eastAsia="仿宋_GB2312" w:hAnsi="仿宋_GB2312" w:cs="仿宋_GB2312"/>
          <w:i w:val="0"/>
          <w:iCs w:val="0"/>
        </w:rPr>
        <w:t>8.3其他要求</w:t>
      </w:r>
      <w:bookmarkEnd w:id="43"/>
    </w:p>
    <w:p>
      <w:pPr>
        <w:pStyle w:val="Heading3"/>
        <w:keepNext w:val="0"/>
        <w:spacing w:before="0" w:after="0" w:line="360" w:lineRule="auto"/>
        <w:rPr>
          <w:rFonts w:ascii="仿宋_GB2312" w:eastAsia="仿宋_GB2312" w:hAnsi="仿宋_GB2312" w:cs="仿宋_GB2312"/>
          <w:b/>
          <w:bCs/>
          <w:sz w:val="28"/>
          <w:szCs w:val="28"/>
        </w:rPr>
      </w:pPr>
      <w:bookmarkStart w:id="44" w:name="_Toc256000041"/>
      <w:r>
        <w:rPr>
          <w:rFonts w:ascii="仿宋_GB2312" w:eastAsia="仿宋_GB2312" w:hAnsi="仿宋_GB2312" w:cs="仿宋_GB2312"/>
          <w:sz w:val="28"/>
          <w:szCs w:val="28"/>
        </w:rPr>
        <w:t>8.3.1保密要求</w:t>
      </w:r>
      <w:bookmarkEnd w:id="44"/>
    </w:p>
    <w:p>
      <w:pPr>
        <w:pStyle w:val="15"/>
        <w:spacing w:before="0" w:after="0" w:line="360" w:lineRule="auto"/>
        <w:ind w:left="0" w:right="0" w:firstLine="560"/>
        <w:rPr>
          <w:rFonts w:ascii="Times New Roman" w:eastAsia="Times New Roman" w:hAnsi="Times New Roman" w:cs="Times New Roman"/>
        </w:rPr>
      </w:pPr>
      <w:r>
        <w:rPr>
          <w:rFonts w:ascii="仿宋_GB2312" w:eastAsia="仿宋_GB2312" w:hAnsi="仿宋_GB2312" w:cs="仿宋_GB2312"/>
          <w:spacing w:val="0"/>
          <w:sz w:val="28"/>
          <w:szCs w:val="28"/>
        </w:rPr>
        <w:t>1.</w:t>
      </w:r>
      <w:r>
        <w:rPr>
          <w:rFonts w:ascii="仿宋_GB2312" w:eastAsia="仿宋_GB2312" w:hAnsi="仿宋_GB2312" w:cs="仿宋_GB2312"/>
          <w:spacing w:val="0"/>
          <w:sz w:val="28"/>
          <w:szCs w:val="28"/>
        </w:rPr>
        <w:t>中标方签订合同前必须按照国家相关保密规定和采购方签订《保密协议》，对违反《保密协议》相关内容规定的，采购方有权追究其法律责任。所有服务人员必须严格遵守国家、地方、行业相关保密管理政策规定。</w:t>
      </w:r>
    </w:p>
    <w:p>
      <w:pPr>
        <w:pStyle w:val="15"/>
        <w:spacing w:before="0" w:after="0" w:line="360" w:lineRule="auto"/>
        <w:ind w:left="0" w:right="0" w:firstLine="560"/>
        <w:rPr>
          <w:rFonts w:ascii="Times New Roman" w:eastAsia="Times New Roman" w:hAnsi="Times New Roman" w:cs="Times New Roman"/>
        </w:rPr>
      </w:pPr>
      <w:r>
        <w:rPr>
          <w:rFonts w:ascii="仿宋_GB2312" w:eastAsia="仿宋_GB2312" w:hAnsi="仿宋_GB2312" w:cs="仿宋_GB2312"/>
          <w:spacing w:val="0"/>
          <w:sz w:val="28"/>
          <w:szCs w:val="28"/>
        </w:rPr>
        <w:t>2.成交供应商录用前必须对所录用人员进行政治审查，签订保密协议书，组织岗前保密培训；制定人员保密工作制度，建立信息档案，定期开展保密教育。服务人员对陌生人员或社会媒体询问采购人内部情况和政务事项时，严禁擅自接受询问。务必做到不该看的不看，不该问的不问，不该说的不说，不该动的不动。每名员工不得向外界透露采购人内部情况及工作相关信息。成交供应商应与曾服务此项目的解聘、辞职人员签订离岗保密承诺书，并对其离岗后提出保密要求。如有违反，我单位有权向服务企业追究法律责任。成交供应商应保证加强教育管理，禁止各岗位服务人员随意发表、交流、讨论、传播我单位内部人员信息或工作事项，如有违反，严肃处理。</w:t>
      </w:r>
    </w:p>
    <w:p>
      <w:pPr>
        <w:pStyle w:val="Heading3"/>
        <w:keepNext w:val="0"/>
        <w:spacing w:before="0" w:after="0" w:line="360" w:lineRule="auto"/>
        <w:rPr>
          <w:rFonts w:ascii="仿宋_GB2312" w:eastAsia="仿宋_GB2312" w:hAnsi="仿宋_GB2312" w:cs="仿宋_GB2312"/>
          <w:b/>
          <w:bCs/>
          <w:sz w:val="28"/>
          <w:szCs w:val="28"/>
        </w:rPr>
      </w:pPr>
      <w:bookmarkStart w:id="45" w:name="_Toc256000042"/>
      <w:r>
        <w:rPr>
          <w:rFonts w:ascii="仿宋_GB2312" w:eastAsia="仿宋_GB2312" w:hAnsi="仿宋_GB2312" w:cs="仿宋_GB2312"/>
          <w:sz w:val="28"/>
          <w:szCs w:val="28"/>
        </w:rPr>
        <w:t>8.3.2知识转移要求</w:t>
      </w:r>
      <w:bookmarkEnd w:id="45"/>
    </w:p>
    <w:p>
      <w:pPr>
        <w:spacing w:before="0" w:after="0" w:line="360" w:lineRule="auto"/>
        <w:ind w:firstLine="560"/>
        <w:rPr>
          <w:rFonts w:ascii="FangSong_GB2312" w:eastAsia="FangSong_GB2312" w:hAnsi="FangSong_GB2312" w:cs="FangSong_GB2312"/>
          <w:sz w:val="28"/>
          <w:szCs w:val="28"/>
        </w:rPr>
      </w:pPr>
      <w:r>
        <w:rPr>
          <w:rFonts w:ascii="FangSong_GB2312" w:eastAsia="FangSong_GB2312" w:hAnsi="FangSong_GB2312" w:cs="FangSong_GB2312"/>
          <w:sz w:val="28"/>
          <w:szCs w:val="28"/>
        </w:rPr>
        <w:t>无</w:t>
      </w:r>
    </w:p>
    <w:p>
      <w:pPr>
        <w:pStyle w:val="Heading3"/>
        <w:keepNext w:val="0"/>
        <w:spacing w:before="0" w:after="0" w:line="360" w:lineRule="auto"/>
        <w:rPr>
          <w:rFonts w:ascii="仿宋_GB2312" w:eastAsia="仿宋_GB2312" w:hAnsi="仿宋_GB2312" w:cs="仿宋_GB2312"/>
          <w:b/>
          <w:bCs/>
          <w:sz w:val="28"/>
          <w:szCs w:val="28"/>
        </w:rPr>
      </w:pPr>
      <w:bookmarkStart w:id="46" w:name="_Toc256000043"/>
      <w:r>
        <w:rPr>
          <w:rFonts w:ascii="仿宋_GB2312" w:eastAsia="仿宋_GB2312" w:hAnsi="仿宋_GB2312" w:cs="仿宋_GB2312"/>
          <w:sz w:val="28"/>
          <w:szCs w:val="28"/>
        </w:rPr>
        <w:t>8.3.3知识产权要求</w:t>
      </w:r>
      <w:bookmarkEnd w:id="46"/>
    </w:p>
    <w:p>
      <w:pPr>
        <w:spacing w:before="0" w:after="0" w:line="360" w:lineRule="auto"/>
        <w:ind w:firstLine="560"/>
        <w:rPr>
          <w:rFonts w:ascii="FangSong_GB2312" w:eastAsia="FangSong_GB2312" w:hAnsi="FangSong_GB2312" w:cs="FangSong_GB2312"/>
          <w:sz w:val="28"/>
          <w:szCs w:val="28"/>
        </w:rPr>
      </w:pPr>
      <w:r>
        <w:rPr>
          <w:rFonts w:ascii="FangSong_GB2312" w:eastAsia="FangSong_GB2312" w:hAnsi="FangSong_GB2312" w:cs="FangSong_GB2312"/>
          <w:sz w:val="28"/>
          <w:szCs w:val="28"/>
        </w:rPr>
        <w:t>无</w:t>
      </w:r>
    </w:p>
    <w:p>
      <w:pPr>
        <w:spacing w:before="0" w:after="0" w:line="360" w:lineRule="auto"/>
        <w:ind w:firstLine="561"/>
        <w:rPr>
          <w:rFonts w:ascii="仿宋_GB2312" w:eastAsia="仿宋_GB2312" w:hAnsi="仿宋_GB2312" w:cs="仿宋_GB2312"/>
          <w:sz w:val="28"/>
          <w:szCs w:val="28"/>
        </w:rPr>
      </w:pPr>
    </w:p>
    <w:sectPr>
      <w:footerReference w:type="default" r:id="rId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0" w:after="0" w:line="360" w:lineRule="auto"/>
      <w:jc w:val="center"/>
    </w:pPr>
    <w:r>
      <w:fldChar w:fldCharType="begin"/>
    </w:r>
    <w:r>
      <w:instrText xml:space="preserve"> PAGE </w:instrText>
    </w:r>
    <w:r>
      <w:fldChar w:fldCharType="separate"/>
    </w:r>
    <w:r>
      <w:t>16</w:t>
    </w:r>
    <w:r>
      <w:fldChar w:fldCharType="end"/>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F7B9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F7B96"/>
    <w:pPr>
      <w:keepNext/>
      <w:spacing w:before="240" w:after="60"/>
      <w:outlineLvl w:val="2"/>
    </w:pPr>
    <w:rPr>
      <w:rFonts w:ascii="Arial" w:hAnsi="Arial" w:cs="Arial"/>
      <w:b/>
      <w:bCs/>
      <w:sz w:val="26"/>
      <w:szCs w:val="26"/>
    </w:rPr>
  </w:style>
  <w:style w:type="paragraph" w:styleId="Heading4">
    <w:name w:val="heading 4"/>
    <w:basedOn w:val="Normal"/>
    <w:next w:val="Normal"/>
    <w:qFormat/>
    <w:rsid w:val="00EF7B96"/>
    <w:pPr>
      <w:keepNext/>
      <w:spacing w:before="240" w:after="60"/>
      <w:outlineLvl w:val="3"/>
    </w:pPr>
    <w:rPr>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15">
    <w:name w:val="15"/>
    <w:basedOn w:val="Normal"/>
  </w:style>
  <w:style w:type="paragraph" w:customStyle="1" w:styleId="MsoNormal">
    <w:name w:val="MsoNormal"/>
    <w:basedOn w:val="Normal"/>
  </w:style>
  <w:style w:type="paragraph" w:customStyle="1" w:styleId="16">
    <w:name w:val="16"/>
    <w:basedOn w:val="Normal"/>
  </w:style>
  <w:style w:type="paragraph" w:styleId="TOC1">
    <w:name w:val="toc 1"/>
    <w:basedOn w:val="Normal"/>
    <w:next w:val="Normal"/>
    <w:autoRedefine/>
    <w:rsid w:val="00805BCE"/>
  </w:style>
  <w:style w:type="character" w:styleId="Hyperlink">
    <w:name w:val="Hyperlink"/>
    <w:basedOn w:val="DefaultParagraphFont"/>
    <w:rsid w:val="00EF7B96"/>
    <w:rPr>
      <w:color w:val="0000FF"/>
      <w:u w:val="single"/>
    </w:rPr>
  </w:style>
  <w:style w:type="paragraph" w:styleId="TOC2">
    <w:name w:val="toc 2"/>
    <w:basedOn w:val="Normal"/>
    <w:next w:val="Normal"/>
    <w:autoRedefine/>
    <w:rsid w:val="00805BCE"/>
    <w:pPr>
      <w:ind w:left="240"/>
    </w:pPr>
  </w:style>
  <w:style w:type="paragraph" w:styleId="TOC3">
    <w:name w:val="toc 3"/>
    <w:basedOn w:val="Normal"/>
    <w:next w:val="Normal"/>
    <w:autoRedefine/>
    <w:rsid w:val="00805BCE"/>
    <w:pPr>
      <w:ind w:left="48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TotalTime>0</TotalTime>
  <Pages>16</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