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tabs>
          <w:tab w:val="left" w:pos="740"/>
          <w:tab w:val="left" w:pos="888"/>
          <w:tab w:val="left" w:pos="1184"/>
          <w:tab w:val="left" w:pos="1776"/>
          <w:tab w:val="left" w:pos="2516"/>
          <w:tab w:val="left" w:pos="2664"/>
          <w:tab w:val="left" w:pos="3552"/>
          <w:tab w:val="left" w:pos="3996"/>
          <w:tab w:val="left" w:pos="4884"/>
          <w:tab w:val="left" w:pos="5772"/>
          <w:tab w:val="left" w:pos="7104"/>
          <w:tab w:val="left" w:pos="7696"/>
          <w:tab w:val="left" w:pos="7992"/>
          <w:tab w:val="left" w:pos="8436"/>
        </w:tabs>
        <w:spacing w:line="600" w:lineRule="exact"/>
        <w:ind w:right="24"/>
        <w:jc w:val="center"/>
        <w:rPr>
          <w:rFonts w:hint="eastAsia" w:ascii="方正小标宋简体" w:hAnsi="Calibri" w:eastAsia="方正小标宋简体" w:cs="宋体"/>
          <w:kern w:val="0"/>
          <w:sz w:val="44"/>
          <w:szCs w:val="44"/>
          <w:lang w:val="zh-CN"/>
        </w:rPr>
      </w:pPr>
      <w:r>
        <w:rPr>
          <w:rFonts w:hint="eastAsia" w:ascii="方正小标宋简体" w:hAnsi="Calibri" w:eastAsia="方正小标宋简体" w:cs="宋体"/>
          <w:kern w:val="0"/>
          <w:sz w:val="44"/>
          <w:szCs w:val="44"/>
          <w:lang w:val="zh-CN"/>
        </w:rPr>
        <w:t>国家税务总局天津市</w:t>
      </w:r>
      <w:r>
        <w:rPr>
          <w:rFonts w:hint="eastAsia" w:ascii="方正小标宋简体" w:eastAsia="方正小标宋简体" w:cs="宋体"/>
          <w:kern w:val="0"/>
          <w:sz w:val="44"/>
          <w:szCs w:val="44"/>
          <w:lang w:val="zh-CN" w:eastAsia="zh-CN"/>
        </w:rPr>
        <w:t>津南</w:t>
      </w:r>
      <w:r>
        <w:rPr>
          <w:rFonts w:hint="eastAsia" w:ascii="方正小标宋简体" w:hAnsi="Calibri" w:eastAsia="方正小标宋简体" w:cs="宋体"/>
          <w:kern w:val="0"/>
          <w:sz w:val="44"/>
          <w:szCs w:val="44"/>
          <w:lang w:val="zh-CN"/>
        </w:rPr>
        <w:t>区税务局</w:t>
      </w:r>
    </w:p>
    <w:p>
      <w:pPr>
        <w:tabs>
          <w:tab w:val="left" w:pos="740"/>
          <w:tab w:val="left" w:pos="888"/>
          <w:tab w:val="left" w:pos="1184"/>
          <w:tab w:val="left" w:pos="1776"/>
          <w:tab w:val="left" w:pos="2516"/>
          <w:tab w:val="left" w:pos="2664"/>
          <w:tab w:val="left" w:pos="3552"/>
          <w:tab w:val="left" w:pos="3996"/>
          <w:tab w:val="left" w:pos="4884"/>
          <w:tab w:val="left" w:pos="5772"/>
          <w:tab w:val="left" w:pos="7104"/>
          <w:tab w:val="left" w:pos="7696"/>
          <w:tab w:val="left" w:pos="7992"/>
          <w:tab w:val="left" w:pos="8436"/>
        </w:tabs>
        <w:spacing w:line="600" w:lineRule="exact"/>
        <w:ind w:right="24"/>
        <w:jc w:val="center"/>
        <w:rPr>
          <w:rFonts w:hint="eastAsia"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lang w:val="en-US" w:eastAsia="zh-CN"/>
        </w:rPr>
        <w:t>信息化、服务类项目预算评审项目</w:t>
      </w:r>
    </w:p>
    <w:p>
      <w:pPr>
        <w:tabs>
          <w:tab w:val="left" w:pos="740"/>
          <w:tab w:val="left" w:pos="888"/>
          <w:tab w:val="left" w:pos="1184"/>
          <w:tab w:val="left" w:pos="1776"/>
          <w:tab w:val="left" w:pos="2516"/>
          <w:tab w:val="left" w:pos="2664"/>
          <w:tab w:val="left" w:pos="3552"/>
          <w:tab w:val="left" w:pos="3996"/>
          <w:tab w:val="left" w:pos="4884"/>
          <w:tab w:val="left" w:pos="5772"/>
          <w:tab w:val="left" w:pos="7104"/>
          <w:tab w:val="left" w:pos="7696"/>
          <w:tab w:val="left" w:pos="7992"/>
          <w:tab w:val="left" w:pos="8436"/>
        </w:tabs>
        <w:spacing w:line="600" w:lineRule="exact"/>
        <w:ind w:right="24"/>
        <w:jc w:val="center"/>
        <w:rPr>
          <w:rFonts w:hint="eastAsia" w:ascii="方正小标宋简体" w:hAnsi="黑体" w:eastAsia="方正小标宋简体" w:cs="黑体"/>
          <w:bCs/>
          <w:sz w:val="44"/>
          <w:szCs w:val="44"/>
          <w:lang w:eastAsia="zh-CN"/>
        </w:rPr>
      </w:pPr>
      <w:r>
        <w:rPr>
          <w:rFonts w:hint="eastAsia" w:ascii="方正小标宋简体" w:hAnsi="方正小标宋简体" w:eastAsia="方正小标宋简体" w:cs="方正小标宋简体"/>
          <w:sz w:val="44"/>
          <w:szCs w:val="44"/>
          <w:highlight w:val="none"/>
          <w:lang w:eastAsia="zh-CN"/>
        </w:rPr>
        <w:t>采购</w:t>
      </w:r>
      <w:r>
        <w:rPr>
          <w:rFonts w:hint="eastAsia" w:ascii="方正小标宋简体" w:hAnsi="黑体" w:eastAsia="方正小标宋简体" w:cs="黑体"/>
          <w:bCs/>
          <w:sz w:val="44"/>
          <w:szCs w:val="44"/>
          <w:lang w:eastAsia="zh-CN"/>
        </w:rPr>
        <w:t>文件</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p>
    <w:p>
      <w:pPr>
        <w:topLinePunct/>
        <w:autoSpaceDE w:val="0"/>
        <w:autoSpaceDN w:val="0"/>
        <w:spacing w:line="60" w:lineRule="exact"/>
        <w:jc w:val="center"/>
        <w:rPr>
          <w:rFonts w:hint="eastAsia" w:ascii="华文中宋" w:hAnsi="华文中宋" w:eastAsia="华文中宋" w:cs="华文中宋"/>
          <w:b w:val="0"/>
          <w:bCs/>
          <w:color w:val="auto"/>
          <w:sz w:val="32"/>
          <w:szCs w:val="32"/>
          <w:highlight w:val="none"/>
        </w:rPr>
      </w:pPr>
    </w:p>
    <w:p>
      <w:pPr>
        <w:topLinePunct/>
        <w:autoSpaceDE w:val="0"/>
        <w:autoSpaceDN w:val="0"/>
        <w:snapToGrid w:val="0"/>
        <w:rPr>
          <w:rFonts w:hint="eastAsia" w:ascii="华文中宋" w:hAnsi="华文中宋" w:eastAsia="华文中宋" w:cs="华文中宋"/>
          <w:b w:val="0"/>
          <w:bCs/>
          <w:color w:val="auto"/>
          <w:sz w:val="32"/>
          <w:szCs w:val="32"/>
          <w:highlight w:val="none"/>
        </w:rPr>
      </w:pPr>
    </w:p>
    <w:p>
      <w:pPr>
        <w:jc w:val="center"/>
        <w:rPr>
          <w:rFonts w:hint="eastAsia" w:ascii="方正小标宋简体" w:hAnsi="方正小标宋简体" w:eastAsia="方正小标宋简体" w:cs="方正小标宋简体"/>
          <w:b w:val="0"/>
          <w:bCs w:val="0"/>
          <w:color w:val="auto"/>
          <w:sz w:val="24"/>
          <w:szCs w:val="24"/>
          <w:highlight w:val="none"/>
        </w:rPr>
      </w:pPr>
    </w:p>
    <w:p>
      <w:pPr>
        <w:jc w:val="center"/>
        <w:rPr>
          <w:rFonts w:hint="eastAsia" w:ascii="方正小标宋简体" w:hAnsi="方正小标宋简体" w:eastAsia="方正小标宋简体" w:cs="方正小标宋简体"/>
          <w:b w:val="0"/>
          <w:bCs w:val="0"/>
          <w:color w:val="auto"/>
          <w:sz w:val="24"/>
          <w:szCs w:val="24"/>
          <w:highlight w:val="none"/>
        </w:rPr>
      </w:pPr>
    </w:p>
    <w:p>
      <w:pPr>
        <w:tabs>
          <w:tab w:val="left" w:pos="740"/>
          <w:tab w:val="left" w:pos="888"/>
          <w:tab w:val="left" w:pos="1184"/>
          <w:tab w:val="left" w:pos="1776"/>
          <w:tab w:val="left" w:pos="2516"/>
          <w:tab w:val="left" w:pos="2664"/>
          <w:tab w:val="left" w:pos="3552"/>
          <w:tab w:val="left" w:pos="3996"/>
          <w:tab w:val="left" w:pos="4884"/>
          <w:tab w:val="left" w:pos="5772"/>
          <w:tab w:val="left" w:pos="7104"/>
          <w:tab w:val="left" w:pos="7696"/>
          <w:tab w:val="left" w:pos="7992"/>
          <w:tab w:val="left" w:pos="8436"/>
        </w:tabs>
        <w:spacing w:line="600" w:lineRule="exact"/>
        <w:ind w:right="24"/>
        <w:jc w:val="center"/>
        <w:rPr>
          <w:rFonts w:hint="eastAsia" w:ascii="方正小标宋简体" w:hAnsi="方正小标宋简体" w:eastAsia="方正小标宋简体" w:cs="方正小标宋简体"/>
          <w:b w:val="0"/>
          <w:bCs w:val="0"/>
          <w:color w:val="auto"/>
          <w:sz w:val="28"/>
          <w:szCs w:val="28"/>
          <w:highlight w:val="none"/>
          <w:u w:val="none"/>
        </w:rPr>
      </w:pPr>
      <w:r>
        <w:rPr>
          <w:rFonts w:hint="eastAsia" w:ascii="方正小标宋简体" w:hAnsi="方正小标宋简体" w:eastAsia="方正小标宋简体" w:cs="方正小标宋简体"/>
          <w:b w:val="0"/>
          <w:bCs w:val="0"/>
          <w:color w:val="auto"/>
          <w:sz w:val="28"/>
          <w:szCs w:val="28"/>
          <w:highlight w:val="none"/>
        </w:rPr>
        <w:t>项目名称：</w:t>
      </w:r>
      <w:r>
        <w:rPr>
          <w:rFonts w:hint="eastAsia" w:ascii="方正小标宋简体" w:hAnsi="Calibri" w:eastAsia="方正小标宋简体" w:cs="宋体"/>
          <w:kern w:val="0"/>
          <w:sz w:val="28"/>
          <w:szCs w:val="28"/>
          <w:lang w:val="zh-CN"/>
        </w:rPr>
        <w:t>国家税务总局天津市</w:t>
      </w:r>
      <w:r>
        <w:rPr>
          <w:rFonts w:hint="eastAsia" w:ascii="方正小标宋简体" w:eastAsia="方正小标宋简体" w:cs="宋体"/>
          <w:kern w:val="0"/>
          <w:sz w:val="28"/>
          <w:szCs w:val="28"/>
          <w:lang w:val="zh-CN"/>
        </w:rPr>
        <w:t>津南区</w:t>
      </w:r>
      <w:r>
        <w:rPr>
          <w:rFonts w:hint="eastAsia" w:ascii="方正小标宋简体" w:hAnsi="Calibri" w:eastAsia="方正小标宋简体" w:cs="宋体"/>
          <w:kern w:val="0"/>
          <w:sz w:val="28"/>
          <w:szCs w:val="28"/>
          <w:lang w:val="zh-CN"/>
        </w:rPr>
        <w:t>税务局</w:t>
      </w:r>
      <w:r>
        <w:rPr>
          <w:rFonts w:hint="eastAsia" w:ascii="方正小标宋简体" w:hAnsi="方正小标宋简体" w:eastAsia="方正小标宋简体" w:cs="方正小标宋简体"/>
          <w:b w:val="0"/>
          <w:bCs w:val="0"/>
          <w:color w:val="auto"/>
          <w:sz w:val="28"/>
          <w:szCs w:val="28"/>
          <w:lang w:val="en-US" w:eastAsia="zh-CN"/>
        </w:rPr>
        <w:t>信息化、服务类项目预算评审项目</w:t>
      </w:r>
    </w:p>
    <w:p>
      <w:pPr>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28"/>
          <w:szCs w:val="28"/>
          <w:highlight w:val="none"/>
        </w:rPr>
        <w:t>采 购 人：</w:t>
      </w:r>
      <w:r>
        <w:rPr>
          <w:rFonts w:hint="eastAsia" w:ascii="方正小标宋简体" w:hAnsi="Calibri" w:eastAsia="方正小标宋简体" w:cs="宋体"/>
          <w:kern w:val="0"/>
          <w:sz w:val="28"/>
          <w:szCs w:val="28"/>
          <w:lang w:val="zh-CN"/>
        </w:rPr>
        <w:t>国家税务总局天津市</w:t>
      </w:r>
      <w:r>
        <w:rPr>
          <w:rFonts w:hint="eastAsia" w:ascii="方正小标宋简体" w:eastAsia="方正小标宋简体" w:cs="宋体"/>
          <w:kern w:val="0"/>
          <w:sz w:val="28"/>
          <w:szCs w:val="28"/>
          <w:lang w:val="zh-CN"/>
        </w:rPr>
        <w:t>津南区</w:t>
      </w:r>
      <w:r>
        <w:rPr>
          <w:rFonts w:hint="eastAsia" w:ascii="方正小标宋简体" w:hAnsi="Calibri" w:eastAsia="方正小标宋简体" w:cs="宋体"/>
          <w:kern w:val="0"/>
          <w:sz w:val="28"/>
          <w:szCs w:val="28"/>
          <w:lang w:val="zh-CN"/>
        </w:rPr>
        <w:t>税务局</w:t>
      </w:r>
    </w:p>
    <w:p>
      <w:pPr>
        <w:topLinePunct/>
        <w:autoSpaceDE w:val="0"/>
        <w:autoSpaceDN w:val="0"/>
        <w:spacing w:line="460" w:lineRule="exact"/>
        <w:rPr>
          <w:rFonts w:hint="eastAsia" w:ascii="方正小标宋简体" w:hAnsi="方正小标宋简体" w:eastAsia="方正小标宋简体" w:cs="方正小标宋简体"/>
          <w:b w:val="0"/>
          <w:bCs w:val="0"/>
          <w:color w:val="auto"/>
          <w:sz w:val="44"/>
          <w:szCs w:val="44"/>
          <w:highlight w:val="none"/>
        </w:rPr>
      </w:pPr>
    </w:p>
    <w:p>
      <w:pPr>
        <w:topLinePunct/>
        <w:autoSpaceDE w:val="0"/>
        <w:autoSpaceDN w:val="0"/>
        <w:spacing w:line="460" w:lineRule="exact"/>
        <w:jc w:val="center"/>
        <w:rPr>
          <w:rFonts w:hint="eastAsia" w:ascii="方正小标宋简体" w:hAnsi="方正小标宋简体" w:eastAsia="方正小标宋简体" w:cs="方正小标宋简体"/>
          <w:b w:val="0"/>
          <w:bCs w:val="0"/>
          <w:color w:val="auto"/>
          <w:sz w:val="44"/>
          <w:szCs w:val="44"/>
          <w:highlight w:val="none"/>
        </w:rPr>
      </w:pPr>
    </w:p>
    <w:p>
      <w:pPr>
        <w:topLinePunct/>
        <w:autoSpaceDE w:val="0"/>
        <w:autoSpaceDN w:val="0"/>
        <w:spacing w:line="460" w:lineRule="exact"/>
        <w:jc w:val="center"/>
        <w:rPr>
          <w:rFonts w:hint="eastAsia" w:ascii="方正小标宋简体" w:hAnsi="方正小标宋简体" w:eastAsia="方正小标宋简体" w:cs="方正小标宋简体"/>
          <w:b w:val="0"/>
          <w:bCs w:val="0"/>
          <w:color w:val="auto"/>
          <w:sz w:val="44"/>
          <w:szCs w:val="44"/>
          <w:highlight w:val="none"/>
        </w:rPr>
      </w:pPr>
    </w:p>
    <w:p>
      <w:pPr>
        <w:topLinePunct/>
        <w:autoSpaceDE w:val="0"/>
        <w:autoSpaceDN w:val="0"/>
        <w:spacing w:line="460" w:lineRule="exact"/>
        <w:jc w:val="center"/>
        <w:rPr>
          <w:rFonts w:hint="eastAsia" w:ascii="方正小标宋简体" w:hAnsi="方正小标宋简体" w:eastAsia="方正小标宋简体" w:cs="方正小标宋简体"/>
          <w:b w:val="0"/>
          <w:bCs w:val="0"/>
          <w:color w:val="auto"/>
          <w:sz w:val="44"/>
          <w:szCs w:val="44"/>
          <w:highlight w:val="none"/>
        </w:rPr>
      </w:pPr>
    </w:p>
    <w:p>
      <w:pPr>
        <w:topLinePunct/>
        <w:autoSpaceDE w:val="0"/>
        <w:autoSpaceDN w:val="0"/>
        <w:spacing w:line="460" w:lineRule="exact"/>
        <w:jc w:val="center"/>
        <w:rPr>
          <w:rFonts w:hint="eastAsia" w:ascii="方正小标宋简体" w:hAnsi="方正小标宋简体" w:eastAsia="方正小标宋简体" w:cs="方正小标宋简体"/>
          <w:b w:val="0"/>
          <w:bCs w:val="0"/>
          <w:color w:val="auto"/>
          <w:sz w:val="44"/>
          <w:szCs w:val="44"/>
          <w:highlight w:val="none"/>
        </w:rPr>
      </w:pPr>
    </w:p>
    <w:p>
      <w:pPr>
        <w:topLinePunct/>
        <w:autoSpaceDE w:val="0"/>
        <w:autoSpaceDN w:val="0"/>
        <w:spacing w:line="460" w:lineRule="exact"/>
        <w:jc w:val="center"/>
        <w:rPr>
          <w:rFonts w:hint="eastAsia" w:ascii="方正小标宋简体" w:hAnsi="方正小标宋简体" w:eastAsia="方正小标宋简体" w:cs="方正小标宋简体"/>
          <w:b w:val="0"/>
          <w:bCs w:val="0"/>
          <w:color w:val="auto"/>
          <w:sz w:val="44"/>
          <w:szCs w:val="44"/>
          <w:highlight w:val="none"/>
        </w:rPr>
      </w:pPr>
    </w:p>
    <w:p>
      <w:pPr>
        <w:topLinePunct/>
        <w:autoSpaceDE w:val="0"/>
        <w:autoSpaceDN w:val="0"/>
        <w:spacing w:line="460" w:lineRule="exact"/>
        <w:jc w:val="center"/>
        <w:rPr>
          <w:rFonts w:hint="eastAsia" w:ascii="方正小标宋简体" w:hAnsi="方正小标宋简体" w:eastAsia="方正小标宋简体" w:cs="方正小标宋简体"/>
          <w:b w:val="0"/>
          <w:bCs w:val="0"/>
          <w:color w:val="auto"/>
          <w:sz w:val="44"/>
          <w:szCs w:val="44"/>
          <w:highlight w:val="none"/>
        </w:rPr>
      </w:pPr>
    </w:p>
    <w:p>
      <w:pPr>
        <w:topLinePunct/>
        <w:autoSpaceDE w:val="0"/>
        <w:autoSpaceDN w:val="0"/>
        <w:spacing w:line="460" w:lineRule="exact"/>
        <w:jc w:val="center"/>
        <w:rPr>
          <w:rFonts w:hint="eastAsia" w:ascii="方正小标宋简体" w:hAnsi="方正小标宋简体" w:eastAsia="方正小标宋简体" w:cs="方正小标宋简体"/>
          <w:b w:val="0"/>
          <w:bCs w:val="0"/>
          <w:color w:val="auto"/>
          <w:sz w:val="44"/>
          <w:szCs w:val="44"/>
          <w:highlight w:val="none"/>
        </w:rPr>
      </w:pPr>
    </w:p>
    <w:p>
      <w:pPr>
        <w:topLinePunct/>
        <w:autoSpaceDE w:val="0"/>
        <w:autoSpaceDN w:val="0"/>
        <w:spacing w:line="460" w:lineRule="exact"/>
        <w:jc w:val="center"/>
        <w:rPr>
          <w:rFonts w:hint="eastAsia" w:ascii="方正小标宋简体" w:hAnsi="方正小标宋简体" w:eastAsia="方正小标宋简体" w:cs="方正小标宋简体"/>
          <w:b w:val="0"/>
          <w:bCs w:val="0"/>
          <w:color w:val="auto"/>
          <w:sz w:val="44"/>
          <w:szCs w:val="44"/>
          <w:highlight w:val="none"/>
        </w:rPr>
      </w:pPr>
    </w:p>
    <w:p>
      <w:pPr>
        <w:topLinePunct/>
        <w:autoSpaceDE w:val="0"/>
        <w:autoSpaceDN w:val="0"/>
        <w:spacing w:line="460" w:lineRule="exact"/>
        <w:jc w:val="center"/>
        <w:rPr>
          <w:rFonts w:hint="eastAsia" w:ascii="方正小标宋简体" w:hAnsi="方正小标宋简体" w:eastAsia="方正小标宋简体" w:cs="方正小标宋简体"/>
          <w:b w:val="0"/>
          <w:bCs w:val="0"/>
          <w:color w:val="auto"/>
          <w:sz w:val="44"/>
          <w:szCs w:val="44"/>
          <w:highlight w:val="none"/>
        </w:rPr>
      </w:pPr>
    </w:p>
    <w:p>
      <w:pPr>
        <w:topLinePunct/>
        <w:autoSpaceDE w:val="0"/>
        <w:autoSpaceDN w:val="0"/>
        <w:spacing w:line="460" w:lineRule="exact"/>
        <w:jc w:val="center"/>
        <w:rPr>
          <w:rFonts w:hint="eastAsia" w:ascii="方正小标宋简体" w:hAnsi="方正小标宋简体" w:eastAsia="方正小标宋简体" w:cs="方正小标宋简体"/>
          <w:b w:val="0"/>
          <w:bCs w:val="0"/>
          <w:color w:val="auto"/>
          <w:sz w:val="44"/>
          <w:szCs w:val="44"/>
          <w:highlight w:val="none"/>
        </w:rPr>
      </w:pPr>
    </w:p>
    <w:p>
      <w:pPr>
        <w:topLinePunct/>
        <w:autoSpaceDE w:val="0"/>
        <w:autoSpaceDN w:val="0"/>
        <w:spacing w:line="460" w:lineRule="exact"/>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rPr>
        <w:t>国家税务总局</w:t>
      </w:r>
      <w:r>
        <w:rPr>
          <w:rFonts w:hint="eastAsia" w:ascii="方正小标宋简体" w:hAnsi="方正小标宋简体" w:eastAsia="方正小标宋简体" w:cs="方正小标宋简体"/>
          <w:b w:val="0"/>
          <w:bCs w:val="0"/>
          <w:color w:val="auto"/>
          <w:sz w:val="44"/>
          <w:szCs w:val="44"/>
          <w:highlight w:val="none"/>
          <w:lang w:eastAsia="zh-CN"/>
        </w:rPr>
        <w:t>天津市津南区</w:t>
      </w:r>
      <w:r>
        <w:rPr>
          <w:rFonts w:hint="eastAsia" w:ascii="方正小标宋简体" w:hAnsi="方正小标宋简体" w:eastAsia="方正小标宋简体" w:cs="方正小标宋简体"/>
          <w:b w:val="0"/>
          <w:bCs w:val="0"/>
          <w:color w:val="auto"/>
          <w:sz w:val="44"/>
          <w:szCs w:val="44"/>
          <w:highlight w:val="none"/>
        </w:rPr>
        <w:t>税务局</w:t>
      </w:r>
    </w:p>
    <w:p>
      <w:pPr>
        <w:topLinePunct/>
        <w:autoSpaceDE w:val="0"/>
        <w:autoSpaceDN w:val="0"/>
        <w:spacing w:line="160" w:lineRule="exact"/>
        <w:jc w:val="center"/>
        <w:rPr>
          <w:rFonts w:hint="eastAsia" w:ascii="方正小标宋简体" w:hAnsi="方正小标宋简体" w:eastAsia="方正小标宋简体" w:cs="方正小标宋简体"/>
          <w:b w:val="0"/>
          <w:bCs w:val="0"/>
          <w:color w:val="auto"/>
          <w:sz w:val="44"/>
          <w:szCs w:val="44"/>
          <w:highlight w:val="none"/>
        </w:rPr>
      </w:pPr>
    </w:p>
    <w:p>
      <w:pPr>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lang w:val="en-US" w:eastAsia="zh-CN"/>
        </w:rPr>
        <w:t>2026</w:t>
      </w:r>
      <w:r>
        <w:rPr>
          <w:rFonts w:hint="eastAsia" w:ascii="方正小标宋简体" w:hAnsi="方正小标宋简体" w:eastAsia="方正小标宋简体" w:cs="方正小标宋简体"/>
          <w:b w:val="0"/>
          <w:bCs w:val="0"/>
          <w:color w:val="auto"/>
          <w:sz w:val="44"/>
          <w:szCs w:val="44"/>
          <w:highlight w:val="none"/>
        </w:rPr>
        <w:t>年</w:t>
      </w:r>
      <w:r>
        <w:rPr>
          <w:rFonts w:hint="eastAsia" w:ascii="方正小标宋简体" w:hAnsi="方正小标宋简体" w:eastAsia="方正小标宋简体" w:cs="方正小标宋简体"/>
          <w:b w:val="0"/>
          <w:bCs w:val="0"/>
          <w:color w:val="auto"/>
          <w:sz w:val="44"/>
          <w:szCs w:val="44"/>
          <w:highlight w:val="none"/>
          <w:lang w:val="en-US" w:eastAsia="zh-CN"/>
        </w:rPr>
        <w:t>1</w:t>
      </w:r>
      <w:r>
        <w:rPr>
          <w:rFonts w:hint="eastAsia" w:ascii="方正小标宋简体" w:hAnsi="方正小标宋简体" w:eastAsia="方正小标宋简体" w:cs="方正小标宋简体"/>
          <w:b w:val="0"/>
          <w:bCs w:val="0"/>
          <w:color w:val="auto"/>
          <w:sz w:val="44"/>
          <w:szCs w:val="44"/>
          <w:highlight w:val="none"/>
        </w:rPr>
        <w:t>月</w:t>
      </w:r>
      <w:r>
        <w:rPr>
          <w:rFonts w:hint="eastAsia" w:ascii="方正小标宋简体" w:hAnsi="方正小标宋简体" w:eastAsia="方正小标宋简体" w:cs="方正小标宋简体"/>
          <w:b w:val="0"/>
          <w:bCs w:val="0"/>
          <w:color w:val="auto"/>
          <w:sz w:val="44"/>
          <w:szCs w:val="44"/>
          <w:highlight w:val="none"/>
          <w:lang w:val="en-US" w:eastAsia="zh-CN"/>
        </w:rPr>
        <w:t>23</w:t>
      </w:r>
      <w:r>
        <w:rPr>
          <w:rFonts w:hint="eastAsia" w:ascii="方正小标宋简体" w:hAnsi="方正小标宋简体" w:eastAsia="方正小标宋简体" w:cs="方正小标宋简体"/>
          <w:b w:val="0"/>
          <w:bCs w:val="0"/>
          <w:color w:val="auto"/>
          <w:sz w:val="44"/>
          <w:szCs w:val="44"/>
          <w:highlight w:val="none"/>
        </w:rPr>
        <w:t>日</w:t>
      </w:r>
    </w:p>
    <w:p>
      <w:pPr>
        <w:rPr>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lang w:eastAsia="zh-CN"/>
        </w:rPr>
        <w:t>第一章</w:t>
      </w:r>
      <w:r>
        <w:rPr>
          <w:rFonts w:hint="eastAsia" w:ascii="方正小标宋简体" w:hAnsi="方正小标宋简体" w:eastAsia="方正小标宋简体" w:cs="方正小标宋简体"/>
          <w:sz w:val="44"/>
          <w:szCs w:val="44"/>
          <w:highlight w:val="none"/>
          <w:lang w:val="en-US" w:eastAsia="zh-CN"/>
        </w:rPr>
        <w:t xml:space="preserve">  采购公告</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p>
    <w:p>
      <w:pPr>
        <w:keepNext w:val="0"/>
        <w:keepLines w:val="0"/>
        <w:pageBreakBefore w:val="0"/>
        <w:widowControl w:val="0"/>
        <w:kinsoku/>
        <w:wordWrap/>
        <w:overflowPunct/>
        <w:topLinePunct w:val="0"/>
        <w:autoSpaceDE/>
        <w:autoSpaceDN/>
        <w:bidi w:val="0"/>
        <w:adjustRightInd w:val="0"/>
        <w:snapToGrid w:val="0"/>
        <w:spacing w:beforeLines="0" w:afterLines="0" w:line="560" w:lineRule="exact"/>
        <w:ind w:left="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华文宋体" w:eastAsia="仿宋_GB2312" w:cs="仿宋_GB2312"/>
          <w:sz w:val="32"/>
          <w:szCs w:val="32"/>
          <w:lang w:eastAsia="zh-CN"/>
        </w:rPr>
        <w:t>因工作需要，</w:t>
      </w:r>
      <w:r>
        <w:rPr>
          <w:rFonts w:hint="eastAsia" w:ascii="仿宋_GB2312" w:hAnsi="华文宋体" w:eastAsia="仿宋_GB2312" w:cs="仿宋_GB2312"/>
          <w:sz w:val="32"/>
          <w:szCs w:val="32"/>
          <w:lang w:val="zh-CN" w:eastAsia="zh-CN"/>
        </w:rPr>
        <w:t>国家税务总局天津市津南区税务局</w:t>
      </w:r>
      <w:r>
        <w:rPr>
          <w:rFonts w:hint="eastAsia" w:ascii="仿宋_GB2312" w:hAnsi="华文宋体" w:eastAsia="仿宋_GB2312" w:cs="仿宋_GB2312"/>
          <w:sz w:val="32"/>
          <w:szCs w:val="32"/>
          <w:lang w:eastAsia="zh-CN"/>
        </w:rPr>
        <w:t>拟采购信息化、服务类项目预算评审项目，欢迎合格的服务商参与</w:t>
      </w:r>
      <w:r>
        <w:rPr>
          <w:rFonts w:hint="eastAsia" w:ascii="仿宋_GB2312" w:hAnsi="仿宋_GB2312" w:eastAsia="仿宋_GB2312" w:cs="仿宋_GB2312"/>
          <w:sz w:val="32"/>
          <w:szCs w:val="32"/>
          <w:highlight w:val="none"/>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项目基本情况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项目名称</w:t>
      </w:r>
      <w:r>
        <w:rPr>
          <w:rFonts w:hint="eastAsia" w:ascii="仿宋_GB2312" w:hAnsi="仿宋_GB2312" w:eastAsia="仿宋_GB2312" w:cs="仿宋_GB2312"/>
          <w:sz w:val="32"/>
          <w:szCs w:val="32"/>
          <w:highlight w:val="none"/>
          <w:lang w:eastAsia="zh-CN"/>
        </w:rPr>
        <w:t>：国家税务总局天津市津南区税务局信息化、服务类项目预算评审项目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采购</w:t>
      </w:r>
      <w:r>
        <w:rPr>
          <w:rFonts w:hint="eastAsia" w:ascii="仿宋_GB2312" w:hAnsi="仿宋_GB2312" w:eastAsia="仿宋_GB2312" w:cs="仿宋_GB2312"/>
          <w:sz w:val="32"/>
          <w:szCs w:val="32"/>
          <w:highlight w:val="none"/>
        </w:rPr>
        <w:t>预算</w:t>
      </w:r>
      <w:r>
        <w:rPr>
          <w:rFonts w:hint="eastAsia" w:ascii="仿宋_GB2312" w:hAnsi="仿宋_GB2312" w:eastAsia="仿宋_GB2312" w:cs="仿宋_GB2312"/>
          <w:sz w:val="32"/>
          <w:szCs w:val="32"/>
          <w:highlight w:val="none"/>
          <w:lang w:eastAsia="zh-CN"/>
        </w:rPr>
        <w:t>：本项目预算预计</w:t>
      </w:r>
      <w:r>
        <w:rPr>
          <w:rFonts w:hint="eastAsia" w:ascii="仿宋_GB2312" w:hAnsi="仿宋_GB2312" w:eastAsia="仿宋_GB2312" w:cs="仿宋_GB2312"/>
          <w:sz w:val="32"/>
          <w:szCs w:val="32"/>
          <w:highlight w:val="none"/>
          <w:lang w:val="en-US" w:eastAsia="zh-CN"/>
        </w:rPr>
        <w:t>5.5</w:t>
      </w:r>
      <w:r>
        <w:rPr>
          <w:rFonts w:hint="eastAsia" w:ascii="仿宋_GB2312" w:hAnsi="仿宋_GB2312" w:eastAsia="仿宋_GB2312" w:cs="仿宋_GB2312"/>
          <w:sz w:val="32"/>
          <w:szCs w:val="32"/>
          <w:highlight w:val="none"/>
          <w:lang w:eastAsia="zh-CN"/>
        </w:rPr>
        <w:t>万元，据实结算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highlight w:val="none"/>
          <w:lang w:val="en" w:eastAsia="zh-CN"/>
        </w:rPr>
      </w:pPr>
      <w:r>
        <w:rPr>
          <w:rFonts w:hint="eastAsia" w:ascii="仿宋_GB2312" w:hAnsi="仿宋_GB2312" w:eastAsia="仿宋_GB2312" w:cs="仿宋_GB2312"/>
          <w:sz w:val="32"/>
          <w:szCs w:val="32"/>
          <w:highlight w:val="none"/>
          <w:lang w:eastAsia="zh-CN"/>
        </w:rPr>
        <w:t>采购需求：详</w:t>
      </w:r>
      <w:r>
        <w:rPr>
          <w:rFonts w:hint="eastAsia" w:ascii="仿宋_GB2312" w:hAnsi="仿宋_GB2312" w:eastAsia="仿宋_GB2312" w:cs="仿宋_GB2312"/>
          <w:sz w:val="32"/>
          <w:szCs w:val="32"/>
          <w:highlight w:val="none"/>
          <w:lang w:val="en-US" w:eastAsia="zh-CN"/>
        </w:rPr>
        <w:t>见第二章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合同履行期限：</w:t>
      </w:r>
      <w:r>
        <w:rPr>
          <w:rFonts w:hint="eastAsia" w:ascii="仿宋_GB2312" w:hAnsi="仿宋_GB2312" w:eastAsia="仿宋_GB2312" w:cs="仿宋_GB2312"/>
          <w:sz w:val="32"/>
          <w:szCs w:val="32"/>
        </w:rPr>
        <w:t>合同</w:t>
      </w:r>
      <w:r>
        <w:rPr>
          <w:rFonts w:hint="eastAsia" w:ascii="仿宋_GB2312" w:hAnsi="仿宋_GB2312" w:eastAsia="仿宋_GB2312" w:cs="仿宋_GB2312"/>
          <w:sz w:val="32"/>
          <w:szCs w:val="32"/>
          <w:lang w:eastAsia="zh-CN"/>
        </w:rPr>
        <w:t>签订</w:t>
      </w:r>
      <w:r>
        <w:rPr>
          <w:rFonts w:hint="eastAsia" w:ascii="仿宋_GB2312" w:hAnsi="仿宋_GB2312" w:eastAsia="仿宋_GB2312" w:cs="仿宋_GB2312"/>
          <w:sz w:val="32"/>
          <w:szCs w:val="32"/>
        </w:rPr>
        <w:t>之日起一年</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服务商的资格要求：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服务商应具备《中华人民共和国政府采购法》第二十二条第一款和《政府采购法实施条例》第十八条规定的条件，提供以下材料：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 营业执照副本或事业单位法人证书或民办非企业单位登记证书或社会团体法人登记证书或基金会法人登记证书扫描件或自然人的身份证明扫描件。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 提供《服务商资格声明函》（格式见第四章）。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三、获取采购文件地点、方式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有意参与此次采购活动的服务商可在国家税务总局天津市津南区税务局官网“信息公开”栏“通知公告”查询下载。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四、应答文件接收时间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202</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lang w:eastAsia="zh-CN"/>
        </w:rPr>
        <w:t>年</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月</w:t>
      </w:r>
      <w:r>
        <w:rPr>
          <w:rFonts w:hint="eastAsia" w:ascii="仿宋_GB2312" w:hAnsi="仿宋_GB2312" w:eastAsia="仿宋_GB2312" w:cs="仿宋_GB2312"/>
          <w:color w:val="auto"/>
          <w:sz w:val="32"/>
          <w:szCs w:val="32"/>
          <w:highlight w:val="none"/>
          <w:lang w:val="en-US" w:eastAsia="zh-CN"/>
        </w:rPr>
        <w:t>28</w:t>
      </w:r>
      <w:r>
        <w:rPr>
          <w:rFonts w:hint="eastAsia" w:ascii="仿宋_GB2312" w:hAnsi="仿宋_GB2312" w:eastAsia="仿宋_GB2312" w:cs="仿宋_GB2312"/>
          <w:sz w:val="32"/>
          <w:szCs w:val="32"/>
          <w:highlight w:val="none"/>
          <w:lang w:eastAsia="zh-CN"/>
        </w:rPr>
        <w:t>日前，</w:t>
      </w:r>
      <w:r>
        <w:rPr>
          <w:rFonts w:hint="eastAsia" w:ascii="仿宋_GB2312" w:hAnsi="仿宋_GB2312" w:eastAsia="仿宋_GB2312" w:cs="仿宋_GB2312"/>
          <w:sz w:val="32"/>
          <w:szCs w:val="32"/>
          <w:highlight w:val="none"/>
          <w:lang w:val="en-US" w:eastAsia="zh-CN"/>
        </w:rPr>
        <w:t>将加盖单位印鉴的《国家税务总局天津市津南区税务局信息化、服务类项目预算评审项目参与报名表》（见附件1）及</w:t>
      </w:r>
      <w:r>
        <w:rPr>
          <w:rFonts w:hint="eastAsia" w:ascii="仿宋_GB2312" w:hAnsi="仿宋_GB2312" w:eastAsia="仿宋_GB2312" w:cs="仿宋_GB2312"/>
          <w:sz w:val="32"/>
          <w:szCs w:val="32"/>
          <w:highlight w:val="none"/>
          <w:lang w:eastAsia="zh-CN"/>
        </w:rPr>
        <w:t>应答文件快递至指定地址。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 收件地址：天津市津南区南环路</w:t>
      </w:r>
      <w:r>
        <w:rPr>
          <w:rFonts w:hint="eastAsia" w:ascii="仿宋_GB2312" w:hAnsi="仿宋_GB2312" w:eastAsia="仿宋_GB2312" w:cs="仿宋_GB2312"/>
          <w:sz w:val="32"/>
          <w:szCs w:val="32"/>
          <w:highlight w:val="none"/>
          <w:lang w:val="en-US" w:eastAsia="zh-CN"/>
        </w:rPr>
        <w:t>31号 国家税务总局天津市津南区税务局</w:t>
      </w:r>
      <w:r>
        <w:rPr>
          <w:rFonts w:hint="eastAsia" w:ascii="仿宋_GB2312" w:hAnsi="仿宋_GB2312" w:eastAsia="仿宋_GB2312" w:cs="仿宋_GB2312"/>
          <w:sz w:val="32"/>
          <w:szCs w:val="32"/>
          <w:highlight w:val="none"/>
          <w:lang w:eastAsia="zh-CN"/>
        </w:rPr>
        <w:t>，收件人：郭岚旭。联系电话：022-28545653。</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五、</w:t>
      </w:r>
      <w:r>
        <w:rPr>
          <w:rFonts w:hint="eastAsia" w:ascii="仿宋_GB2312" w:hAnsi="仿宋_GB2312" w:eastAsia="仿宋_GB2312" w:cs="仿宋_GB2312"/>
          <w:sz w:val="32"/>
          <w:szCs w:val="32"/>
          <w:highlight w:val="none"/>
        </w:rPr>
        <w:t>其他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有意参加本项目采购活动的</w:t>
      </w:r>
      <w:r>
        <w:rPr>
          <w:rFonts w:hint="eastAsia" w:ascii="仿宋_GB2312" w:hAnsi="仿宋_GB2312" w:eastAsia="仿宋_GB2312" w:cs="仿宋_GB2312"/>
          <w:sz w:val="32"/>
          <w:szCs w:val="32"/>
          <w:highlight w:val="none"/>
          <w:lang w:eastAsia="zh-CN"/>
        </w:rPr>
        <w:t>服务商</w:t>
      </w:r>
      <w:r>
        <w:rPr>
          <w:rFonts w:hint="eastAsia" w:ascii="仿宋_GB2312" w:hAnsi="仿宋_GB2312" w:eastAsia="仿宋_GB2312" w:cs="仿宋_GB2312"/>
          <w:sz w:val="32"/>
          <w:szCs w:val="32"/>
          <w:highlight w:val="none"/>
        </w:rPr>
        <w:t>，可在工作时间以电话方式联系采购人，联系人：</w:t>
      </w:r>
      <w:r>
        <w:rPr>
          <w:rFonts w:hint="eastAsia" w:ascii="仿宋_GB2312" w:hAnsi="仿宋_GB2312" w:eastAsia="仿宋_GB2312" w:cs="仿宋_GB2312"/>
          <w:sz w:val="32"/>
          <w:szCs w:val="32"/>
          <w:highlight w:val="none"/>
          <w:lang w:eastAsia="zh-CN"/>
        </w:rPr>
        <w:t>郭岚旭</w:t>
      </w:r>
      <w:r>
        <w:rPr>
          <w:rFonts w:hint="eastAsia" w:ascii="仿宋_GB2312" w:hAnsi="仿宋_GB2312" w:eastAsia="仿宋_GB2312" w:cs="仿宋_GB2312"/>
          <w:sz w:val="32"/>
          <w:szCs w:val="32"/>
          <w:highlight w:val="none"/>
        </w:rPr>
        <w:t>，联系电话：022-</w:t>
      </w:r>
      <w:r>
        <w:rPr>
          <w:rFonts w:hint="eastAsia" w:ascii="仿宋_GB2312" w:hAnsi="仿宋_GB2312" w:eastAsia="仿宋_GB2312" w:cs="仿宋_GB2312"/>
          <w:sz w:val="32"/>
          <w:szCs w:val="32"/>
          <w:highlight w:val="none"/>
          <w:lang w:eastAsia="zh-CN"/>
        </w:rPr>
        <w:t>28545653</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国家税务总局天津市</w:t>
      </w:r>
      <w:r>
        <w:rPr>
          <w:rFonts w:hint="eastAsia" w:ascii="仿宋_GB2312" w:hAnsi="仿宋_GB2312" w:eastAsia="仿宋_GB2312" w:cs="仿宋_GB2312"/>
          <w:sz w:val="32"/>
          <w:szCs w:val="32"/>
          <w:highlight w:val="none"/>
          <w:lang w:eastAsia="zh-CN"/>
        </w:rPr>
        <w:t>津南区</w:t>
      </w:r>
      <w:r>
        <w:rPr>
          <w:rFonts w:hint="eastAsia" w:ascii="仿宋_GB2312" w:hAnsi="仿宋_GB2312" w:eastAsia="仿宋_GB2312" w:cs="仿宋_GB2312"/>
          <w:sz w:val="32"/>
          <w:szCs w:val="32"/>
          <w:highlight w:val="none"/>
        </w:rPr>
        <w:t>税务局对本次采购有最终解释权。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附件</w:t>
      </w:r>
      <w:r>
        <w:rPr>
          <w:rFonts w:hint="eastAsia" w:ascii="仿宋_GB2312" w:hAnsi="仿宋_GB2312" w:eastAsia="仿宋_GB2312" w:cs="仿宋_GB2312"/>
          <w:sz w:val="32"/>
          <w:szCs w:val="32"/>
          <w:highlight w:val="none"/>
          <w:lang w:val="en-US" w:eastAsia="zh-CN"/>
        </w:rPr>
        <w:t>1：国家税务总局天津市津南区税务局信息化、服务类项目预算评审项目参与报名表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highlight w:val="none"/>
          <w:lang w:val="en-US"/>
        </w:rPr>
      </w:pPr>
      <w:r>
        <w:rPr>
          <w:rFonts w:hint="eastAsia" w:ascii="仿宋_GB2312" w:hAnsi="仿宋_GB2312" w:eastAsia="仿宋_GB2312" w:cs="仿宋_GB2312"/>
          <w:sz w:val="32"/>
          <w:szCs w:val="32"/>
          <w:highlight w:val="none"/>
          <w:lang w:val="en-US" w:eastAsia="zh-CN"/>
        </w:rPr>
        <w:t>附件2：国家税务总局天津市津南区税务局信息化、服务类项目预算评审项目采购文件</w:t>
      </w:r>
    </w:p>
    <w:p>
      <w:pPr>
        <w:keepNext w:val="0"/>
        <w:keepLines w:val="0"/>
        <w:pageBreakBefore w:val="0"/>
        <w:widowControl w:val="0"/>
        <w:kinsoku/>
        <w:wordWrap/>
        <w:overflowPunct/>
        <w:topLinePunct w:val="0"/>
        <w:autoSpaceDE/>
        <w:autoSpaceDN/>
        <w:bidi w:val="0"/>
        <w:adjustRightInd/>
        <w:snapToGrid/>
        <w:spacing w:line="560" w:lineRule="exact"/>
        <w:ind w:firstLine="3840" w:firstLineChars="1200"/>
        <w:jc w:val="both"/>
        <w:textAlignment w:val="auto"/>
        <w:rPr>
          <w:rFonts w:hint="eastAsia" w:ascii="仿宋_GB2312" w:hAnsi="仿宋_GB2312" w:eastAsia="仿宋_GB2312" w:cs="仿宋_GB2312"/>
          <w:sz w:val="32"/>
          <w:szCs w:val="32"/>
          <w:highlight w:val="none"/>
          <w:lang w:eastAsia="zh-CN"/>
        </w:rPr>
      </w:pPr>
    </w:p>
    <w:p>
      <w:pPr>
        <w:pStyle w:val="2"/>
        <w:numPr>
          <w:ilvl w:val="0"/>
          <w:numId w:val="0"/>
        </w:numPr>
        <w:ind w:leftChars="200"/>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3200" w:firstLineChars="10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国家税务总局</w:t>
      </w:r>
      <w:r>
        <w:rPr>
          <w:rFonts w:hint="eastAsia" w:ascii="仿宋_GB2312" w:hAnsi="仿宋_GB2312" w:eastAsia="仿宋_GB2312" w:cs="仿宋_GB2312"/>
          <w:b w:val="0"/>
          <w:bCs w:val="0"/>
          <w:color w:val="auto"/>
          <w:sz w:val="32"/>
          <w:szCs w:val="32"/>
          <w:highlight w:val="none"/>
          <w:lang w:eastAsia="zh-CN"/>
        </w:rPr>
        <w:t>天津市津南区</w:t>
      </w:r>
      <w:r>
        <w:rPr>
          <w:rFonts w:hint="eastAsia" w:ascii="仿宋_GB2312" w:hAnsi="仿宋_GB2312" w:eastAsia="仿宋_GB2312" w:cs="仿宋_GB2312"/>
          <w:b w:val="0"/>
          <w:bCs w:val="0"/>
          <w:color w:val="auto"/>
          <w:sz w:val="32"/>
          <w:szCs w:val="32"/>
          <w:highlight w:val="none"/>
        </w:rPr>
        <w:t>税务局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u w:val="none"/>
          <w:lang w:val="en-US" w:eastAsia="zh-CN"/>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u w:val="none"/>
          <w:lang w:val="en-US" w:eastAsia="zh-CN"/>
        </w:rPr>
        <w:t>2026</w:t>
      </w:r>
      <w:r>
        <w:rPr>
          <w:rFonts w:hint="eastAsia" w:ascii="仿宋_GB2312" w:hAnsi="仿宋_GB2312" w:eastAsia="仿宋_GB2312" w:cs="仿宋_GB2312"/>
          <w:sz w:val="32"/>
          <w:szCs w:val="32"/>
          <w:highlight w:val="none"/>
          <w:u w:val="none"/>
        </w:rPr>
        <w:t>年</w:t>
      </w:r>
      <w:r>
        <w:rPr>
          <w:rFonts w:hint="eastAsia" w:ascii="仿宋_GB2312" w:hAnsi="仿宋_GB2312" w:eastAsia="仿宋_GB2312" w:cs="仿宋_GB2312"/>
          <w:color w:val="auto"/>
          <w:sz w:val="32"/>
          <w:szCs w:val="32"/>
          <w:highlight w:val="none"/>
          <w:u w:val="none"/>
          <w:lang w:val="en-US" w:eastAsia="zh-CN"/>
        </w:rPr>
        <w:t>1月23日</w:t>
      </w:r>
    </w:p>
    <w:p/>
    <w:p>
      <w:pPr>
        <w:pStyle w:val="4"/>
      </w:pPr>
    </w:p>
    <w:p>
      <w:pPr>
        <w:pStyle w:val="4"/>
      </w:pPr>
    </w:p>
    <w:p>
      <w:pPr>
        <w:pStyle w:val="4"/>
      </w:pPr>
    </w:p>
    <w:p>
      <w:pPr>
        <w:pStyle w:val="4"/>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highlight w:val="none"/>
        </w:rPr>
      </w:pPr>
      <w:r>
        <w:rPr>
          <w:rFonts w:hint="eastAsia" w:ascii="方正小标宋简体" w:hAnsi="方正小标宋简体" w:eastAsia="方正小标宋简体" w:cs="方正小标宋简体"/>
          <w:sz w:val="44"/>
          <w:szCs w:val="44"/>
          <w:highlight w:val="none"/>
          <w:lang w:eastAsia="zh-CN"/>
        </w:rPr>
        <w:t>第二章</w:t>
      </w:r>
      <w:r>
        <w:rPr>
          <w:rFonts w:hint="eastAsia" w:ascii="方正小标宋简体" w:hAnsi="方正小标宋简体" w:eastAsia="方正小标宋简体" w:cs="方正小标宋简体"/>
          <w:sz w:val="44"/>
          <w:szCs w:val="44"/>
          <w:highlight w:val="none"/>
          <w:lang w:val="en-US" w:eastAsia="zh-CN"/>
        </w:rPr>
        <w:t xml:space="preserve">  采购需求</w:t>
      </w:r>
    </w:p>
    <w:p>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_GB2312" w:hAnsi="仿宋_GB2312" w:eastAsia="仿宋_GB2312" w:cs="仿宋_GB2312"/>
          <w:i w:val="0"/>
          <w:iCs/>
          <w:color w:val="auto"/>
          <w:sz w:val="24"/>
          <w:szCs w:val="24"/>
          <w:highlight w:val="none"/>
        </w:rPr>
      </w:pPr>
    </w:p>
    <w:p>
      <w:pPr>
        <w:spacing w:line="600" w:lineRule="exact"/>
        <w:ind w:firstLine="640" w:firstLineChars="200"/>
        <w:rPr>
          <w:rFonts w:ascii="黑体" w:hAnsi="黑体" w:eastAsia="黑体" w:cs="Courier New"/>
          <w:sz w:val="32"/>
          <w:szCs w:val="32"/>
          <w:shd w:val="clear" w:color="auto" w:fill="FFFFFF"/>
        </w:rPr>
      </w:pPr>
      <w:r>
        <w:rPr>
          <w:rFonts w:hint="eastAsia" w:ascii="黑体" w:hAnsi="黑体" w:eastAsia="黑体" w:cs="Courier New"/>
          <w:sz w:val="32"/>
          <w:szCs w:val="32"/>
          <w:shd w:val="clear" w:color="auto" w:fill="FFFFFF"/>
        </w:rPr>
        <w:t>一、项目概述</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为贯彻落实过“紧日子”要求，进一步严格财务收支管理，统筹资金保障重点项目，提高采购效率，优化服务水平，国家税务总局</w:t>
      </w:r>
      <w:r>
        <w:rPr>
          <w:rFonts w:hint="eastAsia" w:ascii="仿宋_GB2312" w:hAnsi="仿宋_GB2312" w:eastAsia="仿宋_GB2312" w:cs="仿宋_GB2312"/>
          <w:sz w:val="32"/>
          <w:szCs w:val="32"/>
          <w:lang w:eastAsia="zh-CN"/>
        </w:rPr>
        <w:t>天津市津南区</w:t>
      </w:r>
      <w:r>
        <w:rPr>
          <w:rFonts w:hint="eastAsia" w:ascii="仿宋_GB2312" w:hAnsi="仿宋_GB2312" w:eastAsia="仿宋_GB2312" w:cs="仿宋_GB2312"/>
          <w:sz w:val="32"/>
          <w:szCs w:val="32"/>
        </w:rPr>
        <w:t>税务局对信息化、服务类项目预算评审实施采购。</w:t>
      </w:r>
    </w:p>
    <w:p>
      <w:pPr>
        <w:numPr>
          <w:ilvl w:val="0"/>
          <w:numId w:val="0"/>
        </w:numPr>
        <w:spacing w:line="600" w:lineRule="exact"/>
        <w:ind w:leftChars="200"/>
        <w:rPr>
          <w:rFonts w:hint="eastAsia" w:ascii="黑体" w:hAnsi="黑体" w:eastAsia="黑体" w:cs="Courier New"/>
          <w:sz w:val="32"/>
          <w:szCs w:val="32"/>
          <w:shd w:val="clear" w:color="auto" w:fill="FFFFFF"/>
        </w:rPr>
      </w:pPr>
      <w:r>
        <w:rPr>
          <w:rFonts w:hint="eastAsia" w:ascii="黑体" w:hAnsi="黑体" w:eastAsia="黑体" w:cs="Courier New"/>
          <w:sz w:val="32"/>
          <w:szCs w:val="32"/>
          <w:shd w:val="clear" w:color="auto" w:fill="FFFFFF"/>
          <w:lang w:eastAsia="zh-CN"/>
        </w:rPr>
        <w:t>二、</w:t>
      </w:r>
      <w:r>
        <w:rPr>
          <w:rFonts w:hint="eastAsia" w:ascii="黑体" w:hAnsi="黑体" w:eastAsia="黑体" w:cs="Courier New"/>
          <w:sz w:val="32"/>
          <w:szCs w:val="32"/>
          <w:shd w:val="clear" w:color="auto" w:fill="FFFFFF"/>
        </w:rPr>
        <w:t>项目需求</w:t>
      </w:r>
    </w:p>
    <w:p>
      <w:pPr>
        <w:pStyle w:val="4"/>
        <w:numPr>
          <w:ilvl w:val="0"/>
          <w:numId w:val="0"/>
        </w:numPr>
        <w:spacing w:before="0" w:beforeAutospacing="0" w:after="0" w:afterAutospacing="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（一）服务范围</w:t>
      </w:r>
      <w:r>
        <w:rPr>
          <w:rFonts w:hint="eastAsia" w:ascii="仿宋_GB2312" w:hAnsi="仿宋_GB2312" w:eastAsia="仿宋_GB2312" w:cs="仿宋_GB2312"/>
          <w:sz w:val="32"/>
          <w:szCs w:val="32"/>
        </w:rPr>
        <w:t>：根据国家税务总局</w:t>
      </w:r>
      <w:r>
        <w:rPr>
          <w:rFonts w:hint="eastAsia" w:ascii="仿宋_GB2312" w:hAnsi="仿宋_GB2312" w:eastAsia="仿宋_GB2312" w:cs="仿宋_GB2312"/>
          <w:sz w:val="32"/>
          <w:szCs w:val="32"/>
          <w:lang w:eastAsia="zh-CN"/>
        </w:rPr>
        <w:t>天津市津南区</w:t>
      </w:r>
      <w:r>
        <w:rPr>
          <w:rFonts w:hint="eastAsia" w:ascii="仿宋_GB2312" w:hAnsi="仿宋_GB2312" w:eastAsia="仿宋_GB2312" w:cs="仿宋_GB2312"/>
          <w:sz w:val="32"/>
          <w:szCs w:val="32"/>
        </w:rPr>
        <w:t>税务局预算评审有关规定对纳入评审范围的信息化、服务类项目进行预算评审，并根据评审工作安排协助完成预算编制辅导、审计资料整理、评审制度完善等其他相关工</w:t>
      </w:r>
      <w:r>
        <w:rPr>
          <w:rFonts w:hint="eastAsia" w:ascii="仿宋_GB2312" w:hAnsi="仿宋_GB2312" w:eastAsia="仿宋_GB2312" w:cs="仿宋_GB2312"/>
          <w:sz w:val="32"/>
          <w:szCs w:val="32"/>
          <w:lang w:eastAsia="zh-CN"/>
        </w:rPr>
        <w:t>作。</w:t>
      </w:r>
    </w:p>
    <w:p>
      <w:pPr>
        <w:pStyle w:val="4"/>
        <w:numPr>
          <w:ilvl w:val="0"/>
          <w:numId w:val="0"/>
        </w:numPr>
        <w:spacing w:before="0" w:beforeAutospacing="0" w:after="0" w:afterAutospacing="0"/>
        <w:ind w:firstLine="640" w:firstLineChars="200"/>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sz w:val="32"/>
          <w:szCs w:val="32"/>
          <w:lang w:eastAsia="zh-CN"/>
        </w:rPr>
        <w:t>（二）服务内容：</w:t>
      </w:r>
    </w:p>
    <w:p>
      <w:pPr>
        <w:pStyle w:val="4"/>
        <w:keepNext w:val="0"/>
        <w:keepLines w:val="0"/>
        <w:pageBreakBefore w:val="0"/>
        <w:numPr>
          <w:ilvl w:val="0"/>
          <w:numId w:val="0"/>
        </w:numPr>
        <w:kinsoku/>
        <w:wordWrap/>
        <w:overflowPunct/>
        <w:topLinePunct w:val="0"/>
        <w:autoSpaceDE/>
        <w:autoSpaceDN/>
        <w:bidi w:val="0"/>
        <w:spacing w:before="0" w:beforeAutospacing="0" w:after="0" w:afterAutospacing="0" w:line="560" w:lineRule="exact"/>
        <w:ind w:firstLine="640" w:firstLineChars="200"/>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i w:val="0"/>
          <w:iCs w:val="0"/>
          <w:caps w:val="0"/>
          <w:color w:val="000000"/>
          <w:spacing w:val="0"/>
          <w:sz w:val="32"/>
          <w:szCs w:val="32"/>
        </w:rPr>
        <w:t>评审工作</w:t>
      </w:r>
      <w:r>
        <w:rPr>
          <w:rFonts w:hint="eastAsia" w:ascii="仿宋_GB2312" w:hAnsi="仿宋_GB2312" w:eastAsia="仿宋_GB2312" w:cs="仿宋_GB2312"/>
          <w:i w:val="0"/>
          <w:iCs w:val="0"/>
          <w:caps w:val="0"/>
          <w:color w:val="000000"/>
          <w:spacing w:val="0"/>
          <w:sz w:val="32"/>
          <w:szCs w:val="32"/>
        </w:rPr>
        <w:br w:type="textWrapping"/>
      </w:r>
      <w:r>
        <w:rPr>
          <w:rFonts w:hint="eastAsia" w:ascii="仿宋_GB2312" w:hAnsi="仿宋_GB2312" w:eastAsia="仿宋_GB2312" w:cs="仿宋_GB2312"/>
          <w:i w:val="0"/>
          <w:iCs w:val="0"/>
          <w:caps w:val="0"/>
          <w:color w:val="000000"/>
          <w:spacing w:val="0"/>
          <w:sz w:val="32"/>
          <w:szCs w:val="32"/>
        </w:rPr>
        <w:t>       （1）</w:t>
      </w:r>
      <w:r>
        <w:rPr>
          <w:rFonts w:hint="eastAsia" w:ascii="仿宋_GB2312" w:hAnsi="仿宋_GB2312" w:eastAsia="仿宋_GB2312" w:cs="仿宋_GB2312"/>
          <w:i w:val="0"/>
          <w:iCs w:val="0"/>
          <w:caps w:val="0"/>
          <w:color w:val="000000"/>
          <w:spacing w:val="0"/>
          <w:sz w:val="32"/>
          <w:szCs w:val="32"/>
          <w:lang w:eastAsia="zh-CN"/>
        </w:rPr>
        <w:t>服务商</w:t>
      </w:r>
      <w:r>
        <w:rPr>
          <w:rFonts w:hint="eastAsia" w:ascii="仿宋_GB2312" w:hAnsi="仿宋_GB2312" w:eastAsia="仿宋_GB2312" w:cs="仿宋_GB2312"/>
          <w:i w:val="0"/>
          <w:iCs w:val="0"/>
          <w:caps w:val="0"/>
          <w:color w:val="000000"/>
          <w:spacing w:val="0"/>
          <w:sz w:val="32"/>
          <w:szCs w:val="32"/>
        </w:rPr>
        <w:t>应根据采购人提供的项目建设方案内容、预算说明等申报材料，采用科学的方法，独立开展预算评审，做到过程清晰、结果可信。</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进度控制</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①初评要求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年度整体立项、集中送审的项目原则上应在</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个工作日内完成；执行中的新增立项或追加预算、分散送审的项目原则上应在</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个工作日内向采购人反馈初评意见。</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②复评要求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集中送审的项目不超过</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个工作日，分散送审的项目不超过</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个工作日。</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③出具报告要求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成交</w:t>
      </w:r>
      <w:r>
        <w:rPr>
          <w:rFonts w:hint="eastAsia" w:ascii="仿宋_GB2312" w:hAnsi="仿宋_GB2312" w:eastAsia="仿宋_GB2312" w:cs="仿宋_GB2312"/>
          <w:sz w:val="32"/>
          <w:szCs w:val="32"/>
          <w:lang w:eastAsia="zh-CN"/>
        </w:rPr>
        <w:t>服务商</w:t>
      </w:r>
      <w:r>
        <w:rPr>
          <w:rFonts w:hint="eastAsia" w:ascii="仿宋_GB2312" w:hAnsi="仿宋_GB2312" w:eastAsia="仿宋_GB2312" w:cs="仿宋_GB2312"/>
          <w:sz w:val="32"/>
          <w:szCs w:val="32"/>
        </w:rPr>
        <w:t>应在评审结果确认后</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个工作日内出具加盖公章的预算评审报告。</w:t>
      </w:r>
    </w:p>
    <w:p>
      <w:pPr>
        <w:spacing w:line="600" w:lineRule="exact"/>
        <w:ind w:firstLine="640" w:firstLineChars="200"/>
        <w:rPr>
          <w:rFonts w:hint="eastAsia" w:ascii="仿宋_GB2312" w:hAnsi="仿宋_GB2312" w:eastAsia="仿宋_GB2312" w:cs="仿宋_GB2312"/>
          <w:i w:val="0"/>
          <w:iCs w:val="0"/>
          <w:caps w:val="0"/>
          <w:color w:val="000000"/>
          <w:spacing w:val="0"/>
          <w:sz w:val="32"/>
          <w:szCs w:val="32"/>
          <w:lang w:val="en-US" w:eastAsia="zh-CN"/>
        </w:rPr>
      </w:pPr>
      <w:r>
        <w:rPr>
          <w:rFonts w:hint="eastAsia" w:ascii="仿宋_GB2312" w:hAnsi="仿宋_GB2312" w:eastAsia="仿宋_GB2312" w:cs="仿宋_GB2312"/>
          <w:sz w:val="32"/>
          <w:szCs w:val="32"/>
        </w:rPr>
        <w:t>④争议处理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对于争议较大的项目，复评环节应在初评专家组基础上适当增加专家参与评审。</w:t>
      </w:r>
      <w:r>
        <w:rPr>
          <w:rFonts w:hint="eastAsia" w:ascii="仿宋_GB2312" w:hAnsi="仿宋_GB2312" w:eastAsia="仿宋_GB2312" w:cs="仿宋_GB2312"/>
          <w:i w:val="0"/>
          <w:iCs w:val="0"/>
          <w:caps w:val="0"/>
          <w:color w:val="000000"/>
          <w:spacing w:val="0"/>
          <w:sz w:val="32"/>
          <w:szCs w:val="32"/>
        </w:rPr>
        <w:br w:type="textWrapping"/>
      </w:r>
      <w:r>
        <w:rPr>
          <w:rFonts w:hint="eastAsia" w:ascii="仿宋_GB2312" w:hAnsi="仿宋_GB2312" w:eastAsia="仿宋_GB2312" w:cs="仿宋_GB2312"/>
          <w:i w:val="0"/>
          <w:iCs w:val="0"/>
          <w:caps w:val="0"/>
          <w:color w:val="000000"/>
          <w:spacing w:val="0"/>
          <w:sz w:val="32"/>
          <w:szCs w:val="32"/>
        </w:rPr>
        <w:t>       （</w:t>
      </w:r>
      <w:r>
        <w:rPr>
          <w:rFonts w:hint="eastAsia" w:ascii="仿宋_GB2312" w:hAnsi="仿宋_GB2312" w:eastAsia="仿宋_GB2312" w:cs="仿宋_GB2312"/>
          <w:i w:val="0"/>
          <w:iCs w:val="0"/>
          <w:caps w:val="0"/>
          <w:color w:val="000000"/>
          <w:spacing w:val="0"/>
          <w:sz w:val="32"/>
          <w:szCs w:val="32"/>
          <w:lang w:val="en-US" w:eastAsia="zh-CN"/>
        </w:rPr>
        <w:t>3）服务商应提供相关评审场地、人员以及会务等，涉及的劳务等费用由服务商承担。</w:t>
      </w:r>
    </w:p>
    <w:p>
      <w:pPr>
        <w:pStyle w:val="4"/>
        <w:keepNext w:val="0"/>
        <w:keepLines w:val="0"/>
        <w:pageBreakBefore w:val="0"/>
        <w:numPr>
          <w:ilvl w:val="0"/>
          <w:numId w:val="0"/>
        </w:numPr>
        <w:kinsoku/>
        <w:wordWrap/>
        <w:overflowPunct/>
        <w:topLinePunct w:val="0"/>
        <w:autoSpaceDE/>
        <w:autoSpaceDN/>
        <w:bidi w:val="0"/>
        <w:spacing w:before="0" w:beforeAutospacing="0" w:after="0" w:afterAutospacing="0"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i w:val="0"/>
          <w:iCs w:val="0"/>
          <w:caps w:val="0"/>
          <w:color w:val="000000"/>
          <w:spacing w:val="0"/>
          <w:sz w:val="32"/>
          <w:szCs w:val="32"/>
          <w:lang w:val="en-US" w:eastAsia="zh-CN"/>
        </w:rPr>
        <w:t>（4）服务商应遵守有关咨询、评审的法律法规和规章制度。</w:t>
      </w:r>
      <w:r>
        <w:rPr>
          <w:rFonts w:hint="eastAsia" w:ascii="仿宋_GB2312" w:hAnsi="仿宋_GB2312" w:eastAsia="仿宋_GB2312" w:cs="仿宋_GB2312"/>
          <w:i w:val="0"/>
          <w:iCs w:val="0"/>
          <w:caps w:val="0"/>
          <w:color w:val="000000"/>
          <w:spacing w:val="0"/>
          <w:sz w:val="32"/>
          <w:szCs w:val="32"/>
          <w:lang w:val="en-US" w:eastAsia="zh-CN"/>
        </w:rPr>
        <w:br w:type="textWrapping"/>
      </w:r>
      <w:r>
        <w:rPr>
          <w:rFonts w:hint="eastAsia" w:ascii="仿宋_GB2312" w:hAnsi="仿宋_GB2312" w:eastAsia="仿宋_GB2312" w:cs="仿宋_GB2312"/>
          <w:i w:val="0"/>
          <w:iCs w:val="0"/>
          <w:caps w:val="0"/>
          <w:color w:val="000000"/>
          <w:spacing w:val="0"/>
          <w:sz w:val="32"/>
          <w:szCs w:val="32"/>
          <w:lang w:val="en-US" w:eastAsia="zh-CN"/>
        </w:rPr>
        <w:t>       2.根据采购人实际需要，服务商完成以下工作:</w:t>
      </w:r>
      <w:r>
        <w:rPr>
          <w:rFonts w:hint="eastAsia" w:ascii="仿宋_GB2312" w:hAnsi="仿宋_GB2312" w:eastAsia="仿宋_GB2312" w:cs="仿宋_GB2312"/>
          <w:i w:val="0"/>
          <w:iCs w:val="0"/>
          <w:caps w:val="0"/>
          <w:color w:val="000000"/>
          <w:spacing w:val="0"/>
          <w:sz w:val="32"/>
          <w:szCs w:val="32"/>
          <w:lang w:val="en-US" w:eastAsia="zh-CN"/>
        </w:rPr>
        <w:br w:type="textWrapping"/>
      </w:r>
      <w:r>
        <w:rPr>
          <w:rFonts w:hint="eastAsia" w:ascii="仿宋_GB2312" w:hAnsi="仿宋_GB2312" w:eastAsia="仿宋_GB2312" w:cs="仿宋_GB2312"/>
          <w:kern w:val="2"/>
          <w:sz w:val="32"/>
          <w:szCs w:val="32"/>
          <w:lang w:val="en-US" w:eastAsia="zh-CN" w:bidi="ar-SA"/>
        </w:rPr>
        <w:t>       （1）负责国家税务总局天津市津南区税务局信息化、服务类项目预算评审工作，为国家税务总局天津市津南区税务局信息化、服务类项目预算提供科学合理的依据。</w:t>
      </w:r>
      <w:r>
        <w:rPr>
          <w:rFonts w:hint="eastAsia" w:ascii="仿宋_GB2312" w:hAnsi="仿宋_GB2312" w:eastAsia="仿宋_GB2312" w:cs="仿宋_GB2312"/>
          <w:kern w:val="2"/>
          <w:sz w:val="32"/>
          <w:szCs w:val="32"/>
          <w:lang w:val="en-US" w:eastAsia="zh-CN" w:bidi="ar-SA"/>
        </w:rPr>
        <w:br w:type="textWrapping"/>
      </w:r>
      <w:r>
        <w:rPr>
          <w:rFonts w:hint="eastAsia" w:ascii="仿宋_GB2312" w:hAnsi="仿宋_GB2312" w:eastAsia="仿宋_GB2312" w:cs="仿宋_GB2312"/>
          <w:kern w:val="2"/>
          <w:sz w:val="32"/>
          <w:szCs w:val="32"/>
          <w:lang w:val="en-US" w:eastAsia="zh-CN" w:bidi="ar-SA"/>
        </w:rPr>
        <w:t>       （2）使用科学的、被行业内广泛认可的分析评估方法进行评估，确保预算评估质量。</w:t>
      </w:r>
      <w:r>
        <w:rPr>
          <w:rFonts w:hint="eastAsia" w:ascii="仿宋_GB2312" w:hAnsi="仿宋_GB2312" w:eastAsia="仿宋_GB2312" w:cs="仿宋_GB2312"/>
          <w:kern w:val="2"/>
          <w:sz w:val="32"/>
          <w:szCs w:val="32"/>
          <w:lang w:val="en-US" w:eastAsia="zh-CN" w:bidi="ar-SA"/>
        </w:rPr>
        <w:br w:type="textWrapping"/>
      </w:r>
      <w:r>
        <w:rPr>
          <w:rFonts w:hint="eastAsia" w:ascii="仿宋_GB2312" w:hAnsi="仿宋_GB2312" w:eastAsia="仿宋_GB2312" w:cs="仿宋_GB2312"/>
          <w:kern w:val="2"/>
          <w:sz w:val="32"/>
          <w:szCs w:val="32"/>
          <w:lang w:val="en-US" w:eastAsia="zh-CN" w:bidi="ar-SA"/>
        </w:rPr>
        <w:t>       （3）生成的评估成果物归国家税务总局天津市津南区税务局所有，向国家税务总局天津市津南区税务局提供完整的电子版成果文档及纸质结论性文档。</w:t>
      </w:r>
      <w:r>
        <w:rPr>
          <w:rFonts w:hint="eastAsia" w:ascii="仿宋_GB2312" w:hAnsi="仿宋_GB2312" w:eastAsia="仿宋_GB2312" w:cs="仿宋_GB2312"/>
          <w:kern w:val="2"/>
          <w:sz w:val="32"/>
          <w:szCs w:val="32"/>
          <w:lang w:val="en-US" w:eastAsia="zh-CN" w:bidi="ar-SA"/>
        </w:rPr>
        <w:br w:type="textWrapping"/>
      </w:r>
      <w:r>
        <w:rPr>
          <w:rFonts w:hint="eastAsia" w:ascii="仿宋_GB2312" w:hAnsi="仿宋_GB2312" w:eastAsia="仿宋_GB2312" w:cs="仿宋_GB2312"/>
          <w:kern w:val="2"/>
          <w:sz w:val="32"/>
          <w:szCs w:val="32"/>
          <w:lang w:val="en-US" w:eastAsia="zh-CN" w:bidi="ar-SA"/>
        </w:rPr>
        <w:t>       （4）对评审工作中获得的相关信息严格保密。</w:t>
      </w:r>
      <w:r>
        <w:rPr>
          <w:rFonts w:hint="eastAsia" w:ascii="仿宋_GB2312" w:hAnsi="仿宋_GB2312" w:eastAsia="仿宋_GB2312" w:cs="仿宋_GB2312"/>
          <w:kern w:val="2"/>
          <w:sz w:val="32"/>
          <w:szCs w:val="32"/>
          <w:lang w:val="en-US" w:eastAsia="zh-CN" w:bidi="ar-SA"/>
        </w:rPr>
        <w:br w:type="textWrapping"/>
      </w:r>
      <w:r>
        <w:rPr>
          <w:rFonts w:hint="eastAsia" w:ascii="仿宋_GB2312" w:hAnsi="仿宋_GB2312" w:eastAsia="仿宋_GB2312" w:cs="仿宋_GB2312"/>
          <w:kern w:val="2"/>
          <w:sz w:val="32"/>
          <w:szCs w:val="32"/>
          <w:lang w:val="en-US" w:eastAsia="zh-CN" w:bidi="ar-SA"/>
        </w:rPr>
        <w:t>       （5）对国家税务总局天津市津南区税务局预算评审任务及时响应，保证评审工作的时效。</w:t>
      </w:r>
      <w:r>
        <w:rPr>
          <w:rFonts w:hint="eastAsia" w:ascii="仿宋_GB2312" w:hAnsi="仿宋_GB2312" w:eastAsia="仿宋_GB2312" w:cs="仿宋_GB2312"/>
          <w:kern w:val="2"/>
          <w:sz w:val="32"/>
          <w:szCs w:val="32"/>
          <w:lang w:val="en-US" w:eastAsia="zh-CN" w:bidi="ar-SA"/>
        </w:rPr>
        <w:br w:type="textWrapping"/>
      </w:r>
      <w:r>
        <w:rPr>
          <w:rFonts w:hint="eastAsia" w:ascii="仿宋_GB2312" w:hAnsi="仿宋_GB2312" w:eastAsia="仿宋_GB2312" w:cs="仿宋_GB2312"/>
          <w:kern w:val="2"/>
          <w:sz w:val="32"/>
          <w:szCs w:val="32"/>
          <w:lang w:val="en-US" w:eastAsia="zh-CN" w:bidi="ar-SA"/>
        </w:rPr>
        <w:t>       （6）遵守有关预算评审等的法律法规和规章制度。</w:t>
      </w:r>
      <w:r>
        <w:rPr>
          <w:rFonts w:hint="eastAsia" w:ascii="仿宋_GB2312" w:hAnsi="仿宋_GB2312" w:eastAsia="仿宋_GB2312" w:cs="仿宋_GB2312"/>
          <w:i w:val="0"/>
          <w:iCs w:val="0"/>
          <w:caps w:val="0"/>
          <w:color w:val="000000"/>
          <w:spacing w:val="0"/>
          <w:sz w:val="32"/>
          <w:szCs w:val="32"/>
        </w:rPr>
        <w:br w:type="textWrapping"/>
      </w:r>
      <w:r>
        <w:rPr>
          <w:rFonts w:hint="eastAsia" w:ascii="仿宋_GB2312" w:hAnsi="仿宋_GB2312" w:eastAsia="仿宋_GB2312" w:cs="仿宋_GB2312"/>
          <w:i w:val="0"/>
          <w:iCs w:val="0"/>
          <w:caps w:val="0"/>
          <w:color w:val="000000"/>
          <w:spacing w:val="0"/>
          <w:sz w:val="32"/>
          <w:szCs w:val="32"/>
        </w:rPr>
        <w:t>       </w:t>
      </w:r>
      <w:r>
        <w:rPr>
          <w:rFonts w:hint="eastAsia" w:ascii="黑体" w:hAnsi="黑体" w:eastAsia="黑体" w:cs="黑体"/>
          <w:b w:val="0"/>
          <w:bCs w:val="0"/>
          <w:i w:val="0"/>
          <w:iCs w:val="0"/>
          <w:caps w:val="0"/>
          <w:color w:val="000000"/>
          <w:spacing w:val="0"/>
          <w:sz w:val="32"/>
          <w:szCs w:val="32"/>
          <w:lang w:eastAsia="zh-CN"/>
        </w:rPr>
        <w:t>三</w:t>
      </w:r>
      <w:r>
        <w:rPr>
          <w:rStyle w:val="12"/>
          <w:rFonts w:hint="eastAsia" w:ascii="黑体" w:hAnsi="黑体" w:eastAsia="黑体" w:cs="黑体"/>
          <w:b w:val="0"/>
          <w:bCs w:val="0"/>
          <w:i w:val="0"/>
          <w:iCs w:val="0"/>
          <w:caps w:val="0"/>
          <w:color w:val="000000"/>
          <w:spacing w:val="0"/>
          <w:sz w:val="32"/>
          <w:szCs w:val="32"/>
        </w:rPr>
        <w:t>、</w:t>
      </w:r>
      <w:r>
        <w:rPr>
          <w:rStyle w:val="12"/>
          <w:rFonts w:hint="eastAsia" w:ascii="黑体" w:hAnsi="黑体" w:eastAsia="黑体" w:cs="黑体"/>
          <w:b w:val="0"/>
          <w:bCs w:val="0"/>
          <w:i w:val="0"/>
          <w:iCs w:val="0"/>
          <w:caps w:val="0"/>
          <w:color w:val="000000"/>
          <w:spacing w:val="0"/>
          <w:sz w:val="32"/>
          <w:szCs w:val="32"/>
          <w:lang w:eastAsia="zh-CN"/>
        </w:rPr>
        <w:t>保密</w:t>
      </w:r>
      <w:r>
        <w:rPr>
          <w:rStyle w:val="12"/>
          <w:rFonts w:hint="eastAsia" w:ascii="黑体" w:hAnsi="黑体" w:eastAsia="黑体" w:cs="黑体"/>
          <w:b w:val="0"/>
          <w:bCs w:val="0"/>
          <w:i w:val="0"/>
          <w:iCs w:val="0"/>
          <w:caps w:val="0"/>
          <w:color w:val="000000"/>
          <w:spacing w:val="0"/>
          <w:sz w:val="32"/>
          <w:szCs w:val="32"/>
        </w:rPr>
        <w:t>要求</w:t>
      </w:r>
    </w:p>
    <w:p>
      <w:pPr>
        <w:pStyle w:val="6"/>
        <w:suppressAutoHyphens/>
        <w:adjustRightInd w:val="0"/>
        <w:snapToGrid w:val="0"/>
        <w:spacing w:line="620" w:lineRule="exact"/>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服务商在参与采购过程中知悉的采购人的国家秘密、商业秘密、防伪措施及有关文件信息，均不得泄露或不正当地使用。成交服务商在服务期限内，未经许可，不得将任何采购人认为涉密的文档、印制技术资料、防伪措施、编码规则，向第三方和本单位无关的人员泄露或不正当地使用。如服务商违反此约定，应承担由此引起的诉讼和一切相关责任，并承担由此而给采购人造成的一切损失。成交服务商与采购人终止合同后，须将所有相关技术资料交回，生产专用物资在采购单位监督下销毁，所产生费用全部由成交服务商承担。</w:t>
      </w:r>
    </w:p>
    <w:p>
      <w:pPr>
        <w:pStyle w:val="6"/>
        <w:numPr>
          <w:ilvl w:val="0"/>
          <w:numId w:val="0"/>
        </w:numPr>
        <w:suppressAutoHyphens/>
        <w:adjustRightInd w:val="0"/>
        <w:snapToGrid w:val="0"/>
        <w:spacing w:line="620" w:lineRule="exact"/>
        <w:ind w:firstLine="640" w:firstLineChars="200"/>
        <w:outlineLvl w:val="0"/>
        <w:rPr>
          <w:rFonts w:hint="eastAsia" w:ascii="黑体" w:hAnsi="黑体" w:eastAsia="黑体" w:cs="黑体"/>
          <w:b w:val="0"/>
          <w:bCs w:val="0"/>
          <w:sz w:val="32"/>
          <w:szCs w:val="32"/>
          <w:lang w:eastAsia="zh-CN"/>
        </w:rPr>
      </w:pPr>
      <w:r>
        <w:rPr>
          <w:rFonts w:hint="eastAsia" w:ascii="黑体" w:hAnsi="黑体" w:eastAsia="黑体" w:cs="黑体"/>
          <w:b w:val="0"/>
          <w:bCs w:val="0"/>
          <w:i w:val="0"/>
          <w:iCs w:val="0"/>
          <w:caps w:val="0"/>
          <w:color w:val="000000"/>
          <w:spacing w:val="0"/>
          <w:sz w:val="32"/>
          <w:szCs w:val="32"/>
          <w:lang w:eastAsia="zh-CN"/>
        </w:rPr>
        <w:t>四、</w:t>
      </w:r>
      <w:r>
        <w:rPr>
          <w:rFonts w:hint="eastAsia" w:ascii="黑体" w:hAnsi="黑体" w:eastAsia="黑体" w:cs="黑体"/>
          <w:b w:val="0"/>
          <w:bCs w:val="0"/>
          <w:sz w:val="32"/>
          <w:szCs w:val="32"/>
          <w:lang w:eastAsia="zh-CN"/>
        </w:rPr>
        <w:t>履约验收要求</w:t>
      </w:r>
    </w:p>
    <w:p>
      <w:pPr>
        <w:pStyle w:val="6"/>
        <w:suppressAutoHyphens/>
        <w:adjustRightInd w:val="0"/>
        <w:snapToGrid w:val="0"/>
        <w:spacing w:line="620" w:lineRule="exact"/>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项目按照国家税务总局天津市津南区税务局有关规定进行验收。验收时，按照采购合同的约定对每个项目评审工作的履约情况进行确认。验收资料至少应包括项目评审报告、项目实施过程中要求提交的其他成果物。验收遵循客观公正、全面系统、严格标准、注重实效的原则，依据项目合同、技术标准及相关文件进行。验收通过后出具报告并办理交付；未通过的需整改并重新验收，重大问题及时上报。</w:t>
      </w:r>
    </w:p>
    <w:p>
      <w:pPr>
        <w:pStyle w:val="6"/>
        <w:suppressAutoHyphens/>
        <w:adjustRightInd w:val="0"/>
        <w:snapToGrid w:val="0"/>
        <w:spacing w:line="620" w:lineRule="exact"/>
        <w:ind w:firstLine="640" w:firstLineChars="200"/>
        <w:outlineLvl w:val="0"/>
        <w:rPr>
          <w:rFonts w:ascii="黑体" w:hAnsi="黑体" w:eastAsia="黑体"/>
          <w:sz w:val="32"/>
          <w:szCs w:val="32"/>
          <w:shd w:val="clear" w:color="auto" w:fill="FFFFFF"/>
        </w:rPr>
      </w:pPr>
      <w:r>
        <w:rPr>
          <w:rFonts w:hint="eastAsia" w:ascii="黑体" w:hAnsi="黑体" w:eastAsia="黑体"/>
          <w:sz w:val="32"/>
          <w:szCs w:val="32"/>
          <w:shd w:val="clear" w:color="auto" w:fill="FFFFFF"/>
          <w:lang w:eastAsia="zh-CN"/>
        </w:rPr>
        <w:t>五、</w:t>
      </w:r>
      <w:r>
        <w:rPr>
          <w:rFonts w:hint="eastAsia" w:ascii="黑体" w:hAnsi="黑体" w:eastAsia="黑体"/>
          <w:sz w:val="32"/>
          <w:szCs w:val="32"/>
          <w:shd w:val="clear" w:color="auto" w:fill="FFFFFF"/>
        </w:rPr>
        <w:t>商务要求</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（一）报价要求</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投标报价以单一项目预算的千分比报价，单个项目评审费用最低收费标准以人民币填列。一旦获得成交资格，所报收费比例不变，以实际评审项目预算金额据实结算。</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投标人的报价应包括：人员费用、服务费用、成果编制费用、管理费及税金等为完成采购文件规定的一切工作所需的全部费用。</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（二）时间、地点要求：</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时间要求：合同</w:t>
      </w:r>
      <w:r>
        <w:rPr>
          <w:rFonts w:hint="eastAsia" w:ascii="仿宋_GB2312" w:hAnsi="仿宋_GB2312" w:eastAsia="仿宋_GB2312" w:cs="仿宋_GB2312"/>
          <w:sz w:val="32"/>
          <w:szCs w:val="32"/>
          <w:lang w:eastAsia="zh-CN"/>
        </w:rPr>
        <w:t>签订</w:t>
      </w:r>
      <w:r>
        <w:rPr>
          <w:rFonts w:hint="eastAsia" w:ascii="仿宋_GB2312" w:hAnsi="仿宋_GB2312" w:eastAsia="仿宋_GB2312" w:cs="仿宋_GB2312"/>
          <w:sz w:val="32"/>
          <w:szCs w:val="32"/>
        </w:rPr>
        <w:t>之日起一年（特殊情况以合同为准）。</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服务地点：</w:t>
      </w:r>
      <w:r>
        <w:rPr>
          <w:rFonts w:hint="eastAsia" w:ascii="仿宋_GB2312" w:hAnsi="仿宋_GB2312" w:eastAsia="仿宋_GB2312" w:cs="仿宋_GB2312"/>
          <w:sz w:val="32"/>
          <w:szCs w:val="32"/>
          <w:highlight w:val="none"/>
          <w:lang w:eastAsia="zh-CN"/>
        </w:rPr>
        <w:t>天津市津南区南环路</w:t>
      </w:r>
      <w:r>
        <w:rPr>
          <w:rFonts w:hint="eastAsia" w:ascii="仿宋_GB2312" w:hAnsi="仿宋_GB2312" w:eastAsia="仿宋_GB2312" w:cs="仿宋_GB2312"/>
          <w:sz w:val="32"/>
          <w:szCs w:val="32"/>
          <w:highlight w:val="none"/>
          <w:lang w:val="en-US" w:eastAsia="zh-CN"/>
        </w:rPr>
        <w:t>31号</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（三）付款方式</w:t>
      </w:r>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据实按次结算。对于初次审核未通过的项目，补充材料再次进行预算评审时，不再另行计费（特殊情况以合同为准）。</w:t>
      </w:r>
    </w:p>
    <w:p>
      <w:pPr>
        <w:spacing w:line="240" w:lineRule="auto"/>
        <w:ind w:firstLine="0" w:firstLineChars="0"/>
      </w:pPr>
      <w:r>
        <w:rPr>
          <w:rFonts w:hint="eastAsia" w:ascii="仿宋_GB2312" w:hAnsi="仿宋_GB2312" w:eastAsia="仿宋_GB2312" w:cs="仿宋_GB2312"/>
          <w:sz w:val="32"/>
          <w:szCs w:val="32"/>
          <w:lang w:val="en-US" w:eastAsia="zh-CN"/>
        </w:rPr>
        <w:t xml:space="preserve">     </w:t>
      </w:r>
      <w:r>
        <w:rPr>
          <w:rFonts w:hint="eastAsia" w:ascii="黑体" w:hAnsi="黑体" w:eastAsia="黑体" w:cs="黑体"/>
          <w:sz w:val="32"/>
          <w:szCs w:val="32"/>
          <w:lang w:val="en-US" w:eastAsia="zh-CN"/>
        </w:rPr>
        <w:t>六、</w:t>
      </w:r>
      <w:r>
        <w:rPr>
          <w:rFonts w:hint="eastAsia" w:ascii="黑体" w:hAnsi="黑体" w:eastAsia="黑体" w:cs="Courier New"/>
          <w:kern w:val="2"/>
          <w:sz w:val="32"/>
          <w:szCs w:val="32"/>
          <w:shd w:val="clear" w:color="auto" w:fill="FFFFFF"/>
          <w:lang w:val="en-US" w:eastAsia="zh-CN" w:bidi="ar-SA"/>
        </w:rPr>
        <w:t>服务商资格条件及相关要求</w:t>
      </w:r>
      <w:r>
        <w:rPr>
          <w:rFonts w:hint="eastAsia" w:ascii="微软雅黑" w:hAnsi="微软雅黑" w:eastAsia="微软雅黑" w:cs="微软雅黑"/>
          <w:i w:val="0"/>
          <w:iCs w:val="0"/>
          <w:caps w:val="0"/>
          <w:color w:val="000000"/>
          <w:spacing w:val="0"/>
          <w:sz w:val="27"/>
          <w:szCs w:val="27"/>
        </w:rPr>
        <w:br w:type="textWrapping"/>
      </w:r>
      <w:r>
        <w:rPr>
          <w:rFonts w:hint="eastAsia" w:ascii="微软雅黑" w:hAnsi="微软雅黑" w:eastAsia="微软雅黑" w:cs="微软雅黑"/>
          <w:i w:val="0"/>
          <w:iCs w:val="0"/>
          <w:caps w:val="0"/>
          <w:color w:val="000000"/>
          <w:spacing w:val="0"/>
          <w:sz w:val="27"/>
          <w:szCs w:val="27"/>
        </w:rPr>
        <w:t>       </w:t>
      </w:r>
      <w:r>
        <w:rPr>
          <w:rFonts w:hint="eastAsia" w:ascii="仿宋_GB2312" w:hAnsi="仿宋_GB2312" w:eastAsia="仿宋_GB2312" w:cs="仿宋_GB2312"/>
          <w:sz w:val="32"/>
          <w:szCs w:val="32"/>
        </w:rPr>
        <w:t>（一）实质性要求</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1.具有独立承担民事责任的能力（请提供法人或者其他组织的营业执照等证明文件，自然人的身份证明）；</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2.具有履行合同所必需的服务能力（请提供具备履行合同所必需的服务能力的证明材料）；</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3.有依法缴纳税收和社会保障资金的良好记录（请提供依法缴纳税收和社会保障资金的相关材料）；</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相关材料请加盖单位公章。</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（二）其它资质要求</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服务商</w:t>
      </w:r>
      <w:r>
        <w:rPr>
          <w:rFonts w:hint="eastAsia" w:ascii="仿宋_GB2312" w:hAnsi="仿宋_GB2312" w:eastAsia="仿宋_GB2312" w:cs="仿宋_GB2312"/>
          <w:sz w:val="32"/>
          <w:szCs w:val="32"/>
        </w:rPr>
        <w:t>需有2021年至今与本项目类型规模相当且已完成的成功案例，并附相关证明资料。</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相关材料请加盖单位公章。</w:t>
      </w:r>
      <w:r>
        <w:rPr>
          <w:rFonts w:hint="eastAsia" w:ascii="仿宋_GB2312" w:hAnsi="仿宋_GB2312" w:eastAsia="仿宋_GB2312" w:cs="仿宋_GB2312"/>
          <w:sz w:val="32"/>
          <w:szCs w:val="32"/>
        </w:rPr>
        <w:br w:type="textWrapping"/>
      </w:r>
    </w:p>
    <w:p>
      <w:pPr>
        <w:spacing w:line="560" w:lineRule="exact"/>
        <w:jc w:val="both"/>
        <w:rPr>
          <w:rFonts w:hint="eastAsia" w:ascii="仿宋_GB2312" w:hAnsi="仿宋_GB2312" w:eastAsia="仿宋_GB2312" w:cs="仿宋_GB2312"/>
          <w:bCs/>
          <w:i w:val="0"/>
          <w:iCs/>
          <w:color w:val="auto"/>
          <w:sz w:val="30"/>
          <w:szCs w:val="3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highlight w:val="none"/>
        </w:rPr>
      </w:pPr>
      <w:r>
        <w:rPr>
          <w:rFonts w:hint="eastAsia" w:ascii="方正小标宋简体" w:hAnsi="方正小标宋简体" w:eastAsia="方正小标宋简体" w:cs="方正小标宋简体"/>
          <w:sz w:val="44"/>
          <w:szCs w:val="44"/>
          <w:highlight w:val="none"/>
          <w:lang w:eastAsia="zh-CN"/>
        </w:rPr>
        <w:t>第三章</w:t>
      </w:r>
      <w:r>
        <w:rPr>
          <w:rFonts w:hint="eastAsia" w:ascii="方正小标宋简体" w:hAnsi="方正小标宋简体" w:eastAsia="方正小标宋简体" w:cs="方正小标宋简体"/>
          <w:sz w:val="44"/>
          <w:szCs w:val="44"/>
          <w:highlight w:val="none"/>
          <w:lang w:val="en-US" w:eastAsia="zh-CN"/>
        </w:rPr>
        <w:t xml:space="preserve">  评审方法</w:t>
      </w:r>
    </w:p>
    <w:p>
      <w:pPr>
        <w:spacing w:line="560" w:lineRule="exact"/>
        <w:ind w:firstLine="640" w:firstLineChars="200"/>
        <w:rPr>
          <w:rFonts w:hint="eastAsia" w:ascii="仿宋_GB2312" w:hAnsi="仿宋_GB2312" w:eastAsia="仿宋_GB2312" w:cs="仿宋_GB2312"/>
          <w:sz w:val="32"/>
          <w:szCs w:val="32"/>
          <w:lang w:eastAsia="zh-CN"/>
        </w:rPr>
      </w:pP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评审概述</w:t>
      </w:r>
    </w:p>
    <w:p>
      <w:pPr>
        <w:topLinePunct/>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采购人将组建</w:t>
      </w: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w:t>
      </w: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小组将按照</w:t>
      </w:r>
      <w:r>
        <w:rPr>
          <w:rFonts w:hint="eastAsia" w:ascii="仿宋_GB2312" w:hAnsi="仿宋_GB2312" w:eastAsia="仿宋_GB2312" w:cs="仿宋_GB2312"/>
          <w:sz w:val="32"/>
          <w:szCs w:val="32"/>
          <w:lang w:eastAsia="zh-CN"/>
        </w:rPr>
        <w:t>采购文件要求对服务商应答</w:t>
      </w:r>
      <w:r>
        <w:rPr>
          <w:rFonts w:hint="eastAsia" w:ascii="仿宋_GB2312" w:hAnsi="仿宋_GB2312" w:eastAsia="仿宋_GB2312" w:cs="仿宋_GB2312"/>
          <w:sz w:val="32"/>
          <w:szCs w:val="32"/>
        </w:rPr>
        <w:t>文件进行评审。</w:t>
      </w:r>
    </w:p>
    <w:p>
      <w:pPr>
        <w:spacing w:line="560" w:lineRule="exact"/>
        <w:ind w:firstLine="640" w:firstLineChars="20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w:t>
      </w:r>
      <w:r>
        <w:rPr>
          <w:rFonts w:hint="eastAsia" w:ascii="仿宋_GB2312" w:hAnsi="仿宋_GB2312" w:eastAsia="仿宋_GB2312" w:cs="仿宋_GB2312"/>
          <w:kern w:val="2"/>
          <w:sz w:val="32"/>
          <w:szCs w:val="32"/>
          <w:lang w:eastAsia="zh-CN"/>
        </w:rPr>
        <w:t>应答</w:t>
      </w:r>
      <w:r>
        <w:rPr>
          <w:rFonts w:hint="eastAsia" w:ascii="仿宋_GB2312" w:hAnsi="仿宋_GB2312" w:eastAsia="仿宋_GB2312" w:cs="仿宋_GB2312"/>
          <w:kern w:val="2"/>
          <w:sz w:val="32"/>
          <w:szCs w:val="32"/>
        </w:rPr>
        <w:t>文件的有效性、完整性和响应程度审查</w:t>
      </w:r>
    </w:p>
    <w:p>
      <w:pPr>
        <w:topLinePunct/>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评审</w:t>
      </w:r>
      <w:r>
        <w:rPr>
          <w:rFonts w:hint="eastAsia" w:ascii="仿宋_GB2312" w:hAnsi="仿宋_GB2312" w:eastAsia="仿宋_GB2312" w:cs="仿宋_GB2312"/>
          <w:bCs/>
          <w:sz w:val="32"/>
          <w:szCs w:val="32"/>
        </w:rPr>
        <w:t>小组将审查每份应</w:t>
      </w:r>
      <w:r>
        <w:rPr>
          <w:rFonts w:hint="eastAsia" w:ascii="仿宋_GB2312" w:hAnsi="仿宋_GB2312" w:eastAsia="仿宋_GB2312" w:cs="仿宋_GB2312"/>
          <w:bCs/>
          <w:sz w:val="32"/>
          <w:szCs w:val="32"/>
          <w:lang w:eastAsia="zh-CN"/>
        </w:rPr>
        <w:t>答</w:t>
      </w:r>
      <w:r>
        <w:rPr>
          <w:rFonts w:hint="eastAsia" w:ascii="仿宋_GB2312" w:hAnsi="仿宋_GB2312" w:eastAsia="仿宋_GB2312" w:cs="仿宋_GB2312"/>
          <w:bCs/>
          <w:sz w:val="32"/>
          <w:szCs w:val="32"/>
        </w:rPr>
        <w:t>文件是否实质上响应了</w:t>
      </w:r>
      <w:r>
        <w:rPr>
          <w:rFonts w:hint="eastAsia" w:ascii="仿宋_GB2312" w:hAnsi="仿宋_GB2312" w:eastAsia="仿宋_GB2312" w:cs="仿宋_GB2312"/>
          <w:bCs/>
          <w:sz w:val="32"/>
          <w:szCs w:val="32"/>
          <w:lang w:eastAsia="zh-CN"/>
        </w:rPr>
        <w:t>采购</w:t>
      </w:r>
      <w:r>
        <w:rPr>
          <w:rFonts w:hint="eastAsia" w:ascii="仿宋_GB2312" w:hAnsi="仿宋_GB2312" w:eastAsia="仿宋_GB2312" w:cs="仿宋_GB2312"/>
          <w:bCs/>
          <w:sz w:val="32"/>
          <w:szCs w:val="32"/>
        </w:rPr>
        <w:t>文件的要求，如果有效性、完整性和响应程度任何一项不合格，按无效应</w:t>
      </w:r>
      <w:r>
        <w:rPr>
          <w:rFonts w:hint="eastAsia" w:ascii="仿宋_GB2312" w:hAnsi="仿宋_GB2312" w:eastAsia="仿宋_GB2312" w:cs="仿宋_GB2312"/>
          <w:bCs/>
          <w:sz w:val="32"/>
          <w:szCs w:val="32"/>
          <w:lang w:eastAsia="zh-CN"/>
        </w:rPr>
        <w:t>答</w:t>
      </w:r>
      <w:r>
        <w:rPr>
          <w:rFonts w:hint="eastAsia" w:ascii="仿宋_GB2312" w:hAnsi="仿宋_GB2312" w:eastAsia="仿宋_GB2312" w:cs="仿宋_GB2312"/>
          <w:bCs/>
          <w:sz w:val="32"/>
          <w:szCs w:val="32"/>
        </w:rPr>
        <w:t>文件处理。</w:t>
      </w:r>
    </w:p>
    <w:p>
      <w:pPr>
        <w:numPr>
          <w:ilvl w:val="0"/>
          <w:numId w:val="0"/>
        </w:numPr>
        <w:topLinePunct/>
        <w:spacing w:line="560" w:lineRule="exact"/>
        <w:ind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成交候选人</w:t>
      </w:r>
    </w:p>
    <w:p>
      <w:pPr>
        <w:pStyle w:val="8"/>
        <w:keepNext w:val="0"/>
        <w:keepLines w:val="0"/>
        <w:widowControl/>
        <w:suppressLineNumbers w:val="0"/>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Cs/>
          <w:sz w:val="32"/>
          <w:szCs w:val="32"/>
          <w:lang w:eastAsia="zh-CN"/>
        </w:rPr>
        <w:t>评审</w:t>
      </w:r>
      <w:r>
        <w:rPr>
          <w:rFonts w:hint="eastAsia" w:ascii="仿宋_GB2312" w:hAnsi="仿宋_GB2312" w:eastAsia="仿宋_GB2312" w:cs="仿宋_GB2312"/>
          <w:sz w:val="32"/>
          <w:szCs w:val="32"/>
        </w:rPr>
        <w:t>小组从质量和服务均能满足</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文件实质性响应要求的</w:t>
      </w:r>
      <w:r>
        <w:rPr>
          <w:rFonts w:hint="eastAsia" w:ascii="仿宋_GB2312" w:hAnsi="仿宋_GB2312" w:eastAsia="仿宋_GB2312" w:cs="仿宋_GB2312"/>
          <w:sz w:val="32"/>
          <w:szCs w:val="32"/>
          <w:lang w:eastAsia="zh-CN"/>
        </w:rPr>
        <w:t>服务商</w:t>
      </w:r>
      <w:r>
        <w:rPr>
          <w:rFonts w:hint="eastAsia" w:ascii="仿宋_GB2312" w:hAnsi="仿宋_GB2312" w:eastAsia="仿宋_GB2312" w:cs="仿宋_GB2312"/>
          <w:sz w:val="32"/>
          <w:szCs w:val="32"/>
        </w:rPr>
        <w:t>中，按照报</w:t>
      </w:r>
      <w:r>
        <w:rPr>
          <w:rFonts w:ascii="仿宋_GB2312" w:eastAsia="仿宋_GB2312" w:cs="仿宋_GB2312"/>
          <w:color w:val="000000"/>
          <w:sz w:val="31"/>
          <w:szCs w:val="31"/>
        </w:rPr>
        <w:t>综合</w:t>
      </w:r>
      <w:r>
        <w:rPr>
          <w:rFonts w:hint="eastAsia" w:ascii="仿宋_GB2312" w:eastAsia="仿宋_GB2312" w:cs="仿宋_GB2312"/>
          <w:color w:val="000000"/>
          <w:sz w:val="31"/>
          <w:szCs w:val="31"/>
          <w:lang w:eastAsia="zh-CN"/>
        </w:rPr>
        <w:t>得分由高到低的顺序</w:t>
      </w:r>
      <w:r>
        <w:rPr>
          <w:rFonts w:hint="eastAsia" w:ascii="仿宋_GB2312" w:hAnsi="仿宋_GB2312" w:eastAsia="仿宋_GB2312" w:cs="仿宋_GB2312"/>
          <w:sz w:val="32"/>
          <w:szCs w:val="32"/>
        </w:rPr>
        <w:t>提出成交候选人。评分因素及评</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标准</w:t>
      </w:r>
      <w:r>
        <w:rPr>
          <w:rFonts w:hint="eastAsia" w:ascii="仿宋_GB2312" w:hAnsi="仿宋_GB2312" w:eastAsia="仿宋_GB2312" w:cs="仿宋_GB2312"/>
          <w:sz w:val="32"/>
          <w:szCs w:val="32"/>
          <w:lang w:eastAsia="zh-CN"/>
        </w:rPr>
        <w:t>如下表：</w:t>
      </w:r>
    </w:p>
    <w:tbl>
      <w:tblPr>
        <w:tblStyle w:val="9"/>
        <w:tblW w:w="89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0"/>
        <w:gridCol w:w="5768"/>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noWrap w:val="0"/>
            <w:vAlign w:val="center"/>
          </w:tcPr>
          <w:p>
            <w:pPr>
              <w:widowControl/>
              <w:snapToGrid w:val="0"/>
              <w:jc w:val="center"/>
              <w:rPr>
                <w:rFonts w:hint="eastAsia" w:eastAsia="宋体"/>
                <w:kern w:val="0"/>
                <w:sz w:val="24"/>
                <w:szCs w:val="24"/>
                <w:lang w:eastAsia="zh-CN"/>
              </w:rPr>
            </w:pPr>
            <w:r>
              <w:rPr>
                <w:rFonts w:hint="eastAsia"/>
                <w:kern w:val="0"/>
                <w:sz w:val="24"/>
                <w:szCs w:val="24"/>
                <w:lang w:eastAsia="zh-CN"/>
              </w:rPr>
              <w:t>序号</w:t>
            </w:r>
          </w:p>
        </w:tc>
        <w:tc>
          <w:tcPr>
            <w:tcW w:w="1410" w:type="dxa"/>
            <w:noWrap w:val="0"/>
            <w:vAlign w:val="center"/>
          </w:tcPr>
          <w:p>
            <w:pPr>
              <w:widowControl/>
              <w:snapToGrid w:val="0"/>
              <w:jc w:val="center"/>
              <w:rPr>
                <w:rFonts w:hint="eastAsia" w:eastAsia="宋体"/>
                <w:kern w:val="0"/>
                <w:sz w:val="24"/>
                <w:szCs w:val="24"/>
                <w:lang w:eastAsia="zh-CN"/>
              </w:rPr>
            </w:pPr>
            <w:r>
              <w:rPr>
                <w:rFonts w:hint="eastAsia"/>
                <w:kern w:val="0"/>
                <w:sz w:val="24"/>
                <w:szCs w:val="24"/>
                <w:lang w:eastAsia="zh-CN"/>
              </w:rPr>
              <w:t>评审因素</w:t>
            </w:r>
          </w:p>
        </w:tc>
        <w:tc>
          <w:tcPr>
            <w:tcW w:w="5768" w:type="dxa"/>
            <w:noWrap w:val="0"/>
            <w:vAlign w:val="center"/>
          </w:tcPr>
          <w:p>
            <w:pPr>
              <w:widowControl/>
              <w:snapToGrid w:val="0"/>
              <w:jc w:val="center"/>
              <w:rPr>
                <w:rFonts w:hint="eastAsia" w:eastAsia="宋体"/>
                <w:kern w:val="0"/>
                <w:sz w:val="24"/>
                <w:szCs w:val="24"/>
                <w:lang w:eastAsia="zh-CN"/>
              </w:rPr>
            </w:pPr>
            <w:r>
              <w:rPr>
                <w:rFonts w:hint="eastAsia"/>
                <w:kern w:val="0"/>
                <w:sz w:val="24"/>
                <w:szCs w:val="24"/>
                <w:lang w:eastAsia="zh-CN"/>
              </w:rPr>
              <w:t>指标要求</w:t>
            </w:r>
          </w:p>
        </w:tc>
        <w:tc>
          <w:tcPr>
            <w:tcW w:w="877" w:type="dxa"/>
            <w:noWrap w:val="0"/>
            <w:vAlign w:val="center"/>
          </w:tcPr>
          <w:p>
            <w:pPr>
              <w:widowControl/>
              <w:snapToGrid w:val="0"/>
              <w:jc w:val="center"/>
              <w:rPr>
                <w:kern w:val="0"/>
                <w:sz w:val="24"/>
                <w:szCs w:val="24"/>
              </w:rPr>
            </w:pPr>
            <w:r>
              <w:rPr>
                <w:kern w:val="0"/>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noWrap/>
            <w:vAlign w:val="center"/>
          </w:tcPr>
          <w:p>
            <w:pPr>
              <w:widowControl/>
              <w:snapToGrid w:val="0"/>
              <w:jc w:val="center"/>
              <w:rPr>
                <w:kern w:val="0"/>
                <w:sz w:val="24"/>
                <w:szCs w:val="24"/>
              </w:rPr>
            </w:pPr>
            <w:r>
              <w:rPr>
                <w:rFonts w:hint="eastAsia"/>
                <w:kern w:val="0"/>
                <w:sz w:val="24"/>
                <w:szCs w:val="24"/>
              </w:rPr>
              <w:t>1</w:t>
            </w:r>
          </w:p>
        </w:tc>
        <w:tc>
          <w:tcPr>
            <w:tcW w:w="1410" w:type="dxa"/>
            <w:noWrap w:val="0"/>
            <w:vAlign w:val="center"/>
          </w:tcPr>
          <w:p>
            <w:pPr>
              <w:widowControl/>
              <w:snapToGrid w:val="0"/>
              <w:jc w:val="center"/>
              <w:rPr>
                <w:kern w:val="0"/>
                <w:sz w:val="24"/>
                <w:szCs w:val="24"/>
              </w:rPr>
            </w:pPr>
            <w:r>
              <w:rPr>
                <w:rFonts w:hint="eastAsia"/>
                <w:kern w:val="0"/>
                <w:sz w:val="24"/>
                <w:szCs w:val="24"/>
              </w:rPr>
              <w:t>价格</w:t>
            </w:r>
          </w:p>
        </w:tc>
        <w:tc>
          <w:tcPr>
            <w:tcW w:w="5768" w:type="dxa"/>
            <w:noWrap w:val="0"/>
            <w:vAlign w:val="center"/>
          </w:tcPr>
          <w:p>
            <w:pPr>
              <w:widowControl/>
              <w:snapToGrid w:val="0"/>
              <w:rPr>
                <w:rFonts w:hint="eastAsia"/>
                <w:kern w:val="0"/>
                <w:sz w:val="24"/>
                <w:szCs w:val="24"/>
              </w:rPr>
            </w:pPr>
            <w:r>
              <w:rPr>
                <w:rFonts w:hint="eastAsia"/>
                <w:kern w:val="0"/>
                <w:sz w:val="24"/>
                <w:szCs w:val="24"/>
              </w:rPr>
              <w:t>得分S＝（Pmin/P）×</w:t>
            </w:r>
            <w:r>
              <w:rPr>
                <w:rFonts w:hint="eastAsia"/>
                <w:kern w:val="0"/>
                <w:sz w:val="24"/>
                <w:szCs w:val="24"/>
                <w:lang w:val="en-US" w:eastAsia="zh-CN"/>
              </w:rPr>
              <w:t>3</w:t>
            </w:r>
            <w:r>
              <w:rPr>
                <w:rFonts w:hint="eastAsia"/>
                <w:kern w:val="0"/>
                <w:sz w:val="24"/>
                <w:szCs w:val="24"/>
              </w:rPr>
              <w:t>0，其中：Pmin为所有</w:t>
            </w:r>
            <w:r>
              <w:rPr>
                <w:rFonts w:hint="eastAsia"/>
                <w:kern w:val="0"/>
                <w:sz w:val="24"/>
                <w:szCs w:val="24"/>
                <w:lang w:eastAsia="zh-CN"/>
              </w:rPr>
              <w:t>服务商</w:t>
            </w:r>
            <w:r>
              <w:rPr>
                <w:rFonts w:hint="eastAsia"/>
                <w:kern w:val="0"/>
                <w:sz w:val="24"/>
                <w:szCs w:val="24"/>
              </w:rPr>
              <w:t>的最低有效报价，P为</w:t>
            </w:r>
            <w:r>
              <w:rPr>
                <w:rFonts w:hint="eastAsia"/>
                <w:kern w:val="0"/>
                <w:sz w:val="24"/>
                <w:szCs w:val="24"/>
                <w:lang w:eastAsia="zh-CN"/>
              </w:rPr>
              <w:t>服务商</w:t>
            </w:r>
            <w:r>
              <w:rPr>
                <w:rFonts w:hint="eastAsia"/>
                <w:kern w:val="0"/>
                <w:sz w:val="24"/>
                <w:szCs w:val="24"/>
              </w:rPr>
              <w:t>有效报价。</w:t>
            </w:r>
          </w:p>
          <w:p>
            <w:pPr>
              <w:widowControl/>
              <w:snapToGrid w:val="0"/>
              <w:rPr>
                <w:rFonts w:hint="eastAsia" w:eastAsia="宋体"/>
                <w:kern w:val="0"/>
                <w:sz w:val="24"/>
                <w:szCs w:val="24"/>
                <w:lang w:eastAsia="zh-CN"/>
              </w:rPr>
            </w:pPr>
            <w:r>
              <w:rPr>
                <w:rFonts w:hint="eastAsia"/>
                <w:kern w:val="0"/>
                <w:sz w:val="24"/>
                <w:szCs w:val="24"/>
              </w:rPr>
              <w:t>报价分为两部分：</w:t>
            </w:r>
            <w:r>
              <w:rPr>
                <w:rFonts w:hint="eastAsia"/>
                <w:kern w:val="0"/>
                <w:sz w:val="24"/>
                <w:szCs w:val="24"/>
                <w:lang w:eastAsia="zh-CN"/>
              </w:rPr>
              <w:t>一是基本费率，按照</w:t>
            </w:r>
            <w:r>
              <w:rPr>
                <w:rFonts w:hint="eastAsia"/>
                <w:kern w:val="0"/>
                <w:sz w:val="24"/>
                <w:szCs w:val="24"/>
              </w:rPr>
              <w:t>单一项目预算的千分比报价</w:t>
            </w:r>
            <w:r>
              <w:rPr>
                <w:rFonts w:hint="eastAsia"/>
                <w:kern w:val="0"/>
                <w:sz w:val="24"/>
                <w:szCs w:val="24"/>
                <w:lang w:eastAsia="zh-CN"/>
              </w:rPr>
              <w:t>，例</w:t>
            </w:r>
            <w:r>
              <w:rPr>
                <w:rFonts w:hint="eastAsia"/>
                <w:kern w:val="0"/>
                <w:sz w:val="24"/>
                <w:szCs w:val="24"/>
                <w:lang w:val="en-US" w:eastAsia="zh-CN"/>
              </w:rPr>
              <w:t>5‰</w:t>
            </w:r>
            <w:r>
              <w:rPr>
                <w:rFonts w:hint="eastAsia"/>
                <w:kern w:val="0"/>
                <w:sz w:val="24"/>
                <w:szCs w:val="24"/>
              </w:rPr>
              <w:t>，此部分费率得分占投标报价得分的80%；</w:t>
            </w:r>
            <w:r>
              <w:rPr>
                <w:rFonts w:hint="eastAsia"/>
                <w:kern w:val="0"/>
                <w:sz w:val="24"/>
                <w:szCs w:val="24"/>
                <w:lang w:eastAsia="zh-CN"/>
              </w:rPr>
              <w:t>二是最低收费标准，按照</w:t>
            </w:r>
            <w:r>
              <w:rPr>
                <w:rFonts w:hint="eastAsia"/>
                <w:kern w:val="0"/>
                <w:sz w:val="24"/>
                <w:szCs w:val="24"/>
              </w:rPr>
              <w:t>单个项目评审费用最低收费标准</w:t>
            </w:r>
            <w:r>
              <w:rPr>
                <w:rFonts w:hint="eastAsia"/>
                <w:kern w:val="0"/>
                <w:sz w:val="24"/>
                <w:szCs w:val="24"/>
                <w:lang w:eastAsia="zh-CN"/>
              </w:rPr>
              <w:t>报价，例</w:t>
            </w:r>
            <w:r>
              <w:rPr>
                <w:rFonts w:hint="eastAsia"/>
                <w:kern w:val="0"/>
                <w:sz w:val="24"/>
                <w:szCs w:val="24"/>
                <w:lang w:val="en-US" w:eastAsia="zh-CN"/>
              </w:rPr>
              <w:t>1000元/个，</w:t>
            </w:r>
            <w:r>
              <w:rPr>
                <w:rFonts w:hint="eastAsia"/>
                <w:kern w:val="0"/>
                <w:sz w:val="24"/>
                <w:szCs w:val="24"/>
              </w:rPr>
              <w:t>此部分费率得分占投标报价得分的20%。即：P=基本费率×80%+</w:t>
            </w:r>
            <w:r>
              <w:rPr>
                <w:rFonts w:hint="eastAsia"/>
                <w:kern w:val="0"/>
                <w:sz w:val="24"/>
                <w:szCs w:val="24"/>
                <w:lang w:eastAsia="zh-CN"/>
              </w:rPr>
              <w:t>最低收费标准</w:t>
            </w:r>
            <w:r>
              <w:rPr>
                <w:rFonts w:hint="eastAsia"/>
                <w:kern w:val="0"/>
                <w:sz w:val="24"/>
                <w:szCs w:val="24"/>
              </w:rPr>
              <w:t>×20%。</w:t>
            </w:r>
          </w:p>
        </w:tc>
        <w:tc>
          <w:tcPr>
            <w:tcW w:w="877" w:type="dxa"/>
            <w:noWrap w:val="0"/>
            <w:vAlign w:val="center"/>
          </w:tcPr>
          <w:p>
            <w:pPr>
              <w:widowControl/>
              <w:snapToGrid w:val="0"/>
              <w:jc w:val="center"/>
              <w:rPr>
                <w:rFonts w:hint="default"/>
                <w:kern w:val="0"/>
                <w:sz w:val="24"/>
                <w:szCs w:val="24"/>
                <w:lang w:val="en-US"/>
              </w:rPr>
            </w:pPr>
            <w:r>
              <w:rPr>
                <w:rFonts w:hint="eastAsia"/>
                <w:kern w:val="0"/>
                <w:sz w:val="24"/>
                <w:szCs w:val="24"/>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noWrap/>
            <w:vAlign w:val="center"/>
          </w:tcPr>
          <w:p>
            <w:pPr>
              <w:widowControl/>
              <w:snapToGrid w:val="0"/>
              <w:jc w:val="center"/>
              <w:rPr>
                <w:rFonts w:hint="eastAsia" w:eastAsia="宋体"/>
                <w:kern w:val="0"/>
                <w:sz w:val="24"/>
                <w:szCs w:val="24"/>
                <w:highlight w:val="none"/>
                <w:lang w:val="en-US" w:eastAsia="zh-CN"/>
              </w:rPr>
            </w:pPr>
            <w:r>
              <w:rPr>
                <w:rFonts w:hint="eastAsia"/>
                <w:kern w:val="0"/>
                <w:sz w:val="24"/>
                <w:szCs w:val="24"/>
                <w:highlight w:val="none"/>
                <w:lang w:val="en-US" w:eastAsia="zh-CN"/>
              </w:rPr>
              <w:t>2</w:t>
            </w:r>
          </w:p>
        </w:tc>
        <w:tc>
          <w:tcPr>
            <w:tcW w:w="1410" w:type="dxa"/>
            <w:noWrap w:val="0"/>
            <w:vAlign w:val="center"/>
          </w:tcPr>
          <w:p>
            <w:pPr>
              <w:widowControl/>
              <w:snapToGrid w:val="0"/>
              <w:rPr>
                <w:rFonts w:hint="eastAsia"/>
                <w:kern w:val="0"/>
                <w:sz w:val="24"/>
                <w:szCs w:val="24"/>
                <w:lang w:eastAsia="zh-CN"/>
              </w:rPr>
            </w:pPr>
            <w:r>
              <w:rPr>
                <w:rFonts w:hint="eastAsia"/>
                <w:kern w:val="0"/>
                <w:sz w:val="24"/>
                <w:szCs w:val="24"/>
                <w:lang w:eastAsia="zh-CN"/>
              </w:rPr>
              <w:t>服务商</w:t>
            </w:r>
            <w:r>
              <w:rPr>
                <w:rFonts w:hint="eastAsia"/>
                <w:kern w:val="0"/>
                <w:sz w:val="24"/>
                <w:szCs w:val="24"/>
              </w:rPr>
              <w:t>相关证书评价</w:t>
            </w:r>
          </w:p>
        </w:tc>
        <w:tc>
          <w:tcPr>
            <w:tcW w:w="5768" w:type="dxa"/>
            <w:noWrap w:val="0"/>
            <w:vAlign w:val="center"/>
          </w:tcPr>
          <w:p>
            <w:pPr>
              <w:widowControl/>
              <w:numPr>
                <w:ilvl w:val="0"/>
                <w:numId w:val="3"/>
              </w:numPr>
              <w:snapToGrid w:val="0"/>
              <w:rPr>
                <w:rFonts w:hint="eastAsia"/>
                <w:kern w:val="0"/>
                <w:sz w:val="24"/>
                <w:szCs w:val="24"/>
                <w:lang w:val="en-US" w:eastAsia="zh-CN"/>
              </w:rPr>
            </w:pPr>
            <w:r>
              <w:rPr>
                <w:rFonts w:hint="eastAsia"/>
                <w:kern w:val="0"/>
                <w:sz w:val="24"/>
                <w:szCs w:val="24"/>
                <w:lang w:val="en-US" w:eastAsia="zh-CN"/>
              </w:rPr>
              <w:t xml:space="preserve">提供法人或者其他组织的营业执照等证明文件，自然人的身份证明。                            </w:t>
            </w:r>
          </w:p>
          <w:p>
            <w:pPr>
              <w:widowControl/>
              <w:numPr>
                <w:ilvl w:val="0"/>
                <w:numId w:val="3"/>
              </w:numPr>
              <w:snapToGrid w:val="0"/>
              <w:rPr>
                <w:rFonts w:hint="eastAsia"/>
              </w:rPr>
            </w:pPr>
            <w:r>
              <w:rPr>
                <w:rFonts w:hint="eastAsia"/>
                <w:kern w:val="0"/>
                <w:sz w:val="24"/>
                <w:szCs w:val="24"/>
                <w:lang w:val="en-US" w:eastAsia="zh-CN"/>
              </w:rPr>
              <w:t>提供具备履行合同所必需的服务能力的证明材料</w:t>
            </w:r>
          </w:p>
          <w:p>
            <w:pPr>
              <w:widowControl/>
              <w:numPr>
                <w:ilvl w:val="0"/>
                <w:numId w:val="3"/>
              </w:numPr>
              <w:snapToGrid w:val="0"/>
              <w:rPr>
                <w:rFonts w:hint="eastAsia"/>
              </w:rPr>
            </w:pPr>
            <w:r>
              <w:rPr>
                <w:rFonts w:hint="eastAsia"/>
                <w:kern w:val="0"/>
                <w:sz w:val="24"/>
                <w:szCs w:val="24"/>
                <w:lang w:val="en-US" w:eastAsia="zh-CN"/>
              </w:rPr>
              <w:t>提供依法缴纳税收和社会保障资金的相关材料</w:t>
            </w:r>
          </w:p>
          <w:p>
            <w:pPr>
              <w:widowControl/>
              <w:snapToGrid w:val="0"/>
              <w:rPr>
                <w:rFonts w:hint="eastAsia"/>
                <w:kern w:val="0"/>
                <w:sz w:val="24"/>
                <w:szCs w:val="24"/>
              </w:rPr>
            </w:pPr>
            <w:r>
              <w:rPr>
                <w:rFonts w:hint="eastAsia"/>
                <w:kern w:val="0"/>
                <w:sz w:val="24"/>
                <w:szCs w:val="24"/>
                <w:lang w:eastAsia="zh-CN"/>
              </w:rPr>
              <w:t>满足一项材料</w:t>
            </w:r>
            <w:r>
              <w:rPr>
                <w:rFonts w:hint="eastAsia"/>
                <w:kern w:val="0"/>
                <w:sz w:val="24"/>
                <w:szCs w:val="24"/>
              </w:rPr>
              <w:t>得</w:t>
            </w:r>
            <w:r>
              <w:rPr>
                <w:rFonts w:hint="eastAsia"/>
                <w:kern w:val="0"/>
                <w:sz w:val="24"/>
                <w:szCs w:val="24"/>
                <w:lang w:val="en-US" w:eastAsia="zh-CN"/>
              </w:rPr>
              <w:t>10</w:t>
            </w:r>
            <w:r>
              <w:rPr>
                <w:rFonts w:hint="eastAsia"/>
                <w:kern w:val="0"/>
                <w:sz w:val="24"/>
                <w:szCs w:val="24"/>
              </w:rPr>
              <w:t>分，最高</w:t>
            </w:r>
            <w:r>
              <w:rPr>
                <w:rFonts w:hint="eastAsia"/>
                <w:kern w:val="0"/>
                <w:sz w:val="24"/>
                <w:szCs w:val="24"/>
                <w:lang w:val="en-US" w:eastAsia="zh-CN"/>
              </w:rPr>
              <w:t>30</w:t>
            </w:r>
            <w:r>
              <w:rPr>
                <w:rFonts w:hint="eastAsia"/>
                <w:kern w:val="0"/>
                <w:sz w:val="24"/>
                <w:szCs w:val="24"/>
              </w:rPr>
              <w:t>分</w:t>
            </w:r>
          </w:p>
        </w:tc>
        <w:tc>
          <w:tcPr>
            <w:tcW w:w="877" w:type="dxa"/>
            <w:noWrap w:val="0"/>
            <w:vAlign w:val="center"/>
          </w:tcPr>
          <w:p>
            <w:pPr>
              <w:widowControl/>
              <w:snapToGrid w:val="0"/>
              <w:jc w:val="center"/>
              <w:rPr>
                <w:rFonts w:hint="default"/>
                <w:kern w:val="0"/>
                <w:sz w:val="24"/>
                <w:szCs w:val="24"/>
                <w:highlight w:val="none"/>
                <w:lang w:val="en-US" w:eastAsia="zh-CN"/>
              </w:rPr>
            </w:pPr>
            <w:r>
              <w:rPr>
                <w:rFonts w:hint="eastAsia"/>
                <w:kern w:val="0"/>
                <w:sz w:val="24"/>
                <w:szCs w:val="24"/>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noWrap/>
            <w:vAlign w:val="center"/>
          </w:tcPr>
          <w:p>
            <w:pPr>
              <w:widowControl/>
              <w:tabs>
                <w:tab w:val="center" w:pos="374"/>
                <w:tab w:val="left" w:pos="516"/>
              </w:tabs>
              <w:snapToGrid w:val="0"/>
              <w:jc w:val="left"/>
              <w:rPr>
                <w:rFonts w:hint="default" w:eastAsia="宋体"/>
                <w:kern w:val="0"/>
                <w:sz w:val="24"/>
                <w:szCs w:val="24"/>
                <w:highlight w:val="none"/>
                <w:lang w:val="en-US" w:eastAsia="zh-CN"/>
              </w:rPr>
            </w:pPr>
            <w:r>
              <w:rPr>
                <w:rFonts w:hint="eastAsia"/>
                <w:kern w:val="0"/>
                <w:sz w:val="24"/>
                <w:szCs w:val="24"/>
                <w:highlight w:val="none"/>
                <w:lang w:val="en-US" w:eastAsia="zh-CN"/>
              </w:rPr>
              <w:tab/>
            </w:r>
            <w:r>
              <w:rPr>
                <w:rFonts w:hint="eastAsia"/>
                <w:kern w:val="0"/>
                <w:sz w:val="24"/>
                <w:szCs w:val="24"/>
                <w:highlight w:val="none"/>
                <w:lang w:val="en-US" w:eastAsia="zh-CN"/>
              </w:rPr>
              <w:t>3</w:t>
            </w:r>
          </w:p>
        </w:tc>
        <w:tc>
          <w:tcPr>
            <w:tcW w:w="1410" w:type="dxa"/>
            <w:noWrap w:val="0"/>
            <w:vAlign w:val="center"/>
          </w:tcPr>
          <w:p>
            <w:pPr>
              <w:widowControl/>
              <w:snapToGrid w:val="0"/>
              <w:jc w:val="center"/>
              <w:rPr>
                <w:kern w:val="0"/>
                <w:sz w:val="24"/>
                <w:szCs w:val="24"/>
                <w:highlight w:val="none"/>
              </w:rPr>
            </w:pPr>
            <w:r>
              <w:rPr>
                <w:rFonts w:hint="eastAsia"/>
                <w:kern w:val="0"/>
                <w:sz w:val="24"/>
                <w:szCs w:val="24"/>
                <w:lang w:eastAsia="zh-CN"/>
              </w:rPr>
              <w:t>服务商</w:t>
            </w:r>
            <w:r>
              <w:rPr>
                <w:kern w:val="0"/>
                <w:sz w:val="24"/>
                <w:szCs w:val="24"/>
              </w:rPr>
              <w:t>业绩</w:t>
            </w:r>
          </w:p>
        </w:tc>
        <w:tc>
          <w:tcPr>
            <w:tcW w:w="5768" w:type="dxa"/>
            <w:noWrap w:val="0"/>
            <w:vAlign w:val="center"/>
          </w:tcPr>
          <w:p>
            <w:pPr>
              <w:widowControl/>
              <w:adjustRightInd w:val="0"/>
              <w:snapToGrid w:val="0"/>
              <w:rPr>
                <w:kern w:val="0"/>
                <w:sz w:val="24"/>
                <w:szCs w:val="24"/>
              </w:rPr>
            </w:pPr>
            <w:r>
              <w:rPr>
                <w:rFonts w:hint="eastAsia"/>
                <w:kern w:val="0"/>
                <w:sz w:val="24"/>
                <w:szCs w:val="24"/>
              </w:rPr>
              <w:t>提供</w:t>
            </w:r>
            <w:r>
              <w:rPr>
                <w:rFonts w:hint="eastAsia"/>
                <w:kern w:val="0"/>
                <w:sz w:val="24"/>
                <w:szCs w:val="24"/>
                <w:lang w:eastAsia="zh-CN"/>
              </w:rPr>
              <w:t>服务商</w:t>
            </w:r>
            <w:r>
              <w:rPr>
                <w:rFonts w:hint="eastAsia"/>
                <w:kern w:val="0"/>
                <w:sz w:val="24"/>
                <w:szCs w:val="24"/>
              </w:rPr>
              <w:t>曾实施的2021年至今与本项目类型规模相当且已完成的成功案例，并附相关证明资料。提供的证明材料均不得遮挡涂黑，否则不予认定加分。</w:t>
            </w:r>
          </w:p>
          <w:p>
            <w:pPr>
              <w:widowControl/>
              <w:snapToGrid w:val="0"/>
              <w:rPr>
                <w:rFonts w:hint="eastAsia" w:eastAsia="宋体"/>
                <w:bCs/>
                <w:sz w:val="24"/>
                <w:highlight w:val="none"/>
                <w:lang w:eastAsia="zh-CN"/>
              </w:rPr>
            </w:pPr>
            <w:r>
              <w:rPr>
                <w:kern w:val="0"/>
                <w:sz w:val="24"/>
                <w:szCs w:val="24"/>
              </w:rPr>
              <w:t>每个业绩</w:t>
            </w:r>
            <w:r>
              <w:rPr>
                <w:rFonts w:hint="eastAsia"/>
                <w:kern w:val="0"/>
                <w:sz w:val="24"/>
                <w:szCs w:val="24"/>
                <w:lang w:val="en-US" w:eastAsia="zh-CN"/>
              </w:rPr>
              <w:t>5</w:t>
            </w:r>
            <w:r>
              <w:rPr>
                <w:kern w:val="0"/>
                <w:sz w:val="24"/>
                <w:szCs w:val="24"/>
              </w:rPr>
              <w:t>分，最多</w:t>
            </w:r>
            <w:r>
              <w:rPr>
                <w:rFonts w:hint="eastAsia"/>
                <w:kern w:val="0"/>
                <w:sz w:val="24"/>
                <w:szCs w:val="24"/>
                <w:lang w:val="en-US" w:eastAsia="zh-CN"/>
              </w:rPr>
              <w:t>10</w:t>
            </w:r>
            <w:r>
              <w:rPr>
                <w:kern w:val="0"/>
                <w:sz w:val="24"/>
                <w:szCs w:val="24"/>
              </w:rPr>
              <w:t>分</w:t>
            </w:r>
          </w:p>
        </w:tc>
        <w:tc>
          <w:tcPr>
            <w:tcW w:w="877" w:type="dxa"/>
            <w:noWrap w:val="0"/>
            <w:vAlign w:val="center"/>
          </w:tcPr>
          <w:p>
            <w:pPr>
              <w:widowControl/>
              <w:snapToGrid w:val="0"/>
              <w:jc w:val="center"/>
              <w:rPr>
                <w:rFonts w:hint="default" w:eastAsia="宋体"/>
                <w:kern w:val="0"/>
                <w:sz w:val="24"/>
                <w:szCs w:val="24"/>
                <w:highlight w:val="none"/>
                <w:lang w:val="en-US" w:eastAsia="zh-CN"/>
              </w:rPr>
            </w:pPr>
            <w:r>
              <w:rPr>
                <w:rFonts w:hint="eastAsia"/>
                <w:kern w:val="0"/>
                <w:sz w:val="24"/>
                <w:szCs w:val="24"/>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jc w:val="center"/>
        </w:trPr>
        <w:tc>
          <w:tcPr>
            <w:tcW w:w="846" w:type="dxa"/>
            <w:noWrap/>
            <w:vAlign w:val="center"/>
          </w:tcPr>
          <w:p>
            <w:pPr>
              <w:widowControl/>
              <w:snapToGrid w:val="0"/>
              <w:jc w:val="center"/>
              <w:rPr>
                <w:rFonts w:hint="eastAsia" w:eastAsia="宋体"/>
                <w:kern w:val="0"/>
                <w:sz w:val="24"/>
                <w:szCs w:val="24"/>
                <w:highlight w:val="none"/>
                <w:lang w:eastAsia="zh-CN"/>
              </w:rPr>
            </w:pPr>
            <w:r>
              <w:rPr>
                <w:rFonts w:hint="eastAsia"/>
                <w:kern w:val="0"/>
                <w:sz w:val="24"/>
                <w:szCs w:val="24"/>
                <w:highlight w:val="none"/>
                <w:lang w:val="en-US" w:eastAsia="zh-CN"/>
              </w:rPr>
              <w:t>4</w:t>
            </w:r>
          </w:p>
        </w:tc>
        <w:tc>
          <w:tcPr>
            <w:tcW w:w="1410" w:type="dxa"/>
            <w:noWrap w:val="0"/>
            <w:vAlign w:val="center"/>
          </w:tcPr>
          <w:p>
            <w:pPr>
              <w:widowControl/>
              <w:snapToGrid w:val="0"/>
              <w:jc w:val="center"/>
              <w:rPr>
                <w:rFonts w:hint="default" w:eastAsia="宋体"/>
                <w:bCs/>
                <w:sz w:val="24"/>
                <w:highlight w:val="none"/>
                <w:lang w:val="en-US" w:eastAsia="zh-CN"/>
              </w:rPr>
            </w:pPr>
            <w:r>
              <w:rPr>
                <w:rFonts w:hint="eastAsia"/>
                <w:bCs/>
                <w:sz w:val="24"/>
                <w:highlight w:val="none"/>
                <w:lang w:eastAsia="zh-CN"/>
              </w:rPr>
              <w:t>进度和质量保证方案</w:t>
            </w:r>
          </w:p>
        </w:tc>
        <w:tc>
          <w:tcPr>
            <w:tcW w:w="5768" w:type="dxa"/>
            <w:noWrap w:val="0"/>
            <w:vAlign w:val="center"/>
          </w:tcPr>
          <w:p>
            <w:pPr>
              <w:numPr>
                <w:ilvl w:val="0"/>
                <w:numId w:val="0"/>
              </w:numPr>
              <w:snapToGrid w:val="0"/>
              <w:rPr>
                <w:rFonts w:hint="eastAsia"/>
                <w:bCs/>
                <w:sz w:val="24"/>
                <w:highlight w:val="none"/>
                <w:lang w:eastAsia="zh-CN"/>
              </w:rPr>
            </w:pPr>
            <w:r>
              <w:rPr>
                <w:rFonts w:hint="eastAsia"/>
                <w:bCs/>
                <w:sz w:val="24"/>
                <w:highlight w:val="none"/>
                <w:lang w:eastAsia="zh-CN"/>
              </w:rPr>
              <w:t>提供预算评审业务操作规程、质量复核制度等，促使送审项目按期完成评审，并确保结果科学合理等工作内容的响应情况是否完整、详细、具有可操作性等进行打分。</w:t>
            </w:r>
          </w:p>
          <w:p>
            <w:pPr>
              <w:numPr>
                <w:ilvl w:val="0"/>
                <w:numId w:val="0"/>
              </w:numPr>
              <w:snapToGrid w:val="0"/>
              <w:rPr>
                <w:rFonts w:hint="eastAsia"/>
                <w:bCs/>
                <w:sz w:val="24"/>
                <w:highlight w:val="none"/>
                <w:lang w:eastAsia="zh-CN"/>
              </w:rPr>
            </w:pPr>
            <w:r>
              <w:rPr>
                <w:rFonts w:hint="eastAsia"/>
                <w:bCs/>
                <w:sz w:val="24"/>
                <w:highlight w:val="none"/>
                <w:lang w:eastAsia="zh-CN"/>
              </w:rPr>
              <w:t>——方案内容完整、详细、可操作性强，阐述的内容针对性强、具体、透彻，能结合项目特点制定方案，得</w:t>
            </w:r>
            <w:r>
              <w:rPr>
                <w:rFonts w:hint="eastAsia"/>
                <w:bCs/>
                <w:sz w:val="24"/>
                <w:highlight w:val="none"/>
                <w:lang w:val="en-US" w:eastAsia="zh-CN"/>
              </w:rPr>
              <w:t>15</w:t>
            </w:r>
            <w:r>
              <w:rPr>
                <w:rFonts w:hint="eastAsia"/>
                <w:bCs/>
                <w:sz w:val="24"/>
                <w:highlight w:val="none"/>
                <w:lang w:eastAsia="zh-CN"/>
              </w:rPr>
              <w:t>分；</w:t>
            </w:r>
          </w:p>
          <w:p>
            <w:pPr>
              <w:numPr>
                <w:ilvl w:val="0"/>
                <w:numId w:val="0"/>
              </w:numPr>
              <w:snapToGrid w:val="0"/>
              <w:rPr>
                <w:rFonts w:hint="eastAsia"/>
                <w:bCs/>
                <w:sz w:val="24"/>
                <w:highlight w:val="none"/>
                <w:lang w:eastAsia="zh-CN"/>
              </w:rPr>
            </w:pPr>
            <w:r>
              <w:rPr>
                <w:rFonts w:hint="eastAsia"/>
                <w:bCs/>
                <w:sz w:val="24"/>
                <w:highlight w:val="none"/>
                <w:lang w:eastAsia="zh-CN"/>
              </w:rPr>
              <w:t>——方案内容完整，有具体措施描述，但操作性和针对性不够强，得</w:t>
            </w:r>
            <w:r>
              <w:rPr>
                <w:rFonts w:hint="eastAsia"/>
                <w:bCs/>
                <w:sz w:val="24"/>
                <w:highlight w:val="none"/>
                <w:lang w:val="en-US" w:eastAsia="zh-CN"/>
              </w:rPr>
              <w:t>10</w:t>
            </w:r>
            <w:r>
              <w:rPr>
                <w:rFonts w:hint="eastAsia"/>
                <w:bCs/>
                <w:sz w:val="24"/>
                <w:highlight w:val="none"/>
                <w:lang w:eastAsia="zh-CN"/>
              </w:rPr>
              <w:t>分；</w:t>
            </w:r>
          </w:p>
          <w:p>
            <w:pPr>
              <w:numPr>
                <w:ilvl w:val="0"/>
                <w:numId w:val="0"/>
              </w:numPr>
              <w:snapToGrid w:val="0"/>
              <w:rPr>
                <w:rFonts w:hint="eastAsia"/>
                <w:bCs/>
                <w:sz w:val="24"/>
                <w:highlight w:val="none"/>
                <w:lang w:eastAsia="zh-CN"/>
              </w:rPr>
            </w:pPr>
            <w:r>
              <w:rPr>
                <w:rFonts w:hint="eastAsia"/>
                <w:bCs/>
                <w:sz w:val="24"/>
                <w:highlight w:val="none"/>
                <w:lang w:eastAsia="zh-CN"/>
              </w:rPr>
              <w:t>——方案内容仅简单重复（响应）采购需求，得5分；</w:t>
            </w:r>
          </w:p>
          <w:p>
            <w:pPr>
              <w:numPr>
                <w:ilvl w:val="0"/>
                <w:numId w:val="0"/>
              </w:numPr>
              <w:snapToGrid w:val="0"/>
              <w:rPr>
                <w:bCs/>
                <w:sz w:val="24"/>
                <w:highlight w:val="none"/>
              </w:rPr>
            </w:pPr>
            <w:r>
              <w:rPr>
                <w:rFonts w:hint="eastAsia"/>
                <w:bCs/>
                <w:sz w:val="24"/>
                <w:highlight w:val="none"/>
                <w:lang w:eastAsia="zh-CN"/>
              </w:rPr>
              <w:t>——方案内容不完整、不能满足采购需求、不可行的，以及未提供方案的，得0分。</w:t>
            </w:r>
          </w:p>
        </w:tc>
        <w:tc>
          <w:tcPr>
            <w:tcW w:w="877" w:type="dxa"/>
            <w:noWrap w:val="0"/>
            <w:vAlign w:val="center"/>
          </w:tcPr>
          <w:p>
            <w:pPr>
              <w:widowControl/>
              <w:snapToGrid w:val="0"/>
              <w:jc w:val="center"/>
              <w:rPr>
                <w:rFonts w:hint="default" w:eastAsia="宋体"/>
                <w:kern w:val="0"/>
                <w:sz w:val="24"/>
                <w:szCs w:val="24"/>
                <w:highlight w:val="none"/>
                <w:lang w:val="en-US" w:eastAsia="zh-CN"/>
              </w:rPr>
            </w:pPr>
            <w:r>
              <w:rPr>
                <w:rFonts w:hint="eastAsia"/>
                <w:kern w:val="0"/>
                <w:sz w:val="24"/>
                <w:szCs w:val="24"/>
                <w:highlight w:val="no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2" w:hRule="atLeast"/>
          <w:jc w:val="center"/>
        </w:trPr>
        <w:tc>
          <w:tcPr>
            <w:tcW w:w="846" w:type="dxa"/>
            <w:noWrap w:val="0"/>
            <w:vAlign w:val="center"/>
          </w:tcPr>
          <w:p>
            <w:pPr>
              <w:widowControl/>
              <w:snapToGrid w:val="0"/>
              <w:jc w:val="center"/>
              <w:rPr>
                <w:rFonts w:hint="default"/>
                <w:kern w:val="0"/>
                <w:sz w:val="24"/>
                <w:szCs w:val="24"/>
                <w:highlight w:val="none"/>
                <w:lang w:val="en-US" w:eastAsia="zh-CN"/>
              </w:rPr>
            </w:pPr>
            <w:r>
              <w:rPr>
                <w:rFonts w:hint="eastAsia"/>
                <w:kern w:val="0"/>
                <w:sz w:val="24"/>
                <w:szCs w:val="24"/>
                <w:highlight w:val="none"/>
                <w:lang w:val="en-US" w:eastAsia="zh-CN"/>
              </w:rPr>
              <w:t>6</w:t>
            </w:r>
          </w:p>
        </w:tc>
        <w:tc>
          <w:tcPr>
            <w:tcW w:w="1410" w:type="dxa"/>
            <w:noWrap w:val="0"/>
            <w:vAlign w:val="center"/>
          </w:tcPr>
          <w:p>
            <w:pPr>
              <w:widowControl/>
              <w:snapToGrid w:val="0"/>
              <w:jc w:val="center"/>
              <w:rPr>
                <w:rFonts w:hint="eastAsia"/>
                <w:kern w:val="0"/>
                <w:sz w:val="24"/>
                <w:szCs w:val="24"/>
                <w:highlight w:val="none"/>
                <w:lang w:eastAsia="zh-CN"/>
              </w:rPr>
            </w:pPr>
            <w:r>
              <w:rPr>
                <w:rFonts w:hint="eastAsia"/>
                <w:kern w:val="0"/>
                <w:sz w:val="24"/>
                <w:szCs w:val="24"/>
                <w:highlight w:val="none"/>
                <w:lang w:eastAsia="zh-CN"/>
              </w:rPr>
              <w:t>保密方案</w:t>
            </w:r>
          </w:p>
        </w:tc>
        <w:tc>
          <w:tcPr>
            <w:tcW w:w="5768" w:type="dxa"/>
            <w:noWrap w:val="0"/>
            <w:vAlign w:val="center"/>
          </w:tcPr>
          <w:p>
            <w:pPr>
              <w:widowControl/>
              <w:snapToGrid w:val="0"/>
              <w:rPr>
                <w:rFonts w:hint="eastAsia"/>
                <w:kern w:val="0"/>
                <w:sz w:val="24"/>
                <w:szCs w:val="24"/>
                <w:highlight w:val="none"/>
                <w:lang w:eastAsia="zh-CN"/>
              </w:rPr>
            </w:pPr>
            <w:r>
              <w:rPr>
                <w:rFonts w:hint="eastAsia"/>
                <w:kern w:val="0"/>
                <w:sz w:val="24"/>
                <w:szCs w:val="24"/>
                <w:highlight w:val="none"/>
                <w:lang w:eastAsia="zh-CN"/>
              </w:rPr>
              <w:t>根据方案中关于提供的相关服务是否严格落实保密要求等工作内容的响应情况是否完整、详细、具有可操作性等进行打分。</w:t>
            </w:r>
          </w:p>
          <w:p>
            <w:pPr>
              <w:widowControl/>
              <w:snapToGrid w:val="0"/>
              <w:rPr>
                <w:rFonts w:hint="eastAsia"/>
                <w:kern w:val="0"/>
                <w:sz w:val="24"/>
                <w:szCs w:val="24"/>
                <w:highlight w:val="none"/>
                <w:lang w:eastAsia="zh-CN"/>
              </w:rPr>
            </w:pPr>
            <w:r>
              <w:rPr>
                <w:rFonts w:hint="eastAsia"/>
                <w:kern w:val="0"/>
                <w:sz w:val="24"/>
                <w:szCs w:val="24"/>
                <w:highlight w:val="none"/>
                <w:lang w:eastAsia="zh-CN"/>
              </w:rPr>
              <w:t>——方案内容完整、详细、可操作性强，阐述的内容针对性强、具体、透彻，能结合项目特点制定方案，得</w:t>
            </w:r>
            <w:r>
              <w:rPr>
                <w:rFonts w:hint="eastAsia"/>
                <w:kern w:val="0"/>
                <w:sz w:val="24"/>
                <w:szCs w:val="24"/>
                <w:highlight w:val="none"/>
                <w:lang w:val="en-US" w:eastAsia="zh-CN"/>
              </w:rPr>
              <w:t>15</w:t>
            </w:r>
            <w:r>
              <w:rPr>
                <w:rFonts w:hint="eastAsia"/>
                <w:kern w:val="0"/>
                <w:sz w:val="24"/>
                <w:szCs w:val="24"/>
                <w:highlight w:val="none"/>
                <w:lang w:eastAsia="zh-CN"/>
              </w:rPr>
              <w:t>分；</w:t>
            </w:r>
          </w:p>
          <w:p>
            <w:pPr>
              <w:widowControl/>
              <w:snapToGrid w:val="0"/>
              <w:rPr>
                <w:rFonts w:hint="eastAsia"/>
                <w:kern w:val="0"/>
                <w:sz w:val="24"/>
                <w:szCs w:val="24"/>
                <w:highlight w:val="none"/>
                <w:lang w:eastAsia="zh-CN"/>
              </w:rPr>
            </w:pPr>
            <w:r>
              <w:rPr>
                <w:rFonts w:hint="eastAsia"/>
                <w:kern w:val="0"/>
                <w:sz w:val="24"/>
                <w:szCs w:val="24"/>
                <w:highlight w:val="none"/>
                <w:lang w:eastAsia="zh-CN"/>
              </w:rPr>
              <w:t>——方案内容完整，有具体措施描述，但操作性和针对性不够强，得</w:t>
            </w:r>
            <w:r>
              <w:rPr>
                <w:rFonts w:hint="eastAsia"/>
                <w:kern w:val="0"/>
                <w:sz w:val="24"/>
                <w:szCs w:val="24"/>
                <w:highlight w:val="none"/>
                <w:lang w:val="en-US" w:eastAsia="zh-CN"/>
              </w:rPr>
              <w:t>10</w:t>
            </w:r>
            <w:r>
              <w:rPr>
                <w:rFonts w:hint="eastAsia"/>
                <w:kern w:val="0"/>
                <w:sz w:val="24"/>
                <w:szCs w:val="24"/>
                <w:highlight w:val="none"/>
                <w:lang w:eastAsia="zh-CN"/>
              </w:rPr>
              <w:t>分；</w:t>
            </w:r>
          </w:p>
          <w:p>
            <w:pPr>
              <w:widowControl/>
              <w:snapToGrid w:val="0"/>
              <w:rPr>
                <w:rFonts w:hint="eastAsia"/>
                <w:kern w:val="0"/>
                <w:sz w:val="24"/>
                <w:szCs w:val="24"/>
                <w:highlight w:val="none"/>
                <w:lang w:eastAsia="zh-CN"/>
              </w:rPr>
            </w:pPr>
            <w:r>
              <w:rPr>
                <w:rFonts w:hint="eastAsia"/>
                <w:kern w:val="0"/>
                <w:sz w:val="24"/>
                <w:szCs w:val="24"/>
                <w:highlight w:val="none"/>
                <w:lang w:eastAsia="zh-CN"/>
              </w:rPr>
              <w:t>——方案内容仅简单重复（响应）采购需求，得</w:t>
            </w:r>
            <w:r>
              <w:rPr>
                <w:rFonts w:hint="eastAsia"/>
                <w:kern w:val="0"/>
                <w:sz w:val="24"/>
                <w:szCs w:val="24"/>
                <w:highlight w:val="none"/>
                <w:lang w:val="en-US" w:eastAsia="zh-CN"/>
              </w:rPr>
              <w:t>5</w:t>
            </w:r>
            <w:r>
              <w:rPr>
                <w:rFonts w:hint="eastAsia"/>
                <w:kern w:val="0"/>
                <w:sz w:val="24"/>
                <w:szCs w:val="24"/>
                <w:highlight w:val="none"/>
                <w:lang w:eastAsia="zh-CN"/>
              </w:rPr>
              <w:t>分；</w:t>
            </w:r>
          </w:p>
          <w:p>
            <w:pPr>
              <w:widowControl/>
              <w:snapToGrid w:val="0"/>
              <w:rPr>
                <w:rFonts w:hint="eastAsia"/>
                <w:kern w:val="0"/>
                <w:sz w:val="24"/>
                <w:szCs w:val="24"/>
                <w:highlight w:val="none"/>
                <w:lang w:eastAsia="zh-CN"/>
              </w:rPr>
            </w:pPr>
            <w:r>
              <w:rPr>
                <w:rFonts w:hint="eastAsia"/>
                <w:kern w:val="0"/>
                <w:sz w:val="24"/>
                <w:szCs w:val="24"/>
                <w:highlight w:val="none"/>
                <w:lang w:eastAsia="zh-CN"/>
              </w:rPr>
              <w:t>——方案内容不完整、不能满足采购需求、不可行的，以及未提供方案的，得0分。</w:t>
            </w:r>
          </w:p>
        </w:tc>
        <w:tc>
          <w:tcPr>
            <w:tcW w:w="877" w:type="dxa"/>
            <w:noWrap w:val="0"/>
            <w:vAlign w:val="center"/>
          </w:tcPr>
          <w:p>
            <w:pPr>
              <w:widowControl/>
              <w:snapToGrid w:val="0"/>
              <w:jc w:val="center"/>
              <w:rPr>
                <w:rFonts w:hint="default"/>
                <w:kern w:val="0"/>
                <w:sz w:val="24"/>
                <w:szCs w:val="24"/>
                <w:highlight w:val="none"/>
                <w:lang w:val="en-US" w:eastAsia="zh-CN"/>
              </w:rPr>
            </w:pPr>
            <w:r>
              <w:rPr>
                <w:rFonts w:hint="eastAsia"/>
                <w:kern w:val="0"/>
                <w:sz w:val="24"/>
                <w:szCs w:val="24"/>
                <w:highlight w:val="none"/>
                <w:lang w:val="en-US" w:eastAsia="zh-CN"/>
              </w:rPr>
              <w:t>15</w:t>
            </w:r>
          </w:p>
        </w:tc>
      </w:tr>
    </w:tbl>
    <w:p>
      <w:pPr>
        <w:pStyle w:val="8"/>
        <w:keepNext w:val="0"/>
        <w:keepLines w:val="0"/>
        <w:widowControl/>
        <w:suppressLineNumbers w:val="0"/>
        <w:spacing w:line="560" w:lineRule="exact"/>
        <w:ind w:firstLine="640" w:firstLineChars="200"/>
        <w:rPr>
          <w:rFonts w:hint="eastAsia" w:ascii="仿宋_GB2312" w:hAnsi="仿宋_GB2312" w:eastAsia="仿宋_GB2312" w:cs="仿宋_GB2312"/>
          <w:sz w:val="32"/>
          <w:szCs w:val="32"/>
          <w:lang w:eastAsia="zh-CN"/>
        </w:rPr>
      </w:pPr>
    </w:p>
    <w:p>
      <w:pPr>
        <w:numPr>
          <w:ilvl w:val="0"/>
          <w:numId w:val="0"/>
        </w:numPr>
        <w:topLinePunct/>
        <w:spacing w:line="560" w:lineRule="exact"/>
        <w:ind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确定成交</w:t>
      </w:r>
      <w:r>
        <w:rPr>
          <w:rFonts w:hint="eastAsia" w:ascii="仿宋_GB2312" w:hAnsi="仿宋_GB2312" w:eastAsia="仿宋_GB2312" w:cs="仿宋_GB2312"/>
          <w:sz w:val="32"/>
          <w:szCs w:val="32"/>
          <w:lang w:eastAsia="zh-CN"/>
        </w:rPr>
        <w:t>服务商</w:t>
      </w:r>
    </w:p>
    <w:p>
      <w:pPr>
        <w:numPr>
          <w:ilvl w:val="0"/>
          <w:numId w:val="0"/>
        </w:numPr>
        <w:topLinePunct/>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rPr>
        <w:t>评审报告提出的成交候选人中，</w:t>
      </w:r>
      <w:r>
        <w:rPr>
          <w:rFonts w:hint="eastAsia" w:ascii="仿宋_GB2312" w:hAnsi="仿宋_GB2312" w:eastAsia="仿宋_GB2312" w:cs="仿宋_GB2312"/>
          <w:sz w:val="32"/>
          <w:szCs w:val="32"/>
          <w:lang w:eastAsia="zh-CN"/>
        </w:rPr>
        <w:t>确定</w:t>
      </w:r>
      <w:r>
        <w:rPr>
          <w:rFonts w:hint="eastAsia" w:ascii="仿宋_GB2312" w:hAnsi="仿宋_GB2312" w:eastAsia="仿宋_GB2312" w:cs="仿宋_GB2312"/>
          <w:sz w:val="32"/>
          <w:szCs w:val="32"/>
        </w:rPr>
        <w:t>成交</w:t>
      </w:r>
      <w:r>
        <w:rPr>
          <w:rFonts w:hint="eastAsia" w:ascii="仿宋_GB2312" w:hAnsi="仿宋_GB2312" w:eastAsia="仿宋_GB2312" w:cs="仿宋_GB2312"/>
          <w:sz w:val="32"/>
          <w:szCs w:val="32"/>
          <w:lang w:eastAsia="zh-CN"/>
        </w:rPr>
        <w:t>服务商</w:t>
      </w:r>
      <w:r>
        <w:rPr>
          <w:rFonts w:hint="eastAsia" w:ascii="仿宋_GB2312" w:hAnsi="仿宋_GB2312" w:eastAsia="仿宋_GB2312" w:cs="仿宋_GB2312"/>
          <w:sz w:val="32"/>
          <w:szCs w:val="32"/>
        </w:rPr>
        <w:t>。</w:t>
      </w:r>
    </w:p>
    <w:p>
      <w:pPr>
        <w:topLinePunct/>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、评审过程的保密</w:t>
      </w:r>
    </w:p>
    <w:p>
      <w:pPr>
        <w:topLinePunct/>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无论何时，凡与审查、澄清、评价、比较和应</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文件有关的资料以及授予合同的意向等，任何人均不得向</w:t>
      </w:r>
      <w:r>
        <w:rPr>
          <w:rFonts w:hint="eastAsia" w:ascii="仿宋_GB2312" w:hAnsi="仿宋_GB2312" w:eastAsia="仿宋_GB2312" w:cs="仿宋_GB2312"/>
          <w:sz w:val="32"/>
          <w:szCs w:val="32"/>
          <w:lang w:eastAsia="zh-CN"/>
        </w:rPr>
        <w:t>服务商</w:t>
      </w:r>
      <w:r>
        <w:rPr>
          <w:rFonts w:hint="eastAsia" w:ascii="仿宋_GB2312" w:hAnsi="仿宋_GB2312" w:eastAsia="仿宋_GB2312" w:cs="仿宋_GB2312"/>
          <w:sz w:val="32"/>
          <w:szCs w:val="32"/>
        </w:rPr>
        <w:t>及其他人员透露。</w:t>
      </w:r>
    </w:p>
    <w:p>
      <w:pPr>
        <w:topLinePunct/>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、成交通知</w:t>
      </w:r>
    </w:p>
    <w:p>
      <w:pPr>
        <w:topLinePunct/>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采购人确定成交</w:t>
      </w:r>
      <w:r>
        <w:rPr>
          <w:rFonts w:hint="eastAsia" w:ascii="仿宋_GB2312" w:hAnsi="仿宋_GB2312" w:eastAsia="仿宋_GB2312" w:cs="仿宋_GB2312"/>
          <w:sz w:val="32"/>
          <w:szCs w:val="32"/>
          <w:lang w:eastAsia="zh-CN"/>
        </w:rPr>
        <w:t>服务商</w:t>
      </w:r>
      <w:r>
        <w:rPr>
          <w:rFonts w:hint="eastAsia" w:ascii="仿宋_GB2312" w:hAnsi="仿宋_GB2312" w:eastAsia="仿宋_GB2312" w:cs="仿宋_GB2312"/>
          <w:sz w:val="32"/>
          <w:szCs w:val="32"/>
        </w:rPr>
        <w:t>后，在国家税务总局</w:t>
      </w:r>
      <w:r>
        <w:rPr>
          <w:rFonts w:hint="eastAsia" w:ascii="仿宋_GB2312" w:hAnsi="仿宋_GB2312" w:eastAsia="仿宋_GB2312" w:cs="仿宋_GB2312"/>
          <w:sz w:val="32"/>
          <w:szCs w:val="32"/>
          <w:lang w:eastAsia="zh-CN"/>
        </w:rPr>
        <w:t>天津市津南区</w:t>
      </w:r>
      <w:r>
        <w:rPr>
          <w:rFonts w:hint="eastAsia" w:ascii="仿宋_GB2312" w:hAnsi="仿宋_GB2312" w:eastAsia="仿宋_GB2312" w:cs="仿宋_GB2312"/>
          <w:sz w:val="32"/>
          <w:szCs w:val="32"/>
        </w:rPr>
        <w:t>税务局</w:t>
      </w:r>
      <w:r>
        <w:rPr>
          <w:rFonts w:hint="eastAsia" w:ascii="仿宋_GB2312" w:hAnsi="仿宋_GB2312" w:eastAsia="仿宋_GB2312" w:cs="仿宋_GB2312"/>
          <w:sz w:val="32"/>
          <w:szCs w:val="32"/>
          <w:highlight w:val="none"/>
          <w:lang w:val="en-US" w:eastAsia="zh-CN"/>
        </w:rPr>
        <w:t>官网“信息公开”栏“通知公告”</w:t>
      </w:r>
      <w:r>
        <w:rPr>
          <w:rFonts w:hint="eastAsia" w:ascii="仿宋_GB2312" w:hAnsi="仿宋_GB2312" w:eastAsia="仿宋_GB2312" w:cs="仿宋_GB2312"/>
          <w:sz w:val="32"/>
          <w:szCs w:val="32"/>
        </w:rPr>
        <w:t>上公告成交结果，同时将以书面形式向成交</w:t>
      </w:r>
      <w:r>
        <w:rPr>
          <w:rFonts w:hint="eastAsia" w:ascii="仿宋_GB2312" w:hAnsi="仿宋_GB2312" w:eastAsia="仿宋_GB2312" w:cs="仿宋_GB2312"/>
          <w:sz w:val="32"/>
          <w:szCs w:val="32"/>
          <w:lang w:eastAsia="zh-CN"/>
        </w:rPr>
        <w:t>服务商</w:t>
      </w:r>
      <w:r>
        <w:rPr>
          <w:rFonts w:hint="eastAsia" w:ascii="仿宋_GB2312" w:hAnsi="仿宋_GB2312" w:eastAsia="仿宋_GB2312" w:cs="仿宋_GB2312"/>
          <w:sz w:val="32"/>
          <w:szCs w:val="32"/>
        </w:rPr>
        <w:t>发出成交通知书。</w:t>
      </w:r>
    </w:p>
    <w:p>
      <w:pPr>
        <w:topLinePunct/>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、签署合同</w:t>
      </w:r>
    </w:p>
    <w:p>
      <w:pPr>
        <w:topLinePunct/>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采购人依法与成交</w:t>
      </w:r>
      <w:r>
        <w:rPr>
          <w:rFonts w:hint="eastAsia" w:ascii="仿宋_GB2312" w:hAnsi="仿宋_GB2312" w:eastAsia="仿宋_GB2312" w:cs="仿宋_GB2312"/>
          <w:sz w:val="32"/>
          <w:szCs w:val="32"/>
          <w:lang w:eastAsia="zh-CN"/>
        </w:rPr>
        <w:t>服务商</w:t>
      </w:r>
      <w:r>
        <w:rPr>
          <w:rFonts w:hint="eastAsia" w:ascii="仿宋_GB2312" w:hAnsi="仿宋_GB2312" w:eastAsia="仿宋_GB2312" w:cs="仿宋_GB2312"/>
          <w:sz w:val="32"/>
          <w:szCs w:val="32"/>
        </w:rPr>
        <w:t>签署合同。</w:t>
      </w:r>
    </w:p>
    <w:p>
      <w:pPr>
        <w:pStyle w:val="4"/>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p>
    <w:p>
      <w:pPr>
        <w:pStyle w:val="2"/>
        <w:numPr>
          <w:ilvl w:val="0"/>
          <w:numId w:val="0"/>
        </w:numPr>
        <w:ind w:leftChars="200"/>
        <w:rPr>
          <w:rFonts w:hint="eastAsia"/>
          <w:lang w:eastAsia="zh-CN"/>
        </w:rPr>
      </w:pPr>
    </w:p>
    <w:p>
      <w:pPr>
        <w:pStyle w:val="4"/>
        <w:rPr>
          <w:rFonts w:hint="eastAsia" w:ascii="方正小标宋简体" w:hAnsi="方正小标宋简体" w:eastAsia="方正小标宋简体" w:cs="方正小标宋简体"/>
          <w:sz w:val="44"/>
          <w:szCs w:val="44"/>
          <w:highlight w:val="none"/>
          <w:lang w:eastAsia="zh-CN"/>
        </w:rPr>
      </w:pPr>
    </w:p>
    <w:p>
      <w:pPr>
        <w:pStyle w:val="4"/>
        <w:rPr>
          <w:rFonts w:hint="eastAsia" w:ascii="方正小标宋简体" w:hAnsi="方正小标宋简体" w:eastAsia="方正小标宋简体" w:cs="方正小标宋简体"/>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shd w:val="clear" w:color="auto" w:fill="FFFFFF"/>
          <w:lang w:val="en-US" w:eastAsia="zh-CN"/>
        </w:rPr>
      </w:pPr>
      <w:r>
        <w:rPr>
          <w:rFonts w:hint="eastAsia" w:ascii="方正小标宋简体" w:hAnsi="方正小标宋简体" w:eastAsia="方正小标宋简体" w:cs="方正小标宋简体"/>
          <w:sz w:val="44"/>
          <w:szCs w:val="44"/>
          <w:highlight w:val="none"/>
          <w:lang w:eastAsia="zh-CN"/>
        </w:rPr>
        <w:t>第四章</w:t>
      </w:r>
      <w:r>
        <w:rPr>
          <w:rFonts w:hint="eastAsia" w:ascii="方正小标宋简体" w:hAnsi="方正小标宋简体" w:eastAsia="方正小标宋简体" w:cs="方正小标宋简体"/>
          <w:sz w:val="44"/>
          <w:szCs w:val="44"/>
          <w:highlight w:val="none"/>
          <w:lang w:val="en-US" w:eastAsia="zh-CN"/>
        </w:rPr>
        <w:t xml:space="preserve">  </w:t>
      </w:r>
      <w:r>
        <w:rPr>
          <w:rFonts w:hint="eastAsia" w:ascii="方正小标宋简体" w:hAnsi="方正小标宋简体" w:eastAsia="方正小标宋简体" w:cs="方正小标宋简体"/>
          <w:sz w:val="44"/>
          <w:szCs w:val="44"/>
          <w:shd w:val="clear" w:color="auto" w:fill="FFFFFF"/>
          <w:lang w:val="en-US" w:eastAsia="zh-CN"/>
        </w:rPr>
        <w:t>应答文件格式</w:t>
      </w:r>
    </w:p>
    <w:p>
      <w:pPr>
        <w:pStyle w:val="6"/>
        <w:numPr>
          <w:ilvl w:val="0"/>
          <w:numId w:val="0"/>
        </w:numPr>
        <w:adjustRightInd w:val="0"/>
        <w:snapToGrid w:val="0"/>
        <w:spacing w:line="620" w:lineRule="exact"/>
        <w:outlineLvl w:val="0"/>
        <w:rPr>
          <w:rFonts w:hint="eastAsia" w:ascii="黑体" w:hAnsi="黑体" w:eastAsia="黑体"/>
          <w:sz w:val="32"/>
          <w:szCs w:val="32"/>
          <w:shd w:val="clear" w:color="auto" w:fill="FFFFFF"/>
          <w:lang w:val="en-US" w:eastAsia="zh-CN"/>
        </w:rPr>
      </w:pPr>
    </w:p>
    <w:p>
      <w:pPr>
        <w:autoSpaceDN w:val="0"/>
        <w:spacing w:line="360" w:lineRule="auto"/>
        <w:jc w:val="center"/>
        <w:rPr>
          <w:b/>
          <w:bCs/>
          <w:color w:val="000000"/>
          <w:sz w:val="24"/>
        </w:rPr>
      </w:pPr>
      <w:r>
        <w:rPr>
          <w:rFonts w:hint="eastAsia"/>
          <w:b/>
          <w:bCs/>
          <w:color w:val="000000"/>
          <w:sz w:val="24"/>
          <w:lang w:val="en-US" w:eastAsia="zh-CN"/>
        </w:rPr>
        <w:t>应答</w:t>
      </w:r>
      <w:r>
        <w:rPr>
          <w:b/>
          <w:bCs/>
          <w:color w:val="000000"/>
          <w:sz w:val="24"/>
        </w:rPr>
        <w:t>文件封面格式</w:t>
      </w:r>
    </w:p>
    <w:p>
      <w:pPr>
        <w:pStyle w:val="6"/>
        <w:widowControl w:val="0"/>
        <w:numPr>
          <w:ilvl w:val="0"/>
          <w:numId w:val="0"/>
        </w:numPr>
        <w:adjustRightInd w:val="0"/>
        <w:snapToGrid w:val="0"/>
        <w:spacing w:line="620" w:lineRule="exact"/>
        <w:jc w:val="center"/>
        <w:outlineLvl w:val="0"/>
        <w:rPr>
          <w:rFonts w:hint="eastAsia" w:ascii="黑体" w:hAnsi="黑体" w:eastAsia="黑体"/>
          <w:sz w:val="32"/>
          <w:szCs w:val="32"/>
          <w:shd w:val="clear" w:color="auto" w:fill="FFFFFF"/>
          <w:lang w:val="en-US" w:eastAsia="zh-CN"/>
        </w:rPr>
      </w:pPr>
    </w:p>
    <w:p>
      <w:pPr>
        <w:pStyle w:val="6"/>
        <w:widowControl w:val="0"/>
        <w:numPr>
          <w:ilvl w:val="0"/>
          <w:numId w:val="0"/>
        </w:numPr>
        <w:adjustRightInd w:val="0"/>
        <w:snapToGrid w:val="0"/>
        <w:spacing w:line="620" w:lineRule="exact"/>
        <w:jc w:val="both"/>
        <w:outlineLvl w:val="0"/>
        <w:rPr>
          <w:rFonts w:hint="eastAsia" w:ascii="黑体" w:hAnsi="黑体" w:eastAsia="黑体"/>
          <w:sz w:val="32"/>
          <w:szCs w:val="32"/>
          <w:shd w:val="clear" w:color="auto" w:fill="FFFFFF"/>
          <w:lang w:val="en-US" w:eastAsia="zh-CN"/>
        </w:rPr>
      </w:pPr>
    </w:p>
    <w:p>
      <w:pPr>
        <w:pStyle w:val="6"/>
        <w:widowControl w:val="0"/>
        <w:numPr>
          <w:ilvl w:val="0"/>
          <w:numId w:val="0"/>
        </w:numPr>
        <w:adjustRightInd w:val="0"/>
        <w:snapToGrid w:val="0"/>
        <w:spacing w:line="620" w:lineRule="exact"/>
        <w:jc w:val="both"/>
        <w:outlineLvl w:val="0"/>
        <w:rPr>
          <w:rFonts w:hint="eastAsia" w:ascii="黑体" w:hAnsi="黑体" w:eastAsia="黑体"/>
          <w:sz w:val="32"/>
          <w:szCs w:val="32"/>
          <w:shd w:val="clear" w:color="auto" w:fill="FFFFFF"/>
          <w:lang w:val="en-US" w:eastAsia="zh-CN"/>
        </w:rPr>
      </w:pPr>
    </w:p>
    <w:p>
      <w:pPr>
        <w:autoSpaceDE w:val="0"/>
        <w:autoSpaceDN w:val="0"/>
        <w:adjustRightInd w:val="0"/>
        <w:jc w:val="center"/>
        <w:rPr>
          <w:color w:val="000000"/>
          <w:kern w:val="0"/>
          <w:sz w:val="144"/>
          <w:szCs w:val="144"/>
        </w:rPr>
      </w:pPr>
      <w:r>
        <w:rPr>
          <w:rFonts w:hint="eastAsia" w:eastAsia="宋体" w:cs="Times New Roman"/>
          <w:color w:val="000000"/>
          <w:sz w:val="160"/>
          <w:szCs w:val="84"/>
          <w:lang w:val="en-US" w:eastAsia="zh-CN"/>
        </w:rPr>
        <w:t>应答</w:t>
      </w:r>
      <w:r>
        <w:rPr>
          <w:color w:val="000000"/>
          <w:sz w:val="84"/>
          <w:szCs w:val="84"/>
        </w:rPr>
        <w:t xml:space="preserve"> </w:t>
      </w:r>
      <w:r>
        <w:rPr>
          <w:color w:val="000000"/>
          <w:sz w:val="160"/>
          <w:szCs w:val="84"/>
        </w:rPr>
        <w:t>文</w:t>
      </w:r>
      <w:r>
        <w:rPr>
          <w:color w:val="000000"/>
          <w:sz w:val="84"/>
          <w:szCs w:val="84"/>
        </w:rPr>
        <w:t xml:space="preserve"> </w:t>
      </w:r>
      <w:r>
        <w:rPr>
          <w:color w:val="000000"/>
          <w:sz w:val="160"/>
          <w:szCs w:val="84"/>
        </w:rPr>
        <w:t>件</w:t>
      </w:r>
    </w:p>
    <w:p>
      <w:pPr>
        <w:autoSpaceDE w:val="0"/>
        <w:autoSpaceDN w:val="0"/>
        <w:adjustRightInd w:val="0"/>
        <w:spacing w:line="520" w:lineRule="exact"/>
        <w:rPr>
          <w:b/>
          <w:color w:val="000000"/>
          <w:kern w:val="0"/>
          <w:sz w:val="36"/>
          <w:szCs w:val="36"/>
        </w:rPr>
      </w:pPr>
    </w:p>
    <w:p>
      <w:pPr>
        <w:autoSpaceDE w:val="0"/>
        <w:autoSpaceDN w:val="0"/>
        <w:adjustRightInd w:val="0"/>
        <w:spacing w:line="520" w:lineRule="exact"/>
        <w:jc w:val="center"/>
        <w:rPr>
          <w:b/>
          <w:color w:val="000000"/>
          <w:kern w:val="0"/>
          <w:sz w:val="24"/>
        </w:rPr>
      </w:pPr>
      <w:r>
        <w:rPr>
          <w:b/>
          <w:color w:val="000000"/>
          <w:kern w:val="0"/>
          <w:sz w:val="24"/>
        </w:rPr>
        <w:t>（加盖签章）</w:t>
      </w:r>
    </w:p>
    <w:p>
      <w:pPr>
        <w:spacing w:before="93" w:beforeLines="30" w:after="218" w:afterLines="70" w:line="540" w:lineRule="exact"/>
        <w:ind w:left="2152" w:leftChars="300" w:hanging="1522" w:hangingChars="446"/>
        <w:rPr>
          <w:b/>
          <w:color w:val="000000"/>
          <w:sz w:val="34"/>
          <w:szCs w:val="34"/>
        </w:rPr>
      </w:pPr>
      <w:r>
        <w:rPr>
          <w:b/>
          <w:color w:val="000000"/>
          <w:sz w:val="34"/>
          <w:szCs w:val="34"/>
        </w:rPr>
        <w:t>项目名称：</w:t>
      </w:r>
    </w:p>
    <w:p>
      <w:pPr>
        <w:spacing w:before="93" w:beforeLines="30" w:after="218" w:afterLines="70" w:line="540" w:lineRule="exact"/>
        <w:ind w:left="630" w:leftChars="300"/>
        <w:rPr>
          <w:b/>
          <w:color w:val="000000"/>
          <w:sz w:val="34"/>
          <w:szCs w:val="34"/>
        </w:rPr>
      </w:pPr>
      <w:r>
        <w:rPr>
          <w:b/>
          <w:color w:val="000000"/>
          <w:sz w:val="34"/>
          <w:szCs w:val="34"/>
        </w:rPr>
        <w:t>单位名称：</w:t>
      </w:r>
    </w:p>
    <w:p>
      <w:pPr>
        <w:spacing w:before="93" w:beforeLines="30" w:after="218" w:afterLines="70" w:line="540" w:lineRule="exact"/>
        <w:ind w:left="630" w:leftChars="300"/>
        <w:rPr>
          <w:b/>
          <w:color w:val="000000"/>
          <w:sz w:val="34"/>
          <w:szCs w:val="34"/>
        </w:rPr>
      </w:pPr>
      <w:r>
        <w:rPr>
          <w:rFonts w:hint="eastAsia"/>
          <w:b/>
          <w:color w:val="000000"/>
          <w:sz w:val="34"/>
          <w:szCs w:val="34"/>
          <w:lang w:val="en-US" w:eastAsia="zh-CN"/>
        </w:rPr>
        <w:t>授权</w:t>
      </w:r>
      <w:r>
        <w:rPr>
          <w:rFonts w:hint="eastAsia"/>
          <w:b/>
          <w:color w:val="000000"/>
          <w:sz w:val="34"/>
          <w:szCs w:val="34"/>
        </w:rPr>
        <w:t>代表人姓名：</w:t>
      </w:r>
    </w:p>
    <w:p>
      <w:pPr>
        <w:spacing w:before="93" w:beforeLines="30" w:after="218" w:afterLines="70" w:line="540" w:lineRule="exact"/>
        <w:ind w:left="630" w:leftChars="300"/>
        <w:rPr>
          <w:b/>
          <w:bCs/>
          <w:color w:val="000000"/>
          <w:sz w:val="24"/>
        </w:rPr>
      </w:pPr>
      <w:r>
        <w:rPr>
          <w:rFonts w:hint="eastAsia"/>
          <w:b/>
          <w:color w:val="000000"/>
          <w:sz w:val="34"/>
          <w:szCs w:val="34"/>
          <w:lang w:val="en-US" w:eastAsia="zh-CN"/>
        </w:rPr>
        <w:t>应答</w:t>
      </w:r>
      <w:r>
        <w:rPr>
          <w:b/>
          <w:color w:val="000000"/>
          <w:sz w:val="34"/>
          <w:szCs w:val="34"/>
        </w:rPr>
        <w:t>日期：   年   月   日</w:t>
      </w:r>
    </w:p>
    <w:p>
      <w:pPr>
        <w:rPr>
          <w:rFonts w:hint="eastAsia"/>
          <w:b/>
          <w:bCs/>
          <w:color w:val="000000"/>
          <w:sz w:val="24"/>
          <w:lang w:val="en-US" w:eastAsia="zh-CN"/>
        </w:rPr>
      </w:pPr>
      <w:r>
        <w:rPr>
          <w:rFonts w:hint="eastAsia"/>
          <w:b/>
          <w:bCs/>
          <w:color w:val="000000"/>
          <w:sz w:val="24"/>
          <w:lang w:val="en-US" w:eastAsia="zh-CN"/>
        </w:rPr>
        <w:br w:type="page"/>
      </w:r>
    </w:p>
    <w:p>
      <w:pPr>
        <w:autoSpaceDN w:val="0"/>
        <w:spacing w:line="360" w:lineRule="auto"/>
        <w:jc w:val="center"/>
        <w:rPr>
          <w:b/>
          <w:bCs/>
          <w:color w:val="000000"/>
          <w:sz w:val="24"/>
        </w:rPr>
      </w:pPr>
      <w:r>
        <w:rPr>
          <w:rFonts w:hint="eastAsia"/>
          <w:b/>
          <w:bCs/>
          <w:color w:val="000000"/>
          <w:sz w:val="24"/>
          <w:lang w:eastAsia="zh-CN"/>
        </w:rPr>
        <w:t>应答</w:t>
      </w:r>
      <w:r>
        <w:rPr>
          <w:b/>
          <w:bCs/>
          <w:color w:val="000000"/>
          <w:sz w:val="24"/>
        </w:rPr>
        <w:t>文件总目录</w:t>
      </w:r>
    </w:p>
    <w:p>
      <w:pPr>
        <w:autoSpaceDN w:val="0"/>
        <w:spacing w:line="360" w:lineRule="auto"/>
        <w:jc w:val="center"/>
        <w:rPr>
          <w:b/>
          <w:bCs/>
          <w:color w:val="000000"/>
          <w:sz w:val="24"/>
        </w:rPr>
      </w:pPr>
      <w:r>
        <w:rPr>
          <w:b/>
          <w:bCs/>
          <w:color w:val="000000"/>
          <w:sz w:val="24"/>
        </w:rPr>
        <w:t>（</w:t>
      </w:r>
      <w:r>
        <w:rPr>
          <w:rFonts w:hint="eastAsia"/>
          <w:b/>
          <w:bCs/>
          <w:color w:val="000000"/>
          <w:sz w:val="24"/>
          <w:lang w:val="en-US" w:eastAsia="zh-CN"/>
        </w:rPr>
        <w:t>服务商</w:t>
      </w:r>
      <w:r>
        <w:rPr>
          <w:b/>
          <w:bCs/>
          <w:color w:val="000000"/>
          <w:sz w:val="24"/>
        </w:rPr>
        <w:t>自行编制）</w:t>
      </w:r>
    </w:p>
    <w:p>
      <w:pPr>
        <w:widowControl/>
        <w:jc w:val="center"/>
        <w:rPr>
          <w:b/>
          <w:color w:val="000000"/>
          <w:sz w:val="24"/>
        </w:rPr>
      </w:pPr>
    </w:p>
    <w:p>
      <w:pPr>
        <w:pStyle w:val="6"/>
        <w:bidi w:val="0"/>
        <w:rPr>
          <w:rFonts w:hint="default"/>
          <w:lang w:val="en-US" w:eastAsia="zh-CN"/>
        </w:rPr>
      </w:pPr>
    </w:p>
    <w:p>
      <w:pPr>
        <w:pStyle w:val="5"/>
        <w:adjustRightInd w:val="0"/>
        <w:snapToGrid w:val="0"/>
        <w:spacing w:line="620" w:lineRule="exact"/>
        <w:ind w:right="640"/>
        <w:jc w:val="right"/>
        <w:rPr>
          <w:rFonts w:hint="eastAsia" w:ascii="仿宋_GB2312" w:eastAsia="仿宋_GB2312"/>
          <w:color w:val="333333"/>
          <w:sz w:val="32"/>
          <w:szCs w:val="32"/>
          <w:highlight w:val="yellow"/>
          <w:shd w:val="clear" w:color="auto" w:fill="FFFFFF"/>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pStyle w:val="2"/>
        <w:numPr>
          <w:ilvl w:val="0"/>
          <w:numId w:val="0"/>
        </w:numPr>
        <w:rPr>
          <w:rFonts w:hint="eastAsia"/>
        </w:rPr>
      </w:pPr>
    </w:p>
    <w:p>
      <w:pPr>
        <w:pStyle w:val="4"/>
        <w:rPr>
          <w:rFonts w:hint="eastAsia"/>
        </w:rPr>
      </w:pPr>
    </w:p>
    <w:p>
      <w:pPr>
        <w:pStyle w:val="4"/>
        <w:rPr>
          <w:rFonts w:hint="eastAsia"/>
        </w:rPr>
      </w:pPr>
    </w:p>
    <w:p>
      <w:pPr>
        <w:pStyle w:val="4"/>
        <w:rPr>
          <w:rFonts w:hint="eastAsia"/>
        </w:rPr>
      </w:pPr>
    </w:p>
    <w:p>
      <w:pPr>
        <w:bidi w:val="0"/>
        <w:rPr>
          <w:rFonts w:hint="eastAsia"/>
        </w:rPr>
      </w:pPr>
    </w:p>
    <w:p>
      <w:pPr>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一、</w:t>
      </w:r>
      <w:r>
        <w:rPr>
          <w:rFonts w:hint="eastAsia" w:ascii="宋体" w:hAnsi="宋体" w:cs="宋体"/>
          <w:b/>
          <w:bCs/>
          <w:kern w:val="44"/>
          <w:sz w:val="28"/>
          <w:szCs w:val="28"/>
          <w:lang w:val="en-US" w:eastAsia="zh-CN" w:bidi="ar-SA"/>
        </w:rPr>
        <w:t>报价</w:t>
      </w:r>
      <w:r>
        <w:rPr>
          <w:rFonts w:hint="eastAsia" w:ascii="宋体" w:hAnsi="宋体" w:eastAsia="宋体" w:cs="宋体"/>
          <w:b/>
          <w:bCs/>
          <w:kern w:val="44"/>
          <w:sz w:val="28"/>
          <w:szCs w:val="28"/>
          <w:lang w:val="en-US" w:eastAsia="zh-CN" w:bidi="ar-SA"/>
        </w:rPr>
        <w:t>响应声明</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highlight w:val="none"/>
          <w:lang w:eastAsia="zh-CN"/>
        </w:rPr>
        <w:t>国家税务总局</w:t>
      </w:r>
      <w:r>
        <w:rPr>
          <w:rFonts w:hint="eastAsia" w:ascii="宋体" w:hAnsi="宋体" w:cs="宋体"/>
          <w:b w:val="0"/>
          <w:bCs w:val="0"/>
          <w:color w:val="auto"/>
          <w:sz w:val="24"/>
          <w:szCs w:val="24"/>
          <w:highlight w:val="none"/>
          <w:lang w:eastAsia="zh-CN"/>
        </w:rPr>
        <w:t>天津市津南区</w:t>
      </w:r>
      <w:r>
        <w:rPr>
          <w:rFonts w:hint="eastAsia" w:ascii="宋体" w:hAnsi="宋体" w:eastAsia="宋体" w:cs="宋体"/>
          <w:b w:val="0"/>
          <w:bCs w:val="0"/>
          <w:color w:val="auto"/>
          <w:sz w:val="24"/>
          <w:szCs w:val="24"/>
          <w:highlight w:val="none"/>
        </w:rPr>
        <w:t>税务局</w:t>
      </w:r>
      <w:r>
        <w:rPr>
          <w:rFonts w:hint="eastAsia" w:ascii="宋体" w:hAnsi="宋体" w:eastAsia="宋体" w:cs="宋体"/>
          <w:sz w:val="24"/>
          <w:szCs w:val="24"/>
        </w:rPr>
        <w:t>：</w:t>
      </w:r>
    </w:p>
    <w:p>
      <w:pPr>
        <w:spacing w:line="360" w:lineRule="auto"/>
        <w:ind w:firstLine="420"/>
        <w:rPr>
          <w:rFonts w:ascii="宋体" w:hAnsi="宋体" w:eastAsia="宋体" w:cs="宋体"/>
          <w:sz w:val="24"/>
          <w:szCs w:val="24"/>
        </w:rPr>
      </w:pPr>
      <w:r>
        <w:rPr>
          <w:rFonts w:hint="eastAsia" w:ascii="宋体" w:hAnsi="宋体" w:eastAsia="宋体" w:cs="宋体"/>
          <w:sz w:val="24"/>
          <w:szCs w:val="24"/>
        </w:rPr>
        <w:t>根据贵方</w:t>
      </w:r>
      <w:r>
        <w:rPr>
          <w:rFonts w:hint="eastAsia" w:ascii="宋体" w:hAnsi="宋体" w:eastAsia="宋体" w:cs="宋体"/>
          <w:sz w:val="24"/>
          <w:szCs w:val="24"/>
          <w:u w:val="single"/>
        </w:rPr>
        <w:t xml:space="preserve">   </w:t>
      </w:r>
      <w:r>
        <w:rPr>
          <w:rFonts w:hint="eastAsia" w:ascii="宋体" w:hAnsi="宋体" w:cs="宋体"/>
          <w:sz w:val="24"/>
          <w:szCs w:val="24"/>
          <w:u w:val="single"/>
        </w:rPr>
        <w:t>国家税务总局</w:t>
      </w:r>
      <w:r>
        <w:rPr>
          <w:rFonts w:hint="eastAsia" w:ascii="宋体" w:hAnsi="宋体" w:cs="宋体"/>
          <w:sz w:val="24"/>
          <w:szCs w:val="24"/>
          <w:u w:val="single"/>
          <w:lang w:eastAsia="zh-CN"/>
        </w:rPr>
        <w:t>天津市津南区</w:t>
      </w:r>
      <w:r>
        <w:rPr>
          <w:rFonts w:hint="eastAsia" w:ascii="宋体" w:hAnsi="宋体" w:cs="宋体"/>
          <w:sz w:val="24"/>
          <w:szCs w:val="24"/>
          <w:u w:val="single"/>
        </w:rPr>
        <w:t>税务局信息化、服务类项目预算评审项目</w:t>
      </w:r>
      <w:r>
        <w:rPr>
          <w:rFonts w:hint="eastAsia" w:ascii="宋体" w:hAnsi="宋体" w:eastAsia="宋体" w:cs="宋体"/>
          <w:sz w:val="24"/>
          <w:szCs w:val="24"/>
          <w:u w:val="single"/>
        </w:rPr>
        <w:t xml:space="preserve"> </w:t>
      </w:r>
      <w:r>
        <w:rPr>
          <w:rFonts w:hint="eastAsia" w:ascii="宋体" w:hAnsi="宋体" w:eastAsia="宋体" w:cs="宋体"/>
          <w:sz w:val="24"/>
          <w:szCs w:val="24"/>
        </w:rPr>
        <w:t>的</w:t>
      </w:r>
      <w:r>
        <w:rPr>
          <w:rFonts w:hint="eastAsia" w:ascii="宋体" w:hAnsi="宋体" w:cs="宋体"/>
          <w:sz w:val="24"/>
          <w:szCs w:val="24"/>
          <w:lang w:eastAsia="zh-CN"/>
        </w:rPr>
        <w:t>报价响应</w:t>
      </w:r>
      <w:r>
        <w:rPr>
          <w:rFonts w:hint="eastAsia" w:ascii="宋体" w:hAnsi="宋体" w:eastAsia="宋体" w:cs="宋体"/>
          <w:sz w:val="24"/>
          <w:szCs w:val="24"/>
        </w:rPr>
        <w:t>邀请，签字代表（</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）经正式授权并代表参加人（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）提交</w:t>
      </w:r>
      <w:r>
        <w:rPr>
          <w:rFonts w:hint="eastAsia" w:ascii="宋体" w:hAnsi="宋体" w:cs="宋体"/>
          <w:sz w:val="24"/>
          <w:szCs w:val="24"/>
          <w:lang w:eastAsia="zh-CN"/>
        </w:rPr>
        <w:t>应答文件</w:t>
      </w:r>
      <w:r>
        <w:rPr>
          <w:rFonts w:hint="eastAsia" w:ascii="宋体" w:hAnsi="宋体" w:eastAsia="宋体" w:cs="宋体"/>
          <w:sz w:val="24"/>
          <w:szCs w:val="24"/>
        </w:rPr>
        <w:t>一式三份。</w:t>
      </w:r>
    </w:p>
    <w:p>
      <w:pPr>
        <w:spacing w:line="360" w:lineRule="auto"/>
        <w:ind w:firstLine="420"/>
        <w:rPr>
          <w:rFonts w:ascii="宋体" w:hAnsi="宋体" w:eastAsia="宋体" w:cs="宋体"/>
          <w:sz w:val="24"/>
          <w:szCs w:val="24"/>
        </w:rPr>
      </w:pPr>
      <w:r>
        <w:rPr>
          <w:rFonts w:hint="eastAsia" w:ascii="宋体" w:hAnsi="宋体" w:eastAsia="宋体" w:cs="宋体"/>
          <w:sz w:val="24"/>
          <w:szCs w:val="24"/>
        </w:rPr>
        <w:t>一、我方同意在本项目采购文件中规定的递交应答</w:t>
      </w:r>
      <w:r>
        <w:rPr>
          <w:rFonts w:hint="eastAsia" w:ascii="宋体" w:hAnsi="宋体" w:cs="宋体"/>
          <w:sz w:val="24"/>
          <w:szCs w:val="24"/>
          <w:lang w:eastAsia="zh-CN"/>
        </w:rPr>
        <w:t>文件</w:t>
      </w:r>
      <w:r>
        <w:rPr>
          <w:rFonts w:hint="eastAsia" w:ascii="宋体" w:hAnsi="宋体" w:eastAsia="宋体" w:cs="宋体"/>
          <w:sz w:val="24"/>
          <w:szCs w:val="24"/>
        </w:rPr>
        <w:t>截止时间起90天内遵守本应答报告书中的承诺且在此期限期满之前均具有约束力。</w:t>
      </w:r>
    </w:p>
    <w:p>
      <w:pPr>
        <w:spacing w:line="360" w:lineRule="auto"/>
        <w:ind w:firstLine="420"/>
        <w:rPr>
          <w:rFonts w:ascii="宋体" w:hAnsi="宋体" w:eastAsia="宋体" w:cs="宋体"/>
          <w:sz w:val="24"/>
          <w:szCs w:val="24"/>
        </w:rPr>
      </w:pPr>
      <w:r>
        <w:rPr>
          <w:rFonts w:hint="eastAsia" w:ascii="宋体" w:hAnsi="宋体" w:eastAsia="宋体" w:cs="宋体"/>
          <w:sz w:val="24"/>
          <w:szCs w:val="24"/>
        </w:rPr>
        <w:t>二、我方承诺提交应答报告书截止时间前三年内；</w:t>
      </w:r>
    </w:p>
    <w:p>
      <w:pPr>
        <w:spacing w:line="360" w:lineRule="auto"/>
        <w:ind w:firstLine="420"/>
        <w:rPr>
          <w:rFonts w:ascii="宋体" w:hAnsi="宋体" w:eastAsia="宋体" w:cs="宋体"/>
          <w:sz w:val="24"/>
          <w:szCs w:val="24"/>
        </w:rPr>
      </w:pPr>
      <w:r>
        <w:rPr>
          <w:rFonts w:hint="eastAsia" w:ascii="宋体" w:hAnsi="宋体" w:eastAsia="宋体" w:cs="宋体"/>
          <w:sz w:val="24"/>
          <w:szCs w:val="24"/>
        </w:rPr>
        <w:t>（一）我方依法缴纳了各项税费及各项社会保障资金，没有偷税、漏税及欠缴行为。</w:t>
      </w:r>
    </w:p>
    <w:p>
      <w:pPr>
        <w:spacing w:line="360" w:lineRule="auto"/>
        <w:ind w:firstLine="420"/>
        <w:rPr>
          <w:rFonts w:ascii="宋体" w:hAnsi="宋体" w:eastAsia="宋体" w:cs="宋体"/>
          <w:sz w:val="24"/>
          <w:szCs w:val="24"/>
        </w:rPr>
      </w:pPr>
      <w:r>
        <w:rPr>
          <w:rFonts w:hint="eastAsia" w:ascii="宋体" w:hAnsi="宋体" w:eastAsia="宋体" w:cs="宋体"/>
          <w:sz w:val="24"/>
          <w:szCs w:val="24"/>
        </w:rPr>
        <w:t>（二）我方在经营活动中没有存在因违法经营受到刑事处罚或者责令停产停业、吊销许可证或者执照、较大数额罚款等行政处罚。</w:t>
      </w:r>
    </w:p>
    <w:p>
      <w:pPr>
        <w:spacing w:line="360" w:lineRule="auto"/>
        <w:ind w:firstLine="420"/>
        <w:rPr>
          <w:rFonts w:ascii="宋体" w:hAnsi="宋体" w:eastAsia="宋体" w:cs="宋体"/>
          <w:sz w:val="24"/>
          <w:szCs w:val="24"/>
        </w:rPr>
      </w:pPr>
      <w:r>
        <w:rPr>
          <w:rFonts w:hint="eastAsia" w:ascii="宋体" w:hAnsi="宋体" w:eastAsia="宋体" w:cs="宋体"/>
          <w:sz w:val="24"/>
          <w:szCs w:val="24"/>
        </w:rPr>
        <w:t>三、我方已详细审核全部采购文件，包括采购文件修改文件、参考资料及有关附件，确认无误。我方承诺接受采购文件中的全部条款且无任何异议。</w:t>
      </w:r>
    </w:p>
    <w:p>
      <w:pPr>
        <w:spacing w:line="360" w:lineRule="auto"/>
        <w:ind w:firstLine="420"/>
        <w:rPr>
          <w:rFonts w:ascii="宋体" w:hAnsi="宋体" w:eastAsia="宋体" w:cs="宋体"/>
          <w:sz w:val="24"/>
          <w:szCs w:val="24"/>
        </w:rPr>
      </w:pPr>
      <w:r>
        <w:rPr>
          <w:rFonts w:hint="eastAsia" w:ascii="宋体" w:hAnsi="宋体" w:eastAsia="宋体" w:cs="宋体"/>
          <w:sz w:val="24"/>
          <w:szCs w:val="24"/>
        </w:rPr>
        <w:t>四、我方保证应答报告书提供的数据和材料是真实、合法的。我方愿意向贵方提供任何与本项采购有关的数据、情况和技术资料。若贵方需要，我方愿意提供我方作出的一切承诺的证明材料。</w:t>
      </w:r>
    </w:p>
    <w:p>
      <w:pPr>
        <w:spacing w:line="360" w:lineRule="auto"/>
        <w:ind w:firstLine="420"/>
        <w:rPr>
          <w:rFonts w:ascii="宋体" w:hAnsi="宋体" w:eastAsia="宋体" w:cs="宋体"/>
          <w:sz w:val="24"/>
          <w:szCs w:val="24"/>
        </w:rPr>
      </w:pPr>
      <w:r>
        <w:rPr>
          <w:rFonts w:hint="eastAsia" w:ascii="宋体" w:hAnsi="宋体" w:eastAsia="宋体" w:cs="宋体"/>
          <w:sz w:val="24"/>
          <w:szCs w:val="24"/>
        </w:rPr>
        <w:t>五、我方承诺遵守《中华人民共和国</w:t>
      </w:r>
      <w:r>
        <w:rPr>
          <w:rFonts w:hint="eastAsia" w:ascii="宋体" w:hAnsi="宋体" w:cs="宋体"/>
          <w:sz w:val="24"/>
          <w:szCs w:val="24"/>
          <w:lang w:eastAsia="zh-CN"/>
        </w:rPr>
        <w:t>民法典</w:t>
      </w:r>
      <w:r>
        <w:rPr>
          <w:rFonts w:hint="eastAsia" w:ascii="宋体" w:hAnsi="宋体" w:eastAsia="宋体" w:cs="宋体"/>
          <w:sz w:val="24"/>
          <w:szCs w:val="24"/>
        </w:rPr>
        <w:t>》的有关规定，按照采购文件确定的事项签订采购合同，并承担合同规定的责任和义务。</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p>
    <w:p>
      <w:pPr>
        <w:keepNext w:val="0"/>
        <w:keepLines w:val="0"/>
        <w:pageBreakBefore w:val="0"/>
        <w:widowControl w:val="0"/>
        <w:kinsoku/>
        <w:wordWrap w:val="0"/>
        <w:overflowPunct/>
        <w:topLinePunct w:val="0"/>
        <w:autoSpaceDE/>
        <w:autoSpaceDN/>
        <w:bidi w:val="0"/>
        <w:adjustRightInd/>
        <w:snapToGrid/>
        <w:spacing w:line="360" w:lineRule="auto"/>
        <w:jc w:val="center"/>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 xml:space="preserve">               服务商</w:t>
      </w:r>
      <w:r>
        <w:rPr>
          <w:rFonts w:hint="eastAsia" w:ascii="宋体" w:hAnsi="宋体" w:eastAsia="宋体" w:cs="宋体"/>
          <w:sz w:val="24"/>
          <w:szCs w:val="24"/>
        </w:rPr>
        <w:t>名称(盖章)：</w:t>
      </w:r>
      <w:r>
        <w:rPr>
          <w:rFonts w:hint="eastAsia" w:ascii="宋体" w:hAnsi="宋体" w:eastAsia="宋体" w:cs="宋体"/>
          <w:sz w:val="24"/>
          <w:szCs w:val="24"/>
          <w:u w:val="single"/>
          <w:lang w:val="en-US" w:eastAsia="zh-CN"/>
        </w:rPr>
        <w:t xml:space="preserve">                   </w:t>
      </w:r>
    </w:p>
    <w:p>
      <w:pPr>
        <w:keepNext w:val="0"/>
        <w:keepLines w:val="0"/>
        <w:pageBreakBefore w:val="0"/>
        <w:widowControl w:val="0"/>
        <w:kinsoku/>
        <w:overflowPunct/>
        <w:topLinePunct w:val="0"/>
        <w:autoSpaceDE/>
        <w:autoSpaceDN/>
        <w:bidi w:val="0"/>
        <w:adjustRightInd/>
        <w:snapToGrid/>
        <w:spacing w:line="360" w:lineRule="auto"/>
        <w:ind w:firstLine="3120" w:firstLineChars="1300"/>
        <w:textAlignment w:val="auto"/>
        <w:rPr>
          <w:rFonts w:ascii="宋体" w:hAnsi="宋体" w:eastAsia="宋体" w:cs="宋体"/>
          <w:sz w:val="24"/>
          <w:szCs w:val="24"/>
        </w:rPr>
      </w:pPr>
      <w:r>
        <w:rPr>
          <w:rFonts w:hint="eastAsia" w:ascii="宋体" w:hAnsi="宋体" w:eastAsia="宋体" w:cs="宋体"/>
          <w:sz w:val="24"/>
          <w:szCs w:val="24"/>
        </w:rPr>
        <w:t>法定代表人(签章)：</w:t>
      </w:r>
      <w:r>
        <w:rPr>
          <w:rFonts w:hint="eastAsia" w:ascii="宋体" w:hAnsi="宋体" w:eastAsia="宋体" w:cs="宋体"/>
          <w:sz w:val="24"/>
          <w:szCs w:val="24"/>
          <w:u w:val="single"/>
        </w:rPr>
        <w:t xml:space="preserve">                     </w:t>
      </w:r>
    </w:p>
    <w:p>
      <w:pPr>
        <w:keepNext w:val="0"/>
        <w:keepLines w:val="0"/>
        <w:pageBreakBefore w:val="0"/>
        <w:widowControl w:val="0"/>
        <w:kinsoku/>
        <w:overflowPunct/>
        <w:topLinePunct w:val="0"/>
        <w:autoSpaceDE/>
        <w:autoSpaceDN/>
        <w:bidi w:val="0"/>
        <w:adjustRightInd w:val="0"/>
        <w:snapToGrid w:val="0"/>
        <w:spacing w:line="360" w:lineRule="auto"/>
        <w:ind w:right="420" w:firstLine="3120" w:firstLineChars="1300"/>
        <w:textAlignment w:val="auto"/>
        <w:rPr>
          <w:rFonts w:hint="default" w:ascii="宋体" w:hAnsi="宋体" w:eastAsia="宋体" w:cs="宋体"/>
          <w:sz w:val="24"/>
          <w:szCs w:val="24"/>
          <w:lang w:val="en-US"/>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p>
    <w:p>
      <w:pPr>
        <w:keepNext w:val="0"/>
        <w:keepLines w:val="0"/>
        <w:pageBreakBefore w:val="0"/>
        <w:widowControl w:val="0"/>
        <w:kinsoku/>
        <w:overflowPunct/>
        <w:topLinePunct w:val="0"/>
        <w:autoSpaceDE/>
        <w:autoSpaceDN/>
        <w:bidi w:val="0"/>
        <w:spacing w:line="360" w:lineRule="auto"/>
        <w:textAlignment w:val="auto"/>
        <w:rPr>
          <w:rFonts w:hint="eastAsia"/>
          <w:lang w:eastAsia="zh-CN"/>
        </w:rPr>
      </w:pPr>
      <w:r>
        <w:rPr>
          <w:rFonts w:hint="eastAsia"/>
          <w:lang w:eastAsia="zh-CN"/>
        </w:rPr>
        <w:br w:type="page"/>
      </w:r>
    </w:p>
    <w:p>
      <w:pPr>
        <w:ind w:right="84"/>
        <w:jc w:val="both"/>
        <w:rPr>
          <w:rFonts w:hint="eastAsia" w:ascii="宋体" w:hAnsi="宋体" w:eastAsia="宋体" w:cs="宋体"/>
          <w:b/>
          <w:sz w:val="28"/>
          <w:szCs w:val="28"/>
        </w:rPr>
      </w:pPr>
      <w:bookmarkStart w:id="0" w:name="_Toc3960"/>
      <w:bookmarkStart w:id="1" w:name="_Toc421267961"/>
      <w:r>
        <w:rPr>
          <w:rFonts w:hint="eastAsia" w:ascii="宋体" w:hAnsi="宋体" w:eastAsia="宋体" w:cs="宋体"/>
          <w:b/>
          <w:sz w:val="28"/>
          <w:szCs w:val="28"/>
          <w:lang w:val="en-US" w:eastAsia="zh-CN"/>
        </w:rPr>
        <w:t>1.1</w:t>
      </w:r>
      <w:r>
        <w:rPr>
          <w:rFonts w:hint="eastAsia" w:ascii="宋体" w:hAnsi="宋体" w:cs="宋体"/>
          <w:b/>
          <w:sz w:val="28"/>
          <w:szCs w:val="28"/>
          <w:lang w:eastAsia="zh-CN"/>
        </w:rPr>
        <w:t>服务商</w:t>
      </w:r>
      <w:r>
        <w:rPr>
          <w:rFonts w:hint="eastAsia" w:ascii="宋体" w:hAnsi="宋体" w:eastAsia="宋体" w:cs="宋体"/>
          <w:b/>
          <w:sz w:val="28"/>
          <w:szCs w:val="28"/>
        </w:rPr>
        <w:t>资格声明函</w:t>
      </w:r>
    </w:p>
    <w:p>
      <w:pPr>
        <w:spacing w:line="360" w:lineRule="auto"/>
        <w:ind w:firstLine="420"/>
        <w:jc w:val="center"/>
        <w:rPr>
          <w:b/>
          <w:sz w:val="24"/>
        </w:rPr>
      </w:pPr>
    </w:p>
    <w:p>
      <w:pPr>
        <w:spacing w:line="360" w:lineRule="auto"/>
        <w:rPr>
          <w:sz w:val="24"/>
        </w:rPr>
      </w:pPr>
      <w:r>
        <w:rPr>
          <w:rFonts w:hint="eastAsia" w:ascii="宋体" w:hAnsi="宋体" w:eastAsia="宋体" w:cs="宋体"/>
          <w:sz w:val="24"/>
          <w:szCs w:val="24"/>
          <w:highlight w:val="none"/>
          <w:lang w:eastAsia="zh-CN"/>
        </w:rPr>
        <w:t>国家税务总局</w:t>
      </w:r>
      <w:r>
        <w:rPr>
          <w:rFonts w:hint="eastAsia" w:ascii="宋体" w:hAnsi="宋体" w:cs="宋体"/>
          <w:b w:val="0"/>
          <w:bCs w:val="0"/>
          <w:color w:val="auto"/>
          <w:sz w:val="24"/>
          <w:szCs w:val="24"/>
          <w:highlight w:val="none"/>
          <w:lang w:eastAsia="zh-CN"/>
        </w:rPr>
        <w:t>天津市津南区</w:t>
      </w:r>
      <w:r>
        <w:rPr>
          <w:rFonts w:hint="eastAsia" w:ascii="宋体" w:hAnsi="宋体" w:eastAsia="宋体" w:cs="宋体"/>
          <w:b w:val="0"/>
          <w:bCs w:val="0"/>
          <w:color w:val="auto"/>
          <w:sz w:val="24"/>
          <w:szCs w:val="24"/>
          <w:highlight w:val="none"/>
        </w:rPr>
        <w:t>税务局</w:t>
      </w:r>
      <w:r>
        <w:rPr>
          <w:rFonts w:hint="eastAsia" w:ascii="宋体" w:hAnsi="宋体" w:eastAsia="宋体" w:cs="宋体"/>
          <w:sz w:val="24"/>
          <w:szCs w:val="24"/>
        </w:rPr>
        <w:t>：</w:t>
      </w:r>
    </w:p>
    <w:p>
      <w:pPr>
        <w:spacing w:line="360" w:lineRule="auto"/>
        <w:ind w:firstLine="480" w:firstLineChars="200"/>
        <w:rPr>
          <w:sz w:val="24"/>
        </w:rPr>
      </w:pPr>
      <w:r>
        <w:rPr>
          <w:rFonts w:hint="eastAsia"/>
          <w:sz w:val="24"/>
        </w:rPr>
        <w:t>我单位自愿参与本项目的政府采购活动，郑重承诺如下：</w:t>
      </w:r>
    </w:p>
    <w:p>
      <w:pPr>
        <w:spacing w:line="360" w:lineRule="auto"/>
        <w:ind w:firstLine="480" w:firstLineChars="200"/>
        <w:rPr>
          <w:sz w:val="24"/>
        </w:rPr>
      </w:pPr>
      <w:r>
        <w:rPr>
          <w:rFonts w:hint="eastAsia"/>
          <w:sz w:val="24"/>
        </w:rPr>
        <w:t>（一）我单位具有良好的商业信誉和健全的财务会计制度；</w:t>
      </w:r>
    </w:p>
    <w:p>
      <w:pPr>
        <w:spacing w:line="360" w:lineRule="auto"/>
        <w:ind w:firstLine="480" w:firstLineChars="200"/>
        <w:rPr>
          <w:sz w:val="24"/>
        </w:rPr>
      </w:pPr>
      <w:r>
        <w:rPr>
          <w:rFonts w:hint="eastAsia"/>
          <w:sz w:val="24"/>
        </w:rPr>
        <w:t>（二）我单位依法缴纳税收和社会保障资金；</w:t>
      </w:r>
    </w:p>
    <w:p>
      <w:pPr>
        <w:spacing w:line="360" w:lineRule="auto"/>
        <w:ind w:firstLine="480" w:firstLineChars="200"/>
        <w:rPr>
          <w:sz w:val="24"/>
        </w:rPr>
      </w:pPr>
      <w:r>
        <w:rPr>
          <w:rFonts w:hint="eastAsia"/>
          <w:sz w:val="24"/>
        </w:rPr>
        <w:t>（三）我单位具备履行合同所必需的设备和专业技术能力；</w:t>
      </w:r>
    </w:p>
    <w:p>
      <w:pPr>
        <w:spacing w:line="360" w:lineRule="auto"/>
        <w:ind w:firstLine="480" w:firstLineChars="200"/>
        <w:rPr>
          <w:sz w:val="24"/>
        </w:rPr>
      </w:pPr>
      <w:r>
        <w:rPr>
          <w:rFonts w:hint="eastAsia"/>
          <w:sz w:val="24"/>
        </w:rPr>
        <w:t>（四）参加政府采购活动前3年我单位在经营活动中没有重大违法记录；</w:t>
      </w:r>
    </w:p>
    <w:p>
      <w:pPr>
        <w:spacing w:line="360" w:lineRule="auto"/>
        <w:ind w:firstLine="480" w:firstLineChars="200"/>
        <w:rPr>
          <w:sz w:val="24"/>
        </w:rPr>
      </w:pPr>
      <w:r>
        <w:rPr>
          <w:rFonts w:hint="eastAsia"/>
          <w:sz w:val="24"/>
        </w:rPr>
        <w:t>（五）我单位不存在为采购项目提供整体设计、规范编制或者项目管理、监理、检测等服务后，再参加该采购项目的其他采购活动的情形。</w:t>
      </w:r>
    </w:p>
    <w:p>
      <w:pPr>
        <w:spacing w:line="360" w:lineRule="auto"/>
        <w:ind w:firstLine="480" w:firstLineChars="200"/>
        <w:rPr>
          <w:sz w:val="24"/>
        </w:rPr>
      </w:pPr>
      <w:r>
        <w:rPr>
          <w:rFonts w:hint="eastAsia"/>
          <w:sz w:val="24"/>
        </w:rPr>
        <w:t>（六）与我单位存在“单位负责人为同一人或者存在直接控股、管理关系”的其他单位信息如下：</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8"/>
        <w:gridCol w:w="3918"/>
        <w:gridCol w:w="2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noWrap w:val="0"/>
            <w:vAlign w:val="center"/>
          </w:tcPr>
          <w:p>
            <w:pPr>
              <w:jc w:val="center"/>
              <w:rPr>
                <w:szCs w:val="21"/>
              </w:rPr>
            </w:pPr>
            <w:r>
              <w:rPr>
                <w:rFonts w:hint="eastAsia"/>
                <w:szCs w:val="21"/>
              </w:rPr>
              <w:t>序号</w:t>
            </w:r>
          </w:p>
        </w:tc>
        <w:tc>
          <w:tcPr>
            <w:tcW w:w="2273" w:type="pct"/>
            <w:noWrap w:val="0"/>
            <w:vAlign w:val="center"/>
          </w:tcPr>
          <w:p>
            <w:pPr>
              <w:jc w:val="center"/>
              <w:rPr>
                <w:szCs w:val="21"/>
              </w:rPr>
            </w:pPr>
            <w:r>
              <w:rPr>
                <w:rFonts w:hint="eastAsia"/>
                <w:szCs w:val="21"/>
              </w:rPr>
              <w:t>单位名称</w:t>
            </w:r>
          </w:p>
        </w:tc>
        <w:tc>
          <w:tcPr>
            <w:tcW w:w="1667" w:type="pct"/>
            <w:noWrap w:val="0"/>
            <w:vAlign w:val="center"/>
          </w:tcPr>
          <w:p>
            <w:pPr>
              <w:jc w:val="center"/>
              <w:rPr>
                <w:szCs w:val="21"/>
              </w:rPr>
            </w:pPr>
            <w:r>
              <w:rPr>
                <w:rFonts w:hint="eastAsia"/>
                <w:szCs w:val="21"/>
              </w:rPr>
              <w:t>相互关系类型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noWrap w:val="0"/>
            <w:vAlign w:val="center"/>
          </w:tcPr>
          <w:p>
            <w:pPr>
              <w:jc w:val="center"/>
              <w:rPr>
                <w:szCs w:val="21"/>
              </w:rPr>
            </w:pPr>
            <w:r>
              <w:rPr>
                <w:rFonts w:hint="eastAsia"/>
                <w:szCs w:val="21"/>
              </w:rPr>
              <w:t>1</w:t>
            </w:r>
          </w:p>
        </w:tc>
        <w:tc>
          <w:tcPr>
            <w:tcW w:w="2273" w:type="pct"/>
            <w:noWrap w:val="0"/>
            <w:vAlign w:val="center"/>
          </w:tcPr>
          <w:p>
            <w:pPr>
              <w:jc w:val="center"/>
              <w:rPr>
                <w:szCs w:val="21"/>
              </w:rPr>
            </w:pPr>
          </w:p>
        </w:tc>
        <w:tc>
          <w:tcPr>
            <w:tcW w:w="1667" w:type="pct"/>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noWrap w:val="0"/>
            <w:vAlign w:val="center"/>
          </w:tcPr>
          <w:p>
            <w:pPr>
              <w:jc w:val="center"/>
              <w:rPr>
                <w:szCs w:val="21"/>
              </w:rPr>
            </w:pPr>
            <w:r>
              <w:rPr>
                <w:rFonts w:hint="eastAsia"/>
                <w:szCs w:val="21"/>
              </w:rPr>
              <w:t>2</w:t>
            </w:r>
          </w:p>
        </w:tc>
        <w:tc>
          <w:tcPr>
            <w:tcW w:w="2273" w:type="pct"/>
            <w:noWrap w:val="0"/>
            <w:vAlign w:val="center"/>
          </w:tcPr>
          <w:p>
            <w:pPr>
              <w:jc w:val="center"/>
              <w:rPr>
                <w:szCs w:val="21"/>
              </w:rPr>
            </w:pPr>
          </w:p>
        </w:tc>
        <w:tc>
          <w:tcPr>
            <w:tcW w:w="1667" w:type="pct"/>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1" w:type="pct"/>
            <w:noWrap w:val="0"/>
            <w:vAlign w:val="center"/>
          </w:tcPr>
          <w:p>
            <w:pPr>
              <w:jc w:val="center"/>
              <w:rPr>
                <w:szCs w:val="21"/>
              </w:rPr>
            </w:pPr>
            <w:r>
              <w:rPr>
                <w:rFonts w:hint="eastAsia"/>
                <w:szCs w:val="21"/>
              </w:rPr>
              <w:t>3</w:t>
            </w:r>
          </w:p>
        </w:tc>
        <w:tc>
          <w:tcPr>
            <w:tcW w:w="2273" w:type="pct"/>
            <w:noWrap w:val="0"/>
            <w:vAlign w:val="center"/>
          </w:tcPr>
          <w:p>
            <w:pPr>
              <w:jc w:val="center"/>
              <w:rPr>
                <w:szCs w:val="21"/>
              </w:rPr>
            </w:pPr>
          </w:p>
        </w:tc>
        <w:tc>
          <w:tcPr>
            <w:tcW w:w="1667" w:type="pct"/>
            <w:noWrap w:val="0"/>
            <w:vAlign w:val="center"/>
          </w:tcPr>
          <w:p>
            <w:pPr>
              <w:jc w:val="center"/>
              <w:rPr>
                <w:szCs w:val="21"/>
              </w:rPr>
            </w:pPr>
          </w:p>
        </w:tc>
      </w:tr>
    </w:tbl>
    <w:p>
      <w:pPr>
        <w:spacing w:line="360" w:lineRule="auto"/>
        <w:ind w:firstLine="480" w:firstLineChars="200"/>
        <w:rPr>
          <w:sz w:val="24"/>
        </w:rPr>
      </w:pPr>
      <w:r>
        <w:rPr>
          <w:rFonts w:hint="eastAsia"/>
          <w:sz w:val="24"/>
        </w:rPr>
        <w:t>上表未填写的，视为不存在第（六）条所列情形</w:t>
      </w:r>
    </w:p>
    <w:p>
      <w:pPr>
        <w:spacing w:line="360" w:lineRule="auto"/>
        <w:ind w:firstLine="480" w:firstLineChars="200"/>
        <w:rPr>
          <w:sz w:val="24"/>
        </w:rPr>
      </w:pPr>
    </w:p>
    <w:p>
      <w:pPr>
        <w:spacing w:line="360" w:lineRule="auto"/>
        <w:ind w:firstLine="480" w:firstLineChars="200"/>
        <w:rPr>
          <w:sz w:val="24"/>
        </w:rPr>
      </w:pPr>
      <w:r>
        <w:rPr>
          <w:rFonts w:hint="eastAsia"/>
          <w:sz w:val="24"/>
        </w:rPr>
        <w:t>上述声明真实有效，否则我单位承担全部责任和不利后果。</w:t>
      </w:r>
    </w:p>
    <w:p>
      <w:pPr>
        <w:spacing w:line="360" w:lineRule="auto"/>
        <w:ind w:firstLine="480" w:firstLineChars="200"/>
        <w:rPr>
          <w:sz w:val="24"/>
        </w:rPr>
      </w:pPr>
    </w:p>
    <w:p>
      <w:pPr>
        <w:spacing w:line="360" w:lineRule="auto"/>
        <w:ind w:firstLine="240" w:firstLineChars="100"/>
        <w:rPr>
          <w:sz w:val="24"/>
        </w:rPr>
      </w:pPr>
      <w:r>
        <w:rPr>
          <w:rFonts w:hint="eastAsia"/>
          <w:sz w:val="24"/>
          <w:lang w:eastAsia="zh-CN"/>
        </w:rPr>
        <w:t>服务商</w:t>
      </w:r>
      <w:r>
        <w:rPr>
          <w:sz w:val="24"/>
        </w:rPr>
        <w:t>名称：</w:t>
      </w:r>
    </w:p>
    <w:p>
      <w:pPr>
        <w:spacing w:line="360" w:lineRule="auto"/>
        <w:ind w:firstLine="240" w:firstLineChars="100"/>
        <w:rPr>
          <w:sz w:val="24"/>
        </w:rPr>
      </w:pPr>
    </w:p>
    <w:p>
      <w:pPr>
        <w:spacing w:line="360" w:lineRule="auto"/>
        <w:ind w:firstLine="240" w:firstLineChars="100"/>
        <w:rPr>
          <w:sz w:val="24"/>
        </w:rPr>
      </w:pPr>
      <w:r>
        <w:rPr>
          <w:sz w:val="24"/>
        </w:rPr>
        <w:t xml:space="preserve">日期：  </w:t>
      </w:r>
    </w:p>
    <w:p>
      <w:pPr>
        <w:pStyle w:val="2"/>
        <w:numPr>
          <w:ilvl w:val="0"/>
          <w:numId w:val="0"/>
        </w:numPr>
      </w:pPr>
    </w:p>
    <w:p>
      <w:pPr>
        <w:pStyle w:val="4"/>
      </w:pPr>
    </w:p>
    <w:p>
      <w:pPr>
        <w:pStyle w:val="4"/>
      </w:pPr>
    </w:p>
    <w:p>
      <w:pPr>
        <w:pStyle w:val="4"/>
      </w:pPr>
    </w:p>
    <w:p>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r>
        <w:rPr>
          <w:rFonts w:hint="eastAsia" w:ascii="宋体" w:hAnsi="宋体" w:eastAsia="宋体" w:cs="宋体"/>
          <w:b/>
          <w:bCs w:val="0"/>
          <w:snapToGrid w:val="0"/>
          <w:kern w:val="2"/>
          <w:sz w:val="28"/>
          <w:szCs w:val="28"/>
          <w:lang w:val="zh-CN" w:eastAsia="zh-CN" w:bidi="ar-SA"/>
        </w:rPr>
        <w:t>1.</w:t>
      </w:r>
      <w:r>
        <w:rPr>
          <w:rFonts w:hint="eastAsia" w:ascii="宋体" w:hAnsi="宋体" w:cs="宋体"/>
          <w:b/>
          <w:bCs w:val="0"/>
          <w:snapToGrid w:val="0"/>
          <w:kern w:val="2"/>
          <w:sz w:val="28"/>
          <w:szCs w:val="28"/>
          <w:lang w:val="en-US" w:eastAsia="zh-CN" w:bidi="ar-SA"/>
        </w:rPr>
        <w:t>2</w:t>
      </w:r>
      <w:r>
        <w:rPr>
          <w:rFonts w:hint="eastAsia" w:ascii="宋体" w:hAnsi="宋体" w:eastAsia="宋体" w:cs="宋体"/>
          <w:b/>
          <w:bCs w:val="0"/>
          <w:snapToGrid w:val="0"/>
          <w:kern w:val="2"/>
          <w:sz w:val="28"/>
          <w:szCs w:val="28"/>
          <w:lang w:val="zh-CN" w:eastAsia="zh-CN" w:bidi="ar-SA"/>
        </w:rPr>
        <w:t>法定代表人身份证明</w:t>
      </w:r>
      <w:bookmarkEnd w:id="0"/>
      <w:bookmarkEnd w:id="1"/>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sz w:val="28"/>
          <w:szCs w:val="28"/>
        </w:rPr>
        <w:t>参加人</w:t>
      </w:r>
      <w:r>
        <w:rPr>
          <w:rFonts w:hint="eastAsia" w:ascii="宋体" w:hAnsi="宋体" w:eastAsia="宋体" w:cs="宋体"/>
          <w:kern w:val="0"/>
          <w:sz w:val="28"/>
          <w:szCs w:val="28"/>
        </w:rPr>
        <w:t>名称：</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统一社会信用代码：</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注册地址：</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法定代表人：</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注册资本：</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hint="default" w:ascii="宋体" w:hAnsi="宋体" w:eastAsia="宋体" w:cs="宋体"/>
          <w:kern w:val="0"/>
          <w:sz w:val="28"/>
          <w:szCs w:val="28"/>
          <w:lang w:val="en-US" w:eastAsia="zh-CN"/>
        </w:rPr>
      </w:pPr>
      <w:r>
        <w:rPr>
          <w:rFonts w:hint="eastAsia" w:ascii="宋体" w:hAnsi="宋体" w:eastAsia="宋体" w:cs="宋体"/>
          <w:kern w:val="0"/>
          <w:sz w:val="28"/>
          <w:szCs w:val="28"/>
        </w:rPr>
        <w:t>成立时间：</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经营期限：</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sz w:val="28"/>
          <w:szCs w:val="28"/>
        </w:rPr>
        <w:t>参加人</w:t>
      </w:r>
      <w:r>
        <w:rPr>
          <w:rFonts w:hint="eastAsia" w:ascii="宋体" w:hAnsi="宋体" w:eastAsia="宋体" w:cs="宋体"/>
          <w:kern w:val="0"/>
          <w:sz w:val="28"/>
          <w:szCs w:val="28"/>
        </w:rPr>
        <w:t>联系方式：</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pPr>
        <w:autoSpaceDE w:val="0"/>
        <w:autoSpaceDN w:val="0"/>
        <w:adjustRightInd w:val="0"/>
        <w:snapToGrid w:val="0"/>
        <w:spacing w:line="360" w:lineRule="auto"/>
        <w:jc w:val="left"/>
        <w:rPr>
          <w:rFonts w:ascii="宋体" w:hAnsi="宋体" w:eastAsia="宋体" w:cs="宋体"/>
          <w:kern w:val="0"/>
          <w:sz w:val="28"/>
          <w:szCs w:val="28"/>
        </w:rPr>
      </w:pPr>
    </w:p>
    <w:p>
      <w:pPr>
        <w:autoSpaceDE w:val="0"/>
        <w:autoSpaceDN w:val="0"/>
        <w:adjustRightInd w:val="0"/>
        <w:snapToGrid w:val="0"/>
        <w:spacing w:line="360" w:lineRule="auto"/>
        <w:jc w:val="left"/>
        <w:rPr>
          <w:rFonts w:ascii="宋体" w:hAnsi="宋体" w:eastAsia="宋体" w:cs="宋体"/>
          <w:kern w:val="0"/>
          <w:sz w:val="28"/>
          <w:szCs w:val="28"/>
        </w:rPr>
      </w:pPr>
      <w:r>
        <w:rPr>
          <w:rFonts w:hint="eastAsia" w:ascii="宋体" w:hAnsi="宋体" w:eastAsia="宋体" w:cs="宋体"/>
          <w:kern w:val="0"/>
          <w:sz w:val="28"/>
          <w:szCs w:val="28"/>
        </w:rPr>
        <w:t>特此证明。</w:t>
      </w:r>
    </w:p>
    <w:p>
      <w:pPr>
        <w:adjustRightInd w:val="0"/>
        <w:snapToGrid w:val="0"/>
        <w:spacing w:line="360" w:lineRule="auto"/>
        <w:rPr>
          <w:rFonts w:ascii="宋体" w:hAnsi="宋体" w:eastAsia="宋体" w:cs="宋体"/>
          <w:sz w:val="28"/>
          <w:szCs w:val="28"/>
        </w:rPr>
      </w:pPr>
    </w:p>
    <w:p>
      <w:pPr>
        <w:wordWrap w:val="0"/>
        <w:spacing w:line="360" w:lineRule="auto"/>
        <w:jc w:val="right"/>
        <w:rPr>
          <w:rFonts w:hint="default" w:ascii="宋体" w:hAnsi="宋体" w:eastAsia="宋体" w:cs="宋体"/>
          <w:sz w:val="28"/>
          <w:szCs w:val="28"/>
          <w:lang w:val="en-US" w:eastAsia="zh-CN"/>
        </w:rPr>
      </w:pPr>
      <w:r>
        <w:rPr>
          <w:rFonts w:hint="eastAsia" w:ascii="宋体" w:hAnsi="宋体" w:cs="宋体"/>
          <w:sz w:val="28"/>
          <w:szCs w:val="28"/>
          <w:lang w:eastAsia="zh-CN"/>
        </w:rPr>
        <w:t>服务商</w:t>
      </w:r>
      <w:r>
        <w:rPr>
          <w:rFonts w:hint="eastAsia" w:ascii="宋体" w:hAnsi="宋体" w:eastAsia="宋体" w:cs="宋体"/>
          <w:sz w:val="28"/>
          <w:szCs w:val="28"/>
        </w:rPr>
        <w:t>名称(盖章)：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p>
    <w:p>
      <w:pPr>
        <w:adjustRightInd w:val="0"/>
        <w:snapToGrid w:val="0"/>
        <w:spacing w:line="360" w:lineRule="auto"/>
        <w:ind w:right="420"/>
        <w:jc w:val="right"/>
        <w:rPr>
          <w:rFonts w:ascii="宋体" w:hAnsi="宋体" w:eastAsia="宋体" w:cs="宋体"/>
          <w:sz w:val="28"/>
          <w:szCs w:val="28"/>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pPr>
        <w:spacing w:line="360" w:lineRule="auto"/>
        <w:rPr>
          <w:rFonts w:ascii="宋体" w:hAnsi="宋体" w:eastAsia="宋体" w:cs="宋体"/>
          <w:b/>
          <w:bCs w:val="0"/>
          <w:snapToGrid w:val="0"/>
          <w:kern w:val="2"/>
          <w:sz w:val="28"/>
          <w:szCs w:val="28"/>
          <w:lang w:val="zh-CN" w:eastAsia="zh-CN" w:bidi="ar-SA"/>
        </w:rPr>
      </w:pPr>
      <w:r>
        <w:rPr>
          <w:rFonts w:hint="eastAsia" w:ascii="宋体" w:hAnsi="宋体" w:eastAsia="宋体" w:cs="宋体"/>
          <w:sz w:val="28"/>
          <w:szCs w:val="28"/>
        </w:rPr>
        <w:br w:type="page"/>
      </w:r>
      <w:bookmarkStart w:id="2" w:name="_Toc9835"/>
      <w:r>
        <w:rPr>
          <w:rFonts w:hint="eastAsia" w:ascii="宋体" w:hAnsi="宋体" w:eastAsia="宋体" w:cs="宋体"/>
          <w:b/>
          <w:bCs w:val="0"/>
          <w:snapToGrid w:val="0"/>
          <w:kern w:val="2"/>
          <w:sz w:val="28"/>
          <w:szCs w:val="28"/>
          <w:lang w:val="zh-CN" w:eastAsia="zh-CN" w:bidi="ar-SA"/>
        </w:rPr>
        <w:t>1.</w:t>
      </w:r>
      <w:r>
        <w:rPr>
          <w:rFonts w:hint="eastAsia" w:ascii="宋体" w:hAnsi="宋体" w:cs="宋体"/>
          <w:b/>
          <w:bCs w:val="0"/>
          <w:snapToGrid w:val="0"/>
          <w:kern w:val="2"/>
          <w:sz w:val="28"/>
          <w:szCs w:val="28"/>
          <w:lang w:val="en-US" w:eastAsia="zh-CN" w:bidi="ar-SA"/>
        </w:rPr>
        <w:t>3</w:t>
      </w:r>
      <w:r>
        <w:rPr>
          <w:rFonts w:hint="eastAsia" w:ascii="宋体" w:hAnsi="宋体" w:eastAsia="宋体" w:cs="宋体"/>
          <w:b/>
          <w:bCs w:val="0"/>
          <w:snapToGrid w:val="0"/>
          <w:kern w:val="2"/>
          <w:sz w:val="28"/>
          <w:szCs w:val="28"/>
          <w:lang w:val="zh-CN" w:eastAsia="zh-CN" w:bidi="ar-SA"/>
        </w:rPr>
        <w:t>法定代表人授权委托书</w:t>
      </w:r>
      <w:bookmarkEnd w:id="2"/>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的法定代表人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授权</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为本公司的代表，就</w:t>
      </w:r>
      <w:r>
        <w:rPr>
          <w:rFonts w:hint="eastAsia" w:ascii="宋体" w:hAnsi="宋体" w:eastAsia="宋体" w:cs="宋体"/>
          <w:sz w:val="28"/>
          <w:szCs w:val="28"/>
          <w:u w:val="single"/>
        </w:rPr>
        <w:t xml:space="preserve">  国家税务总局天津市</w:t>
      </w:r>
      <w:r>
        <w:rPr>
          <w:rFonts w:hint="eastAsia" w:ascii="宋体" w:hAnsi="宋体" w:cs="宋体"/>
          <w:sz w:val="28"/>
          <w:szCs w:val="28"/>
          <w:u w:val="single"/>
          <w:lang w:eastAsia="zh-CN"/>
        </w:rPr>
        <w:t>津南区</w:t>
      </w:r>
      <w:r>
        <w:rPr>
          <w:rFonts w:hint="eastAsia" w:ascii="宋体" w:hAnsi="宋体" w:eastAsia="宋体" w:cs="宋体"/>
          <w:sz w:val="28"/>
          <w:szCs w:val="28"/>
          <w:u w:val="single"/>
        </w:rPr>
        <w:t xml:space="preserve">税务局信息化、服务类项目预算评审项目  </w:t>
      </w:r>
      <w:r>
        <w:rPr>
          <w:rFonts w:hint="eastAsia" w:ascii="宋体" w:hAnsi="宋体" w:cs="宋体"/>
          <w:sz w:val="28"/>
          <w:szCs w:val="28"/>
          <w:u w:val="single"/>
          <w:lang w:eastAsia="zh-CN"/>
        </w:rPr>
        <w:t>报价</w:t>
      </w:r>
      <w:r>
        <w:rPr>
          <w:rFonts w:hint="eastAsia" w:ascii="宋体" w:hAnsi="宋体" w:eastAsia="宋体" w:cs="宋体"/>
          <w:sz w:val="28"/>
          <w:szCs w:val="28"/>
        </w:rPr>
        <w:t>及相关事务代表本公司处理与之有关的一切事务。</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委托期限：</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天</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pPr>
        <w:tabs>
          <w:tab w:val="center" w:pos="4433"/>
        </w:tabs>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代理人无转委托权。</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本授权书于</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日签字生效，特此声明。</w:t>
      </w:r>
    </w:p>
    <w:p>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授权代表身份证复印件：</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trPr>
        <w:tc>
          <w:tcPr>
            <w:tcW w:w="4261" w:type="dxa"/>
            <w:noWrap w:val="0"/>
            <w:vAlign w:val="top"/>
          </w:tcPr>
          <w:p>
            <w:pPr>
              <w:spacing w:line="360" w:lineRule="auto"/>
              <w:rPr>
                <w:rFonts w:ascii="宋体" w:hAnsi="宋体" w:eastAsia="宋体" w:cs="宋体"/>
                <w:sz w:val="28"/>
                <w:szCs w:val="28"/>
                <w:vertAlign w:val="baseline"/>
              </w:rPr>
            </w:pPr>
            <w:r>
              <w:rPr>
                <w:color w:val="000000"/>
                <w:sz w:val="24"/>
              </w:rPr>
              <w:t>代表人身份证正面</w:t>
            </w:r>
          </w:p>
        </w:tc>
        <w:tc>
          <w:tcPr>
            <w:tcW w:w="4261" w:type="dxa"/>
            <w:noWrap w:val="0"/>
            <w:vAlign w:val="top"/>
          </w:tcPr>
          <w:p>
            <w:pPr>
              <w:spacing w:line="360" w:lineRule="auto"/>
              <w:rPr>
                <w:rFonts w:ascii="宋体" w:hAnsi="宋体" w:eastAsia="宋体" w:cs="宋体"/>
                <w:sz w:val="28"/>
                <w:szCs w:val="28"/>
                <w:vertAlign w:val="baseline"/>
              </w:rPr>
            </w:pPr>
            <w:r>
              <w:rPr>
                <w:color w:val="000000"/>
                <w:sz w:val="24"/>
              </w:rPr>
              <w:t>代表人身份证背面</w:t>
            </w:r>
          </w:p>
        </w:tc>
      </w:tr>
    </w:tbl>
    <w:p>
      <w:pPr>
        <w:spacing w:line="360" w:lineRule="auto"/>
        <w:rPr>
          <w:rFonts w:ascii="宋体" w:hAnsi="宋体" w:eastAsia="宋体" w:cs="宋体"/>
          <w:sz w:val="28"/>
          <w:szCs w:val="28"/>
        </w:rPr>
      </w:pPr>
    </w:p>
    <w:p>
      <w:pPr>
        <w:spacing w:line="360" w:lineRule="auto"/>
        <w:rPr>
          <w:rFonts w:ascii="宋体" w:hAnsi="宋体" w:eastAsia="宋体" w:cs="宋体"/>
          <w:sz w:val="28"/>
          <w:szCs w:val="28"/>
        </w:rPr>
      </w:pPr>
    </w:p>
    <w:p>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服务商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spacing w:line="360" w:lineRule="auto"/>
        <w:ind w:firstLine="560" w:firstLineChars="200"/>
        <w:jc w:val="right"/>
        <w:rPr>
          <w:rFonts w:ascii="宋体" w:hAnsi="宋体" w:eastAsia="宋体" w:cs="宋体"/>
          <w:sz w:val="28"/>
          <w:szCs w:val="28"/>
        </w:rPr>
      </w:pPr>
    </w:p>
    <w:p>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法定代表人(签字或盖章)：____________________</w:t>
      </w:r>
    </w:p>
    <w:p>
      <w:pPr>
        <w:spacing w:line="360" w:lineRule="auto"/>
        <w:ind w:firstLine="560" w:firstLineChars="200"/>
        <w:jc w:val="right"/>
        <w:rPr>
          <w:rFonts w:ascii="宋体" w:hAnsi="宋体" w:eastAsia="宋体" w:cs="宋体"/>
          <w:sz w:val="28"/>
          <w:szCs w:val="28"/>
        </w:rPr>
      </w:pPr>
    </w:p>
    <w:p>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pPr>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val="en-US" w:eastAsia="zh-CN"/>
        </w:rPr>
        <w:t xml:space="preserve">           联系方式：</w:t>
      </w:r>
      <w:r>
        <w:rPr>
          <w:rFonts w:hint="eastAsia" w:ascii="宋体" w:hAnsi="宋体" w:eastAsia="宋体" w:cs="宋体"/>
          <w:sz w:val="28"/>
          <w:szCs w:val="28"/>
        </w:rPr>
        <w:t>____________________</w:t>
      </w:r>
    </w:p>
    <w:p>
      <w:pPr>
        <w:spacing w:line="360" w:lineRule="auto"/>
        <w:ind w:firstLine="560" w:firstLineChars="200"/>
        <w:jc w:val="both"/>
        <w:rPr>
          <w:rFonts w:hint="default" w:ascii="宋体" w:hAnsi="宋体" w:eastAsia="宋体" w:cs="宋体"/>
          <w:sz w:val="28"/>
          <w:szCs w:val="28"/>
          <w:lang w:val="en-US" w:eastAsia="zh-CN"/>
        </w:rPr>
      </w:pPr>
    </w:p>
    <w:p>
      <w:pPr>
        <w:adjustRightInd w:val="0"/>
        <w:snapToGrid w:val="0"/>
        <w:spacing w:line="360" w:lineRule="auto"/>
        <w:ind w:right="420"/>
        <w:jc w:val="right"/>
        <w:rPr>
          <w:rFonts w:ascii="宋体" w:hAnsi="宋体" w:eastAsia="宋体" w:cs="宋体"/>
          <w:sz w:val="28"/>
          <w:szCs w:val="28"/>
        </w:rPr>
      </w:pPr>
      <w:bookmarkStart w:id="3" w:name="_Toc15902"/>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pPr>
        <w:keepNext/>
        <w:keepLines/>
        <w:widowControl w:val="0"/>
        <w:spacing w:before="340" w:after="330" w:line="360" w:lineRule="auto"/>
        <w:jc w:val="both"/>
        <w:outlineLvl w:val="0"/>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二、参加人的资格证明材料</w:t>
      </w:r>
      <w:bookmarkEnd w:id="3"/>
    </w:p>
    <w:p>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bookmarkStart w:id="4" w:name="_Toc18511"/>
      <w:bookmarkStart w:id="5" w:name="_Toc421267964"/>
      <w:r>
        <w:rPr>
          <w:rFonts w:hint="eastAsia" w:ascii="宋体" w:hAnsi="宋体" w:eastAsia="宋体" w:cs="宋体"/>
          <w:b/>
          <w:bCs w:val="0"/>
          <w:snapToGrid w:val="0"/>
          <w:kern w:val="2"/>
          <w:sz w:val="28"/>
          <w:szCs w:val="28"/>
          <w:lang w:val="zh-CN" w:eastAsia="zh-CN" w:bidi="ar-SA"/>
        </w:rPr>
        <w:t>2.1参加人基本情况表</w:t>
      </w:r>
      <w:bookmarkEnd w:id="4"/>
      <w:bookmarkEnd w:id="5"/>
    </w:p>
    <w:tbl>
      <w:tblPr>
        <w:tblStyle w:val="9"/>
        <w:tblW w:w="829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58"/>
        <w:gridCol w:w="753"/>
        <w:gridCol w:w="2427"/>
        <w:gridCol w:w="1714"/>
        <w:gridCol w:w="2143"/>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3"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参加人名称</w:t>
            </w:r>
          </w:p>
        </w:tc>
        <w:tc>
          <w:tcPr>
            <w:tcW w:w="2427" w:type="dxa"/>
            <w:noWrap w:val="0"/>
            <w:vAlign w:val="center"/>
          </w:tcPr>
          <w:p>
            <w:pPr>
              <w:topLinePunct/>
              <w:spacing w:line="360" w:lineRule="auto"/>
              <w:jc w:val="center"/>
              <w:rPr>
                <w:rFonts w:ascii="宋体" w:hAnsi="宋体" w:eastAsia="宋体" w:cs="宋体"/>
                <w:sz w:val="28"/>
                <w:szCs w:val="28"/>
              </w:rPr>
            </w:pPr>
          </w:p>
        </w:tc>
        <w:tc>
          <w:tcPr>
            <w:tcW w:w="1714" w:type="dxa"/>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法定代表人</w:t>
            </w:r>
          </w:p>
        </w:tc>
        <w:tc>
          <w:tcPr>
            <w:tcW w:w="2143" w:type="dxa"/>
            <w:noWrap w:val="0"/>
            <w:vAlign w:val="center"/>
          </w:tcPr>
          <w:p>
            <w:pPr>
              <w:topLinePunct/>
              <w:spacing w:line="360" w:lineRule="auto"/>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授权代表</w:t>
            </w:r>
          </w:p>
        </w:tc>
        <w:tc>
          <w:tcPr>
            <w:tcW w:w="2427" w:type="dxa"/>
            <w:noWrap w:val="0"/>
            <w:vAlign w:val="center"/>
          </w:tcPr>
          <w:p>
            <w:pPr>
              <w:topLinePunct/>
              <w:spacing w:line="360" w:lineRule="auto"/>
              <w:jc w:val="center"/>
              <w:rPr>
                <w:rFonts w:ascii="宋体" w:hAnsi="宋体" w:eastAsia="宋体" w:cs="宋体"/>
                <w:sz w:val="28"/>
                <w:szCs w:val="28"/>
              </w:rPr>
            </w:pPr>
          </w:p>
        </w:tc>
        <w:tc>
          <w:tcPr>
            <w:tcW w:w="1714" w:type="dxa"/>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联系电话</w:t>
            </w:r>
          </w:p>
        </w:tc>
        <w:tc>
          <w:tcPr>
            <w:tcW w:w="2143" w:type="dxa"/>
            <w:noWrap w:val="0"/>
            <w:vAlign w:val="center"/>
          </w:tcPr>
          <w:p>
            <w:pPr>
              <w:topLinePunct/>
              <w:spacing w:line="360" w:lineRule="auto"/>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4438" w:type="dxa"/>
            <w:gridSpan w:val="3"/>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统一社会信用代码</w:t>
            </w:r>
          </w:p>
        </w:tc>
        <w:tc>
          <w:tcPr>
            <w:tcW w:w="3857" w:type="dxa"/>
            <w:gridSpan w:val="2"/>
            <w:noWrap w:val="0"/>
            <w:vAlign w:val="center"/>
          </w:tcPr>
          <w:p>
            <w:pPr>
              <w:topLinePunct/>
              <w:spacing w:line="360" w:lineRule="auto"/>
              <w:ind w:firstLine="140" w:firstLineChars="50"/>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注册地址</w:t>
            </w:r>
          </w:p>
        </w:tc>
        <w:tc>
          <w:tcPr>
            <w:tcW w:w="6284" w:type="dxa"/>
            <w:gridSpan w:val="3"/>
            <w:noWrap w:val="0"/>
            <w:vAlign w:val="center"/>
          </w:tcPr>
          <w:p>
            <w:pPr>
              <w:topLinePunct/>
              <w:spacing w:line="360" w:lineRule="auto"/>
              <w:ind w:firstLine="140" w:firstLineChars="50"/>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发证机关</w:t>
            </w:r>
          </w:p>
        </w:tc>
        <w:tc>
          <w:tcPr>
            <w:tcW w:w="6284" w:type="dxa"/>
            <w:gridSpan w:val="3"/>
            <w:noWrap w:val="0"/>
            <w:vAlign w:val="center"/>
          </w:tcPr>
          <w:p>
            <w:pPr>
              <w:topLinePunct/>
              <w:spacing w:line="360" w:lineRule="auto"/>
              <w:ind w:firstLine="140" w:firstLineChars="50"/>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发证日期</w:t>
            </w:r>
          </w:p>
        </w:tc>
        <w:tc>
          <w:tcPr>
            <w:tcW w:w="6284" w:type="dxa"/>
            <w:gridSpan w:val="3"/>
            <w:noWrap w:val="0"/>
            <w:vAlign w:val="center"/>
          </w:tcPr>
          <w:p>
            <w:pPr>
              <w:topLinePunct/>
              <w:spacing w:line="360" w:lineRule="auto"/>
              <w:ind w:firstLine="140" w:firstLineChars="50"/>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2"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营业范围</w:t>
            </w:r>
          </w:p>
        </w:tc>
        <w:tc>
          <w:tcPr>
            <w:tcW w:w="6284" w:type="dxa"/>
            <w:gridSpan w:val="3"/>
            <w:noWrap w:val="0"/>
            <w:vAlign w:val="center"/>
          </w:tcPr>
          <w:p>
            <w:pPr>
              <w:topLinePunct/>
              <w:spacing w:line="360" w:lineRule="auto"/>
              <w:jc w:val="left"/>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23"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基本账户开户行及账号</w:t>
            </w:r>
          </w:p>
        </w:tc>
        <w:tc>
          <w:tcPr>
            <w:tcW w:w="6284" w:type="dxa"/>
            <w:gridSpan w:val="3"/>
            <w:noWrap w:val="0"/>
            <w:vAlign w:val="center"/>
          </w:tcPr>
          <w:p>
            <w:pPr>
              <w:topLinePunct/>
              <w:spacing w:line="360" w:lineRule="auto"/>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2011" w:type="dxa"/>
            <w:gridSpan w:val="2"/>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税务登记机关</w:t>
            </w:r>
          </w:p>
        </w:tc>
        <w:tc>
          <w:tcPr>
            <w:tcW w:w="6284" w:type="dxa"/>
            <w:gridSpan w:val="3"/>
            <w:noWrap w:val="0"/>
            <w:vAlign w:val="center"/>
          </w:tcPr>
          <w:p>
            <w:pPr>
              <w:topLinePunct/>
              <w:spacing w:line="360" w:lineRule="auto"/>
              <w:jc w:val="center"/>
              <w:rPr>
                <w:rFonts w:ascii="宋体" w:hAnsi="宋体" w:eastAsia="宋体" w:cs="宋体"/>
                <w:sz w:val="28"/>
                <w:szCs w:val="28"/>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6" w:hRule="atLeast"/>
        </w:trPr>
        <w:tc>
          <w:tcPr>
            <w:tcW w:w="1258" w:type="dxa"/>
            <w:noWrap w:val="0"/>
            <w:vAlign w:val="center"/>
          </w:tcPr>
          <w:p>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备注</w:t>
            </w:r>
          </w:p>
        </w:tc>
        <w:tc>
          <w:tcPr>
            <w:tcW w:w="7037" w:type="dxa"/>
            <w:gridSpan w:val="4"/>
            <w:noWrap w:val="0"/>
            <w:vAlign w:val="center"/>
          </w:tcPr>
          <w:p>
            <w:pPr>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相关文件附后</w:t>
            </w:r>
          </w:p>
        </w:tc>
      </w:tr>
    </w:tbl>
    <w:p>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服务商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pPr>
        <w:spacing w:line="360" w:lineRule="auto"/>
        <w:ind w:firstLine="560" w:firstLineChars="200"/>
        <w:jc w:val="right"/>
        <w:rPr>
          <w:rFonts w:ascii="宋体" w:hAnsi="宋体" w:eastAsia="宋体" w:cs="宋体"/>
          <w:sz w:val="28"/>
          <w:szCs w:val="28"/>
        </w:rPr>
      </w:pPr>
    </w:p>
    <w:p>
      <w:pPr>
        <w:adjustRightInd w:val="0"/>
        <w:snapToGrid w:val="0"/>
        <w:spacing w:line="360" w:lineRule="auto"/>
        <w:ind w:right="420"/>
        <w:jc w:val="right"/>
        <w:rPr>
          <w:rFonts w:hint="eastAsia" w:ascii="宋体" w:hAnsi="宋体" w:eastAsia="宋体" w:cs="宋体"/>
          <w:sz w:val="28"/>
          <w:szCs w:val="28"/>
          <w:u w:val="none"/>
          <w:lang w:val="en-US" w:eastAsia="zh-CN"/>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pPr>
        <w:keepNext/>
        <w:keepLines/>
        <w:widowControl w:val="0"/>
        <w:spacing w:before="340" w:after="330" w:line="360" w:lineRule="auto"/>
        <w:jc w:val="both"/>
        <w:outlineLvl w:val="0"/>
        <w:rPr>
          <w:rFonts w:hint="eastAsia" w:ascii="宋体" w:hAnsi="宋体" w:eastAsia="宋体" w:cs="宋体"/>
          <w:b/>
          <w:bCs/>
          <w:kern w:val="44"/>
          <w:sz w:val="28"/>
          <w:szCs w:val="28"/>
          <w:lang w:val="en-US" w:eastAsia="zh-CN" w:bidi="ar-SA"/>
        </w:rPr>
      </w:pPr>
      <w:bookmarkStart w:id="6" w:name="_Toc31545"/>
    </w:p>
    <w:p>
      <w:pPr>
        <w:keepNext/>
        <w:keepLines/>
        <w:widowControl w:val="0"/>
        <w:spacing w:before="340" w:after="330" w:line="360" w:lineRule="auto"/>
        <w:jc w:val="both"/>
        <w:outlineLvl w:val="0"/>
        <w:rPr>
          <w:rFonts w:hint="eastAsia"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三、报价</w:t>
      </w:r>
      <w:bookmarkEnd w:id="6"/>
    </w:p>
    <w:p>
      <w:pPr>
        <w:spacing w:line="360" w:lineRule="auto"/>
        <w:rPr>
          <w:rFonts w:hint="eastAsia" w:ascii="宋体" w:hAnsi="宋体" w:eastAsia="宋体" w:cs="宋体"/>
          <w:sz w:val="24"/>
          <w:szCs w:val="24"/>
        </w:rPr>
      </w:pPr>
      <w:bookmarkStart w:id="7" w:name="_Toc13869"/>
      <w:bookmarkStart w:id="8" w:name="_Toc421268012"/>
      <w:r>
        <w:rPr>
          <w:rFonts w:hint="eastAsia" w:ascii="宋体" w:hAnsi="宋体" w:eastAsia="宋体" w:cs="宋体"/>
          <w:sz w:val="28"/>
          <w:szCs w:val="28"/>
        </w:rPr>
        <w:t>3.1报价一览表</w:t>
      </w:r>
      <w:bookmarkEnd w:id="7"/>
      <w:bookmarkEnd w:id="8"/>
    </w:p>
    <w:p>
      <w:pPr>
        <w:pStyle w:val="6"/>
        <w:topLinePunct/>
        <w:autoSpaceDE w:val="0"/>
        <w:autoSpaceDN w:val="0"/>
        <w:adjustRightInd w:val="0"/>
        <w:snapToGrid w:val="0"/>
        <w:spacing w:line="360" w:lineRule="auto"/>
        <w:ind w:left="2"/>
        <w:jc w:val="center"/>
        <w:rPr>
          <w:rFonts w:hAnsi="宋体" w:cs="宋体"/>
          <w:b w:val="0"/>
          <w:bCs w:val="0"/>
          <w:color w:val="auto"/>
          <w:kern w:val="2"/>
          <w:sz w:val="24"/>
          <w:szCs w:val="24"/>
          <w:highlight w:val="none"/>
        </w:rPr>
      </w:pPr>
      <w:r>
        <w:rPr>
          <w:rFonts w:hint="eastAsia" w:hAnsi="宋体" w:cs="宋体"/>
          <w:b w:val="0"/>
          <w:bCs w:val="0"/>
          <w:color w:val="auto"/>
          <w:kern w:val="2"/>
          <w:sz w:val="24"/>
          <w:szCs w:val="24"/>
          <w:highlight w:val="none"/>
        </w:rPr>
        <w:t>(服务类项目适用)</w:t>
      </w:r>
    </w:p>
    <w:p>
      <w:pPr>
        <w:topLinePunct/>
        <w:autoSpaceDE w:val="0"/>
        <w:autoSpaceDN w:val="0"/>
        <w:adjustRightInd w:val="0"/>
        <w:snapToGrid w:val="0"/>
        <w:spacing w:after="0" w:line="360" w:lineRule="auto"/>
        <w:jc w:val="left"/>
        <w:rPr>
          <w:rFonts w:ascii="宋体" w:hAnsi="宋体" w:cs="宋体"/>
          <w:bCs/>
          <w:color w:val="auto"/>
          <w:w w:val="150"/>
          <w:sz w:val="24"/>
          <w:szCs w:val="24"/>
          <w:highlight w:val="none"/>
        </w:rPr>
      </w:pPr>
      <w:r>
        <w:rPr>
          <w:rFonts w:hint="eastAsia" w:ascii="宋体" w:hAnsi="宋体" w:cs="宋体"/>
          <w:color w:val="auto"/>
          <w:sz w:val="24"/>
          <w:szCs w:val="24"/>
          <w:highlight w:val="none"/>
        </w:rPr>
        <w:t>项目名称：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 xml:space="preserve">        价格单位：人民币   元</w:t>
      </w:r>
    </w:p>
    <w:tbl>
      <w:tblPr>
        <w:tblStyle w:val="9"/>
        <w:tblW w:w="93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1"/>
        <w:gridCol w:w="4918"/>
        <w:gridCol w:w="2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861" w:type="dxa"/>
            <w:noWrap/>
            <w:vAlign w:val="center"/>
          </w:tcPr>
          <w:p>
            <w:pPr>
              <w:adjustRightInd w:val="0"/>
              <w:snapToGrid w:val="0"/>
              <w:spacing w:beforeLines="20" w:afterLines="20" w:line="240" w:lineRule="auto"/>
              <w:jc w:val="center"/>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序号</w:t>
            </w:r>
          </w:p>
        </w:tc>
        <w:tc>
          <w:tcPr>
            <w:tcW w:w="4918" w:type="dxa"/>
            <w:noWrap/>
            <w:vAlign w:val="center"/>
          </w:tcPr>
          <w:p>
            <w:pPr>
              <w:adjustRightInd w:val="0"/>
              <w:snapToGrid w:val="0"/>
              <w:spacing w:beforeLines="20" w:afterLines="20" w:line="240" w:lineRule="auto"/>
              <w:jc w:val="center"/>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内容</w:t>
            </w:r>
          </w:p>
        </w:tc>
        <w:tc>
          <w:tcPr>
            <w:tcW w:w="2553" w:type="dxa"/>
            <w:noWrap/>
            <w:vAlign w:val="center"/>
          </w:tcPr>
          <w:p>
            <w:pPr>
              <w:adjustRightInd w:val="0"/>
              <w:snapToGrid w:val="0"/>
              <w:spacing w:beforeLines="20" w:afterLines="20" w:line="240" w:lineRule="auto"/>
              <w:jc w:val="center"/>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价格小计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861" w:type="dxa"/>
            <w:noWrap/>
            <w:vAlign w:val="center"/>
          </w:tcPr>
          <w:p>
            <w:pPr>
              <w:adjustRightInd w:val="0"/>
              <w:snapToGrid w:val="0"/>
              <w:spacing w:beforeLines="20" w:afterLines="20" w:line="240" w:lineRule="auto"/>
              <w:jc w:val="center"/>
              <w:rPr>
                <w:rFonts w:hint="default" w:ascii="Times New Roman" w:hAnsi="Times New Roman" w:cs="Times New Roman"/>
                <w:b/>
                <w:color w:val="auto"/>
                <w:sz w:val="24"/>
                <w:szCs w:val="24"/>
                <w:highlight w:val="none"/>
              </w:rPr>
            </w:pPr>
            <w:r>
              <w:rPr>
                <w:rFonts w:hint="default" w:ascii="Times New Roman" w:hAnsi="Times New Roman" w:cs="Times New Roman"/>
                <w:color w:val="auto"/>
                <w:sz w:val="24"/>
                <w:szCs w:val="24"/>
                <w:highlight w:val="none"/>
              </w:rPr>
              <w:t>1</w:t>
            </w:r>
          </w:p>
        </w:tc>
        <w:tc>
          <w:tcPr>
            <w:tcW w:w="4918" w:type="dxa"/>
            <w:noWrap/>
            <w:vAlign w:val="center"/>
          </w:tcPr>
          <w:p>
            <w:pPr>
              <w:adjustRightInd w:val="0"/>
              <w:snapToGrid w:val="0"/>
              <w:spacing w:after="0" w:line="360" w:lineRule="auto"/>
              <w:jc w:val="both"/>
              <w:rPr>
                <w:rFonts w:hint="default" w:ascii="Times New Roman" w:hAnsi="Times New Roman" w:cs="Times New Roman"/>
                <w:color w:val="auto"/>
                <w:sz w:val="24"/>
                <w:szCs w:val="24"/>
                <w:highlight w:val="none"/>
              </w:rPr>
            </w:pPr>
            <w:r>
              <w:rPr>
                <w:rFonts w:hint="eastAsia"/>
                <w:kern w:val="0"/>
                <w:sz w:val="24"/>
                <w:szCs w:val="24"/>
                <w:lang w:eastAsia="zh-CN"/>
              </w:rPr>
              <w:t>基本费率，按照</w:t>
            </w:r>
            <w:r>
              <w:rPr>
                <w:rFonts w:hint="eastAsia"/>
                <w:kern w:val="0"/>
                <w:sz w:val="24"/>
                <w:szCs w:val="24"/>
              </w:rPr>
              <w:t>单一项目预算的千分比报价</w:t>
            </w:r>
            <w:r>
              <w:rPr>
                <w:rFonts w:hint="eastAsia"/>
                <w:kern w:val="0"/>
                <w:sz w:val="24"/>
                <w:szCs w:val="24"/>
                <w:lang w:eastAsia="zh-CN"/>
              </w:rPr>
              <w:t>，例</w:t>
            </w:r>
            <w:r>
              <w:rPr>
                <w:rFonts w:hint="eastAsia"/>
                <w:kern w:val="0"/>
                <w:sz w:val="24"/>
                <w:szCs w:val="24"/>
                <w:lang w:val="en-US" w:eastAsia="zh-CN"/>
              </w:rPr>
              <w:t>5‰</w:t>
            </w:r>
          </w:p>
        </w:tc>
        <w:tc>
          <w:tcPr>
            <w:tcW w:w="2553" w:type="dxa"/>
            <w:noWrap/>
            <w:vAlign w:val="center"/>
          </w:tcPr>
          <w:p>
            <w:pPr>
              <w:adjustRightInd w:val="0"/>
              <w:snapToGrid w:val="0"/>
              <w:spacing w:beforeLines="20" w:afterLines="20" w:line="240" w:lineRule="auto"/>
              <w:jc w:val="center"/>
              <w:rPr>
                <w:rFonts w:hint="default" w:ascii="Times New Roman" w:hAnsi="Times New Roman" w:cs="Times New Roman"/>
                <w:b/>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861" w:type="dxa"/>
            <w:noWrap/>
            <w:vAlign w:val="center"/>
          </w:tcPr>
          <w:p>
            <w:pPr>
              <w:adjustRightInd w:val="0"/>
              <w:snapToGrid w:val="0"/>
              <w:spacing w:beforeLines="20" w:afterLines="20" w:line="240" w:lineRule="auto"/>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2</w:t>
            </w:r>
          </w:p>
        </w:tc>
        <w:tc>
          <w:tcPr>
            <w:tcW w:w="4918" w:type="dxa"/>
            <w:noWrap/>
            <w:vAlign w:val="center"/>
          </w:tcPr>
          <w:p>
            <w:pPr>
              <w:spacing w:line="460" w:lineRule="exact"/>
              <w:jc w:val="both"/>
              <w:rPr>
                <w:rFonts w:hint="default" w:ascii="Times New Roman" w:hAnsi="Times New Roman" w:cs="Times New Roman"/>
                <w:color w:val="auto"/>
                <w:sz w:val="24"/>
                <w:szCs w:val="24"/>
                <w:highlight w:val="none"/>
              </w:rPr>
            </w:pPr>
            <w:r>
              <w:rPr>
                <w:rFonts w:hint="eastAsia"/>
                <w:kern w:val="0"/>
                <w:sz w:val="24"/>
                <w:szCs w:val="24"/>
                <w:lang w:eastAsia="zh-CN"/>
              </w:rPr>
              <w:t>最低收费标准，按照</w:t>
            </w:r>
            <w:r>
              <w:rPr>
                <w:rFonts w:hint="eastAsia"/>
                <w:kern w:val="0"/>
                <w:sz w:val="24"/>
                <w:szCs w:val="24"/>
              </w:rPr>
              <w:t>单个项目评审费用最低收费标准</w:t>
            </w:r>
            <w:r>
              <w:rPr>
                <w:rFonts w:hint="eastAsia"/>
                <w:kern w:val="0"/>
                <w:sz w:val="24"/>
                <w:szCs w:val="24"/>
                <w:lang w:eastAsia="zh-CN"/>
              </w:rPr>
              <w:t>报价，例</w:t>
            </w:r>
            <w:r>
              <w:rPr>
                <w:rFonts w:hint="eastAsia"/>
                <w:kern w:val="0"/>
                <w:sz w:val="24"/>
                <w:szCs w:val="24"/>
                <w:lang w:val="en-US" w:eastAsia="zh-CN"/>
              </w:rPr>
              <w:t>1000元/个</w:t>
            </w:r>
          </w:p>
        </w:tc>
        <w:tc>
          <w:tcPr>
            <w:tcW w:w="2553" w:type="dxa"/>
            <w:noWrap/>
            <w:vAlign w:val="center"/>
          </w:tcPr>
          <w:p>
            <w:pPr>
              <w:adjustRightInd w:val="0"/>
              <w:snapToGrid w:val="0"/>
              <w:spacing w:beforeLines="20" w:afterLines="20" w:line="240" w:lineRule="auto"/>
              <w:jc w:val="center"/>
              <w:rPr>
                <w:rFonts w:hint="default" w:ascii="Times New Roman" w:hAnsi="Times New Roman"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6779" w:type="dxa"/>
            <w:gridSpan w:val="2"/>
            <w:noWrap/>
            <w:vAlign w:val="center"/>
          </w:tcPr>
          <w:p>
            <w:pPr>
              <w:adjustRightInd w:val="0"/>
              <w:snapToGrid w:val="0"/>
              <w:spacing w:beforeLines="20" w:afterLines="20" w:line="240" w:lineRule="auto"/>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服务期</w:t>
            </w:r>
          </w:p>
        </w:tc>
        <w:tc>
          <w:tcPr>
            <w:tcW w:w="2553" w:type="dxa"/>
            <w:noWrap/>
            <w:vAlign w:val="center"/>
          </w:tcPr>
          <w:p>
            <w:pPr>
              <w:adjustRightInd w:val="0"/>
              <w:snapToGrid w:val="0"/>
              <w:spacing w:beforeLines="20" w:afterLines="20" w:line="240" w:lineRule="auto"/>
              <w:jc w:val="center"/>
              <w:rPr>
                <w:rFonts w:hint="default" w:ascii="Times New Roman" w:hAnsi="Times New Roman"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6779" w:type="dxa"/>
            <w:gridSpan w:val="2"/>
            <w:noWrap/>
            <w:vAlign w:val="center"/>
          </w:tcPr>
          <w:p>
            <w:pPr>
              <w:adjustRightInd w:val="0"/>
              <w:snapToGrid w:val="0"/>
              <w:spacing w:beforeLines="20" w:afterLines="20" w:line="240" w:lineRule="auto"/>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w:t>
            </w:r>
          </w:p>
        </w:tc>
        <w:tc>
          <w:tcPr>
            <w:tcW w:w="2553" w:type="dxa"/>
            <w:noWrap/>
            <w:vAlign w:val="center"/>
          </w:tcPr>
          <w:p>
            <w:pPr>
              <w:adjustRightInd w:val="0"/>
              <w:snapToGrid w:val="0"/>
              <w:spacing w:beforeLines="20" w:afterLines="20" w:line="240" w:lineRule="auto"/>
              <w:jc w:val="center"/>
              <w:rPr>
                <w:rFonts w:hint="default" w:ascii="Times New Roman" w:hAnsi="Times New Roman" w:cs="Times New Roman"/>
                <w:color w:val="auto"/>
                <w:sz w:val="24"/>
                <w:szCs w:val="24"/>
                <w:highlight w:val="none"/>
              </w:rPr>
            </w:pPr>
          </w:p>
        </w:tc>
      </w:tr>
    </w:tbl>
    <w:p>
      <w:pPr>
        <w:topLinePunct/>
        <w:autoSpaceDE w:val="0"/>
        <w:autoSpaceDN w:val="0"/>
        <w:spacing w:after="0" w:line="360" w:lineRule="auto"/>
        <w:rPr>
          <w:rFonts w:ascii="宋体" w:hAnsi="宋体" w:cs="宋体"/>
          <w:color w:val="auto"/>
          <w:sz w:val="24"/>
          <w:szCs w:val="24"/>
          <w:highlight w:val="none"/>
        </w:rPr>
      </w:pPr>
      <w:r>
        <w:rPr>
          <w:rFonts w:hint="eastAsia" w:ascii="宋体" w:hAnsi="宋体" w:cs="宋体"/>
          <w:color w:val="auto"/>
          <w:sz w:val="24"/>
          <w:szCs w:val="24"/>
          <w:highlight w:val="none"/>
        </w:rPr>
        <w:t>特别说明：</w:t>
      </w:r>
    </w:p>
    <w:p>
      <w:pPr>
        <w:topLinePunct/>
        <w:autoSpaceDE w:val="0"/>
        <w:autoSpaceDN w:val="0"/>
        <w:spacing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1.本项目总价及分项报价均不接受任何形式的赠送、“零”报价。</w:t>
      </w:r>
    </w:p>
    <w:p>
      <w:pPr>
        <w:topLinePunct/>
        <w:autoSpaceDE w:val="0"/>
        <w:autoSpaceDN w:val="0"/>
        <w:spacing w:after="0"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2.本项目执行中所发生的所有费用均计入报价中，采购人不再另行支付其他任何费用。</w:t>
      </w:r>
    </w:p>
    <w:p>
      <w:pPr>
        <w:tabs>
          <w:tab w:val="left" w:pos="1230"/>
        </w:tabs>
        <w:topLinePunct/>
        <w:autoSpaceDE w:val="0"/>
        <w:autoSpaceDN w:val="0"/>
        <w:adjustRightInd w:val="0"/>
        <w:snapToGrid w:val="0"/>
        <w:spacing w:after="0" w:line="360" w:lineRule="auto"/>
        <w:ind w:firstLine="480" w:firstLineChars="200"/>
        <w:rPr>
          <w:rFonts w:hint="eastAsia" w:ascii="Times New Roman" w:hAnsi="Times New Roman" w:cs="Times New Roman"/>
          <w:color w:val="auto"/>
          <w:kern w:val="0"/>
          <w:sz w:val="24"/>
          <w:szCs w:val="24"/>
          <w:highlight w:val="none"/>
          <w:lang w:eastAsia="zh-CN"/>
        </w:rPr>
      </w:pPr>
    </w:p>
    <w:p>
      <w:pPr>
        <w:tabs>
          <w:tab w:val="left" w:pos="1230"/>
        </w:tabs>
        <w:topLinePunct/>
        <w:autoSpaceDE w:val="0"/>
        <w:autoSpaceDN w:val="0"/>
        <w:adjustRightInd w:val="0"/>
        <w:snapToGrid w:val="0"/>
        <w:spacing w:after="0" w:line="360" w:lineRule="auto"/>
        <w:ind w:firstLine="480" w:firstLineChars="200"/>
        <w:rPr>
          <w:rFonts w:hint="default" w:ascii="Times New Roman" w:hAnsi="Times New Roman" w:cs="Times New Roman"/>
          <w:color w:val="auto"/>
          <w:sz w:val="24"/>
          <w:szCs w:val="24"/>
          <w:highlight w:val="none"/>
        </w:rPr>
      </w:pPr>
      <w:r>
        <w:rPr>
          <w:rFonts w:hint="eastAsia" w:ascii="Times New Roman" w:hAnsi="Times New Roman" w:cs="Times New Roman"/>
          <w:color w:val="auto"/>
          <w:kern w:val="0"/>
          <w:sz w:val="24"/>
          <w:szCs w:val="24"/>
          <w:highlight w:val="none"/>
          <w:lang w:eastAsia="zh-CN"/>
        </w:rPr>
        <w:t>服务商名称</w:t>
      </w:r>
      <w:r>
        <w:rPr>
          <w:rFonts w:hint="default" w:ascii="Times New Roman" w:hAnsi="Times New Roman" w:cs="Times New Roman"/>
          <w:color w:val="auto"/>
          <w:kern w:val="0"/>
          <w:sz w:val="24"/>
          <w:szCs w:val="24"/>
          <w:highlight w:val="none"/>
        </w:rPr>
        <w:t>（全称并加盖公章</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u w:val="single"/>
        </w:rPr>
        <w:t xml:space="preserve">             </w:t>
      </w:r>
    </w:p>
    <w:p>
      <w:pPr>
        <w:tabs>
          <w:tab w:val="left" w:pos="1230"/>
        </w:tabs>
        <w:topLinePunct/>
        <w:autoSpaceDE w:val="0"/>
        <w:autoSpaceDN w:val="0"/>
        <w:adjustRightInd w:val="0"/>
        <w:snapToGrid w:val="0"/>
        <w:spacing w:after="0" w:line="360" w:lineRule="auto"/>
        <w:ind w:firstLine="480" w:firstLineChars="200"/>
        <w:rPr>
          <w:rFonts w:hint="default" w:ascii="Times New Roman" w:hAnsi="Times New Roman" w:cs="Times New Roman"/>
          <w:color w:val="auto"/>
          <w:sz w:val="24"/>
          <w:szCs w:val="24"/>
          <w:highlight w:val="none"/>
        </w:rPr>
      </w:pPr>
      <w:r>
        <w:rPr>
          <w:rFonts w:hint="eastAsia" w:ascii="宋体" w:hAnsi="宋体" w:eastAsia="宋体" w:cs="宋体"/>
          <w:sz w:val="24"/>
          <w:szCs w:val="24"/>
        </w:rPr>
        <w:t>法定代表人或其授权代表</w:t>
      </w:r>
      <w:r>
        <w:rPr>
          <w:rFonts w:hint="default" w:ascii="Times New Roman" w:hAnsi="Times New Roman" w:cs="Times New Roman"/>
          <w:color w:val="auto"/>
          <w:kern w:val="0"/>
          <w:sz w:val="24"/>
          <w:szCs w:val="24"/>
          <w:highlight w:val="none"/>
        </w:rPr>
        <w:t>投标人代表（签字或盖章）</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u w:val="single"/>
        </w:rPr>
        <w:t xml:space="preserve">             </w:t>
      </w:r>
    </w:p>
    <w:p>
      <w:pPr>
        <w:ind w:firstLine="480" w:firstLineChars="200"/>
        <w:rPr>
          <w:rFonts w:hint="eastAsia" w:ascii="宋体" w:hAnsi="宋体" w:eastAsia="宋体" w:cs="宋体"/>
          <w:b/>
          <w:bCs/>
          <w:kern w:val="2"/>
          <w:sz w:val="24"/>
          <w:szCs w:val="24"/>
          <w:lang w:val="en-US" w:eastAsia="zh-CN" w:bidi="ar-SA"/>
        </w:rPr>
      </w:pPr>
      <w:r>
        <w:rPr>
          <w:rFonts w:hint="default" w:ascii="Times New Roman" w:hAnsi="Times New Roman" w:cs="Times New Roman"/>
          <w:color w:val="auto"/>
          <w:sz w:val="24"/>
          <w:szCs w:val="24"/>
          <w:highlight w:val="none"/>
        </w:rPr>
        <w:t>日期：</w:t>
      </w:r>
      <w:r>
        <w:rPr>
          <w:rFonts w:hint="default" w:ascii="Times New Roman" w:hAnsi="Times New Roman" w:cs="Times New Roman"/>
          <w:color w:val="auto"/>
          <w:sz w:val="24"/>
          <w:szCs w:val="24"/>
          <w:highlight w:val="none"/>
          <w:u w:val="single"/>
        </w:rPr>
        <w:t xml:space="preserve">                                 </w:t>
      </w:r>
      <w:r>
        <w:rPr>
          <w:rFonts w:hint="default" w:ascii="Times New Roman" w:hAnsi="Times New Roman" w:cs="Times New Roman"/>
          <w:color w:val="auto"/>
          <w:sz w:val="24"/>
          <w:szCs w:val="24"/>
          <w:highlight w:val="none"/>
        </w:rPr>
        <w:br w:type="page"/>
      </w:r>
      <w:bookmarkStart w:id="9" w:name="_Toc29097"/>
      <w:r>
        <w:rPr>
          <w:rFonts w:hint="eastAsia" w:ascii="宋体" w:hAnsi="宋体" w:eastAsia="宋体" w:cs="宋体"/>
          <w:b/>
          <w:bCs/>
          <w:kern w:val="2"/>
          <w:sz w:val="28"/>
          <w:szCs w:val="28"/>
          <w:lang w:val="en-US" w:eastAsia="zh-CN" w:bidi="ar-SA"/>
        </w:rPr>
        <w:t>四、服务方案及履约能力要求</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服务商</w:t>
      </w:r>
      <w:r>
        <w:rPr>
          <w:rFonts w:hint="eastAsia" w:ascii="宋体" w:hAnsi="宋体" w:cs="宋体"/>
          <w:color w:val="auto"/>
          <w:sz w:val="24"/>
          <w:szCs w:val="24"/>
          <w:highlight w:val="none"/>
          <w:lang w:val="en-US" w:eastAsia="zh-CN" w:bidi="ar-SA"/>
        </w:rPr>
        <w:t>按照采购文件第三章中的“评分因素及评分标准”中的要求，按顺序提供详细方案，自行编排序号。</w:t>
      </w:r>
    </w:p>
    <w:bookmarkEnd w:id="9"/>
    <w:p>
      <w:pPr>
        <w:pageBreakBefore w:val="0"/>
        <w:widowControl w:val="0"/>
        <w:kinsoku/>
        <w:overflowPunct/>
        <w:topLinePunct w:val="0"/>
        <w:bidi w:val="0"/>
        <w:spacing w:beforeAutospacing="0" w:afterAutospacing="0" w:line="500" w:lineRule="exact"/>
        <w:ind w:left="0" w:leftChars="0" w:right="0" w:rightChars="0" w:firstLine="480" w:firstLineChars="200"/>
        <w:jc w:val="both"/>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bidi="ar-SA"/>
        </w:rPr>
        <w:t>2</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服务商</w:t>
      </w:r>
      <w:r>
        <w:rPr>
          <w:rFonts w:hint="eastAsia" w:ascii="宋体" w:hAnsi="宋体" w:eastAsia="宋体" w:cs="宋体"/>
          <w:color w:val="auto"/>
          <w:sz w:val="24"/>
          <w:szCs w:val="24"/>
          <w:highlight w:val="none"/>
          <w:lang w:val="en-US" w:eastAsia="zh-CN"/>
        </w:rPr>
        <w:t>认为的其他内容。</w:t>
      </w:r>
    </w:p>
    <w:p>
      <w:pPr>
        <w:pStyle w:val="5"/>
        <w:rPr>
          <w:rFonts w:hint="eastAsia"/>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p>
    <w:p>
      <w:pPr>
        <w:pStyle w:val="4"/>
        <w:rPr>
          <w:rFonts w:hint="eastAsia"/>
          <w:lang w:val="en-US" w:eastAsia="zh-CN"/>
        </w:rPr>
        <w:sectPr>
          <w:pgSz w:w="11906" w:h="16838"/>
          <w:pgMar w:top="1440" w:right="1752" w:bottom="1440" w:left="1752" w:header="851" w:footer="992" w:gutter="0"/>
          <w:pgBorders>
            <w:top w:val="none" w:sz="0" w:space="0"/>
            <w:left w:val="none" w:sz="0" w:space="0"/>
            <w:bottom w:val="none" w:sz="0" w:space="0"/>
            <w:right w:val="none" w:sz="0" w:space="0"/>
          </w:pgBorders>
          <w:pgNumType w:fmt="decimal"/>
          <w:cols w:space="720" w:num="1"/>
          <w:docGrid w:type="lines" w:linePitch="312" w:charSpace="0"/>
        </w:sectPr>
      </w:pPr>
      <w:bookmarkStart w:id="10" w:name="_GoBack"/>
      <w:bookmarkEnd w:id="10"/>
    </w:p>
    <w:p>
      <w:pPr>
        <w:pStyle w:val="4"/>
        <w:numPr>
          <w:ilvl w:val="0"/>
          <w:numId w:val="0"/>
        </w:numPr>
        <w:spacing w:before="0" w:beforeAutospacing="0" w:after="0" w:afterAutospacing="0"/>
        <w:jc w:val="both"/>
        <w:rPr>
          <w:rFonts w:hint="eastAsia" w:ascii="仿宋_GB2312" w:hAnsi="仿宋_GB2312" w:eastAsia="仿宋_GB2312" w:cs="仿宋_GB2312"/>
          <w:sz w:val="32"/>
          <w:szCs w:val="32"/>
          <w:lang w:eastAsia="zh-CN"/>
        </w:rPr>
      </w:pPr>
      <w:r>
        <w:rPr>
          <w:rFonts w:hint="eastAsia" w:ascii="微软雅黑" w:hAnsi="微软雅黑" w:eastAsia="微软雅黑" w:cs="微软雅黑"/>
          <w:i w:val="0"/>
          <w:iCs w:val="0"/>
          <w:caps w:val="0"/>
          <w:color w:val="000000"/>
          <w:spacing w:val="0"/>
          <w:sz w:val="27"/>
          <w:szCs w:val="27"/>
        </w:rPr>
        <w:br w:type="textWrapping"/>
      </w:r>
      <w:r>
        <w:rPr>
          <w:rFonts w:hint="eastAsia" w:ascii="仿宋_GB2312" w:hAnsi="仿宋_GB2312" w:eastAsia="仿宋_GB2312" w:cs="仿宋_GB2312"/>
          <w:i w:val="0"/>
          <w:iCs w:val="0"/>
          <w:caps w:val="0"/>
          <w:color w:val="000000"/>
          <w:spacing w:val="0"/>
          <w:sz w:val="32"/>
          <w:szCs w:val="32"/>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华文宋体">
    <w:altName w:val="宋体"/>
    <w:panose1 w:val="02010600040101010101"/>
    <w:charset w:val="86"/>
    <w:family w:val="auto"/>
    <w:pitch w:val="default"/>
    <w:sig w:usb0="00000000" w:usb1="00000000" w:usb2="00000016" w:usb3="00000000" w:csb0="0004001F" w:csb1="00000000"/>
  </w:font>
  <w:font w:name="微软雅黑">
    <w:panose1 w:val="020B0503020204020204"/>
    <w:charset w:val="86"/>
    <w:family w:val="auto"/>
    <w:pitch w:val="default"/>
    <w:sig w:usb0="80000287" w:usb1="2A0F3C52" w:usb2="00000016" w:usb3="00000000" w:csb0="0004001F"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BAE23"/>
    <w:multiLevelType w:val="singleLevel"/>
    <w:tmpl w:val="031BAE23"/>
    <w:lvl w:ilvl="0" w:tentative="0">
      <w:start w:val="1"/>
      <w:numFmt w:val="decimal"/>
      <w:pStyle w:val="3"/>
      <w:lvlText w:val="%1."/>
      <w:lvlJc w:val="left"/>
      <w:pPr>
        <w:tabs>
          <w:tab w:val="left" w:pos="780"/>
        </w:tabs>
        <w:ind w:left="780" w:hanging="360"/>
      </w:pPr>
    </w:lvl>
  </w:abstractNum>
  <w:abstractNum w:abstractNumId="1">
    <w:nsid w:val="387633FB"/>
    <w:multiLevelType w:val="singleLevel"/>
    <w:tmpl w:val="387633FB"/>
    <w:lvl w:ilvl="0" w:tentative="0">
      <w:start w:val="1"/>
      <w:numFmt w:val="chineseCounting"/>
      <w:suff w:val="nothing"/>
      <w:lvlText w:val="%1、"/>
      <w:lvlJc w:val="left"/>
      <w:rPr>
        <w:rFonts w:hint="eastAsia"/>
      </w:rPr>
    </w:lvl>
  </w:abstractNum>
  <w:abstractNum w:abstractNumId="2">
    <w:nsid w:val="4F08217F"/>
    <w:multiLevelType w:val="singleLevel"/>
    <w:tmpl w:val="4F08217F"/>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744299"/>
    <w:rsid w:val="003B2F5B"/>
    <w:rsid w:val="00B6292D"/>
    <w:rsid w:val="00E53423"/>
    <w:rsid w:val="01431B31"/>
    <w:rsid w:val="024703EA"/>
    <w:rsid w:val="02D72FDC"/>
    <w:rsid w:val="032760C6"/>
    <w:rsid w:val="06284667"/>
    <w:rsid w:val="06FF48E0"/>
    <w:rsid w:val="07D81613"/>
    <w:rsid w:val="09BF1640"/>
    <w:rsid w:val="0A591D5E"/>
    <w:rsid w:val="0C182691"/>
    <w:rsid w:val="0D306DB8"/>
    <w:rsid w:val="0DB31145"/>
    <w:rsid w:val="0E6F7B6E"/>
    <w:rsid w:val="0EAE427C"/>
    <w:rsid w:val="10A53646"/>
    <w:rsid w:val="10F201A9"/>
    <w:rsid w:val="10FF68DC"/>
    <w:rsid w:val="1260493C"/>
    <w:rsid w:val="12B30B42"/>
    <w:rsid w:val="13475A5C"/>
    <w:rsid w:val="153D656D"/>
    <w:rsid w:val="15562B02"/>
    <w:rsid w:val="15CD5D67"/>
    <w:rsid w:val="177631B6"/>
    <w:rsid w:val="18574C99"/>
    <w:rsid w:val="18646AFE"/>
    <w:rsid w:val="19D82D26"/>
    <w:rsid w:val="1AA86348"/>
    <w:rsid w:val="1B224333"/>
    <w:rsid w:val="1B640C7D"/>
    <w:rsid w:val="1BF26825"/>
    <w:rsid w:val="1CC2318F"/>
    <w:rsid w:val="1D917D91"/>
    <w:rsid w:val="1EB71D26"/>
    <w:rsid w:val="1F41331F"/>
    <w:rsid w:val="1FF77F97"/>
    <w:rsid w:val="1FF845FD"/>
    <w:rsid w:val="20857F9E"/>
    <w:rsid w:val="22C71B61"/>
    <w:rsid w:val="22EB7BD9"/>
    <w:rsid w:val="25666F78"/>
    <w:rsid w:val="262C02B1"/>
    <w:rsid w:val="2C8A6075"/>
    <w:rsid w:val="2C8C5906"/>
    <w:rsid w:val="2EA8738A"/>
    <w:rsid w:val="30063B0F"/>
    <w:rsid w:val="301B0671"/>
    <w:rsid w:val="31A24269"/>
    <w:rsid w:val="336E6B8B"/>
    <w:rsid w:val="33F10630"/>
    <w:rsid w:val="38344545"/>
    <w:rsid w:val="3888359F"/>
    <w:rsid w:val="39275417"/>
    <w:rsid w:val="39387D05"/>
    <w:rsid w:val="39A17153"/>
    <w:rsid w:val="3B0513F5"/>
    <w:rsid w:val="3C09753F"/>
    <w:rsid w:val="3D052BCC"/>
    <w:rsid w:val="3D744299"/>
    <w:rsid w:val="3DBC2468"/>
    <w:rsid w:val="411153DA"/>
    <w:rsid w:val="432A3F10"/>
    <w:rsid w:val="46720C69"/>
    <w:rsid w:val="49A024FB"/>
    <w:rsid w:val="4BB123BE"/>
    <w:rsid w:val="4BD023D5"/>
    <w:rsid w:val="4D8B0591"/>
    <w:rsid w:val="4E810300"/>
    <w:rsid w:val="4F1D5296"/>
    <w:rsid w:val="50135DC3"/>
    <w:rsid w:val="50AE6058"/>
    <w:rsid w:val="50FC6C8F"/>
    <w:rsid w:val="511F554A"/>
    <w:rsid w:val="54FE67E1"/>
    <w:rsid w:val="587C44B0"/>
    <w:rsid w:val="5A4802D7"/>
    <w:rsid w:val="5BCD2F75"/>
    <w:rsid w:val="5DB71B3E"/>
    <w:rsid w:val="5E2013B3"/>
    <w:rsid w:val="5EAC09BE"/>
    <w:rsid w:val="5FAA6B54"/>
    <w:rsid w:val="6113089F"/>
    <w:rsid w:val="62635B04"/>
    <w:rsid w:val="62692F59"/>
    <w:rsid w:val="63D463A0"/>
    <w:rsid w:val="66682569"/>
    <w:rsid w:val="67007C63"/>
    <w:rsid w:val="68EF380E"/>
    <w:rsid w:val="6E66166D"/>
    <w:rsid w:val="6FDB2F65"/>
    <w:rsid w:val="6FF04503"/>
    <w:rsid w:val="72077C78"/>
    <w:rsid w:val="741F271B"/>
    <w:rsid w:val="77916252"/>
    <w:rsid w:val="77C8645B"/>
    <w:rsid w:val="790C2771"/>
    <w:rsid w:val="7B4F21B9"/>
    <w:rsid w:val="7C160744"/>
    <w:rsid w:val="7E453BC1"/>
    <w:rsid w:val="7EA1580D"/>
    <w:rsid w:val="7FB11546"/>
    <w:rsid w:val="DFB95144"/>
    <w:rsid w:val="EDFDDB9C"/>
    <w:rsid w:val="EFFFE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5"/>
    <w:basedOn w:val="3"/>
    <w:next w:val="4"/>
    <w:qFormat/>
    <w:uiPriority w:val="9"/>
    <w:pPr>
      <w:keepNext/>
      <w:keepLines/>
      <w:tabs>
        <w:tab w:val="left" w:pos="780"/>
      </w:tabs>
      <w:spacing w:before="280" w:after="290" w:line="377" w:lineRule="auto"/>
      <w:ind w:firstLine="200" w:firstLineChars="200"/>
      <w:outlineLvl w:val="4"/>
    </w:pPr>
    <w:rPr>
      <w:rFonts w:ascii="Times New Roman" w:hAnsi="Times New Roman" w:eastAsia="仿宋_GB2312" w:cs="Times New Roman"/>
      <w:bCs/>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List Number 2"/>
    <w:basedOn w:val="1"/>
    <w:qFormat/>
    <w:uiPriority w:val="0"/>
    <w:pPr>
      <w:numPr>
        <w:ilvl w:val="0"/>
        <w:numId w:val="1"/>
      </w:numPr>
    </w:p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5">
    <w:name w:val="Body Text"/>
    <w:basedOn w:val="1"/>
    <w:next w:val="1"/>
    <w:qFormat/>
    <w:uiPriority w:val="0"/>
    <w:pPr>
      <w:spacing w:after="120"/>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30</TotalTime>
  <ScaleCrop>false</ScaleCrop>
  <LinksUpToDate>false</LinksUpToDate>
  <CharactersWithSpaces>0</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2026-01-14T16:37:00Z</dcterms:created>
  <dc:creator>郭岚旭</dc:creator>
  <cp:lastModifiedBy>user</cp:lastModifiedBy>
  <dcterms:modified xsi:type="dcterms:W3CDTF">2026-01-23T16:04:25Z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