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国家税务总局天津市河西区税务局耗材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黑体" w:eastAsia="方正小标宋简体" w:cs="黑体"/>
          <w:bCs/>
          <w:sz w:val="44"/>
          <w:szCs w:val="44"/>
          <w:lang w:eastAsia="zh-CN"/>
        </w:rPr>
      </w:pPr>
      <w:r>
        <w:rPr>
          <w:rFonts w:hint="eastAsia" w:ascii="方正小标宋简体" w:hAnsi="方正小标宋简体" w:eastAsia="方正小标宋简体" w:cs="方正小标宋简体"/>
          <w:sz w:val="44"/>
          <w:szCs w:val="44"/>
          <w:highlight w:val="none"/>
        </w:rPr>
        <w:t>项目</w:t>
      </w:r>
      <w:r>
        <w:rPr>
          <w:rFonts w:hint="eastAsia" w:ascii="方正小标宋简体" w:hAnsi="方正小标宋简体" w:eastAsia="方正小标宋简体" w:cs="方正小标宋简体"/>
          <w:sz w:val="44"/>
          <w:szCs w:val="44"/>
          <w:highlight w:val="none"/>
          <w:lang w:eastAsia="zh-CN"/>
        </w:rPr>
        <w:t>采购</w:t>
      </w:r>
      <w:r>
        <w:rPr>
          <w:rFonts w:hint="eastAsia" w:ascii="方正小标宋简体" w:hAnsi="黑体" w:eastAsia="方正小标宋简体" w:cs="黑体"/>
          <w:bCs/>
          <w:sz w:val="44"/>
          <w:szCs w:val="44"/>
          <w:lang w:eastAsia="zh-CN"/>
        </w:rPr>
        <w:t>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一、项目采购需求</w:t>
      </w:r>
    </w:p>
    <w:p>
      <w:pPr>
        <w:numPr>
          <w:ilvl w:val="0"/>
          <w:numId w:val="0"/>
        </w:numPr>
        <w:adjustRightInd w:val="0"/>
        <w:snapToGrid w:val="0"/>
        <w:spacing w:line="620" w:lineRule="exact"/>
        <w:outlineLvl w:val="0"/>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eastAsia="zh-CN"/>
        </w:rPr>
        <w:t>（一）国家税务总局天津市河西区税务局耗材需求一览表</w:t>
      </w:r>
    </w:p>
    <w:tbl>
      <w:tblPr>
        <w:tblW w:w="97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48"/>
        <w:gridCol w:w="3708"/>
        <w:gridCol w:w="1639"/>
        <w:gridCol w:w="1767"/>
        <w:gridCol w:w="16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编号</w:t>
            </w:r>
          </w:p>
        </w:tc>
        <w:tc>
          <w:tcPr>
            <w:tcW w:w="3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物品名称</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品牌</w:t>
            </w:r>
          </w:p>
        </w:tc>
        <w:tc>
          <w:tcPr>
            <w:tcW w:w="16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规格</w:t>
            </w:r>
          </w:p>
        </w:tc>
        <w:tc>
          <w:tcPr>
            <w:tcW w:w="16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奔图P3301墨盒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奔图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TL-463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奔图P3301墨盒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奔图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TL-463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奔图P3301硒鼓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奔图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DL-463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奔图P3301硒鼓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奔图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DL-463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爱胜品1133DN PRO墨盒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爱胜品</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TN2833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爱胜品1133DN PRO硒鼓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爱胜品</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DR2833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佳美 爱胜品1133DN PRO硒鼓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爱胜品</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JM-DR2833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三星3310鼓粉盒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三星</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MLT-D205S</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网线 5米 超五类</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绿联</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网线 3米 超五类</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绿联</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网线 5米 六类</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绿联</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网线 3米 六类</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绿联</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网线 305米 超五类</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山泽</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光盘 4.7GB DVD-RW 50个/盒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惠普</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光盘 4.7GB DVD-RW 50个/盒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联想</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鼠标</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双飞燕</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键盘</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得力</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京瓷P2235dn墨盒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TK-1153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京瓷P2235dn硒鼓/保养组件</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MK-1153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京瓷P2235dn硒鼓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CK-1153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京瓷P2035dn墨盒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京瓷P2035dn硒鼓/保养组件</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京瓷P2035dn硒鼓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京瓷P2135dn墨盒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京瓷P2135dn硒鼓/保养组件</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京瓷P2135dn硒鼓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京瓷P4135dn墨盒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TK-7313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京瓷P4135dn硒鼓/保养组件</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京瓷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MK-7313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外置摄像头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罗技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HP M203dn 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惠普</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HP M203dn 硒鼓</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惠普</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格之格 HP P1008 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惠普</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88A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佳能 iCMF8230Cn墨盒-黑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佳能</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131A/125A/128A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佳能 iCMF8230Cn墨盒-黄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佳能</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131A/125A/128A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佳能 iCMF8230Cn墨盒-红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佳能</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131A/125A/128A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佳能 iCMF8230Cn墨盒-青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佳能</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131A/125A/128A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OKI打印机墨盒-黑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OKI打印机墨盒-黄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OKI打印机墨盒-红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OKI打印机墨盒-青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OKI打印机鼓组件-黑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OKI打印机鼓组件-黄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OKI打印机鼓组件-红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OKI打印机鼓组件-青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原装OKI打印机转运带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OKI</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C831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富士施乐打印机墨盒-黑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富士施乐打印机墨盒-黄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富士施乐打印机墨盒-红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富士施乐打印机墨盒-青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富士施乐打印机废粉盒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富士施乐打印机硒鼓-黑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富士施乐打印机硒鼓-黄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富士施乐打印机硒鼓-红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富士施乐打印机硒鼓-青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理光打印机墨盒-黑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理光打印机墨盒-黄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理光打印机墨盒-红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理光打印机墨盒-青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理光打印机硒鼓-黑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理光打印机硒鼓-黄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理光打印机硒鼓-红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原装 理光打印机硒鼓-青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ricon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SPC252dn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热敏纸 按卷报价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网线水晶头超五类 100个/盒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山泽</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光驱usb口</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绿联</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鼠标垫 300*250*3mm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罗技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联想打印机  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联想</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LJ 6600DN</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富士施乐打印机墨盒</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xerox</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DocuPrint 3105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个</w:t>
            </w:r>
          </w:p>
        </w:tc>
      </w:tr>
    </w:tbl>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eastAsia="zh-CN"/>
        </w:rPr>
        <w:t>以上采购需求一栏表中所列物品为计划采购物品，实际采购物品及数量，以甲方下达的采购需求为准。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（二）质量保证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供应商所提供的货物必须完全符合国家规定的质量、规格和性能的要求。并保证所提供的货物在正常使用和保养条件下，在其使用寿命内具有良好的性能。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其他要求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服务商参与本项目的所有人员应承担保密义务，违反相关保密要求发生泄密行为的，服务商应承担相应责任。</w:t>
      </w:r>
    </w:p>
    <w:p>
      <w:pPr>
        <w:adjustRightInd w:val="0"/>
        <w:snapToGrid w:val="0"/>
        <w:spacing w:line="620" w:lineRule="exact"/>
        <w:ind w:firstLine="640" w:firstLineChars="200"/>
        <w:outlineLvl w:val="0"/>
        <w:rPr>
          <w:rFonts w:hint="eastAsia" w:ascii="黑体" w:hAnsi="黑体" w:eastAsia="黑体" w:cs="Times New Roman"/>
          <w:sz w:val="32"/>
          <w:szCs w:val="32"/>
          <w:lang w:val="en-US" w:eastAsia="zh-CN"/>
        </w:rPr>
      </w:pPr>
      <w:r>
        <w:rPr>
          <w:rFonts w:hint="eastAsia" w:ascii="黑体" w:hAnsi="黑体" w:eastAsia="黑体" w:cs="Times New Roman"/>
          <w:sz w:val="32"/>
          <w:szCs w:val="32"/>
          <w:lang w:eastAsia="zh-CN"/>
        </w:rPr>
        <w:t>二</w:t>
      </w:r>
      <w:r>
        <w:rPr>
          <w:rFonts w:hint="eastAsia" w:ascii="黑体" w:hAnsi="黑体" w:eastAsia="黑体" w:cs="Times New Roman"/>
          <w:sz w:val="32"/>
          <w:szCs w:val="32"/>
        </w:rPr>
        <w:t>、</w:t>
      </w:r>
      <w:r>
        <w:rPr>
          <w:rFonts w:hint="eastAsia" w:ascii="黑体" w:hAnsi="黑体" w:eastAsia="黑体" w:cs="Times New Roman"/>
          <w:sz w:val="32"/>
          <w:szCs w:val="32"/>
          <w:lang w:val="en-US" w:eastAsia="zh-CN"/>
        </w:rPr>
        <w:t>项目实施要求</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1、项目人员要求</w:t>
      </w:r>
    </w:p>
    <w:p>
      <w:pPr>
        <w:adjustRightInd w:val="0"/>
        <w:snapToGrid w:val="0"/>
        <w:spacing w:line="620" w:lineRule="exact"/>
        <w:ind w:firstLine="640" w:firstLineChars="200"/>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成交供应商</w:t>
      </w:r>
      <w:r>
        <w:rPr>
          <w:rFonts w:hint="default" w:ascii="仿宋_GB2312" w:hAnsi="宋体" w:eastAsia="仿宋_GB2312" w:cs="宋体"/>
          <w:sz w:val="32"/>
          <w:szCs w:val="32"/>
          <w:lang w:val="en-US" w:eastAsia="zh-CN"/>
        </w:rPr>
        <w:t>须选派责任心强、业务熟练、有丰富管理经验的项目经理</w:t>
      </w:r>
      <w:r>
        <w:rPr>
          <w:rFonts w:hint="eastAsia" w:ascii="仿宋_GB2312" w:hAnsi="宋体" w:eastAsia="仿宋_GB2312" w:cs="宋体"/>
          <w:sz w:val="32"/>
          <w:szCs w:val="32"/>
          <w:lang w:val="en-US" w:eastAsia="zh-CN"/>
        </w:rPr>
        <w:t>和服务人员</w:t>
      </w:r>
      <w:r>
        <w:rPr>
          <w:rFonts w:hint="default" w:ascii="仿宋_GB2312" w:hAnsi="宋体" w:eastAsia="仿宋_GB2312" w:cs="宋体"/>
          <w:sz w:val="32"/>
          <w:szCs w:val="32"/>
          <w:lang w:val="en-US" w:eastAsia="zh-CN"/>
        </w:rPr>
        <w:t>参与该项目</w:t>
      </w:r>
      <w:r>
        <w:rPr>
          <w:rFonts w:hint="eastAsia" w:ascii="仿宋_GB2312" w:hAnsi="宋体" w:eastAsia="仿宋_GB2312" w:cs="宋体"/>
          <w:sz w:val="32"/>
          <w:szCs w:val="32"/>
          <w:lang w:val="en-US" w:eastAsia="zh-CN"/>
        </w:rPr>
        <w:t>采购活动</w:t>
      </w:r>
      <w:r>
        <w:rPr>
          <w:rFonts w:hint="default" w:ascii="仿宋_GB2312" w:hAnsi="宋体" w:eastAsia="仿宋_GB2312" w:cs="宋体"/>
          <w:sz w:val="32"/>
          <w:szCs w:val="32"/>
          <w:lang w:val="en-US" w:eastAsia="zh-CN"/>
        </w:rPr>
        <w:t>。</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2、交货时间及地点</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合同有效期内，成交供应商在接到采购人下达的采购需求后   2个工作日内将货物送达到甲方指定地点。</w:t>
      </w:r>
    </w:p>
    <w:p>
      <w:pPr>
        <w:adjustRightInd w:val="0"/>
        <w:snapToGrid w:val="0"/>
        <w:spacing w:line="620" w:lineRule="exact"/>
        <w:ind w:firstLine="640" w:firstLineChars="200"/>
        <w:rPr>
          <w:rFonts w:hint="eastAsia" w:ascii="仿宋_GB2312" w:hAnsi="Times New Roman" w:eastAsia="仿宋_GB2312" w:cs="仿宋_GB2312"/>
          <w:b w:val="0"/>
          <w:bCs w:val="0"/>
          <w:kern w:val="0"/>
          <w:sz w:val="32"/>
          <w:szCs w:val="32"/>
          <w:lang w:val="en-US" w:eastAsia="zh-CN" w:bidi="ar"/>
        </w:rPr>
      </w:pPr>
      <w:r>
        <w:rPr>
          <w:rFonts w:hint="eastAsia" w:ascii="仿宋_GB2312" w:hAnsi="宋体" w:eastAsia="仿宋_GB2312" w:cs="宋体"/>
          <w:sz w:val="32"/>
          <w:szCs w:val="32"/>
          <w:lang w:val="en-US" w:eastAsia="zh-CN"/>
        </w:rPr>
        <w:t>3、</w:t>
      </w:r>
      <w:r>
        <w:rPr>
          <w:rFonts w:hint="eastAsia" w:ascii="仿宋_GB2312" w:hAnsi="Times New Roman" w:eastAsia="仿宋_GB2312" w:cs="仿宋_GB2312"/>
          <w:b w:val="0"/>
          <w:bCs w:val="0"/>
          <w:kern w:val="0"/>
          <w:sz w:val="32"/>
          <w:szCs w:val="32"/>
          <w:lang w:val="en-US" w:eastAsia="zh-CN" w:bidi="ar"/>
        </w:rPr>
        <w:t>验收要求</w:t>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仿宋_GB2312" w:hAnsi="Times New Roman" w:eastAsia="仿宋_GB2312" w:cs="仿宋_GB2312"/>
          <w:b w:val="0"/>
          <w:bCs w:val="0"/>
          <w:kern w:val="0"/>
          <w:sz w:val="32"/>
          <w:szCs w:val="32"/>
          <w:lang w:val="en-US" w:eastAsia="zh-CN" w:bidi="ar"/>
        </w:rPr>
        <w:t>采购人根据采购文件和合同约定条款，对合同事项逐条验收，验收结束后，出具验收意见。</w:t>
      </w:r>
    </w:p>
    <w:p>
      <w:pPr>
        <w:pStyle w:val="5"/>
        <w:numPr>
          <w:ilvl w:val="0"/>
          <w:numId w:val="0"/>
        </w:numPr>
        <w:adjustRightInd w:val="0"/>
        <w:snapToGrid w:val="0"/>
        <w:spacing w:line="620" w:lineRule="exact"/>
        <w:outlineLvl w:val="0"/>
        <w:rPr>
          <w:rFonts w:hint="eastAsia" w:ascii="仿宋_GB2312" w:hAnsi="Times New Roman" w:eastAsia="仿宋_GB2312" w:cs="仿宋_GB2312"/>
          <w:b w:val="0"/>
          <w:bCs w:val="0"/>
          <w:kern w:val="0"/>
          <w:sz w:val="32"/>
          <w:szCs w:val="32"/>
          <w:lang w:val="en-US" w:eastAsia="zh-CN" w:bidi="ar"/>
        </w:rPr>
      </w:pPr>
      <w:r>
        <w:rPr>
          <w:rFonts w:hint="eastAsia" w:ascii="黑体" w:hAnsi="黑体" w:eastAsia="黑体"/>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lang w:val="en-US" w:eastAsia="zh-CN"/>
        </w:rPr>
        <w:t xml:space="preserve"> 4、付款方式</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成交供应商</w:t>
      </w:r>
      <w:r>
        <w:rPr>
          <w:rFonts w:hint="eastAsia" w:ascii="仿宋_GB2312" w:hAnsi="宋体" w:eastAsia="仿宋_GB2312" w:cs="仿宋_GB2312"/>
          <w:sz w:val="32"/>
          <w:szCs w:val="32"/>
        </w:rPr>
        <w:t>在服务期限内，按照采购人提出的</w:t>
      </w:r>
      <w:r>
        <w:rPr>
          <w:rFonts w:hint="eastAsia" w:ascii="仿宋_GB2312" w:hAnsi="宋体" w:eastAsia="仿宋_GB2312" w:cs="仿宋_GB2312"/>
          <w:sz w:val="32"/>
          <w:szCs w:val="32"/>
          <w:lang w:eastAsia="zh-CN"/>
        </w:rPr>
        <w:t>需求单</w:t>
      </w:r>
      <w:r>
        <w:rPr>
          <w:rFonts w:hint="eastAsia" w:ascii="仿宋_GB2312" w:hAnsi="宋体" w:eastAsia="仿宋_GB2312" w:cs="仿宋_GB2312"/>
          <w:color w:val="auto"/>
          <w:sz w:val="32"/>
          <w:szCs w:val="32"/>
        </w:rPr>
        <w:t>，提供</w:t>
      </w:r>
      <w:r>
        <w:rPr>
          <w:rFonts w:hint="eastAsia" w:ascii="仿宋_GB2312" w:hAnsi="宋体" w:eastAsia="仿宋_GB2312"/>
          <w:color w:val="auto"/>
          <w:sz w:val="32"/>
          <w:szCs w:val="32"/>
          <w:lang w:eastAsia="zh-CN"/>
        </w:rPr>
        <w:t>耗材</w:t>
      </w:r>
      <w:r>
        <w:rPr>
          <w:rFonts w:hint="eastAsia" w:ascii="仿宋_GB2312" w:hAnsi="宋体" w:eastAsia="仿宋_GB2312" w:cs="仿宋_GB2312"/>
          <w:color w:val="auto"/>
          <w:sz w:val="32"/>
          <w:szCs w:val="32"/>
          <w:lang w:eastAsia="zh-CN"/>
        </w:rPr>
        <w:t>的报价，需求单标注日期所列物品报价与各品牌厂商在京东平台或淘宝天猫平台建立的官方旗舰店的当日售价（不含打折、促销和优惠券）乘以综合折扣率为成交价格。双方确认后，</w:t>
      </w:r>
      <w:r>
        <w:rPr>
          <w:rFonts w:hint="eastAsia" w:ascii="仿宋_GB2312" w:hAnsi="宋体" w:eastAsia="仿宋_GB2312" w:cs="仿宋_GB2312"/>
          <w:color w:val="auto"/>
          <w:sz w:val="32"/>
          <w:szCs w:val="32"/>
        </w:rPr>
        <w:t>提供</w:t>
      </w:r>
      <w:r>
        <w:rPr>
          <w:rFonts w:hint="eastAsia" w:ascii="仿宋_GB2312" w:hAnsi="宋体" w:eastAsia="仿宋_GB2312"/>
          <w:color w:val="auto"/>
          <w:sz w:val="32"/>
          <w:szCs w:val="32"/>
          <w:lang w:eastAsia="zh-CN"/>
        </w:rPr>
        <w:t>耗材</w:t>
      </w:r>
      <w:r>
        <w:rPr>
          <w:rFonts w:hint="eastAsia" w:ascii="仿宋_GB2312" w:hAnsi="宋体" w:eastAsia="仿宋_GB2312" w:cs="仿宋_GB2312"/>
          <w:color w:val="auto"/>
          <w:sz w:val="32"/>
          <w:szCs w:val="32"/>
          <w:lang w:eastAsia="zh-CN"/>
        </w:rPr>
        <w:t>的供货</w:t>
      </w:r>
      <w:r>
        <w:rPr>
          <w:rFonts w:hint="eastAsia" w:ascii="仿宋_GB2312" w:hAnsi="宋体" w:eastAsia="仿宋_GB2312" w:cs="仿宋_GB2312"/>
          <w:sz w:val="32"/>
          <w:szCs w:val="32"/>
          <w:lang w:eastAsia="zh-CN"/>
        </w:rPr>
        <w:t>及</w:t>
      </w:r>
      <w:r>
        <w:rPr>
          <w:rFonts w:hint="eastAsia" w:ascii="仿宋_GB2312" w:hAnsi="宋体" w:eastAsia="仿宋_GB2312" w:cs="仿宋_GB2312"/>
          <w:sz w:val="32"/>
          <w:szCs w:val="32"/>
        </w:rPr>
        <w:t>配送等服务，验收合格后30日内，支付</w:t>
      </w:r>
      <w:r>
        <w:rPr>
          <w:rFonts w:hint="eastAsia" w:ascii="仿宋_GB2312" w:hAnsi="宋体" w:eastAsia="仿宋_GB2312" w:cs="仿宋_GB2312"/>
          <w:sz w:val="32"/>
          <w:szCs w:val="32"/>
          <w:lang w:eastAsia="zh-CN"/>
        </w:rPr>
        <w:t>全部</w:t>
      </w:r>
      <w:r>
        <w:rPr>
          <w:rFonts w:hint="eastAsia" w:ascii="仿宋_GB2312" w:hAnsi="宋体" w:eastAsia="仿宋_GB2312" w:cs="仿宋_GB2312"/>
          <w:sz w:val="32"/>
          <w:szCs w:val="32"/>
        </w:rPr>
        <w:t>费用。</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特殊情况，双方</w:t>
      </w:r>
      <w:r>
        <w:rPr>
          <w:rFonts w:hint="eastAsia" w:ascii="仿宋_GB2312" w:hAnsi="宋体" w:eastAsia="仿宋_GB2312" w:cs="仿宋_GB2312"/>
          <w:sz w:val="32"/>
          <w:szCs w:val="32"/>
          <w:lang w:eastAsia="zh-CN"/>
        </w:rPr>
        <w:t>可选择</w:t>
      </w:r>
      <w:r>
        <w:rPr>
          <w:rFonts w:hint="eastAsia" w:ascii="仿宋_GB2312" w:hAnsi="宋体" w:eastAsia="仿宋_GB2312" w:cs="仿宋_GB2312"/>
          <w:sz w:val="32"/>
          <w:szCs w:val="32"/>
        </w:rPr>
        <w:t>协商</w:t>
      </w:r>
      <w:r>
        <w:rPr>
          <w:rFonts w:hint="eastAsia" w:ascii="仿宋_GB2312" w:hAnsi="宋体" w:eastAsia="仿宋_GB2312" w:cs="仿宋_GB2312"/>
          <w:sz w:val="32"/>
          <w:szCs w:val="32"/>
          <w:lang w:eastAsia="zh-CN"/>
        </w:rPr>
        <w:t>成交价格及</w:t>
      </w:r>
      <w:r>
        <w:rPr>
          <w:rFonts w:hint="eastAsia" w:ascii="仿宋_GB2312" w:hAnsi="宋体" w:eastAsia="仿宋_GB2312" w:cs="仿宋_GB2312"/>
          <w:sz w:val="32"/>
          <w:szCs w:val="32"/>
        </w:rPr>
        <w:t>付款事宜。</w:t>
      </w:r>
    </w:p>
    <w:p>
      <w:pPr>
        <w:pStyle w:val="4"/>
        <w:topLinePunct/>
        <w:autoSpaceDE/>
        <w:autoSpaceDN/>
        <w:spacing w:line="240" w:lineRule="auto"/>
        <w:ind w:left="359" w:leftChars="171" w:firstLine="217" w:firstLineChars="68"/>
        <w:jc w:val="both"/>
        <w:rPr>
          <w:rFonts w:hint="eastAsia" w:ascii="Times New Roman" w:eastAsia="黑体"/>
          <w:kern w:val="2"/>
          <w:sz w:val="32"/>
          <w:szCs w:val="32"/>
          <w:lang w:eastAsia="zh-CN"/>
        </w:rPr>
      </w:pPr>
      <w:r>
        <w:rPr>
          <w:rFonts w:hint="eastAsia" w:ascii="Times New Roman" w:eastAsia="黑体"/>
          <w:kern w:val="2"/>
          <w:sz w:val="32"/>
          <w:szCs w:val="32"/>
          <w:lang w:eastAsia="zh-CN"/>
        </w:rPr>
        <w:t>三、</w:t>
      </w:r>
      <w:r>
        <w:rPr>
          <w:rFonts w:ascii="Times New Roman" w:eastAsia="黑体"/>
          <w:kern w:val="2"/>
          <w:sz w:val="32"/>
          <w:szCs w:val="32"/>
        </w:rPr>
        <w:t>评审</w:t>
      </w:r>
      <w:r>
        <w:rPr>
          <w:rFonts w:hint="eastAsia" w:ascii="Times New Roman" w:eastAsia="黑体"/>
          <w:kern w:val="2"/>
          <w:sz w:val="32"/>
          <w:szCs w:val="32"/>
          <w:lang w:eastAsia="zh-CN"/>
        </w:rPr>
        <w:t>方法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评</w:t>
      </w:r>
      <w:r>
        <w:rPr>
          <w:rFonts w:hint="eastAsia" w:ascii="仿宋_GB2312" w:hAnsi="仿宋_GB2312" w:eastAsia="仿宋_GB2312" w:cs="仿宋_GB2312"/>
          <w:sz w:val="32"/>
          <w:szCs w:val="32"/>
        </w:rPr>
        <w:t>审概述</w:t>
      </w:r>
    </w:p>
    <w:p>
      <w:pPr>
        <w:topLinePun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采购人将组建</w:t>
      </w: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w:t>
      </w: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小组将按照</w:t>
      </w:r>
      <w:r>
        <w:rPr>
          <w:rFonts w:hint="eastAsia" w:ascii="仿宋_GB2312" w:hAnsi="仿宋_GB2312" w:eastAsia="仿宋_GB2312" w:cs="仿宋_GB2312"/>
          <w:sz w:val="32"/>
          <w:szCs w:val="32"/>
          <w:lang w:eastAsia="zh-CN"/>
        </w:rPr>
        <w:t>采购文件要求对供应商应答</w:t>
      </w:r>
      <w:r>
        <w:rPr>
          <w:rFonts w:hint="eastAsia" w:ascii="仿宋_GB2312" w:hAnsi="仿宋_GB2312" w:eastAsia="仿宋_GB2312" w:cs="仿宋_GB2312"/>
          <w:sz w:val="32"/>
          <w:szCs w:val="32"/>
        </w:rPr>
        <w:t>文件进行评审。</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应答</w:t>
      </w:r>
      <w:r>
        <w:rPr>
          <w:rFonts w:hint="eastAsia" w:ascii="仿宋_GB2312" w:hAnsi="仿宋_GB2312" w:eastAsia="仿宋_GB2312" w:cs="仿宋_GB2312"/>
          <w:sz w:val="32"/>
          <w:szCs w:val="32"/>
        </w:rPr>
        <w:t>文件的有效性、完整性和响应程度审查</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小组将审查每份应</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文件是否实质上响应了</w:t>
      </w:r>
      <w:r>
        <w:rPr>
          <w:rFonts w:hint="eastAsia" w:ascii="仿宋_GB2312" w:hAnsi="仿宋_GB2312" w:eastAsia="仿宋_GB2312" w:cs="仿宋_GB2312"/>
          <w:sz w:val="32"/>
          <w:szCs w:val="32"/>
          <w:lang w:eastAsia="zh-CN"/>
        </w:rPr>
        <w:t>采购</w:t>
      </w:r>
      <w:r>
        <w:rPr>
          <w:rFonts w:hint="eastAsia" w:ascii="仿宋_GB2312" w:hAnsi="仿宋_GB2312" w:eastAsia="仿宋_GB2312" w:cs="仿宋_GB2312"/>
          <w:sz w:val="32"/>
          <w:szCs w:val="32"/>
        </w:rPr>
        <w:t>文件的要求，如果有效性、完整性和响应程度任何一项不合格，按无效应</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文件处理。</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成交候选人</w:t>
      </w:r>
    </w:p>
    <w:p>
      <w:pPr>
        <w:topLinePun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lang w:eastAsia="zh-CN"/>
        </w:rPr>
        <w:t>评审</w:t>
      </w:r>
      <w:r>
        <w:rPr>
          <w:rFonts w:hint="eastAsia" w:ascii="仿宋_GB2312" w:hAnsi="仿宋_GB2312" w:eastAsia="仿宋_GB2312" w:cs="仿宋_GB2312"/>
          <w:sz w:val="32"/>
          <w:szCs w:val="32"/>
        </w:rPr>
        <w:t>小组从质量和服务均能满足</w:t>
      </w:r>
      <w:r>
        <w:rPr>
          <w:rFonts w:hint="eastAsia" w:ascii="仿宋_GB2312" w:hAnsi="仿宋_GB2312" w:eastAsia="仿宋_GB2312" w:cs="仿宋_GB2312"/>
          <w:sz w:val="32"/>
          <w:szCs w:val="32"/>
          <w:lang w:eastAsia="zh-CN"/>
        </w:rPr>
        <w:t>采购</w:t>
      </w:r>
      <w:r>
        <w:rPr>
          <w:rFonts w:hint="eastAsia" w:ascii="仿宋_GB2312" w:hAnsi="仿宋_GB2312" w:eastAsia="仿宋_GB2312" w:cs="仿宋_GB2312"/>
          <w:sz w:val="32"/>
          <w:szCs w:val="32"/>
        </w:rPr>
        <w:t>文件实质性响应要求的供应商中，按照报价由低到高的顺序</w:t>
      </w:r>
      <w:r>
        <w:rPr>
          <w:rFonts w:hint="eastAsia" w:ascii="仿宋_GB2312" w:hAnsi="仿宋_GB2312" w:eastAsia="仿宋_GB2312" w:cs="仿宋_GB2312"/>
          <w:sz w:val="32"/>
          <w:szCs w:val="32"/>
          <w:lang w:eastAsia="zh-CN"/>
        </w:rPr>
        <w:t>（本项目采用综合折扣率）</w:t>
      </w:r>
      <w:r>
        <w:rPr>
          <w:rFonts w:hint="eastAsia" w:ascii="仿宋_GB2312" w:hAnsi="仿宋_GB2312" w:eastAsia="仿宋_GB2312" w:cs="仿宋_GB2312"/>
          <w:sz w:val="32"/>
          <w:szCs w:val="32"/>
        </w:rPr>
        <w:t>提出成交候选人。</w:t>
      </w:r>
      <w:r>
        <w:rPr>
          <w:rFonts w:hint="eastAsia" w:ascii="仿宋_GB2312" w:hAnsi="仿宋_GB2312" w:eastAsia="仿宋_GB2312" w:cs="仿宋_GB2312"/>
          <w:sz w:val="32"/>
          <w:szCs w:val="32"/>
          <w:lang w:eastAsia="zh-CN"/>
        </w:rPr>
        <w:t>如果</w:t>
      </w:r>
      <w:r>
        <w:rPr>
          <w:rFonts w:hint="eastAsia" w:ascii="仿宋_GB2312" w:hAnsi="仿宋_GB2312" w:eastAsia="仿宋_GB2312" w:cs="仿宋_GB2312"/>
          <w:sz w:val="32"/>
          <w:szCs w:val="32"/>
        </w:rPr>
        <w:t>报价</w:t>
      </w:r>
      <w:r>
        <w:rPr>
          <w:rFonts w:hint="eastAsia" w:ascii="仿宋_GB2312" w:hAnsi="仿宋_GB2312" w:eastAsia="仿宋_GB2312" w:cs="仿宋_GB2312"/>
          <w:sz w:val="32"/>
          <w:szCs w:val="32"/>
          <w:lang w:eastAsia="zh-CN"/>
        </w:rPr>
        <w:t>相同时，由评审小组以无记名投票方式确定</w:t>
      </w:r>
      <w:r>
        <w:rPr>
          <w:rFonts w:hint="eastAsia" w:ascii="仿宋_GB2312" w:hAnsi="仿宋_GB2312" w:eastAsia="仿宋_GB2312" w:cs="仿宋_GB2312"/>
          <w:sz w:val="32"/>
          <w:szCs w:val="32"/>
        </w:rPr>
        <w:t>成交候选人的</w:t>
      </w:r>
      <w:r>
        <w:rPr>
          <w:rFonts w:hint="eastAsia" w:ascii="仿宋_GB2312" w:hAnsi="仿宋_GB2312" w:eastAsia="仿宋_GB2312" w:cs="仿宋_GB2312"/>
          <w:sz w:val="32"/>
          <w:szCs w:val="32"/>
          <w:lang w:eastAsia="zh-CN"/>
        </w:rPr>
        <w:t>排序，得票多的供应商排名靠前。</w:t>
      </w:r>
    </w:p>
    <w:p>
      <w:pPr>
        <w:topLinePun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评审小组认为供应商报价明显低于其他通过符合性审查供应商的报价，有可能影响产品质量或者不能诚信履约的，应当启动异常低价审查</w:t>
      </w:r>
      <w:r>
        <w:rPr>
          <w:rFonts w:hint="eastAsia" w:ascii="仿宋_GB2312" w:hAnsi="仿宋_GB2312" w:eastAsia="仿宋_GB2312" w:cs="仿宋_GB2312"/>
          <w:sz w:val="32"/>
          <w:szCs w:val="32"/>
          <w:lang w:val="en-US" w:eastAsia="zh-CN"/>
        </w:rPr>
        <w:t>程序，要求该供应商提供书面说明，必要时提交相关证明材料；供应商不能证明其报价合理性的，评审小组应当将其作为无效报价处理。</w:t>
      </w:r>
    </w:p>
    <w:p>
      <w:pPr>
        <w:numPr>
          <w:ilvl w:val="0"/>
          <w:numId w:val="0"/>
        </w:numPr>
        <w:topLinePun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确定成交供应商</w:t>
      </w:r>
    </w:p>
    <w:p>
      <w:pPr>
        <w:numPr>
          <w:ilvl w:val="0"/>
          <w:numId w:val="0"/>
        </w:num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评审报告提出的成交候选人中，根据质量和服务均能满足</w:t>
      </w:r>
      <w:r>
        <w:rPr>
          <w:rFonts w:hint="eastAsia" w:ascii="仿宋_GB2312" w:hAnsi="仿宋_GB2312" w:eastAsia="仿宋_GB2312" w:cs="仿宋_GB2312"/>
          <w:sz w:val="32"/>
          <w:szCs w:val="32"/>
          <w:lang w:eastAsia="zh-CN"/>
        </w:rPr>
        <w:t>采购</w:t>
      </w:r>
      <w:r>
        <w:rPr>
          <w:rFonts w:hint="eastAsia" w:ascii="仿宋_GB2312" w:hAnsi="仿宋_GB2312" w:eastAsia="仿宋_GB2312" w:cs="仿宋_GB2312"/>
          <w:sz w:val="32"/>
          <w:szCs w:val="32"/>
        </w:rPr>
        <w:t>文件实质性响应要求且报价最低的原则确定成交供应商。</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评审过程的保密</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无论何时，凡与审查、澄清、评价、比较和应</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文件有关的资料以及授予合同的意向等，任何人均不得向供应商及其他人员透露。</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成交通知</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采购人确定成交供应商后，在</w:t>
      </w:r>
      <w:r>
        <w:rPr>
          <w:rFonts w:hint="eastAsia" w:ascii="仿宋_GB2312" w:hAnsi="仿宋_GB2312" w:eastAsia="仿宋_GB2312" w:cs="仿宋_GB2312"/>
          <w:sz w:val="32"/>
          <w:szCs w:val="32"/>
          <w:highlight w:val="none"/>
          <w:lang w:val="en-US" w:eastAsia="zh-CN"/>
        </w:rPr>
        <w:t>天津市河西区税务局官网“信息公开”栏“通知公告”</w:t>
      </w:r>
      <w:r>
        <w:rPr>
          <w:rFonts w:hint="eastAsia" w:ascii="仿宋_GB2312" w:hAnsi="仿宋_GB2312" w:eastAsia="仿宋_GB2312" w:cs="仿宋_GB2312"/>
          <w:sz w:val="32"/>
          <w:szCs w:val="32"/>
        </w:rPr>
        <w:t>上公告成交结果，同时将以书面形式向成交供应商发出成交通知书。</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签署合同</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采购人依法与成交供应商签署合同。</w:t>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仿宋_GB2312" w:hAnsi="仿宋_GB2312" w:eastAsia="仿宋_GB2312" w:cs="仿宋_GB2312"/>
          <w:sz w:val="32"/>
          <w:szCs w:val="32"/>
        </w:rPr>
        <w:br w:type="page"/>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四、应答文件格式</w:t>
      </w:r>
    </w:p>
    <w:p>
      <w:pPr>
        <w:pStyle w:val="5"/>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5"/>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5"/>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5"/>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52" w:leftChars="300" w:hanging="1522"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5"/>
        <w:bidi w:val="0"/>
        <w:rPr>
          <w:rFonts w:hint="default"/>
          <w:lang w:val="en-US" w:eastAsia="zh-CN"/>
        </w:rPr>
      </w:pPr>
    </w:p>
    <w:p>
      <w:pPr>
        <w:pStyle w:val="3"/>
        <w:adjustRightInd w:val="0"/>
        <w:snapToGrid w:val="0"/>
        <w:spacing w:line="620" w:lineRule="exact"/>
        <w:ind w:right="640"/>
        <w:jc w:val="right"/>
        <w:rPr>
          <w:rFonts w:hint="eastAsia" w:ascii="仿宋_GB2312" w:eastAsia="仿宋_GB2312"/>
          <w:color w:val="333333"/>
          <w:sz w:val="32"/>
          <w:szCs w:val="32"/>
          <w:highlight w:val="yellow"/>
          <w:shd w:val="clear" w:color="auto" w:fill="FFFFFF"/>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一、</w:t>
      </w:r>
      <w:r>
        <w:rPr>
          <w:rFonts w:hint="eastAsia" w:ascii="宋体" w:hAnsi="宋体" w:cs="宋体"/>
          <w:b/>
          <w:bCs/>
          <w:kern w:val="44"/>
          <w:sz w:val="28"/>
          <w:szCs w:val="28"/>
          <w:lang w:val="en-US" w:eastAsia="zh-CN" w:bidi="ar-SA"/>
        </w:rPr>
        <w:t>报价</w:t>
      </w:r>
      <w:r>
        <w:rPr>
          <w:rFonts w:hint="eastAsia" w:ascii="宋体" w:hAnsi="宋体" w:eastAsia="宋体" w:cs="宋体"/>
          <w:b/>
          <w:bCs/>
          <w:kern w:val="44"/>
          <w:sz w:val="28"/>
          <w:szCs w:val="28"/>
          <w:lang w:val="en-US" w:eastAsia="zh-CN" w:bidi="ar-SA"/>
        </w:rPr>
        <w:t>响应声明</w:t>
      </w:r>
    </w:p>
    <w:p>
      <w:pPr>
        <w:spacing w:line="360" w:lineRule="auto"/>
        <w:rPr>
          <w:rFonts w:ascii="宋体" w:hAnsi="宋体" w:eastAsia="宋体" w:cs="宋体"/>
          <w:sz w:val="28"/>
          <w:szCs w:val="28"/>
        </w:rPr>
      </w:pPr>
      <w:r>
        <w:rPr>
          <w:rFonts w:hint="eastAsia" w:ascii="宋体" w:hAnsi="宋体" w:eastAsia="宋体" w:cs="宋体"/>
          <w:sz w:val="28"/>
          <w:szCs w:val="28"/>
        </w:rPr>
        <w:t>致国家税务总局天津市</w:t>
      </w:r>
      <w:r>
        <w:rPr>
          <w:rFonts w:hint="eastAsia" w:ascii="宋体" w:hAnsi="宋体" w:cs="宋体"/>
          <w:sz w:val="28"/>
          <w:szCs w:val="28"/>
          <w:lang w:eastAsia="zh-CN"/>
        </w:rPr>
        <w:t>河西区</w:t>
      </w:r>
      <w:r>
        <w:rPr>
          <w:rFonts w:hint="eastAsia" w:ascii="宋体" w:hAnsi="宋体" w:eastAsia="宋体" w:cs="宋体"/>
          <w:sz w:val="28"/>
          <w:szCs w:val="28"/>
        </w:rPr>
        <w:t>税务局：</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国</w:t>
      </w:r>
      <w:r>
        <w:rPr>
          <w:rFonts w:hint="default" w:ascii="宋体" w:hAnsi="宋体" w:eastAsia="宋体" w:cs="宋体"/>
          <w:sz w:val="28"/>
          <w:szCs w:val="28"/>
          <w:u w:val="single"/>
        </w:rPr>
        <w:t>家税务总局天津市</w:t>
      </w:r>
      <w:r>
        <w:rPr>
          <w:rFonts w:hint="eastAsia" w:ascii="宋体" w:hAnsi="宋体" w:eastAsia="宋体" w:cs="宋体"/>
          <w:sz w:val="28"/>
          <w:szCs w:val="28"/>
          <w:u w:val="single"/>
          <w:lang w:eastAsia="zh-CN"/>
        </w:rPr>
        <w:t>河西区</w:t>
      </w:r>
      <w:r>
        <w:rPr>
          <w:rFonts w:hint="default" w:ascii="宋体" w:hAnsi="宋体" w:eastAsia="宋体" w:cs="宋体"/>
          <w:sz w:val="28"/>
          <w:szCs w:val="28"/>
          <w:u w:val="single"/>
        </w:rPr>
        <w:t>税务局</w:t>
      </w:r>
      <w:r>
        <w:rPr>
          <w:rFonts w:hint="eastAsia" w:ascii="宋体" w:hAnsi="宋体" w:cs="宋体"/>
          <w:sz w:val="28"/>
          <w:szCs w:val="28"/>
          <w:u w:val="single"/>
          <w:lang w:val="en-US" w:eastAsia="zh-CN"/>
        </w:rPr>
        <w:t>2026年</w:t>
      </w:r>
      <w:r>
        <w:rPr>
          <w:rFonts w:hint="eastAsia" w:ascii="宋体" w:hAnsi="宋体" w:eastAsia="宋体" w:cs="宋体"/>
          <w:sz w:val="28"/>
          <w:szCs w:val="28"/>
          <w:u w:val="single"/>
          <w:lang w:eastAsia="zh-CN"/>
        </w:rPr>
        <w:t>相关设备耗材采购</w:t>
      </w:r>
      <w:r>
        <w:rPr>
          <w:rFonts w:hint="default" w:ascii="宋体" w:hAnsi="宋体" w:eastAsia="宋体" w:cs="宋体"/>
          <w:sz w:val="28"/>
          <w:szCs w:val="28"/>
          <w:u w:val="single"/>
        </w:rPr>
        <w:t>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cs="宋体"/>
          <w:sz w:val="28"/>
          <w:szCs w:val="28"/>
          <w:lang w:eastAsia="zh-CN"/>
        </w:rPr>
        <w:t>应答文件</w:t>
      </w:r>
      <w:r>
        <w:rPr>
          <w:rFonts w:hint="eastAsia" w:ascii="宋体" w:hAnsi="宋体" w:eastAsia="宋体" w:cs="宋体"/>
          <w:sz w:val="28"/>
          <w:szCs w:val="28"/>
        </w:rPr>
        <w:t>一式三份。</w:t>
      </w:r>
    </w:p>
    <w:p>
      <w:pPr>
        <w:spacing w:line="360" w:lineRule="auto"/>
        <w:ind w:firstLine="420"/>
        <w:rPr>
          <w:rFonts w:ascii="宋体" w:hAnsi="宋体" w:eastAsia="宋体" w:cs="宋体"/>
          <w:sz w:val="28"/>
          <w:szCs w:val="28"/>
          <w:highlight w:val="none"/>
        </w:rPr>
      </w:pPr>
      <w:r>
        <w:rPr>
          <w:rFonts w:hint="eastAsia" w:ascii="宋体" w:hAnsi="宋体" w:eastAsia="宋体" w:cs="宋体"/>
          <w:sz w:val="28"/>
          <w:szCs w:val="28"/>
          <w:highlight w:val="none"/>
        </w:rPr>
        <w:t>一、我方同意在本项目采购文件中规定的递交应答</w:t>
      </w:r>
      <w:r>
        <w:rPr>
          <w:rFonts w:hint="eastAsia" w:ascii="宋体" w:hAnsi="宋体" w:cs="宋体"/>
          <w:sz w:val="28"/>
          <w:szCs w:val="28"/>
          <w:highlight w:val="none"/>
          <w:lang w:eastAsia="zh-CN"/>
        </w:rPr>
        <w:t>文件</w:t>
      </w:r>
      <w:r>
        <w:rPr>
          <w:rFonts w:hint="eastAsia" w:ascii="宋体" w:hAnsi="宋体" w:eastAsia="宋体" w:cs="宋体"/>
          <w:sz w:val="28"/>
          <w:szCs w:val="28"/>
          <w:highlight w:val="none"/>
        </w:rPr>
        <w:t>截止时间起遵守本应答报告书中的承诺且在</w:t>
      </w:r>
      <w:r>
        <w:rPr>
          <w:rFonts w:hint="eastAsia" w:ascii="宋体" w:hAnsi="宋体" w:cs="宋体"/>
          <w:sz w:val="28"/>
          <w:szCs w:val="28"/>
          <w:highlight w:val="none"/>
          <w:lang w:eastAsia="zh-CN"/>
        </w:rPr>
        <w:t>相应合同规定的</w:t>
      </w:r>
      <w:r>
        <w:rPr>
          <w:rFonts w:hint="eastAsia" w:ascii="宋体" w:hAnsi="宋体" w:eastAsia="宋体" w:cs="宋体"/>
          <w:sz w:val="28"/>
          <w:szCs w:val="28"/>
          <w:highlight w:val="none"/>
        </w:rPr>
        <w:t>期限期满之前均具有约束力。</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二、我方承诺提交应答报告书截止时间前三年内；</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（一）我方依法缴纳了各项税费及各项社会保障资金，没有偷税、漏税及欠缴行为。</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（二）我方在经营活动中没有存在因违法经营受到刑事处罚或者责令停产停业、吊销许可证或者执照、较大数额罚款等行政处罚。</w:t>
      </w:r>
    </w:p>
    <w:p>
      <w:pPr>
        <w:spacing w:line="360" w:lineRule="auto"/>
        <w:ind w:firstLine="420"/>
        <w:rPr>
          <w:rFonts w:hint="eastAsia" w:ascii="宋体" w:hAnsi="宋体" w:eastAsia="宋体" w:cs="宋体"/>
          <w:sz w:val="28"/>
          <w:szCs w:val="28"/>
          <w:lang w:eastAsia="zh-CN"/>
        </w:rPr>
      </w:pPr>
      <w:r>
        <w:rPr>
          <w:rFonts w:hint="eastAsia" w:ascii="宋体" w:hAnsi="宋体" w:eastAsia="宋体" w:cs="宋体"/>
          <w:sz w:val="28"/>
          <w:szCs w:val="28"/>
          <w:lang w:eastAsia="zh-CN"/>
        </w:rPr>
        <w:t>（三）我方在经营活动中不存在其他违法违规问题。</w:t>
      </w:r>
    </w:p>
    <w:p>
      <w:pPr>
        <w:spacing w:line="360" w:lineRule="auto"/>
        <w:ind w:firstLine="420"/>
        <w:rPr>
          <w:rFonts w:hint="eastAsia" w:ascii="宋体" w:hAnsi="宋体" w:eastAsia="宋体" w:cs="宋体"/>
          <w:sz w:val="28"/>
          <w:szCs w:val="28"/>
          <w:highlight w:val="none"/>
          <w:lang w:eastAsia="zh-CN"/>
        </w:rPr>
      </w:pPr>
      <w:r>
        <w:rPr>
          <w:rFonts w:hint="eastAsia" w:ascii="宋体" w:hAnsi="宋体" w:cs="宋体"/>
          <w:sz w:val="28"/>
          <w:szCs w:val="28"/>
          <w:highlight w:val="none"/>
          <w:lang w:eastAsia="zh-CN"/>
        </w:rPr>
        <w:t>三、我方承诺遵守送货时限、质量要求、售后服务等约定，出现问题承担相应违约责任。</w:t>
      </w:r>
    </w:p>
    <w:p>
      <w:pPr>
        <w:spacing w:line="360" w:lineRule="auto"/>
        <w:ind w:firstLine="420"/>
        <w:rPr>
          <w:rFonts w:ascii="宋体" w:hAnsi="宋体" w:eastAsia="宋体" w:cs="宋体"/>
          <w:sz w:val="28"/>
          <w:szCs w:val="28"/>
        </w:rPr>
      </w:pPr>
      <w:r>
        <w:rPr>
          <w:rFonts w:hint="eastAsia" w:ascii="宋体" w:hAnsi="宋体" w:cs="宋体"/>
          <w:sz w:val="28"/>
          <w:szCs w:val="28"/>
          <w:lang w:eastAsia="zh-CN"/>
        </w:rPr>
        <w:t>四</w:t>
      </w:r>
      <w:r>
        <w:rPr>
          <w:rFonts w:hint="eastAsia" w:ascii="宋体" w:hAnsi="宋体" w:eastAsia="宋体" w:cs="宋体"/>
          <w:sz w:val="28"/>
          <w:szCs w:val="28"/>
        </w:rPr>
        <w:t>、我方已详细审核全部采购文件，包括采购文件修改文件、参考资料及有关附件，确认无误。我方承诺接受采购文件中的全部条款且无任何异议。</w:t>
      </w:r>
    </w:p>
    <w:p>
      <w:pPr>
        <w:spacing w:line="360" w:lineRule="auto"/>
        <w:ind w:firstLine="420"/>
        <w:rPr>
          <w:rFonts w:ascii="宋体" w:hAnsi="宋体" w:eastAsia="宋体" w:cs="宋体"/>
          <w:sz w:val="28"/>
          <w:szCs w:val="28"/>
        </w:rPr>
      </w:pPr>
      <w:r>
        <w:rPr>
          <w:rFonts w:hint="eastAsia" w:ascii="宋体" w:hAnsi="宋体" w:cs="宋体"/>
          <w:sz w:val="28"/>
          <w:szCs w:val="28"/>
          <w:lang w:eastAsia="zh-CN"/>
        </w:rPr>
        <w:t>五</w:t>
      </w:r>
      <w:r>
        <w:rPr>
          <w:rFonts w:hint="eastAsia" w:ascii="宋体" w:hAnsi="宋体" w:eastAsia="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eastAsia="宋体" w:cs="宋体"/>
          <w:sz w:val="28"/>
          <w:szCs w:val="28"/>
        </w:rPr>
      </w:pPr>
      <w:r>
        <w:rPr>
          <w:rFonts w:hint="eastAsia" w:ascii="宋体" w:hAnsi="宋体" w:cs="宋体"/>
          <w:sz w:val="28"/>
          <w:szCs w:val="28"/>
          <w:lang w:eastAsia="zh-CN"/>
        </w:rPr>
        <w:t>六</w:t>
      </w:r>
      <w:r>
        <w:rPr>
          <w:rFonts w:hint="eastAsia" w:ascii="宋体" w:hAnsi="宋体" w:eastAsia="宋体" w:cs="宋体"/>
          <w:sz w:val="28"/>
          <w:szCs w:val="28"/>
        </w:rPr>
        <w:t>、我方承诺遵守《中华人民共和国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lang w:eastAsia="zh-CN"/>
        </w:rPr>
      </w:pPr>
      <w:r>
        <w:rPr>
          <w:rFonts w:hint="eastAsia"/>
          <w:lang w:eastAsia="zh-CN"/>
        </w:rPr>
        <w:br w:type="page"/>
      </w:r>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0" w:name="_Toc3960"/>
      <w:bookmarkStart w:id="1" w:name="_Toc421267961"/>
      <w:r>
        <w:rPr>
          <w:rFonts w:hint="eastAsia" w:ascii="宋体" w:hAnsi="宋体" w:eastAsia="宋体" w:cs="宋体"/>
          <w:b/>
          <w:bCs w:val="0"/>
          <w:snapToGrid w:val="0"/>
          <w:kern w:val="2"/>
          <w:sz w:val="28"/>
          <w:szCs w:val="28"/>
          <w:lang w:val="zh-CN" w:eastAsia="zh-CN" w:bidi="ar-SA"/>
        </w:rPr>
        <w:t>1.1.</w:t>
      </w:r>
      <w:r>
        <w:rPr>
          <w:rFonts w:hint="eastAsia" w:ascii="宋体" w:hAnsi="宋体" w:cs="宋体"/>
          <w:b/>
          <w:bCs w:val="0"/>
          <w:snapToGrid w:val="0"/>
          <w:kern w:val="2"/>
          <w:sz w:val="28"/>
          <w:szCs w:val="28"/>
          <w:lang w:val="zh-CN" w:eastAsia="zh-CN" w:bidi="ar-SA"/>
        </w:rPr>
        <w:t>供应商</w:t>
      </w:r>
      <w:r>
        <w:rPr>
          <w:rFonts w:hint="eastAsia" w:ascii="宋体" w:hAnsi="宋体" w:eastAsia="宋体" w:cs="宋体"/>
          <w:b/>
          <w:bCs w:val="0"/>
          <w:snapToGrid w:val="0"/>
          <w:kern w:val="2"/>
          <w:sz w:val="28"/>
          <w:szCs w:val="28"/>
          <w:lang w:val="zh-CN" w:eastAsia="zh-CN" w:bidi="ar-SA"/>
        </w:rPr>
        <w:t>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cs="宋体"/>
          <w:sz w:val="28"/>
          <w:szCs w:val="28"/>
          <w:lang w:eastAsia="zh-CN"/>
        </w:rPr>
        <w:t>供应商</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eastAsia" w:ascii="宋体" w:hAnsi="宋体" w:cs="宋体"/>
          <w:sz w:val="28"/>
          <w:szCs w:val="28"/>
          <w:u w:val="single"/>
          <w:lang w:val="en-US" w:eastAsia="zh-CN"/>
        </w:rPr>
      </w:pPr>
      <w:r>
        <w:rPr>
          <w:rFonts w:hint="eastAsia" w:ascii="宋体" w:hAnsi="宋体" w:cs="宋体"/>
          <w:sz w:val="28"/>
          <w:szCs w:val="28"/>
          <w:lang w:eastAsia="zh-CN"/>
        </w:rPr>
        <w:t>项目负责人：</w:t>
      </w:r>
      <w:r>
        <w:rPr>
          <w:rFonts w:hint="eastAsia" w:ascii="宋体" w:hAnsi="宋体" w:cs="宋体"/>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cs="宋体"/>
          <w:sz w:val="28"/>
          <w:szCs w:val="28"/>
          <w:lang w:eastAsia="zh-CN"/>
        </w:rPr>
        <w:t>项目负责人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ascii="宋体" w:hAnsi="宋体" w:eastAsia="宋体" w:cs="宋体"/>
          <w:b/>
          <w:bCs w:val="0"/>
          <w:snapToGrid w:val="0"/>
          <w:kern w:val="2"/>
          <w:sz w:val="28"/>
          <w:szCs w:val="28"/>
          <w:lang w:val="zh-CN" w:eastAsia="zh-CN" w:bidi="ar-SA"/>
        </w:rPr>
      </w:pPr>
      <w:r>
        <w:rPr>
          <w:rFonts w:hint="eastAsia" w:ascii="宋体" w:hAnsi="宋体" w:eastAsia="宋体" w:cs="宋体"/>
          <w:sz w:val="28"/>
          <w:szCs w:val="28"/>
        </w:rPr>
        <w:br w:type="page"/>
      </w:r>
      <w:bookmarkStart w:id="2" w:name="_Toc9835"/>
      <w:r>
        <w:rPr>
          <w:rFonts w:hint="eastAsia" w:ascii="宋体" w:hAnsi="宋体" w:eastAsia="宋体" w:cs="宋体"/>
          <w:b/>
          <w:bCs w:val="0"/>
          <w:snapToGrid w:val="0"/>
          <w:kern w:val="2"/>
          <w:sz w:val="28"/>
          <w:szCs w:val="28"/>
          <w:lang w:val="zh-CN" w:eastAsia="zh-CN" w:bidi="ar-SA"/>
        </w:rPr>
        <w:t>1.2.法定代表人授权委托书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国家税务总局天津市</w:t>
      </w:r>
      <w:r>
        <w:rPr>
          <w:rFonts w:hint="eastAsia" w:ascii="宋体" w:hAnsi="宋体" w:eastAsia="宋体" w:cs="宋体"/>
          <w:sz w:val="28"/>
          <w:szCs w:val="28"/>
          <w:u w:val="single"/>
          <w:lang w:eastAsia="zh-CN"/>
        </w:rPr>
        <w:t>河西区</w:t>
      </w:r>
      <w:r>
        <w:rPr>
          <w:rFonts w:hint="default" w:ascii="宋体" w:hAnsi="宋体" w:eastAsia="宋体" w:cs="宋体"/>
          <w:sz w:val="28"/>
          <w:szCs w:val="28"/>
          <w:u w:val="single"/>
        </w:rPr>
        <w:t>税务局</w:t>
      </w:r>
      <w:r>
        <w:rPr>
          <w:rFonts w:hint="eastAsia" w:ascii="宋体" w:hAnsi="宋体" w:cs="宋体"/>
          <w:sz w:val="28"/>
          <w:szCs w:val="28"/>
          <w:u w:val="single"/>
          <w:lang w:val="en-US" w:eastAsia="zh-CN"/>
        </w:rPr>
        <w:t>2026年</w:t>
      </w:r>
      <w:r>
        <w:rPr>
          <w:rFonts w:hint="eastAsia" w:ascii="宋体" w:hAnsi="宋体" w:eastAsia="宋体" w:cs="宋体"/>
          <w:sz w:val="28"/>
          <w:szCs w:val="28"/>
          <w:u w:val="single"/>
          <w:lang w:eastAsia="zh-CN"/>
        </w:rPr>
        <w:t>相关设备耗材采购</w:t>
      </w:r>
      <w:r>
        <w:rPr>
          <w:rFonts w:hint="default" w:ascii="宋体" w:hAnsi="宋体" w:eastAsia="宋体" w:cs="宋体"/>
          <w:sz w:val="28"/>
          <w:szCs w:val="28"/>
          <w:u w:val="single"/>
        </w:rPr>
        <w:t>项目</w:t>
      </w:r>
      <w:r>
        <w:rPr>
          <w:rFonts w:hint="eastAsia" w:ascii="宋体" w:hAnsi="宋体" w:cs="宋体"/>
          <w:sz w:val="28"/>
          <w:szCs w:val="28"/>
          <w:u w:val="non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二、</w:t>
      </w:r>
      <w:r>
        <w:rPr>
          <w:rFonts w:hint="eastAsia" w:ascii="宋体" w:hAnsi="宋体" w:cs="宋体"/>
          <w:b/>
          <w:bCs/>
          <w:kern w:val="44"/>
          <w:sz w:val="28"/>
          <w:szCs w:val="28"/>
          <w:lang w:val="en-US" w:eastAsia="zh-CN" w:bidi="ar-SA"/>
        </w:rPr>
        <w:t>供应商</w:t>
      </w:r>
      <w:r>
        <w:rPr>
          <w:rFonts w:hint="eastAsia" w:ascii="宋体" w:hAnsi="宋体" w:eastAsia="宋体" w:cs="宋体"/>
          <w:b/>
          <w:bCs/>
          <w:kern w:val="44"/>
          <w:sz w:val="28"/>
          <w:szCs w:val="28"/>
          <w:lang w:val="en-US" w:eastAsia="zh-CN" w:bidi="ar-SA"/>
        </w:rPr>
        <w:t>的资格证明材料</w:t>
      </w:r>
      <w:bookmarkEnd w:id="3"/>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4" w:name="_Toc18511"/>
      <w:bookmarkStart w:id="5" w:name="_Toc421267964"/>
      <w:r>
        <w:rPr>
          <w:rFonts w:hint="eastAsia" w:ascii="宋体" w:hAnsi="宋体" w:eastAsia="宋体" w:cs="宋体"/>
          <w:b/>
          <w:bCs w:val="0"/>
          <w:snapToGrid w:val="0"/>
          <w:kern w:val="2"/>
          <w:sz w:val="28"/>
          <w:szCs w:val="28"/>
          <w:lang w:val="zh-CN" w:eastAsia="zh-CN" w:bidi="ar-SA"/>
        </w:rPr>
        <w:t>2.1.</w:t>
      </w:r>
      <w:r>
        <w:rPr>
          <w:rFonts w:hint="eastAsia" w:ascii="宋体" w:hAnsi="宋体" w:cs="宋体"/>
          <w:b/>
          <w:bCs w:val="0"/>
          <w:snapToGrid w:val="0"/>
          <w:kern w:val="2"/>
          <w:sz w:val="28"/>
          <w:szCs w:val="28"/>
          <w:lang w:val="zh-CN" w:eastAsia="zh-CN" w:bidi="ar-SA"/>
        </w:rPr>
        <w:t>供应商</w:t>
      </w:r>
      <w:r>
        <w:rPr>
          <w:rFonts w:hint="eastAsia" w:ascii="宋体" w:hAnsi="宋体" w:eastAsia="宋体" w:cs="宋体"/>
          <w:b/>
          <w:bCs w:val="0"/>
          <w:snapToGrid w:val="0"/>
          <w:kern w:val="2"/>
          <w:sz w:val="28"/>
          <w:szCs w:val="28"/>
          <w:lang w:val="zh-CN" w:eastAsia="zh-CN" w:bidi="ar-SA"/>
        </w:rPr>
        <w:t>基本情况表</w:t>
      </w:r>
      <w:bookmarkEnd w:id="4"/>
      <w:bookmarkEnd w:id="5"/>
    </w:p>
    <w:tbl>
      <w:tblPr>
        <w:tblStyle w:val="7"/>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cs="宋体"/>
                <w:sz w:val="28"/>
                <w:szCs w:val="28"/>
                <w:lang w:eastAsia="zh-CN"/>
              </w:rPr>
              <w:t>主管税务</w:t>
            </w:r>
            <w:r>
              <w:rPr>
                <w:rFonts w:hint="eastAsia" w:ascii="宋体" w:hAnsi="宋体" w:eastAsia="宋体" w:cs="宋体"/>
                <w:sz w:val="28"/>
                <w:szCs w:val="28"/>
              </w:rPr>
              <w:t>机关</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sz w:val="24"/>
                <w:szCs w:val="24"/>
              </w:rPr>
            </w:pPr>
          </w:p>
        </w:tc>
        <w:tc>
          <w:tcPr>
            <w:tcW w:w="1313" w:type="dxa"/>
            <w:noWrap w:val="0"/>
            <w:vAlign w:val="center"/>
          </w:tcPr>
          <w:p>
            <w:pPr>
              <w:topLinePunct/>
              <w:spacing w:line="360" w:lineRule="auto"/>
              <w:jc w:val="center"/>
              <w:rPr>
                <w:rFonts w:ascii="宋体" w:hAnsi="宋体" w:eastAsia="宋体" w:cs="宋体"/>
                <w:sz w:val="24"/>
                <w:szCs w:val="24"/>
              </w:rPr>
            </w:pPr>
          </w:p>
        </w:tc>
        <w:tc>
          <w:tcPr>
            <w:tcW w:w="2453" w:type="dxa"/>
            <w:gridSpan w:val="2"/>
            <w:noWrap w:val="0"/>
            <w:vAlign w:val="center"/>
          </w:tcPr>
          <w:p>
            <w:pPr>
              <w:topLinePunct/>
              <w:spacing w:line="360" w:lineRule="auto"/>
              <w:jc w:val="center"/>
              <w:rPr>
                <w:rFonts w:ascii="宋体" w:hAnsi="宋体" w:eastAsia="宋体" w:cs="宋体"/>
                <w:sz w:val="24"/>
                <w:szCs w:val="24"/>
              </w:rPr>
            </w:pPr>
          </w:p>
        </w:tc>
        <w:tc>
          <w:tcPr>
            <w:tcW w:w="2518" w:type="dxa"/>
            <w:gridSpan w:val="2"/>
            <w:noWrap w:val="0"/>
            <w:vAlign w:val="center"/>
          </w:tcPr>
          <w:p>
            <w:pPr>
              <w:topLinePunct/>
              <w:spacing w:line="360" w:lineRule="auto"/>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eastAsia="宋体" w:cs="宋体"/>
          <w:b/>
          <w:bCs/>
          <w:kern w:val="44"/>
          <w:sz w:val="28"/>
          <w:szCs w:val="28"/>
          <w:lang w:val="en-US" w:eastAsia="zh-CN" w:bidi="ar-SA"/>
        </w:rPr>
      </w:pPr>
      <w:bookmarkStart w:id="6" w:name="_Toc31545"/>
      <w:r>
        <w:rPr>
          <w:rFonts w:hint="eastAsia" w:ascii="宋体" w:hAnsi="宋体" w:eastAsia="宋体" w:cs="宋体"/>
          <w:b/>
          <w:bCs/>
          <w:kern w:val="44"/>
          <w:sz w:val="28"/>
          <w:szCs w:val="28"/>
          <w:lang w:val="en-US" w:eastAsia="zh-CN" w:bidi="ar-SA"/>
        </w:rPr>
        <w:t>三、报价</w:t>
      </w:r>
      <w:bookmarkEnd w:id="6"/>
    </w:p>
    <w:p>
      <w:pPr>
        <w:pStyle w:val="10"/>
        <w:spacing w:line="360" w:lineRule="auto"/>
        <w:rPr>
          <w:rFonts w:hint="eastAsia" w:ascii="宋体" w:hAnsi="宋体" w:eastAsia="宋体" w:cs="宋体"/>
          <w:sz w:val="28"/>
          <w:szCs w:val="28"/>
        </w:rPr>
      </w:pPr>
      <w:bookmarkStart w:id="7" w:name="_Toc421268012"/>
      <w:bookmarkStart w:id="8" w:name="_Toc13869"/>
      <w:r>
        <w:rPr>
          <w:rFonts w:hint="eastAsia" w:ascii="宋体" w:hAnsi="宋体" w:eastAsia="宋体" w:cs="宋体"/>
          <w:sz w:val="28"/>
          <w:szCs w:val="28"/>
        </w:rPr>
        <w:t>3.1.报价一览表</w:t>
      </w:r>
      <w:bookmarkEnd w:id="7"/>
      <w:bookmarkEnd w:id="8"/>
    </w:p>
    <w:tbl>
      <w:tblPr>
        <w:tblStyle w:val="7"/>
        <w:tblW w:w="88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8"/>
        <w:gridCol w:w="3128"/>
        <w:gridCol w:w="1223"/>
        <w:gridCol w:w="1016"/>
        <w:gridCol w:w="703"/>
        <w:gridCol w:w="918"/>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编号</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物品名称</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品牌</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规格</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单价</w:t>
            </w:r>
            <w:r>
              <w:rPr>
                <w:rFonts w:hint="eastAsia" w:ascii="宋体" w:hAnsi="宋体" w:cs="宋体"/>
                <w:b/>
                <w:i w:val="0"/>
                <w:color w:val="000000"/>
                <w:kern w:val="0"/>
                <w:sz w:val="24"/>
                <w:szCs w:val="24"/>
                <w:u w:val="none"/>
                <w:lang w:val="en-US" w:eastAsia="zh-CN" w:bidi="ar"/>
              </w:rPr>
              <w:t>（元）</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cs="宋体"/>
                <w:b/>
                <w:i w:val="0"/>
                <w:color w:val="000000"/>
                <w:kern w:val="0"/>
                <w:sz w:val="24"/>
                <w:szCs w:val="24"/>
                <w:u w:val="none"/>
                <w:lang w:val="en-US" w:eastAsia="zh-CN" w:bidi="ar"/>
              </w:rPr>
              <w:t>综合折扣率（%）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奔图P3301墨盒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奔图</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TL-463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指所列物品</w:t>
            </w:r>
            <w:r>
              <w:rPr>
                <w:rFonts w:hint="eastAsia" w:ascii="宋体" w:hAnsi="宋体" w:cs="宋体"/>
                <w:i w:val="0"/>
                <w:color w:val="000000"/>
                <w:sz w:val="24"/>
                <w:szCs w:val="24"/>
                <w:u w:val="none"/>
                <w:lang w:eastAsia="zh-CN"/>
              </w:rPr>
              <w:t>报价</w:t>
            </w:r>
            <w:r>
              <w:rPr>
                <w:rFonts w:hint="eastAsia" w:ascii="宋体" w:hAnsi="宋体" w:eastAsia="宋体" w:cs="宋体"/>
                <w:i w:val="0"/>
                <w:color w:val="000000"/>
                <w:sz w:val="24"/>
                <w:szCs w:val="24"/>
                <w:u w:val="none"/>
                <w:lang w:eastAsia="zh-CN"/>
              </w:rPr>
              <w:t>与各品牌厂商在京东平台或淘宝天猫平台建立的官方旗舰店</w:t>
            </w:r>
            <w:r>
              <w:rPr>
                <w:rFonts w:hint="eastAsia" w:ascii="宋体" w:hAnsi="宋体" w:eastAsia="宋体" w:cs="宋体"/>
                <w:i w:val="0"/>
                <w:color w:val="000000"/>
                <w:sz w:val="24"/>
                <w:szCs w:val="24"/>
                <w:u w:val="none"/>
                <w:lang w:eastAsia="zh-CN"/>
              </w:rPr>
              <w:t>的当日售价（不含打折、促销和优惠券）的综合折扣率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奔图P3301墨盒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奔图</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TL-463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奔图P3301硒鼓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奔图</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DL-463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奔图P3301硒鼓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奔图</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DL-463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爱胜品1133DN PRO墨盒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爱胜品</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TN2833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6</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爱胜品1133DN PRO硒鼓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爱胜品</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DR2833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佳美 爱胜品1133DN PRO硒鼓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爱胜品</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JM-DR2833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8</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三星3310鼓粉盒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三星</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MLT-D205S</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9</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网线 5米 超五类</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绿联</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根</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10</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网线 3米 超五类</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绿联</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根</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11</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网线 5米 六类</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绿联</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根</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12</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网线 3米 六类</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绿联</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根</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13</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网线 305米 超五类</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山泽</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箱</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14</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光盘 4.7GB DVD-RW 50个/盒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惠普</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盒</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15</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光盘 4.7GB DVD-RW 50个/盒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联想</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盒</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16</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鼠标</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双飞燕</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17</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键盘</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得力</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18</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京瓷P2235dn墨盒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TK-1153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19</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京瓷P2235dn硒鼓/保养组件</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MK-1153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20</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京瓷P2235dn硒鼓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CK-1153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21</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京瓷P2035dn墨盒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22</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京瓷P2035dn硒鼓/保养组件</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23</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京瓷P2035dn硒鼓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24</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京瓷P2135dn墨盒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25</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京瓷P2135dn硒鼓/保养组件</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26</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京瓷P2135dn硒鼓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27</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京瓷P4135dn墨盒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TK-7313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28</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京瓷P4135dn硒鼓/保养组件</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京瓷</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MK-7313</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29</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外置摄像头</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罗技</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30</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HP M203dn 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惠普</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30A</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31</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HP M203dn 硒鼓</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惠普</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32A</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32</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格之格 HP P1008 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惠普</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88A</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Arial" w:hAnsi="Arial" w:cs="Arial"/>
                <w:i w:val="0"/>
                <w:color w:val="000000"/>
                <w:sz w:val="20"/>
                <w:szCs w:val="20"/>
                <w:u w:val="none"/>
              </w:rPr>
            </w:pPr>
          </w:p>
        </w:tc>
        <w:tc>
          <w:tcPr>
            <w:tcW w:w="1440" w:type="dxa"/>
            <w:vMerge w:val="continue"/>
            <w:tcBorders>
              <w:left w:val="single" w:color="000000" w:sz="4" w:space="0"/>
              <w:right w:val="single" w:color="000000" w:sz="4" w:space="0"/>
            </w:tcBorders>
            <w:noWrap/>
            <w:vAlign w:val="bottom"/>
          </w:tcPr>
          <w:p>
            <w:pPr>
              <w:rPr>
                <w:rFonts w:hint="eastAsia" w:ascii="Arial" w:hAnsi="Arial" w:cs="Arial"/>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33</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佳能 iCMF8230Cn墨盒-黑</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佳能</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131A/125A/128A</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34</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佳能 iCMF8230Cn墨盒-黄</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佳能</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131A/125A/128A</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35</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佳能 iCMF8230Cn墨盒-红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佳能</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131A/125A/128A</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36</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佳能 iCMF8230Cn墨盒-青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佳能</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131A/125A/128A</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37</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OKI打印机墨盒-黑</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38</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OKI打印机墨盒-黄</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39</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OKI打印机墨盒-红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40</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OKI打印机墨盒-青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41</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OKI打印机鼓组件-黑</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42</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OKI打印机鼓组件-黄</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43</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OKI打印机鼓组件-红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44</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OKI打印机鼓组件-青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45</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原装OKI打印机转运带</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OKI</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C831</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46</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富士施乐打印机墨盒-黑</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47</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富士施乐打印机墨盒-黄</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48</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富士施乐打印机墨盒-红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49</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富士施乐打印机墨盒-青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50</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富士施乐打印机废粉盒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51</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富士施乐打印机硒鼓-黑</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52</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富士施乐打印机硒鼓-黄</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53</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富士施乐打印机硒鼓-红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54</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富士施乐打印机硒鼓-青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7100</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55</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理光打印机墨盒-黑</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SPC252dn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56</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理光打印机墨盒-黄</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SPC2</w:t>
            </w:r>
            <w:bookmarkStart w:id="10" w:name="_GoBack"/>
            <w:bookmarkEnd w:id="10"/>
            <w:r>
              <w:rPr>
                <w:rFonts w:hint="eastAsia" w:ascii="宋体" w:hAnsi="宋体" w:eastAsia="宋体" w:cs="宋体"/>
                <w:i w:val="0"/>
                <w:color w:val="000000"/>
                <w:kern w:val="0"/>
                <w:sz w:val="22"/>
                <w:szCs w:val="22"/>
                <w:u w:val="none"/>
                <w:lang w:val="en-US" w:eastAsia="zh-CN" w:bidi="ar"/>
              </w:rPr>
              <w:t>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57</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理光打印机墨盒-红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SPC252dn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58</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理光打印机墨盒-青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SPC252dn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59</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理光打印机硒鼓-黑</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SPC252dn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60</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原装 理光打印机硒鼓-黄</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SPC252dn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61</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原装 理光打印机硒鼓-红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SPC252dn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restart"/>
            <w:tcBorders>
              <w:top w:val="nil"/>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62</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原装 理光打印机硒鼓-青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ricon</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SPC252dn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63</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热敏纸 按卷报价</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kern w:val="0"/>
                <w:sz w:val="22"/>
                <w:szCs w:val="22"/>
                <w:u w:val="none"/>
                <w:lang w:val="en-US" w:eastAsia="zh-CN" w:bidi="ar"/>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kern w:val="0"/>
                <w:sz w:val="22"/>
                <w:szCs w:val="22"/>
                <w:u w:val="none"/>
                <w:lang w:val="en-US" w:eastAsia="zh-CN" w:bidi="ar"/>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卷</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64</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网线水晶头超五类 100个/盒 </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山泽</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kern w:val="0"/>
                <w:sz w:val="22"/>
                <w:szCs w:val="22"/>
                <w:u w:val="none"/>
                <w:lang w:val="en-US" w:eastAsia="zh-CN" w:bidi="ar"/>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盒</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65</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光驱usb口</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绿联</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kern w:val="0"/>
                <w:sz w:val="22"/>
                <w:szCs w:val="22"/>
                <w:u w:val="none"/>
                <w:lang w:val="en-US" w:eastAsia="zh-CN" w:bidi="ar"/>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66</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鼠标垫 300*250*3mm</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罗技</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kern w:val="0"/>
                <w:sz w:val="22"/>
                <w:szCs w:val="22"/>
                <w:u w:val="none"/>
                <w:lang w:val="en-US" w:eastAsia="zh-CN" w:bidi="ar"/>
              </w:rPr>
            </w:pP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67</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联想打印机  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联想</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LJ 6600DN</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68</w:t>
            </w:r>
          </w:p>
        </w:tc>
        <w:tc>
          <w:tcPr>
            <w:tcW w:w="31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富士施乐打印机墨盒</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xerox</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DocuPrint 3105 </w:t>
            </w:r>
          </w:p>
        </w:tc>
        <w:tc>
          <w:tcPr>
            <w:tcW w:w="7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个</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bl>
    <w:p/>
    <w:p>
      <w:pPr>
        <w:pStyle w:val="10"/>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eastAsia="zh-CN"/>
        </w:rPr>
        <w:t>报价说明：报价应包括完成采购文件规定的一切工作所需的全部费用。报价一览表中未列明品牌的物品，由供应商自行选择市场主流品牌并列明具体型号进行报价。其中“单价（元）”栏次报价为所列商品的折后价格，仅作为报价参考，不作为实际供应价格。</w:t>
      </w: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b/>
          <w:bCs/>
          <w:kern w:val="2"/>
          <w:sz w:val="24"/>
          <w:szCs w:val="24"/>
          <w:lang w:val="en-US" w:eastAsia="zh-CN" w:bidi="ar-SA"/>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bookmarkStart w:id="9" w:name="_Toc29097"/>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四、服务方案及履约能力要求</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sz w:val="24"/>
          <w:szCs w:val="24"/>
          <w:lang w:val="en-US" w:eastAsia="zh-CN"/>
        </w:rPr>
        <w:t>1.供应商</w:t>
      </w:r>
      <w:r>
        <w:rPr>
          <w:rFonts w:hint="eastAsia" w:ascii="宋体" w:hAnsi="宋体" w:eastAsia="宋体" w:cs="宋体"/>
          <w:color w:val="auto"/>
          <w:sz w:val="24"/>
          <w:szCs w:val="24"/>
          <w:highlight w:val="none"/>
          <w:lang w:val="en-US" w:eastAsia="zh-CN" w:bidi="ar-SA"/>
        </w:rPr>
        <w:t>针对本项目提供的整体服务方案，内容包括但不限于：①现场日常管理；②人员</w:t>
      </w:r>
      <w:r>
        <w:rPr>
          <w:rFonts w:hint="eastAsia" w:ascii="宋体" w:hAnsi="宋体" w:cs="宋体"/>
          <w:color w:val="auto"/>
          <w:sz w:val="24"/>
          <w:szCs w:val="24"/>
          <w:highlight w:val="none"/>
          <w:lang w:val="en-US" w:eastAsia="zh-CN" w:bidi="ar-SA"/>
        </w:rPr>
        <w:t>计</w:t>
      </w:r>
      <w:r>
        <w:rPr>
          <w:rFonts w:hint="eastAsia" w:ascii="宋体" w:hAnsi="宋体" w:eastAsia="宋体" w:cs="宋体"/>
          <w:color w:val="auto"/>
          <w:sz w:val="24"/>
          <w:szCs w:val="24"/>
          <w:highlight w:val="none"/>
          <w:lang w:val="en-US" w:eastAsia="zh-CN" w:bidi="ar-SA"/>
        </w:rPr>
        <w:t>划组织安排；③保密管理制度；④完成全部服务内容的保障措施。</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2.供应商针对本项目提供的应急预案，内容包括但不限于：①应急响应时间；②应急人员安排；③突发事件处理方案。</w:t>
      </w:r>
    </w:p>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3.供应商的类似项目业绩。</w:t>
      </w:r>
    </w:p>
    <w:bookmarkEnd w:id="9"/>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4.供应商认为的其他内容。</w:t>
      </w:r>
    </w:p>
    <w:p>
      <w:pPr>
        <w:pStyle w:val="3"/>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3150" w:firstLineChars="1500"/>
        <w:textAlignment w:val="auto"/>
      </w:pPr>
    </w:p>
    <w:p/>
    <w:sectPr>
      <w:footerReference r:id="rId3" w:type="default"/>
      <w:pgSz w:w="11906" w:h="16838"/>
      <w:pgMar w:top="2098" w:right="1474" w:bottom="1417" w:left="1587"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昆仑楷体">
    <w:altName w:val="方正楷体_GBK"/>
    <w:panose1 w:val="00000000000000000000"/>
    <w:charset w:val="86"/>
    <w:family w:val="modern"/>
    <w:pitch w:val="default"/>
    <w:sig w:usb0="00000000" w:usb1="00000000" w:usb2="0000001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微软雅黑">
    <w:altName w:val="方正黑体_GBK"/>
    <w:panose1 w:val="020B0503020204020204"/>
    <w:charset w:val="00"/>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9422F"/>
    <w:rsid w:val="0CC9422F"/>
    <w:rsid w:val="17AB955E"/>
    <w:rsid w:val="17CB1DE2"/>
    <w:rsid w:val="1FDF3836"/>
    <w:rsid w:val="2BCF07C9"/>
    <w:rsid w:val="2FFE29CB"/>
    <w:rsid w:val="33BE789C"/>
    <w:rsid w:val="3BD2936C"/>
    <w:rsid w:val="3E208934"/>
    <w:rsid w:val="3FFFA2F1"/>
    <w:rsid w:val="4AFE9051"/>
    <w:rsid w:val="4FBDFC82"/>
    <w:rsid w:val="57FE24B5"/>
    <w:rsid w:val="5F67E1D2"/>
    <w:rsid w:val="5FFFBC2A"/>
    <w:rsid w:val="63A6C714"/>
    <w:rsid w:val="67F7F55B"/>
    <w:rsid w:val="75AFE62F"/>
    <w:rsid w:val="77DDBB9B"/>
    <w:rsid w:val="77EC4ED5"/>
    <w:rsid w:val="77FEB216"/>
    <w:rsid w:val="7BFDEC4B"/>
    <w:rsid w:val="7E9F080D"/>
    <w:rsid w:val="7EE78C56"/>
    <w:rsid w:val="7FAF5D3B"/>
    <w:rsid w:val="7FBD57D5"/>
    <w:rsid w:val="7FFDAC62"/>
    <w:rsid w:val="7FFE7341"/>
    <w:rsid w:val="99D78943"/>
    <w:rsid w:val="BEE51FF6"/>
    <w:rsid w:val="BEEE9C44"/>
    <w:rsid w:val="BFBEFEF4"/>
    <w:rsid w:val="CD1F4A7C"/>
    <w:rsid w:val="CFF85525"/>
    <w:rsid w:val="DD7F881F"/>
    <w:rsid w:val="DFDF249C"/>
    <w:rsid w:val="DFFEB736"/>
    <w:rsid w:val="EBDF3803"/>
    <w:rsid w:val="EDB71944"/>
    <w:rsid w:val="EEB5ED53"/>
    <w:rsid w:val="EFFEE4F6"/>
    <w:rsid w:val="F6FD8A97"/>
    <w:rsid w:val="F7DF6B21"/>
    <w:rsid w:val="F7FBA5D7"/>
    <w:rsid w:val="FBDCE065"/>
    <w:rsid w:val="FBFFF766"/>
    <w:rsid w:val="FD7C3A2D"/>
    <w:rsid w:val="FF5F6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标题 2（绿盟科技）"/>
    <w:basedOn w:val="2"/>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2024-10-23T07:10:00Z</dcterms:created>
  <dc:creator>xiaoli</dc:creator>
  <cp:lastModifiedBy>greatwall</cp:lastModifiedBy>
  <cp:lastPrinted>2026-01-28T14:21:42Z</cp:lastPrinted>
  <dcterms:modified xsi:type="dcterms:W3CDTF">2026-01-28T14:21:55Z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