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北辰区税务局12366纳税缴费服务热线远程座席服务项目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2026年01月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3.2服务内容和要求</w:t>
        </w:r>
        <w:r>
          <w:tab/>
        </w:r>
        <w:r>
          <w:fldChar w:fldCharType="begin"/>
        </w:r>
        <w:r>
          <w:instrText xml:space="preserve"> PAGEREF _Toc256000021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3.2.1技术和服务客观指标</w:t>
        </w:r>
        <w:r>
          <w:tab/>
        </w:r>
        <w:r>
          <w:fldChar w:fldCharType="begin"/>
        </w:r>
        <w:r>
          <w:instrText xml:space="preserve"> PAGEREF _Toc256000022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3.2.2技术和服务其他要求</w:t>
        </w:r>
        <w:r>
          <w:tab/>
        </w:r>
        <w:r>
          <w:fldChar w:fldCharType="begin"/>
        </w:r>
        <w:r>
          <w:instrText xml:space="preserve"> PAGEREF _Toc256000023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kern w:val="36"/>
          </w:rPr>
          <w:t>4人员要求</w:t>
        </w:r>
        <w:r>
          <w:tab/>
        </w:r>
        <w:r>
          <w:fldChar w:fldCharType="begin"/>
        </w:r>
        <w:r>
          <w:instrText xml:space="preserve"> PAGEREF _Toc256000024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4.1总体要求</w:t>
        </w:r>
        <w:r>
          <w:tab/>
        </w:r>
        <w:r>
          <w:fldChar w:fldCharType="begin"/>
        </w:r>
        <w:r>
          <w:instrText xml:space="preserve"> PAGEREF _Toc256000025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4.2管理团队</w:t>
        </w:r>
        <w:r>
          <w:tab/>
        </w:r>
        <w:r>
          <w:fldChar w:fldCharType="begin"/>
        </w:r>
        <w:r>
          <w:instrText xml:space="preserve"> PAGEREF _Toc256000026 \h </w:instrText>
        </w:r>
        <w:r>
          <w:fldChar w:fldCharType="separate"/>
        </w:r>
        <w:r>
          <w:t>8</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4.2.1项目经理</w:t>
        </w:r>
        <w:r>
          <w:tab/>
        </w:r>
        <w:r>
          <w:fldChar w:fldCharType="begin"/>
        </w:r>
        <w:r>
          <w:instrText xml:space="preserve"> PAGEREF _Toc256000027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4.3技术团队</w:t>
        </w:r>
        <w:r>
          <w:tab/>
        </w:r>
        <w:r>
          <w:fldChar w:fldCharType="begin"/>
        </w:r>
        <w:r>
          <w:instrText xml:space="preserve"> PAGEREF _Toc256000028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4.4优选资质/优选指标</w:t>
        </w:r>
        <w:r>
          <w:tab/>
        </w:r>
        <w:r>
          <w:fldChar w:fldCharType="begin"/>
        </w:r>
        <w:r>
          <w:instrText xml:space="preserve"> PAGEREF _Toc256000029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kern w:val="36"/>
          </w:rPr>
          <w:t>5管理实施要求</w:t>
        </w:r>
        <w:r>
          <w:tab/>
        </w:r>
        <w:r>
          <w:fldChar w:fldCharType="begin"/>
        </w:r>
        <w:r>
          <w:instrText xml:space="preserve"> PAGEREF _Toc256000030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6风险管控要求</w:t>
        </w:r>
        <w:r>
          <w:tab/>
        </w:r>
        <w:r>
          <w:fldChar w:fldCharType="begin"/>
        </w:r>
        <w:r>
          <w:instrText xml:space="preserve"> PAGEREF _Toc256000031 \h </w:instrText>
        </w:r>
        <w:r>
          <w:fldChar w:fldCharType="separate"/>
        </w:r>
        <w:r>
          <w:t>12</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7履约验收要求</w:t>
        </w:r>
        <w:r>
          <w:tab/>
        </w:r>
        <w:r>
          <w:fldChar w:fldCharType="begin"/>
        </w:r>
        <w:r>
          <w:instrText xml:space="preserve"> PAGEREF _Toc256000032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7.1总体要求</w:t>
        </w:r>
        <w:r>
          <w:tab/>
        </w:r>
        <w:r>
          <w:fldChar w:fldCharType="begin"/>
        </w:r>
        <w:r>
          <w:instrText xml:space="preserve"> PAGEREF _Toc256000033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7.2具体要求</w:t>
        </w:r>
        <w:r>
          <w:tab/>
        </w:r>
        <w:r>
          <w:fldChar w:fldCharType="begin"/>
        </w:r>
        <w:r>
          <w:instrText xml:space="preserve"> PAGEREF _Toc256000034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kern w:val="36"/>
          </w:rPr>
          <w:t>8其他要求</w:t>
        </w:r>
        <w:r>
          <w:tab/>
        </w:r>
        <w:r>
          <w:fldChar w:fldCharType="begin"/>
        </w:r>
        <w:r>
          <w:instrText xml:space="preserve"> PAGEREF _Toc256000035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8.1必备要求</w:t>
        </w:r>
        <w:r>
          <w:tab/>
        </w:r>
        <w:r>
          <w:fldChar w:fldCharType="begin"/>
        </w:r>
        <w:r>
          <w:instrText xml:space="preserve"> PAGEREF _Toc256000036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8.1.1通用必备要求</w:t>
        </w:r>
        <w:r>
          <w:tab/>
        </w:r>
        <w:r>
          <w:fldChar w:fldCharType="begin"/>
        </w:r>
        <w:r>
          <w:instrText xml:space="preserve"> PAGEREF _Toc256000037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8.2付款安排建议</w:t>
        </w:r>
        <w:r>
          <w:tab/>
        </w:r>
        <w:r>
          <w:fldChar w:fldCharType="begin"/>
        </w:r>
        <w:r>
          <w:instrText xml:space="preserve"> PAGEREF _Toc256000038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8.3其他要求</w:t>
        </w:r>
        <w:r>
          <w:tab/>
        </w:r>
        <w:r>
          <w:fldChar w:fldCharType="begin"/>
        </w:r>
        <w:r>
          <w:instrText xml:space="preserve"> PAGEREF _Toc256000039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8.3.1保密要求</w:t>
        </w:r>
        <w:r>
          <w:tab/>
        </w:r>
        <w:r>
          <w:fldChar w:fldCharType="begin"/>
        </w:r>
        <w:r>
          <w:instrText xml:space="preserve"> PAGEREF _Toc256000040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8.3.2知识转移要求</w:t>
        </w:r>
        <w:r>
          <w:tab/>
        </w:r>
        <w:r>
          <w:fldChar w:fldCharType="begin"/>
        </w:r>
        <w:r>
          <w:instrText xml:space="preserve"> PAGEREF _Toc256000041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8.3.3知识产权要求</w:t>
        </w:r>
        <w:r>
          <w:tab/>
        </w:r>
        <w:r>
          <w:fldChar w:fldCharType="begin"/>
        </w:r>
        <w:r>
          <w:instrText xml:space="preserve"> PAGEREF _Toc256000042 \h </w:instrText>
        </w:r>
        <w:r>
          <w:fldChar w:fldCharType="separate"/>
        </w:r>
        <w:r>
          <w:t>15</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MsoNormal"/>
        <w:spacing w:before="0" w:after="0" w:line="360" w:lineRule="auto"/>
        <w:jc w:val="both"/>
        <w:rPr>
          <w:rFonts w:ascii="Times New Roman" w:eastAsia="Times New Roman" w:hAnsi="Times New Roman" w:cs="Times New Roman"/>
        </w:rPr>
      </w:pPr>
      <w:r>
        <w:rPr>
          <w:rFonts w:ascii="仿宋_GB2312" w:eastAsia="仿宋_GB2312" w:hAnsi="仿宋_GB2312" w:cs="仿宋_GB2312"/>
          <w:sz w:val="28"/>
          <w:szCs w:val="28"/>
        </w:rPr>
        <w:t>    北辰区税务局</w:t>
      </w:r>
      <w:r>
        <w:rPr>
          <w:rFonts w:ascii="仿宋_GB2312" w:eastAsia="仿宋_GB2312" w:hAnsi="仿宋_GB2312" w:cs="仿宋_GB2312"/>
          <w:sz w:val="28"/>
          <w:szCs w:val="28"/>
        </w:rPr>
        <w:t>为构建天津税务系统</w:t>
      </w:r>
      <w:r>
        <w:rPr>
          <w:rFonts w:ascii="仿宋_GB2312" w:eastAsia="仿宋_GB2312" w:hAnsi="仿宋_GB2312" w:cs="仿宋_GB2312"/>
          <w:sz w:val="28"/>
          <w:szCs w:val="28"/>
        </w:rPr>
        <w:t>“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w:t>
      </w:r>
      <w:r>
        <w:rPr>
          <w:rFonts w:ascii="仿宋_GB2312" w:eastAsia="仿宋_GB2312" w:hAnsi="仿宋_GB2312" w:cs="仿宋_GB2312"/>
          <w:sz w:val="28"/>
          <w:szCs w:val="28"/>
        </w:rPr>
        <w:t>北辰区税务局</w:t>
      </w:r>
      <w:r>
        <w:rPr>
          <w:rFonts w:ascii="仿宋_GB2312" w:eastAsia="仿宋_GB2312" w:hAnsi="仿宋_GB2312" w:cs="仿宋_GB2312"/>
          <w:sz w:val="28"/>
          <w:szCs w:val="28"/>
        </w:rPr>
        <w:t>通过政府采购方式采购</w:t>
      </w:r>
      <w:r>
        <w:rPr>
          <w:rFonts w:ascii="仿宋_GB2312" w:eastAsia="仿宋_GB2312" w:hAnsi="仿宋_GB2312" w:cs="仿宋_GB2312"/>
          <w:sz w:val="28"/>
          <w:szCs w:val="28"/>
        </w:rPr>
        <w:t>12366热线及其他咨询服务。</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本项目</w:t>
      </w:r>
      <w:r>
        <w:rPr>
          <w:rFonts w:ascii="仿宋_GB2312" w:eastAsia="仿宋_GB2312" w:hAnsi="仿宋_GB2312" w:cs="仿宋_GB2312"/>
          <w:sz w:val="28"/>
          <w:szCs w:val="28"/>
        </w:rPr>
        <w:t>为延续性服务类项目，</w:t>
      </w:r>
      <w:r>
        <w:rPr>
          <w:rFonts w:ascii="仿宋_GB2312" w:eastAsia="仿宋_GB2312" w:hAnsi="仿宋_GB2312" w:cs="仿宋_GB2312"/>
          <w:sz w:val="28"/>
          <w:szCs w:val="28"/>
        </w:rPr>
        <w:t>以建设全市一流的</w:t>
      </w:r>
      <w:r>
        <w:rPr>
          <w:rFonts w:ascii="仿宋_GB2312" w:eastAsia="仿宋_GB2312" w:hAnsi="仿宋_GB2312" w:cs="仿宋_GB2312"/>
          <w:sz w:val="28"/>
          <w:szCs w:val="28"/>
        </w:rPr>
        <w:t>12366热线为目标，为纳税人缴费人提供专业化、规范化、标准化服务，持续提升纳税人缴费人的满意度和获</w:t>
      </w:r>
      <w:r>
        <w:rPr>
          <w:rFonts w:ascii="仿宋_GB2312" w:eastAsia="仿宋_GB2312" w:hAnsi="仿宋_GB2312" w:cs="仿宋_GB2312"/>
          <w:sz w:val="28"/>
          <w:szCs w:val="28"/>
        </w:rPr>
        <w:t>得感</w:t>
      </w:r>
      <w:r>
        <w:rPr>
          <w:rFonts w:ascii="仿宋_GB2312" w:eastAsia="仿宋_GB2312" w:hAnsi="仿宋_GB2312" w:cs="仿宋_GB2312"/>
          <w:sz w:val="28"/>
          <w:szCs w:val="28"/>
        </w:rPr>
        <w:t>。</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MsoNormal"/>
        <w:spacing w:before="0" w:after="0" w:line="360" w:lineRule="auto"/>
        <w:jc w:val="both"/>
        <w:rPr>
          <w:rFonts w:ascii="Times New Roman" w:eastAsia="Times New Roman" w:hAnsi="Times New Roman" w:cs="Times New Roman"/>
        </w:rPr>
      </w:pPr>
      <w:r>
        <w:rPr>
          <w:rFonts w:ascii="仿宋_GB2312" w:eastAsia="仿宋_GB2312" w:hAnsi="仿宋_GB2312" w:cs="仿宋_GB2312"/>
          <w:sz w:val="28"/>
          <w:szCs w:val="28"/>
        </w:rPr>
        <w:t>    本项目采购内容为</w:t>
      </w:r>
      <w:r>
        <w:rPr>
          <w:rFonts w:ascii="仿宋_GB2312" w:eastAsia="仿宋_GB2312" w:hAnsi="仿宋_GB2312" w:cs="仿宋_GB2312"/>
          <w:sz w:val="28"/>
          <w:szCs w:val="28"/>
        </w:rPr>
        <w:t>12366热线咨询服务，</w:t>
      </w:r>
      <w:r>
        <w:rPr>
          <w:rFonts w:ascii="仿宋_GB2312" w:eastAsia="仿宋_GB2312" w:hAnsi="仿宋_GB2312" w:cs="仿宋_GB2312"/>
          <w:sz w:val="28"/>
          <w:szCs w:val="28"/>
        </w:rPr>
        <w:t>北辰区税务</w:t>
      </w:r>
      <w:r>
        <w:rPr>
          <w:rFonts w:ascii="仿宋_GB2312" w:eastAsia="仿宋_GB2312" w:hAnsi="仿宋_GB2312" w:cs="仿宋_GB2312"/>
          <w:sz w:val="28"/>
          <w:szCs w:val="28"/>
        </w:rPr>
        <w:t>局提供办公场地、人员工位及相关办公设备，中标供应商提供服务人员及接听设备。本项目需要服务人员</w:t>
      </w:r>
      <w:r>
        <w:rPr>
          <w:rFonts w:ascii="仿宋_GB2312" w:eastAsia="仿宋_GB2312" w:hAnsi="仿宋_GB2312" w:cs="仿宋_GB2312"/>
          <w:sz w:val="28"/>
          <w:szCs w:val="28"/>
        </w:rPr>
        <w:t>18</w:t>
      </w:r>
      <w:r>
        <w:rPr>
          <w:rFonts w:ascii="仿宋_GB2312" w:eastAsia="仿宋_GB2312" w:hAnsi="仿宋_GB2312" w:cs="仿宋_GB2312"/>
          <w:sz w:val="28"/>
          <w:szCs w:val="28"/>
        </w:rPr>
        <w:t>人，中标供应商按照</w:t>
      </w:r>
      <w:r>
        <w:rPr>
          <w:rFonts w:ascii="仿宋_GB2312" w:eastAsia="仿宋_GB2312" w:hAnsi="仿宋_GB2312" w:cs="仿宋_GB2312"/>
          <w:sz w:val="28"/>
          <w:szCs w:val="28"/>
        </w:rPr>
        <w:t>北辰区税务</w:t>
      </w:r>
      <w:r>
        <w:rPr>
          <w:rFonts w:ascii="仿宋_GB2312" w:eastAsia="仿宋_GB2312" w:hAnsi="仿宋_GB2312" w:cs="仿宋_GB2312"/>
          <w:sz w:val="28"/>
          <w:szCs w:val="28"/>
        </w:rPr>
        <w:t>局要求培训、管理服务人员，配合</w:t>
      </w:r>
      <w:r>
        <w:rPr>
          <w:rFonts w:ascii="仿宋_GB2312" w:eastAsia="仿宋_GB2312" w:hAnsi="仿宋_GB2312" w:cs="仿宋_GB2312"/>
          <w:sz w:val="28"/>
          <w:szCs w:val="28"/>
        </w:rPr>
        <w:t>北辰区税务</w:t>
      </w:r>
      <w:r>
        <w:rPr>
          <w:rFonts w:ascii="仿宋_GB2312" w:eastAsia="仿宋_GB2312" w:hAnsi="仿宋_GB2312" w:cs="仿宋_GB2312"/>
          <w:sz w:val="28"/>
          <w:szCs w:val="28"/>
        </w:rPr>
        <w:t>局对</w:t>
      </w:r>
      <w:r>
        <w:rPr>
          <w:rFonts w:ascii="仿宋_GB2312" w:eastAsia="仿宋_GB2312" w:hAnsi="仿宋_GB2312" w:cs="仿宋_GB2312"/>
          <w:sz w:val="28"/>
          <w:szCs w:val="28"/>
        </w:rPr>
        <w:t>12366热线的日常管理工</w:t>
      </w:r>
      <w:r>
        <w:rPr>
          <w:rFonts w:ascii="仿宋_GB2312" w:eastAsia="仿宋_GB2312" w:hAnsi="仿宋_GB2312" w:cs="仿宋_GB2312"/>
          <w:sz w:val="28"/>
          <w:szCs w:val="28"/>
        </w:rPr>
        <w:t>作，共同落实服务规范和绩效管理办法等制度体系。</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按照国家税务总局天津市税务局对</w:t>
      </w:r>
      <w:r>
        <w:rPr>
          <w:rFonts w:ascii="仿宋_GB2312" w:eastAsia="仿宋_GB2312" w:hAnsi="仿宋_GB2312" w:cs="仿宋_GB2312"/>
          <w:sz w:val="28"/>
          <w:szCs w:val="28"/>
        </w:rPr>
        <w:t>12366热线及征纳互动咨询服务的要求，须为12366热线提供工作日人工座席服务。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合同规定的服务起始之日起一年</w:t>
      </w:r>
      <w:r>
        <w:rPr>
          <w:rFonts w:ascii="仿宋_GB2312" w:eastAsia="仿宋_GB2312" w:hAnsi="仿宋_GB2312" w:cs="仿宋_GB2312"/>
          <w:sz w:val="28"/>
          <w:szCs w:val="28"/>
        </w:rPr>
        <w:t>,即2026年4月1日至2027年3月31日</w:t>
      </w:r>
      <w:r>
        <w:rPr>
          <w:rFonts w:ascii="仿宋_GB2312" w:eastAsia="仿宋_GB2312" w:hAnsi="仿宋_GB2312" w:cs="仿宋_GB2312"/>
          <w:sz w:val="28"/>
          <w:szCs w:val="28"/>
        </w:rPr>
        <w:t>。</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MsoNormal"/>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国家税务总局天津市北辰区税务局第一税务所税费服务中心。</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供应商应当具备特定行业法定准入要求。</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MsoNormal"/>
        <w:spacing w:before="0" w:after="0" w:line="360" w:lineRule="auto"/>
        <w:ind w:firstLine="561"/>
        <w:jc w:val="both"/>
        <w:rPr>
          <w:rFonts w:ascii="Times New Roman" w:eastAsia="Times New Roman" w:hAnsi="Times New Roman" w:cs="Times New Roman"/>
        </w:rPr>
      </w:pPr>
      <w:r>
        <w:rPr>
          <w:rFonts w:ascii="仿宋_GB2312" w:eastAsia="仿宋_GB2312" w:hAnsi="仿宋_GB2312" w:cs="仿宋_GB2312"/>
          <w:sz w:val="28"/>
          <w:szCs w:val="28"/>
        </w:rPr>
        <w:t>投标人提供以下资料的为优选资质：</w:t>
      </w:r>
    </w:p>
    <w:p>
      <w:pPr>
        <w:pStyle w:val="MsoNormal"/>
        <w:spacing w:before="0" w:after="0" w:line="360" w:lineRule="auto"/>
        <w:ind w:firstLine="561"/>
        <w:jc w:val="both"/>
        <w:rPr>
          <w:rFonts w:ascii="Times New Roman" w:eastAsia="Times New Roman" w:hAnsi="Times New Roman" w:cs="Times New Roman"/>
        </w:rPr>
      </w:pPr>
      <w:r>
        <w:rPr>
          <w:rFonts w:ascii="仿宋_GB2312" w:eastAsia="仿宋_GB2312" w:hAnsi="仿宋_GB2312" w:cs="仿宋_GB2312"/>
          <w:sz w:val="28"/>
          <w:szCs w:val="28"/>
        </w:rPr>
        <w:t>1.完全按照以下要求提供曾实施服务业绩的，提供的证明材料均不得遮挡涂黑。</w:t>
      </w:r>
    </w:p>
    <w:p>
      <w:pPr>
        <w:pStyle w:val="MsoNormal"/>
        <w:spacing w:before="0" w:after="0" w:line="360" w:lineRule="auto"/>
        <w:ind w:firstLine="561"/>
        <w:jc w:val="both"/>
        <w:rPr>
          <w:rFonts w:ascii="Times New Roman" w:eastAsia="Times New Roman" w:hAnsi="Times New Roman" w:cs="Times New Roman"/>
        </w:rPr>
      </w:pPr>
      <w:r>
        <w:rPr>
          <w:rFonts w:ascii="仿宋_GB2312" w:eastAsia="仿宋_GB2312" w:hAnsi="仿宋_GB2312" w:cs="仿宋_GB2312"/>
          <w:sz w:val="28"/>
          <w:szCs w:val="28"/>
        </w:rPr>
        <w:t>2.合同原件扫描件。投标人提供的2021年1月以来（以合同签订日期为准）独立承担的与本项目相类似且已完成的案例、买卖双方名称及盖章、服务期限（合同服务起始日期为2021年1月1日或以后，且履行至少1年的时间）。</w:t>
      </w:r>
    </w:p>
    <w:p>
      <w:pPr>
        <w:pStyle w:val="MsoNormal"/>
        <w:spacing w:before="0" w:after="0" w:line="360" w:lineRule="auto"/>
        <w:ind w:firstLine="561"/>
        <w:jc w:val="both"/>
        <w:rPr>
          <w:rFonts w:ascii="Times New Roman" w:eastAsia="Times New Roman" w:hAnsi="Times New Roman" w:cs="Times New Roman"/>
        </w:rPr>
      </w:pPr>
      <w:r>
        <w:rPr>
          <w:rFonts w:ascii="仿宋_GB2312" w:eastAsia="仿宋_GB2312" w:hAnsi="仿宋_GB2312" w:cs="仿宋_GB2312"/>
          <w:sz w:val="28"/>
          <w:szCs w:val="28"/>
        </w:rPr>
        <w:t>3.</w:t>
      </w:r>
      <w:r>
        <w:rPr>
          <w:rFonts w:ascii="仿宋_GB2312" w:eastAsia="仿宋_GB2312" w:hAnsi="仿宋_GB2312" w:cs="仿宋_GB2312"/>
          <w:sz w:val="28"/>
          <w:szCs w:val="28"/>
        </w:rPr>
        <w:t>存在</w:t>
      </w:r>
      <w:r>
        <w:rPr>
          <w:rFonts w:ascii="仿宋_GB2312" w:eastAsia="仿宋_GB2312" w:hAnsi="仿宋_GB2312" w:cs="仿宋_GB2312"/>
          <w:sz w:val="28"/>
          <w:szCs w:val="28"/>
        </w:rPr>
        <w:t>已完成合同的，提供加盖合同甲方单位公章的成功履行合同的相关证明材料原件扫描件</w:t>
      </w:r>
      <w:r>
        <w:rPr>
          <w:rFonts w:ascii="仿宋_GB2312" w:eastAsia="仿宋_GB2312" w:hAnsi="仿宋_GB2312" w:cs="仿宋_GB2312"/>
          <w:sz w:val="28"/>
          <w:szCs w:val="28"/>
        </w:rPr>
        <w:t>；存在</w:t>
      </w:r>
      <w:r>
        <w:rPr>
          <w:rFonts w:ascii="仿宋_GB2312" w:eastAsia="仿宋_GB2312" w:hAnsi="仿宋_GB2312" w:cs="仿宋_GB2312"/>
          <w:sz w:val="28"/>
          <w:szCs w:val="28"/>
        </w:rPr>
        <w:t>正在实施合同的，提供加盖合同甲方单位公章的合同履行情况良好的相关证明材料原件扫描件。</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投标人应根据项目需求对服务方案及内容、项目需求理解、实施方案、保密管理、培训方案、应急保障方案、验收方案等内容进行响应。</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15"/>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投标人应根据项目需求对服务方案及内容、项目需求理解、实施方案、保密管理、培训方案、应急保障方案、验收方案等内容进行响应。</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MsoNormal"/>
        <w:spacing w:before="0" w:after="0" w:line="360" w:lineRule="auto"/>
        <w:jc w:val="both"/>
        <w:rPr>
          <w:rFonts w:ascii="Times New Roman" w:eastAsia="Times New Roman" w:hAnsi="Times New Roman" w:cs="Times New Roman"/>
        </w:rPr>
      </w:pPr>
      <w:r>
        <w:rPr>
          <w:rFonts w:ascii="仿宋_GB2312" w:eastAsia="仿宋_GB2312" w:hAnsi="仿宋_GB2312" w:cs="仿宋_GB2312"/>
          <w:sz w:val="28"/>
          <w:szCs w:val="28"/>
        </w:rPr>
        <w:t>    为构建天津税务系统</w:t>
      </w:r>
      <w:r>
        <w:rPr>
          <w:rFonts w:ascii="仿宋_GB2312" w:eastAsia="仿宋_GB2312" w:hAnsi="仿宋_GB2312" w:cs="仿宋_GB2312"/>
          <w:sz w:val="28"/>
          <w:szCs w:val="28"/>
        </w:rPr>
        <w:t>“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3.2服务内容和要求</w:t>
      </w:r>
      <w:bookmarkEnd w:id="24"/>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p>
      <w:pPr>
        <w:pStyle w:val="Heading3"/>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sz w:val="28"/>
          <w:szCs w:val="28"/>
        </w:rPr>
        <w:t>3.2.1技术和服务客观指标</w:t>
      </w:r>
      <w:bookmarkEnd w:id="2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3.2.1.1服务1</w:t>
      </w:r>
    </w:p>
    <w:p>
      <w:pPr>
        <w:pStyle w:val="Heading3"/>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sz w:val="28"/>
          <w:szCs w:val="28"/>
        </w:rPr>
        <w:t>3.2.2技术和服务其他要求</w:t>
      </w:r>
      <w:bookmarkEnd w:id="26"/>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2.电话回呼。通过人工主动呼出的方式向纳税人缴费人提供涉税费咨询服务。电话回呼包括留言回呼、纠错回呼、承诺回呼、遇忙（呼损）回呼等。</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3.征纳互动</w:t>
      </w:r>
      <w:r>
        <w:rPr>
          <w:rFonts w:ascii="仿宋_GB2312" w:eastAsia="仿宋_GB2312" w:hAnsi="仿宋_GB2312" w:cs="仿宋_GB2312"/>
          <w:sz w:val="28"/>
          <w:szCs w:val="28"/>
        </w:rPr>
        <w:t>咨询</w:t>
      </w:r>
      <w:r>
        <w:rPr>
          <w:rFonts w:ascii="仿宋_GB2312" w:eastAsia="仿宋_GB2312" w:hAnsi="仿宋_GB2312" w:cs="仿宋_GB2312"/>
          <w:sz w:val="28"/>
          <w:szCs w:val="28"/>
        </w:rPr>
        <w:t>服务。通过征纳互动受理纳税人缴费人咨询，对通过</w:t>
      </w:r>
      <w:r>
        <w:rPr>
          <w:rFonts w:ascii="仿宋_GB2312" w:eastAsia="仿宋_GB2312" w:hAnsi="仿宋_GB2312" w:cs="仿宋_GB2312"/>
          <w:sz w:val="28"/>
          <w:szCs w:val="28"/>
        </w:rPr>
        <w:t>12366热线发起咨询的符合条件的纳税人，根据业务需要为其提供反向拉起服务，提升咨询效率。</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4.后台支撑服务。主要解决热线人员无法及时回复或解决的问题，包括但不限于疑难问题的解答、业务工单等。</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5.宣传培训服务。包括相关涉税涉费热点问题的整理、编辑以及配合宣传和发布服务。</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6.需求采集服务。作为税务局和纳税人缴费人之间的沟通桥梁，了解纳税人缴费人的实际需求，利用服务纳税人缴费人时获得的需求信息和数据，定期提供需求报告，为税务局提高纳税服务水平提供决策依据。</w:t>
      </w:r>
    </w:p>
    <w:p>
      <w:pPr>
        <w:pStyle w:val="Heading1"/>
        <w:keepNext w:val="0"/>
        <w:spacing w:before="0" w:after="0" w:line="360" w:lineRule="auto"/>
        <w:jc w:val="center"/>
        <w:rPr>
          <w:rFonts w:ascii="仿宋_GB2312" w:eastAsia="仿宋_GB2312" w:hAnsi="仿宋_GB2312" w:cs="仿宋_GB2312"/>
          <w:b/>
          <w:bCs/>
          <w:sz w:val="32"/>
          <w:szCs w:val="32"/>
        </w:rPr>
      </w:pPr>
      <w:bookmarkStart w:id="27" w:name="_Toc256000024"/>
      <w:r>
        <w:rPr>
          <w:rFonts w:ascii="仿宋_GB2312" w:eastAsia="仿宋_GB2312" w:hAnsi="仿宋_GB2312" w:cs="仿宋_GB2312"/>
          <w:kern w:val="36"/>
        </w:rPr>
        <w:t>4人员要求</w:t>
      </w:r>
      <w:bookmarkEnd w:id="27"/>
    </w:p>
    <w:p>
      <w:pPr>
        <w:pStyle w:val="Heading2"/>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i w:val="0"/>
          <w:iCs w:val="0"/>
        </w:rPr>
        <w:t>4.1总体要求</w:t>
      </w:r>
      <w:bookmarkEnd w:id="28"/>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w:t>
      </w:r>
      <w:r>
        <w:rPr>
          <w:rFonts w:ascii="仿宋_GB2312" w:eastAsia="仿宋_GB2312" w:hAnsi="仿宋_GB2312" w:cs="仿宋_GB2312"/>
          <w:sz w:val="28"/>
          <w:szCs w:val="28"/>
        </w:rPr>
        <w:t>12366热线绩效管理要求。</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中标供应商提供的服务人员需要符合以下条件：</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1.能熟练运用电脑办公软件，汉字录入速度不低于80字/分钟</w:t>
      </w:r>
      <w:r>
        <w:rPr>
          <w:rFonts w:ascii="仿宋_GB2312" w:eastAsia="仿宋_GB2312" w:hAnsi="仿宋_GB2312" w:cs="仿宋_GB2312"/>
          <w:sz w:val="28"/>
          <w:szCs w:val="28"/>
        </w:rPr>
        <w:t>。</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2.具有一定的税收基本业务知识，取得初级会计师、</w:t>
      </w:r>
      <w:r>
        <w:rPr>
          <w:rFonts w:ascii="仿宋_GB2312" w:eastAsia="仿宋_GB2312" w:hAnsi="仿宋_GB2312" w:cs="仿宋_GB2312"/>
          <w:sz w:val="28"/>
          <w:szCs w:val="28"/>
        </w:rPr>
        <w:t>中级会计师、</w:t>
      </w:r>
      <w:r>
        <w:rPr>
          <w:rFonts w:ascii="仿宋_GB2312" w:eastAsia="仿宋_GB2312" w:hAnsi="仿宋_GB2312" w:cs="仿宋_GB2312"/>
          <w:sz w:val="28"/>
          <w:szCs w:val="28"/>
        </w:rPr>
        <w:t>税务师、注册会计师证书或考试合格证明或具备电话热线工作经验。其中具有财会、税收等财税经济类专业大专（或以上）学历或具有一年（或以上）相关财税工作经验的人员，不得少于</w:t>
      </w:r>
      <w:r>
        <w:rPr>
          <w:rFonts w:ascii="仿宋_GB2312" w:eastAsia="仿宋_GB2312" w:hAnsi="仿宋_GB2312" w:cs="仿宋_GB2312"/>
          <w:sz w:val="28"/>
          <w:szCs w:val="28"/>
        </w:rPr>
        <w:t>13</w:t>
      </w:r>
      <w:r>
        <w:rPr>
          <w:rFonts w:ascii="仿宋_GB2312" w:eastAsia="仿宋_GB2312" w:hAnsi="仿宋_GB2312" w:cs="仿宋_GB2312"/>
          <w:sz w:val="28"/>
          <w:szCs w:val="28"/>
        </w:rPr>
        <w:t>人；其中组长具备财会、税收等财税经济类专业大学本科（或以上）学历或具备三年（或以上）相关财税工作经验。</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3.普通话发音基本标准，语调自然，表达流畅，具备较强的服务意识和良好的语言表达能力、沟通能力、记忆能力、心理承受能力和学习能力</w:t>
      </w:r>
      <w:r>
        <w:rPr>
          <w:rFonts w:ascii="仿宋_GB2312" w:eastAsia="仿宋_GB2312" w:hAnsi="仿宋_GB2312" w:cs="仿宋_GB2312"/>
          <w:sz w:val="28"/>
          <w:szCs w:val="28"/>
        </w:rPr>
        <w:t>。</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4.身体健康</w:t>
      </w:r>
      <w:r>
        <w:rPr>
          <w:rFonts w:ascii="仿宋_GB2312" w:eastAsia="仿宋_GB2312" w:hAnsi="仿宋_GB2312" w:cs="仿宋_GB2312"/>
          <w:sz w:val="28"/>
          <w:szCs w:val="28"/>
        </w:rPr>
        <w:t>。</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5.12366热线人员上岗前由中标供应商组织培训，经考核通过后方能上岗。</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6.符合采购人要求及日常管理工作规范</w:t>
      </w:r>
      <w:r>
        <w:rPr>
          <w:rFonts w:ascii="仿宋_GB2312" w:eastAsia="仿宋_GB2312" w:hAnsi="仿宋_GB2312" w:cs="仿宋_GB2312"/>
          <w:sz w:val="28"/>
          <w:szCs w:val="28"/>
        </w:rPr>
        <w:t>。</w:t>
      </w:r>
    </w:p>
    <w:p>
      <w:pPr>
        <w:pStyle w:val="Heading2"/>
        <w:keepNext w:val="0"/>
        <w:spacing w:before="0" w:after="0" w:line="360" w:lineRule="auto"/>
        <w:rPr>
          <w:rFonts w:ascii="仿宋_GB2312" w:eastAsia="仿宋_GB2312" w:hAnsi="仿宋_GB2312" w:cs="仿宋_GB2312"/>
          <w:b/>
          <w:bCs/>
          <w:sz w:val="28"/>
          <w:szCs w:val="28"/>
        </w:rPr>
      </w:pPr>
      <w:bookmarkStart w:id="29" w:name="_Toc256000026"/>
      <w:r>
        <w:rPr>
          <w:rFonts w:ascii="仿宋_GB2312" w:eastAsia="仿宋_GB2312" w:hAnsi="仿宋_GB2312" w:cs="仿宋_GB2312"/>
          <w:i w:val="0"/>
          <w:iCs w:val="0"/>
        </w:rPr>
        <w:t>4.2管理团队</w:t>
      </w:r>
      <w:bookmarkEnd w:id="29"/>
    </w:p>
    <w:p>
      <w:pPr>
        <w:pStyle w:val="Heading3"/>
        <w:keepNext w:val="0"/>
        <w:spacing w:before="0" w:after="0" w:line="360" w:lineRule="auto"/>
        <w:rPr>
          <w:rFonts w:ascii="仿宋_GB2312" w:eastAsia="仿宋_GB2312" w:hAnsi="仿宋_GB2312" w:cs="仿宋_GB2312"/>
          <w:b/>
          <w:bCs/>
          <w:sz w:val="28"/>
          <w:szCs w:val="28"/>
        </w:rPr>
      </w:pPr>
      <w:bookmarkStart w:id="30" w:name="_Toc256000027"/>
      <w:r>
        <w:rPr>
          <w:rFonts w:ascii="仿宋_GB2312" w:eastAsia="仿宋_GB2312" w:hAnsi="仿宋_GB2312" w:cs="仿宋_GB2312"/>
          <w:sz w:val="28"/>
          <w:szCs w:val="28"/>
        </w:rPr>
        <w:t>4.2.1项目经理</w:t>
      </w:r>
      <w:bookmarkEnd w:id="30"/>
    </w:p>
    <w:p>
      <w:pPr>
        <w:pStyle w:val="MsoNormal"/>
        <w:spacing w:before="0" w:after="0" w:line="360" w:lineRule="auto"/>
        <w:jc w:val="both"/>
        <w:rPr>
          <w:rFonts w:ascii="Times New Roman" w:eastAsia="Times New Roman" w:hAnsi="Times New Roman" w:cs="Times New Roman"/>
        </w:rPr>
      </w:pPr>
      <w:r>
        <w:rPr>
          <w:rFonts w:ascii="仿宋_GB2312" w:eastAsia="仿宋_GB2312" w:hAnsi="仿宋_GB2312" w:cs="仿宋_GB2312"/>
          <w:sz w:val="28"/>
          <w:szCs w:val="28"/>
        </w:rPr>
        <w:t>    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r>
        <w:rPr>
          <w:rFonts w:ascii="仿宋_GB2312" w:eastAsia="仿宋_GB2312" w:hAnsi="仿宋_GB2312" w:cs="仿宋_GB2312"/>
          <w:sz w:val="28"/>
          <w:szCs w:val="28"/>
        </w:rPr>
        <w:t>。</w:t>
      </w:r>
    </w:p>
    <w:p>
      <w:pPr>
        <w:pStyle w:val="Heading2"/>
        <w:keepNext w:val="0"/>
        <w:spacing w:before="0" w:after="0" w:line="360" w:lineRule="auto"/>
        <w:rPr>
          <w:rFonts w:ascii="仿宋_GB2312" w:eastAsia="仿宋_GB2312" w:hAnsi="仿宋_GB2312" w:cs="仿宋_GB2312"/>
          <w:b/>
          <w:bCs/>
          <w:sz w:val="28"/>
          <w:szCs w:val="28"/>
        </w:rPr>
      </w:pPr>
      <w:bookmarkStart w:id="31" w:name="_Toc256000028"/>
      <w:r>
        <w:rPr>
          <w:rFonts w:ascii="仿宋_GB2312" w:eastAsia="仿宋_GB2312" w:hAnsi="仿宋_GB2312" w:cs="仿宋_GB2312"/>
          <w:i w:val="0"/>
          <w:iCs w:val="0"/>
        </w:rPr>
        <w:t>4.3技术团队</w:t>
      </w:r>
      <w:bookmarkEnd w:id="31"/>
    </w:p>
    <w:p>
      <w:pPr>
        <w:pStyle w:val="MsoNormal"/>
        <w:spacing w:before="0" w:after="0" w:line="360" w:lineRule="auto"/>
        <w:jc w:val="both"/>
        <w:rPr>
          <w:rFonts w:ascii="Times New Roman" w:eastAsia="Times New Roman" w:hAnsi="Times New Roman" w:cs="Times New Roman"/>
        </w:rPr>
      </w:pPr>
      <w:r>
        <w:rPr>
          <w:rFonts w:ascii="仿宋_GB2312" w:eastAsia="仿宋_GB2312" w:hAnsi="仿宋_GB2312" w:cs="仿宋_GB2312"/>
          <w:sz w:val="28"/>
          <w:szCs w:val="28"/>
        </w:rPr>
        <w:t>    其他</w:t>
      </w:r>
      <w:r>
        <w:rPr>
          <w:rFonts w:ascii="仿宋_GB2312" w:eastAsia="仿宋_GB2312" w:hAnsi="仿宋_GB2312" w:cs="仿宋_GB2312"/>
          <w:sz w:val="28"/>
          <w:szCs w:val="28"/>
        </w:rPr>
        <w:t>1</w:t>
      </w:r>
      <w:r>
        <w:rPr>
          <w:rFonts w:ascii="仿宋_GB2312" w:eastAsia="仿宋_GB2312" w:hAnsi="仿宋_GB2312" w:cs="仿宋_GB2312"/>
          <w:sz w:val="28"/>
          <w:szCs w:val="28"/>
        </w:rPr>
        <w:t>7</w:t>
      </w:r>
      <w:r>
        <w:rPr>
          <w:rFonts w:ascii="仿宋_GB2312" w:eastAsia="仿宋_GB2312" w:hAnsi="仿宋_GB2312" w:cs="仿宋_GB2312"/>
          <w:sz w:val="28"/>
          <w:szCs w:val="28"/>
        </w:rPr>
        <w:t>名</w:t>
      </w:r>
      <w:r>
        <w:rPr>
          <w:rFonts w:ascii="仿宋_GB2312" w:eastAsia="仿宋_GB2312" w:hAnsi="仿宋_GB2312" w:cs="仿宋_GB2312"/>
          <w:sz w:val="28"/>
          <w:szCs w:val="28"/>
        </w:rPr>
        <w:t>12366热线咨询服务人员负责通过12366热线电话向纳税人解答关于税收法律、行政法规、纳税程序以及社会保险费和税务机关管辖的非税收入征管有关问题，引导投诉举报等。</w:t>
      </w:r>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4.4优选资质/优选指标</w:t>
      </w:r>
      <w:bookmarkEnd w:id="32"/>
    </w:p>
    <w:tbl>
      <w:tblPr>
        <w:tblW w:w="5000" w:type="pct"/>
        <w:tblInd w:w="30" w:type="dxa"/>
        <w:tblCellMar>
          <w:top w:w="15" w:type="dxa"/>
          <w:left w:w="15" w:type="dxa"/>
          <w:bottom w:w="15" w:type="dxa"/>
          <w:right w:w="15" w:type="dxa"/>
        </w:tblCellMar>
      </w:tblPr>
      <w:tblGrid>
        <w:gridCol w:w="396"/>
        <w:gridCol w:w="2073"/>
        <w:gridCol w:w="2493"/>
        <w:gridCol w:w="20617"/>
        <w:gridCol w:w="610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11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人员类别</w:t>
            </w:r>
          </w:p>
        </w:tc>
        <w:tc>
          <w:tcPr>
            <w:tcW w:w="11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人员岗位</w:t>
            </w:r>
          </w:p>
        </w:tc>
        <w:tc>
          <w:tcPr>
            <w:tcW w:w="11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人员要求</w:t>
            </w:r>
          </w:p>
        </w:tc>
        <w:tc>
          <w:tcPr>
            <w:tcW w:w="11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是否作为加分项</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中标供应商提供的服务人员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12366纳税缴费服务热线远程坐席</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12366热线咨询服务人员具有一定的税收基本业务知识，取得初级会计师、中级会计师、税务师、注册会计师证书或考试合格证明或具备电话热线工作经验。其中具有财会、税收等财税经济类专业大专（或以上）学历或具有一年（或以上）相关财税工作经验的人员，不得少于13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作为加分项。在达到13人的基础上，每增加一个满足要求的人员加1分，最多加5分</w:t>
            </w:r>
          </w:p>
        </w:tc>
      </w:tr>
    </w:tbl>
    <w:p>
      <w:pPr>
        <w:pStyle w:val="Heading1"/>
        <w:keepNext w:val="0"/>
        <w:spacing w:before="0" w:after="0" w:line="360" w:lineRule="auto"/>
        <w:jc w:val="center"/>
        <w:rPr>
          <w:rFonts w:ascii="仿宋_GB2312" w:eastAsia="仿宋_GB2312" w:hAnsi="仿宋_GB2312" w:cs="仿宋_GB2312"/>
          <w:b/>
          <w:bCs/>
          <w:sz w:val="32"/>
          <w:szCs w:val="32"/>
        </w:rPr>
      </w:pPr>
      <w:bookmarkStart w:id="33" w:name="_Toc256000030"/>
      <w:r>
        <w:rPr>
          <w:rFonts w:ascii="仿宋_GB2312" w:eastAsia="仿宋_GB2312" w:hAnsi="仿宋_GB2312" w:cs="仿宋_GB2312"/>
          <w:kern w:val="36"/>
        </w:rPr>
        <w:t>5管理实施要求</w:t>
      </w:r>
      <w:bookmarkEnd w:id="33"/>
    </w:p>
    <w:p>
      <w:pPr>
        <w:pStyle w:val="15"/>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（一）实施要求</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 1.中标供应商应提供所有座席人员的身份信息资料。</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 2.服务期内发生各种事故：包括安全、交通、防火和劳资纠纷等事故，由中标供应商承担相应责任。</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 3.中标供应商需确保所提供服务的工作时长，工作期间不得擅离职守，注重仪容仪表、工作态度，保证为纳税人提供准确、快捷的纳税服务。</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 4.中标供应商需确保提供座席服务过程中遵守采购方各项廉洁纪律，做到认真履行工作职责，谨言慎行，坚决不做损害纳税人利益和损害税务机关形象的事情。</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 5.如采购方对中标供应商提供的人员出现3次不服从管理、违反采购方制定的相关规章制度，采购方可以要求更换，中标供应商必须及时且无条件的为采购方更换合格的人员。</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 6.</w:t>
      </w:r>
      <w:r>
        <w:rPr>
          <w:sz w:val="14"/>
          <w:szCs w:val="14"/>
        </w:rPr>
        <w:t> </w:t>
      </w:r>
      <w:r>
        <w:rPr>
          <w:rFonts w:ascii="仿宋_GB2312" w:eastAsia="仿宋_GB2312" w:hAnsi="仿宋_GB2312" w:cs="仿宋_GB2312"/>
          <w:sz w:val="28"/>
          <w:szCs w:val="28"/>
        </w:rPr>
        <w:t>服务期内，采购方按月对中标供应商的工作质量、履约情况、工作配合度等进行综合评价，评价合格则继续履行服务合同。如项目服务未达到要求，则采购方上报监管部门终止服务合同。</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 7.</w:t>
      </w:r>
      <w:r>
        <w:rPr>
          <w:sz w:val="14"/>
          <w:szCs w:val="14"/>
        </w:rPr>
        <w:t> </w:t>
      </w:r>
      <w:r>
        <w:rPr>
          <w:rFonts w:ascii="仿宋_GB2312" w:eastAsia="仿宋_GB2312" w:hAnsi="仿宋_GB2312" w:cs="仿宋_GB2312"/>
          <w:sz w:val="28"/>
          <w:szCs w:val="28"/>
        </w:rPr>
        <w:t>对服务人员的撤换或辞退等须经采购方同意认可。</w:t>
      </w:r>
    </w:p>
    <w:p>
      <w:pPr>
        <w:pStyle w:val="15"/>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（二）应急服务要求</w:t>
      </w:r>
      <w:r>
        <w:rPr>
          <w:rFonts w:ascii="仿宋_GB2312" w:eastAsia="仿宋_GB2312" w:hAnsi="仿宋_GB2312" w:cs="仿宋_GB2312"/>
          <w:sz w:val="28"/>
          <w:szCs w:val="28"/>
        </w:rPr>
        <w:t xml:space="preserve"> </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要求中标供应商必须建立和完善突发事件的应急预案和处理机制，防患于未然。当出现不可预知的紧急情况时，保证服务正常开展。</w:t>
      </w:r>
    </w:p>
    <w:p>
      <w:pPr>
        <w:pStyle w:val="15"/>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（三）人员保密要求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1.中标供应商签订合同前必须按照国家相关保密规定和采购方签订《保密协议》，对违反《保密协议》相关内容规定的，采购方有权追究其法律责任。所有服务人员必须严格遵守国家、地方、行业相关保密管理政策规定。</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2.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（四）人员稳定性要求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在服务期间，未经采购方同意，中标供应商不得随意更换座席人员。座席人员因为请假、调走、辞职或被中标供应商辞退等原因导致座席人员不足时，需及时安排替接人员以满足区局接听需求。服务人员因为调走、辞职或被中标供应商辞退等原因导致服务人员不足时，需在</w:t>
      </w:r>
      <w:r>
        <w:rPr>
          <w:rFonts w:ascii="仿宋_GB2312" w:eastAsia="仿宋_GB2312" w:hAnsi="仿宋_GB2312" w:cs="仿宋_GB2312"/>
          <w:sz w:val="28"/>
          <w:szCs w:val="28"/>
        </w:rPr>
        <w:t>3天内补充，缺席人数不能同时超过2人，中标供应商在3天内未能及时补齐符合完成项目需求的服务人员，每月不得超过2次，否则视为中标供应商违约，采购方有权终止合同。</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（五）保密要求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pStyle w:val="15"/>
        <w:spacing w:before="0" w:after="0" w:line="360" w:lineRule="auto"/>
        <w:ind w:left="77" w:firstLine="480"/>
        <w:jc w:val="both"/>
        <w:rPr>
          <w:rFonts w:ascii="Times New Roman" w:eastAsia="Times New Roman" w:hAnsi="Times New Roman" w:cs="Times New Roman"/>
        </w:rPr>
      </w:pPr>
      <w:r>
        <w:rPr>
          <w:rFonts w:ascii="仿宋_GB2312" w:eastAsia="仿宋_GB2312" w:hAnsi="仿宋_GB2312" w:cs="仿宋_GB2312"/>
          <w:sz w:val="28"/>
          <w:szCs w:val="28"/>
        </w:rPr>
        <w:t>（六）进驻和接管要求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pPr>
        <w:pStyle w:val="15"/>
        <w:spacing w:before="0" w:after="0" w:line="360" w:lineRule="auto"/>
        <w:ind w:left="77" w:firstLine="480"/>
        <w:rPr>
          <w:rFonts w:ascii="Times New Roman" w:eastAsia="Times New Roman" w:hAnsi="Times New Roman" w:cs="Times New Roman"/>
        </w:rPr>
      </w:pPr>
      <w:r>
        <w:rPr>
          <w:rFonts w:ascii="仿宋_GB2312" w:eastAsia="仿宋_GB2312" w:hAnsi="仿宋_GB2312" w:cs="仿宋_GB2312"/>
          <w:sz w:val="28"/>
          <w:szCs w:val="28"/>
        </w:rPr>
        <w:t>（七）费用分割</w:t>
      </w:r>
    </w:p>
    <w:p>
      <w:pPr>
        <w:pStyle w:val="16"/>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 1.如因中标方引起的劳资纠纷问题，影响正常工作的，采购方有权另行聘请人员确保正常工作，所产生的费用由中标方承担，采购方不承担所产生的任何费用。</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2.中标方在合同生效前对全部座席人员完成岗前培训，保障本项目在合同生效后顺利开展。培训实施后，对参加培训的座席人员进行考核，要求事先编制详细的考核计划和考核标准，考核通过后方可正式上岗。</w:t>
      </w:r>
    </w:p>
    <w:p>
      <w:pPr>
        <w:pStyle w:val="17"/>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3.本项目开展工作所需的场地、办公家具、</w:t>
      </w:r>
      <w:r>
        <w:rPr>
          <w:rFonts w:ascii="仿宋_GB2312" w:eastAsia="仿宋_GB2312" w:hAnsi="仿宋_GB2312" w:cs="仿宋_GB2312"/>
          <w:sz w:val="28"/>
          <w:szCs w:val="28"/>
        </w:rPr>
        <w:t>服务系统、内网电脑</w:t>
      </w:r>
      <w:r>
        <w:rPr>
          <w:rFonts w:ascii="仿宋_GB2312" w:eastAsia="仿宋_GB2312" w:hAnsi="仿宋_GB2312" w:cs="仿宋_GB2312"/>
          <w:sz w:val="28"/>
          <w:szCs w:val="28"/>
        </w:rPr>
        <w:t>、水电费用、网络费用等由采购人承担。</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4.项目座席人员</w:t>
      </w:r>
      <w:r>
        <w:rPr>
          <w:rFonts w:ascii="仿宋_GB2312" w:eastAsia="仿宋_GB2312" w:hAnsi="仿宋_GB2312" w:cs="仿宋_GB2312"/>
          <w:sz w:val="28"/>
          <w:szCs w:val="28"/>
        </w:rPr>
        <w:t>外网电脑、</w:t>
      </w:r>
      <w:r>
        <w:rPr>
          <w:rFonts w:ascii="仿宋_GB2312" w:eastAsia="仿宋_GB2312" w:hAnsi="仿宋_GB2312" w:cs="仿宋_GB2312"/>
          <w:sz w:val="28"/>
          <w:szCs w:val="28"/>
        </w:rPr>
        <w:t>18</w:t>
      </w:r>
      <w:r>
        <w:rPr>
          <w:rFonts w:ascii="仿宋_GB2312" w:eastAsia="仿宋_GB2312" w:hAnsi="仿宋_GB2312" w:cs="仿宋_GB2312"/>
          <w:sz w:val="28"/>
          <w:szCs w:val="28"/>
        </w:rPr>
        <w:t>套接听设备</w:t>
      </w:r>
      <w:r>
        <w:rPr>
          <w:rFonts w:ascii="仿宋_GB2312" w:eastAsia="仿宋_GB2312" w:hAnsi="仿宋_GB2312" w:cs="仿宋_GB2312"/>
          <w:sz w:val="28"/>
          <w:szCs w:val="28"/>
        </w:rPr>
        <w:t>(能进行网络连接和IP地址配置的IP话机)及对应耳机设备由中标供应商承担。</w:t>
      </w:r>
    </w:p>
    <w:p>
      <w:pPr>
        <w:pStyle w:val="15"/>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（八）履约责任</w:t>
      </w:r>
    </w:p>
    <w:p>
      <w:pPr>
        <w:pStyle w:val="16"/>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 1.中标供应商在服务过程中应满足本需求书提出的运行质量标准，若出现重大失误或重大事故并给国家税务总局天津市北辰区税务局造成损失，国家税务总局天津市北辰区税务局有权终止合同，停止付款并要求中标供应商赔偿实际造成的损失</w:t>
      </w:r>
      <w:r>
        <w:rPr>
          <w:rFonts w:ascii="仿宋_GB2312" w:eastAsia="仿宋_GB2312" w:hAnsi="仿宋_GB2312" w:cs="仿宋_GB2312"/>
          <w:sz w:val="28"/>
          <w:szCs w:val="28"/>
        </w:rPr>
        <w:t>。</w:t>
      </w:r>
    </w:p>
    <w:p>
      <w:pPr>
        <w:pStyle w:val="16"/>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2.中标供应商每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期间存在一个月</w:t>
      </w:r>
      <w:r>
        <w:rPr>
          <w:rFonts w:ascii="仿宋_GB2312" w:eastAsia="仿宋_GB2312" w:hAnsi="仿宋_GB2312" w:cs="仿宋_GB2312"/>
          <w:sz w:val="28"/>
          <w:szCs w:val="28"/>
        </w:rPr>
        <w:t>服务质效考核验收未达到规定标准的，国家税务总局天津市北辰区税务局按照供应商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3%</w:t>
      </w:r>
      <w:r>
        <w:rPr>
          <w:rFonts w:ascii="仿宋_GB2312" w:eastAsia="仿宋_GB2312" w:hAnsi="仿宋_GB2312" w:cs="仿宋_GB2312"/>
          <w:sz w:val="28"/>
          <w:szCs w:val="28"/>
        </w:rPr>
        <w:t>进行扣减。中标供应商每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期间存在两个月</w:t>
      </w:r>
      <w:r>
        <w:rPr>
          <w:rFonts w:ascii="仿宋_GB2312" w:eastAsia="仿宋_GB2312" w:hAnsi="仿宋_GB2312" w:cs="仿宋_GB2312"/>
          <w:sz w:val="28"/>
          <w:szCs w:val="28"/>
        </w:rPr>
        <w:t>服务质效考核验收未达到规定标准的，国家税务总局天津市北辰区税务局按照供应商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6%</w:t>
      </w:r>
      <w:r>
        <w:rPr>
          <w:rFonts w:ascii="仿宋_GB2312" w:eastAsia="仿宋_GB2312" w:hAnsi="仿宋_GB2312" w:cs="仿宋_GB2312"/>
          <w:sz w:val="28"/>
          <w:szCs w:val="28"/>
        </w:rPr>
        <w:t>进行扣减。中标供应商每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期间存在三个月</w:t>
      </w:r>
      <w:r>
        <w:rPr>
          <w:rFonts w:ascii="仿宋_GB2312" w:eastAsia="仿宋_GB2312" w:hAnsi="仿宋_GB2312" w:cs="仿宋_GB2312"/>
          <w:sz w:val="28"/>
          <w:szCs w:val="28"/>
        </w:rPr>
        <w:t>服务质效考核验收未达到规定标准的，国家税务总局天津市北辰区税务局按照供应商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10%</w:t>
      </w:r>
      <w:r>
        <w:rPr>
          <w:rFonts w:ascii="仿宋_GB2312" w:eastAsia="仿宋_GB2312" w:hAnsi="仿宋_GB2312" w:cs="仿宋_GB2312"/>
          <w:sz w:val="28"/>
          <w:szCs w:val="28"/>
        </w:rPr>
        <w:t>进行扣减。</w:t>
      </w:r>
    </w:p>
    <w:p>
      <w:pPr>
        <w:pStyle w:val="16"/>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3.中标供应商每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期间存在一个月</w:t>
      </w:r>
      <w:r>
        <w:rPr>
          <w:rFonts w:ascii="仿宋_GB2312" w:eastAsia="仿宋_GB2312" w:hAnsi="仿宋_GB2312" w:cs="仿宋_GB2312"/>
          <w:sz w:val="28"/>
          <w:szCs w:val="28"/>
        </w:rPr>
        <w:t>评价满意率低于要求的，国家税务总局天津市北辰区税务局按照供应商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3%</w:t>
      </w:r>
      <w:r>
        <w:rPr>
          <w:rFonts w:ascii="仿宋_GB2312" w:eastAsia="仿宋_GB2312" w:hAnsi="仿宋_GB2312" w:cs="仿宋_GB2312"/>
          <w:sz w:val="28"/>
          <w:szCs w:val="28"/>
        </w:rPr>
        <w:t>进行扣减。中标供应商每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期间存在两个月</w:t>
      </w:r>
      <w:r>
        <w:rPr>
          <w:rFonts w:ascii="仿宋_GB2312" w:eastAsia="仿宋_GB2312" w:hAnsi="仿宋_GB2312" w:cs="仿宋_GB2312"/>
          <w:sz w:val="28"/>
          <w:szCs w:val="28"/>
        </w:rPr>
        <w:t>评价满意率低于要求的，国家税务总局天津市北辰区税务局按照供应商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6%</w:t>
      </w:r>
      <w:r>
        <w:rPr>
          <w:rFonts w:ascii="仿宋_GB2312" w:eastAsia="仿宋_GB2312" w:hAnsi="仿宋_GB2312" w:cs="仿宋_GB2312"/>
          <w:sz w:val="28"/>
          <w:szCs w:val="28"/>
        </w:rPr>
        <w:t>进行扣减。中标供应商每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期间存在三个月</w:t>
      </w:r>
      <w:r>
        <w:rPr>
          <w:rFonts w:ascii="仿宋_GB2312" w:eastAsia="仿宋_GB2312" w:hAnsi="仿宋_GB2312" w:cs="仿宋_GB2312"/>
          <w:sz w:val="28"/>
          <w:szCs w:val="28"/>
        </w:rPr>
        <w:t>评价满意率低于要求的，国家税务总局天津市北辰区税务局按照供应商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10%</w:t>
      </w:r>
      <w:r>
        <w:rPr>
          <w:rFonts w:ascii="仿宋_GB2312" w:eastAsia="仿宋_GB2312" w:hAnsi="仿宋_GB2312" w:cs="仿宋_GB2312"/>
          <w:sz w:val="28"/>
          <w:szCs w:val="28"/>
        </w:rPr>
        <w:t>进行扣减。</w:t>
      </w:r>
    </w:p>
    <w:p>
      <w:pPr>
        <w:pStyle w:val="16"/>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4.中标供应商每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期间存在一个月</w:t>
      </w:r>
      <w:r>
        <w:rPr>
          <w:rFonts w:ascii="仿宋_GB2312" w:eastAsia="仿宋_GB2312" w:hAnsi="仿宋_GB2312" w:cs="仿宋_GB2312"/>
          <w:sz w:val="28"/>
          <w:szCs w:val="28"/>
        </w:rPr>
        <w:t>被投诉数量超过来电总量的万分之一，经国家税务总局天津市北辰区税务局调查属实且认为投诉合理则按照供应商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3%</w:t>
      </w:r>
      <w:r>
        <w:rPr>
          <w:rFonts w:ascii="仿宋_GB2312" w:eastAsia="仿宋_GB2312" w:hAnsi="仿宋_GB2312" w:cs="仿宋_GB2312"/>
          <w:sz w:val="28"/>
          <w:szCs w:val="28"/>
        </w:rPr>
        <w:t>进行扣减。中标供应商每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期间存在两个月</w:t>
      </w:r>
      <w:r>
        <w:rPr>
          <w:rFonts w:ascii="仿宋_GB2312" w:eastAsia="仿宋_GB2312" w:hAnsi="仿宋_GB2312" w:cs="仿宋_GB2312"/>
          <w:sz w:val="28"/>
          <w:szCs w:val="28"/>
        </w:rPr>
        <w:t>被投诉数量超过来电总量的万分之一，经国家税务总局天津市北辰区税务局调查属实且认为投诉合理则按照供应商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6%</w:t>
      </w:r>
      <w:r>
        <w:rPr>
          <w:rFonts w:ascii="仿宋_GB2312" w:eastAsia="仿宋_GB2312" w:hAnsi="仿宋_GB2312" w:cs="仿宋_GB2312"/>
          <w:sz w:val="28"/>
          <w:szCs w:val="28"/>
        </w:rPr>
        <w:t>进行扣减。中标供应商每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期间存在三个月</w:t>
      </w:r>
      <w:r>
        <w:rPr>
          <w:rFonts w:ascii="仿宋_GB2312" w:eastAsia="仿宋_GB2312" w:hAnsi="仿宋_GB2312" w:cs="仿宋_GB2312"/>
          <w:sz w:val="28"/>
          <w:szCs w:val="28"/>
        </w:rPr>
        <w:t>被投诉数量超过来电总量的万分之一，经国家税务总局天津市北辰区税务局调查属实且认为投诉合理则按照供应商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10%</w:t>
      </w:r>
      <w:r>
        <w:rPr>
          <w:rFonts w:ascii="仿宋_GB2312" w:eastAsia="仿宋_GB2312" w:hAnsi="仿宋_GB2312" w:cs="仿宋_GB2312"/>
          <w:sz w:val="28"/>
          <w:szCs w:val="28"/>
        </w:rPr>
        <w:t>进行扣减。</w:t>
      </w:r>
    </w:p>
    <w:p>
      <w:pPr>
        <w:pStyle w:val="16"/>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5.中标供应商每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期间存在一个月</w:t>
      </w:r>
      <w:r>
        <w:rPr>
          <w:rFonts w:ascii="仿宋_GB2312" w:eastAsia="仿宋_GB2312" w:hAnsi="仿宋_GB2312" w:cs="仿宋_GB2312"/>
          <w:sz w:val="28"/>
          <w:szCs w:val="28"/>
        </w:rPr>
        <w:t>运行管理不到位、服务不规范、未按照要求履行工作职责产生负面影响的，或被通报批评产生负面影响的，国家税务总局天津市北辰区税务局按照供应商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3%</w:t>
      </w:r>
      <w:r>
        <w:rPr>
          <w:rFonts w:ascii="仿宋_GB2312" w:eastAsia="仿宋_GB2312" w:hAnsi="仿宋_GB2312" w:cs="仿宋_GB2312"/>
          <w:sz w:val="28"/>
          <w:szCs w:val="28"/>
        </w:rPr>
        <w:t>进行扣减。中标供应商每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期间存在两个月</w:t>
      </w:r>
      <w:r>
        <w:rPr>
          <w:rFonts w:ascii="仿宋_GB2312" w:eastAsia="仿宋_GB2312" w:hAnsi="仿宋_GB2312" w:cs="仿宋_GB2312"/>
          <w:sz w:val="28"/>
          <w:szCs w:val="28"/>
        </w:rPr>
        <w:t>运行管理不到位、服务不规范、未按照要求履行工作职责产生负面影响的，或被通报批评产生负面影响的，国家税务总局天津市北辰区税务局按照供应商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6%</w:t>
      </w:r>
      <w:r>
        <w:rPr>
          <w:rFonts w:ascii="仿宋_GB2312" w:eastAsia="仿宋_GB2312" w:hAnsi="仿宋_GB2312" w:cs="仿宋_GB2312"/>
          <w:sz w:val="28"/>
          <w:szCs w:val="28"/>
        </w:rPr>
        <w:t>进行扣减。中标供应商每</w:t>
      </w:r>
      <w:r>
        <w:rPr>
          <w:rFonts w:ascii="仿宋_GB2312" w:eastAsia="仿宋_GB2312" w:hAnsi="仿宋_GB2312" w:cs="仿宋_GB2312"/>
          <w:sz w:val="28"/>
          <w:szCs w:val="28"/>
        </w:rPr>
        <w:t>季</w:t>
      </w:r>
      <w:r>
        <w:rPr>
          <w:rFonts w:ascii="仿宋_GB2312" w:eastAsia="仿宋_GB2312" w:hAnsi="仿宋_GB2312" w:cs="仿宋_GB2312"/>
          <w:sz w:val="28"/>
          <w:szCs w:val="28"/>
        </w:rPr>
        <w:t>度</w:t>
      </w:r>
      <w:r>
        <w:rPr>
          <w:rFonts w:ascii="仿宋_GB2312" w:eastAsia="仿宋_GB2312" w:hAnsi="仿宋_GB2312" w:cs="仿宋_GB2312"/>
          <w:sz w:val="28"/>
          <w:szCs w:val="28"/>
        </w:rPr>
        <w:t>期间存在三个月</w:t>
      </w:r>
      <w:r>
        <w:rPr>
          <w:rFonts w:ascii="仿宋_GB2312" w:eastAsia="仿宋_GB2312" w:hAnsi="仿宋_GB2312" w:cs="仿宋_GB2312"/>
          <w:sz w:val="28"/>
          <w:szCs w:val="28"/>
        </w:rPr>
        <w:t>运行管理不到位、服务不规范、未按照要求履行工作职责产生负面影响的，或被通报批评产生负面影响的，国家税务总局天津市北辰区税务局按照供应商</w:t>
      </w:r>
      <w:r>
        <w:rPr>
          <w:rFonts w:ascii="仿宋_GB2312" w:eastAsia="仿宋_GB2312" w:hAnsi="仿宋_GB2312" w:cs="仿宋_GB2312"/>
          <w:sz w:val="28"/>
          <w:szCs w:val="28"/>
        </w:rPr>
        <w:t>每季</w:t>
      </w:r>
      <w:r>
        <w:rPr>
          <w:rFonts w:ascii="仿宋_GB2312" w:eastAsia="仿宋_GB2312" w:hAnsi="仿宋_GB2312" w:cs="仿宋_GB2312"/>
          <w:sz w:val="28"/>
          <w:szCs w:val="28"/>
        </w:rPr>
        <w:t>度服务费的</w:t>
      </w:r>
      <w:r>
        <w:rPr>
          <w:rFonts w:ascii="仿宋_GB2312" w:eastAsia="仿宋_GB2312" w:hAnsi="仿宋_GB2312" w:cs="仿宋_GB2312"/>
          <w:sz w:val="28"/>
          <w:szCs w:val="28"/>
        </w:rPr>
        <w:t>10%</w:t>
      </w:r>
      <w:r>
        <w:rPr>
          <w:rFonts w:ascii="仿宋_GB2312" w:eastAsia="仿宋_GB2312" w:hAnsi="仿宋_GB2312" w:cs="仿宋_GB2312"/>
          <w:sz w:val="28"/>
          <w:szCs w:val="28"/>
        </w:rPr>
        <w:t>进行扣减。</w:t>
      </w:r>
    </w:p>
    <w:p>
      <w:pPr>
        <w:pStyle w:val="16"/>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6.未经采购方同意，中标方不得将承包项目发包或转包，否则，视为中标方违约，采购方有权解除服务合同</w:t>
      </w:r>
      <w:r>
        <w:rPr>
          <w:rFonts w:ascii="仿宋_GB2312" w:eastAsia="仿宋_GB2312" w:hAnsi="仿宋_GB2312" w:cs="仿宋_GB2312"/>
          <w:sz w:val="28"/>
          <w:szCs w:val="28"/>
        </w:rPr>
        <w:t>。</w:t>
      </w:r>
    </w:p>
    <w:p>
      <w:pPr>
        <w:pStyle w:val="16"/>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7.若中标方在1年内违反其服务承诺或以下情况三次或以上，则视为中标方违约，采购方有权拒绝支付本期项目服务费，并终止合同。（1）非税务机关责任，导致服务出现质量问题。（2）没有按照采购方要求对服务人员进行管理、培训、调配。</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6风险管控要求</w:t>
      </w:r>
      <w:bookmarkEnd w:id="34"/>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w:t>
      </w:r>
      <w:r>
        <w:rPr>
          <w:rFonts w:ascii="仿宋_GB2312" w:eastAsia="仿宋_GB2312" w:hAnsi="仿宋_GB2312" w:cs="仿宋_GB2312"/>
          <w:sz w:val="28"/>
          <w:szCs w:val="28"/>
        </w:rPr>
        <w:t>,采取应急措施,最大限度减少各方损失。</w:t>
      </w:r>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7履约验收要求</w:t>
      </w:r>
      <w:bookmarkEnd w:id="35"/>
    </w:p>
    <w:p>
      <w:pPr>
        <w:pStyle w:val="Heading2"/>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i w:val="0"/>
          <w:iCs w:val="0"/>
        </w:rPr>
        <w:t>7.1总体要求</w:t>
      </w:r>
      <w:bookmarkEnd w:id="36"/>
    </w:p>
    <w:tbl>
      <w:tblPr>
        <w:tblW w:w="5000" w:type="pct"/>
        <w:tblInd w:w="30" w:type="dxa"/>
        <w:tblCellMar>
          <w:top w:w="15" w:type="dxa"/>
          <w:left w:w="15" w:type="dxa"/>
          <w:bottom w:w="15" w:type="dxa"/>
          <w:right w:w="15" w:type="dxa"/>
        </w:tblCellMar>
      </w:tblPr>
      <w:tblGrid>
        <w:gridCol w:w="917"/>
        <w:gridCol w:w="847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bl>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7.2具体要求</w:t>
      </w:r>
      <w:bookmarkEnd w:id="37"/>
    </w:p>
    <w:p>
      <w:pPr>
        <w:pStyle w:val="15"/>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pStyle w:val="15"/>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pStyle w:val="Heading1"/>
        <w:keepNext w:val="0"/>
        <w:spacing w:before="0" w:after="0" w:line="360" w:lineRule="auto"/>
        <w:jc w:val="center"/>
        <w:rPr>
          <w:rFonts w:ascii="仿宋_GB2312" w:eastAsia="仿宋_GB2312" w:hAnsi="仿宋_GB2312" w:cs="仿宋_GB2312"/>
          <w:b/>
          <w:bCs/>
          <w:sz w:val="32"/>
          <w:szCs w:val="32"/>
        </w:rPr>
      </w:pPr>
      <w:bookmarkStart w:id="38" w:name="_Toc256000035"/>
      <w:r>
        <w:rPr>
          <w:rFonts w:ascii="仿宋_GB2312" w:eastAsia="仿宋_GB2312" w:hAnsi="仿宋_GB2312" w:cs="仿宋_GB2312"/>
          <w:kern w:val="36"/>
        </w:rPr>
        <w:t>8其他要求</w:t>
      </w:r>
      <w:bookmarkEnd w:id="38"/>
    </w:p>
    <w:p>
      <w:pPr>
        <w:pStyle w:val="Heading2"/>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i w:val="0"/>
          <w:iCs w:val="0"/>
        </w:rPr>
        <w:t>8.1必备要求</w:t>
      </w:r>
      <w:bookmarkEnd w:id="39"/>
    </w:p>
    <w:p>
      <w:pPr>
        <w:pStyle w:val="Heading3"/>
        <w:keepNext w:val="0"/>
        <w:spacing w:before="0" w:after="0" w:line="360" w:lineRule="auto"/>
        <w:rPr>
          <w:rFonts w:ascii="仿宋_GB2312" w:eastAsia="仿宋_GB2312" w:hAnsi="仿宋_GB2312" w:cs="仿宋_GB2312"/>
          <w:b/>
          <w:bCs/>
          <w:sz w:val="28"/>
          <w:szCs w:val="28"/>
        </w:rPr>
      </w:pPr>
      <w:bookmarkStart w:id="40" w:name="_Toc256000037"/>
      <w:r>
        <w:rPr>
          <w:rFonts w:ascii="仿宋_GB2312" w:eastAsia="仿宋_GB2312" w:hAnsi="仿宋_GB2312" w:cs="仿宋_GB2312"/>
          <w:sz w:val="28"/>
          <w:szCs w:val="28"/>
        </w:rPr>
        <w:t>8.1.1通用必备要求</w:t>
      </w:r>
      <w:bookmarkEnd w:id="40"/>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8.2付款安排建议</w:t>
      </w:r>
      <w:bookmarkEnd w:id="41"/>
    </w:p>
    <w:tbl>
      <w:tblPr>
        <w:tblW w:w="5000" w:type="pct"/>
        <w:tblInd w:w="30" w:type="dxa"/>
        <w:tblCellMar>
          <w:top w:w="15" w:type="dxa"/>
          <w:left w:w="15" w:type="dxa"/>
          <w:bottom w:w="15" w:type="dxa"/>
          <w:right w:w="15" w:type="dxa"/>
        </w:tblCellMar>
      </w:tblPr>
      <w:tblGrid>
        <w:gridCol w:w="917"/>
        <w:gridCol w:w="17924"/>
        <w:gridCol w:w="1235"/>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按季付款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合同签订生效后，甲方按月进行服务质量验收，根据阶段性验收结果按季度支付服务费。乙方向甲方提供正式发票，甲方在收到发票后10个工作日内支付乙方服务费（特殊情况以签订合同为准）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i w:val="0"/>
          <w:iCs w:val="0"/>
        </w:rPr>
        <w:t>8.3其他要求</w:t>
      </w:r>
      <w:bookmarkEnd w:id="42"/>
    </w:p>
    <w:p>
      <w:pPr>
        <w:pStyle w:val="Heading3"/>
        <w:keepNext w:val="0"/>
        <w:spacing w:before="0" w:after="0" w:line="360" w:lineRule="auto"/>
        <w:rPr>
          <w:rFonts w:ascii="仿宋_GB2312" w:eastAsia="仿宋_GB2312" w:hAnsi="仿宋_GB2312" w:cs="仿宋_GB2312"/>
          <w:b/>
          <w:bCs/>
          <w:sz w:val="28"/>
          <w:szCs w:val="28"/>
        </w:rPr>
      </w:pPr>
      <w:bookmarkStart w:id="43" w:name="_Toc256000040"/>
      <w:r>
        <w:rPr>
          <w:rFonts w:ascii="仿宋_GB2312" w:eastAsia="仿宋_GB2312" w:hAnsi="仿宋_GB2312" w:cs="仿宋_GB2312"/>
          <w:sz w:val="28"/>
          <w:szCs w:val="28"/>
        </w:rPr>
        <w:t>8.3.1保密要求</w:t>
      </w:r>
      <w:bookmarkEnd w:id="43"/>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1.中标供应商签订合同前必须按照国家相关保密规定和采购方签订《保密协议》，对违反《保密协议》相关内容规定的，采购方有权追究其法律责任。所有服务人员必须严格遵守国家、地方、行业相关保密管理政策规定。</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 2.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pStyle w:val="Heading3"/>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sz w:val="28"/>
          <w:szCs w:val="28"/>
        </w:rPr>
        <w:t>8.3.2知识转移要求</w:t>
      </w:r>
      <w:bookmarkEnd w:id="44"/>
    </w:p>
    <w:p>
      <w:pPr>
        <w:pStyle w:val="Heading3"/>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sz w:val="28"/>
          <w:szCs w:val="28"/>
        </w:rPr>
        <w:t>8.3.3知识产权要求</w:t>
      </w:r>
      <w:bookmarkEnd w:id="45"/>
    </w:p>
    <w:p>
      <w:pPr>
        <w:spacing w:before="0" w:after="0" w:line="360" w:lineRule="auto"/>
        <w:jc w:val="left"/>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15</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Normal">
    <w:name w:val="MsoNormal"/>
    <w:basedOn w:val="Normal"/>
  </w:style>
  <w:style w:type="paragraph" w:customStyle="1" w:styleId="15">
    <w:name w:val="15"/>
    <w:basedOn w:val="Normal"/>
  </w:style>
  <w:style w:type="paragraph" w:customStyle="1" w:styleId="16">
    <w:name w:val="16"/>
    <w:basedOn w:val="Normal"/>
  </w:style>
  <w:style w:type="paragraph" w:customStyle="1" w:styleId="17">
    <w:name w:val="17"/>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15</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