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p>
    <w:p>
      <w:pPr>
        <w:ind w:right="105"/>
        <w:jc w:val="right"/>
        <w:rPr>
          <w:rFonts w:eastAsia="黑体"/>
          <w:b/>
          <w:spacing w:val="40"/>
          <w:w w:val="66"/>
          <w:sz w:val="60"/>
          <w:szCs w:val="60"/>
        </w:rPr>
      </w:pPr>
      <w:r>
        <w:rPr>
          <w:rFonts w:hint="eastAsia" w:eastAsia="黑体"/>
          <w:b/>
          <w:spacing w:val="40"/>
          <w:w w:val="66"/>
          <w:sz w:val="60"/>
          <w:szCs w:val="60"/>
        </w:rPr>
        <w:t>国家税务总局天津市税务局基础环境</w:t>
      </w:r>
    </w:p>
    <w:p>
      <w:pPr>
        <w:ind w:right="105"/>
        <w:jc w:val="right"/>
        <w:rPr>
          <w:rFonts w:eastAsia="黑体"/>
          <w:b/>
          <w:spacing w:val="40"/>
          <w:w w:val="66"/>
          <w:sz w:val="60"/>
          <w:szCs w:val="60"/>
        </w:rPr>
      </w:pPr>
      <w:r>
        <w:rPr>
          <w:rFonts w:hint="eastAsia" w:eastAsia="黑体"/>
          <w:b/>
          <w:spacing w:val="40"/>
          <w:w w:val="66"/>
          <w:sz w:val="60"/>
          <w:szCs w:val="60"/>
        </w:rPr>
        <w:t>及数据链路运行维护</w:t>
      </w: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347980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7.4pt;height:0pt;width:56.7pt;z-index:251659264;mso-width-relative:page;mso-height-relative:page;" filled="f" stroked="t" coordsize="21600,21600" o:gfxdata="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sIvGnWAAAA&#10;CA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eastAsia="黑体"/>
          <w:b/>
          <w:spacing w:val="40"/>
          <w:w w:val="66"/>
          <w:sz w:val="60"/>
          <w:szCs w:val="60"/>
        </w:rPr>
        <w:t>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spacing w:val="40"/>
          <w:w w:val="66"/>
          <w:sz w:val="32"/>
          <w:szCs w:val="32"/>
        </w:rPr>
      </w:pPr>
      <w:r>
        <w:rPr>
          <w:rFonts w:eastAsia="黑体"/>
          <w:spacing w:val="40"/>
          <w:w w:val="66"/>
          <w:sz w:val="32"/>
          <w:szCs w:val="32"/>
        </w:rPr>
        <w:t>（项目编号：TGPC-2026-D-0083）</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6</w:t>
      </w:r>
      <w:r>
        <w:rPr>
          <w:rFonts w:eastAsia="仿宋_GB2312"/>
          <w:b/>
          <w:bCs/>
          <w:kern w:val="0"/>
          <w:sz w:val="44"/>
          <w:szCs w:val="44"/>
        </w:rPr>
        <w:t>.</w:t>
      </w:r>
      <w:r>
        <w:rPr>
          <w:rFonts w:hint="eastAsia" w:eastAsia="仿宋_GB2312"/>
          <w:b/>
          <w:bCs/>
          <w:kern w:val="0"/>
          <w:sz w:val="44"/>
          <w:szCs w:val="44"/>
        </w:rPr>
        <w:t>2</w:t>
      </w:r>
      <w:r>
        <w:rPr>
          <w:rFonts w:eastAsia="仿宋_GB2312"/>
          <w:b/>
          <w:bCs/>
          <w:kern w:val="0"/>
          <w:sz w:val="44"/>
          <w:szCs w:val="44"/>
        </w:rPr>
        <w:t xml:space="preserve"> </w:t>
      </w:r>
    </w:p>
    <w:p>
      <w:pPr>
        <w:widowControl/>
        <w:jc w:val="left"/>
        <w:rPr>
          <w:rFonts w:eastAsia="仿宋_GB2312"/>
          <w:b/>
          <w:bCs/>
          <w:kern w:val="0"/>
          <w:sz w:val="44"/>
          <w:szCs w:val="44"/>
        </w:rPr>
      </w:pP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招标项目需求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6"/>
        <w:rPr>
          <w:rFonts w:ascii="Times New Roman" w:hAnsi="Times New Roman"/>
        </w:rPr>
      </w:pPr>
      <w:r>
        <w:rPr>
          <w:rFonts w:ascii="Times New Roman" w:hAnsi="Times New Roman"/>
        </w:rPr>
        <w:t>第一部分  投标邀请函</w:t>
      </w:r>
      <w:bookmarkEnd w:id="0"/>
    </w:p>
    <w:p>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cs="Times New Roman" w:eastAsiaTheme="minorEastAsia"/>
          <w:color w:val="auto"/>
          <w:szCs w:val="32"/>
        </w:rPr>
        <w:t>国家税务总局天津市税务局</w:t>
      </w:r>
      <w:r>
        <w:rPr>
          <w:rFonts w:ascii="Times New Roman" w:hAnsi="Times New Roman" w:cs="Times New Roman" w:eastAsiaTheme="minorEastAsia"/>
          <w:color w:val="auto"/>
          <w:szCs w:val="32"/>
        </w:rPr>
        <w:t>委托，天津市政府采购中心对</w:t>
      </w:r>
      <w:r>
        <w:rPr>
          <w:rFonts w:hint="eastAsia" w:ascii="Times New Roman" w:hAnsi="Times New Roman" w:cs="Times New Roman" w:eastAsiaTheme="minorEastAsia"/>
          <w:color w:val="auto"/>
          <w:szCs w:val="32"/>
        </w:rPr>
        <w:t>国家税务总局天津市税务局基础环境及数据链路运行维护项目</w:t>
      </w:r>
      <w:r>
        <w:rPr>
          <w:rFonts w:ascii="Times New Roman" w:hAnsi="Times New Roman" w:cs="Times New Roman" w:eastAsiaTheme="minorEastAsia"/>
          <w:color w:val="auto"/>
          <w:szCs w:val="32"/>
        </w:rPr>
        <w:t>实施采购。现欢迎合格的供应商参加投标。</w:t>
      </w:r>
    </w:p>
    <w:p>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本文件的规定在天津市政府采购中心招投标系统中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一、基本概况</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国家税务总局天津市税务局基础环境及数据链路运行维护项目</w:t>
      </w:r>
      <w:r>
        <w:rPr>
          <w:rFonts w:ascii="Times New Roman" w:hAnsi="Times New Roman" w:eastAsia="宋体" w:cs="Times New Roman"/>
          <w:color w:val="auto"/>
        </w:rPr>
        <w:t xml:space="preserve">  </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（二）项目编号：TGPC-2026-D-0083</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（三）采购方式：公开招标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（四）项目属性：服务</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（五）本项目不接受联合体参与。不接受联合体参与的，若有供应商组成联合体参与，视为无效投标。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（六）本文件售价：免费。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tbl>
      <w:tblPr>
        <w:tblStyle w:val="23"/>
        <w:tblW w:w="9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385"/>
        <w:gridCol w:w="1815"/>
        <w:gridCol w:w="1947"/>
        <w:gridCol w:w="1735"/>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包号</w:t>
            </w:r>
          </w:p>
        </w:tc>
        <w:tc>
          <w:tcPr>
            <w:tcW w:w="138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包名称</w:t>
            </w:r>
          </w:p>
        </w:tc>
        <w:tc>
          <w:tcPr>
            <w:tcW w:w="181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包预算</w:t>
            </w:r>
          </w:p>
        </w:tc>
        <w:tc>
          <w:tcPr>
            <w:tcW w:w="1947"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包最高限价</w:t>
            </w:r>
          </w:p>
        </w:tc>
        <w:tc>
          <w:tcPr>
            <w:tcW w:w="173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合同履行期限</w:t>
            </w:r>
          </w:p>
        </w:tc>
        <w:tc>
          <w:tcPr>
            <w:tcW w:w="1389"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1</w:t>
            </w:r>
          </w:p>
        </w:tc>
        <w:tc>
          <w:tcPr>
            <w:tcW w:w="138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基础环境及数据链路运行维护服务1项</w:t>
            </w:r>
          </w:p>
        </w:tc>
        <w:tc>
          <w:tcPr>
            <w:tcW w:w="1815" w:type="dxa"/>
            <w:vAlign w:val="center"/>
          </w:tcPr>
          <w:p>
            <w:pPr>
              <w:pStyle w:val="29"/>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710100</w:t>
            </w:r>
            <w:r>
              <w:rPr>
                <w:rFonts w:hint="eastAsia" w:ascii="Times New Roman" w:hAnsi="Times New Roman" w:eastAsia="宋体" w:cs="Times New Roman"/>
                <w:color w:val="auto"/>
                <w:sz w:val="21"/>
                <w:szCs w:val="21"/>
              </w:rPr>
              <w:t>元</w:t>
            </w:r>
          </w:p>
        </w:tc>
        <w:tc>
          <w:tcPr>
            <w:tcW w:w="1947" w:type="dxa"/>
            <w:vAlign w:val="center"/>
          </w:tcPr>
          <w:p>
            <w:pPr>
              <w:pStyle w:val="29"/>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710100</w:t>
            </w:r>
            <w:r>
              <w:rPr>
                <w:rFonts w:hint="eastAsia" w:ascii="Times New Roman" w:hAnsi="Times New Roman" w:eastAsia="宋体" w:cs="Times New Roman"/>
                <w:color w:val="auto"/>
                <w:sz w:val="21"/>
                <w:szCs w:val="21"/>
              </w:rPr>
              <w:t>元</w:t>
            </w:r>
          </w:p>
        </w:tc>
        <w:tc>
          <w:tcPr>
            <w:tcW w:w="1735" w:type="dxa"/>
            <w:vAlign w:val="center"/>
          </w:tcPr>
          <w:p>
            <w:pPr>
              <w:pStyle w:val="29"/>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合同规定的服务起始之日起6个月的服务期</w:t>
            </w:r>
          </w:p>
        </w:tc>
        <w:tc>
          <w:tcPr>
            <w:tcW w:w="1389" w:type="dxa"/>
            <w:vAlign w:val="center"/>
          </w:tcPr>
          <w:p>
            <w:pPr>
              <w:pStyle w:val="29"/>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软件和信息技术服务业</w:t>
            </w:r>
          </w:p>
        </w:tc>
      </w:tr>
    </w:tbl>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、供应商资格要求（实质性要求）</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、项目需要落实的政府采购政策</w:t>
      </w:r>
    </w:p>
    <w:p>
      <w:pPr>
        <w:pStyle w:val="29"/>
        <w:spacing w:line="360" w:lineRule="auto"/>
        <w:ind w:firstLine="448"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w:t>
      </w:r>
      <w:r>
        <w:rPr>
          <w:rFonts w:ascii="Times New Roman" w:hAnsi="Times New Roman" w:eastAsia="宋体" w:cs="Times New Roman"/>
          <w:color w:val="auto"/>
        </w:rPr>
        <w:t>对小微企业</w:t>
      </w:r>
      <w:r>
        <w:rPr>
          <w:rFonts w:hint="eastAsia" w:ascii="Times New Roman" w:hAnsi="Times New Roman" w:eastAsia="宋体" w:cs="Times New Roman"/>
          <w:color w:val="auto"/>
        </w:rPr>
        <w:t>报价</w:t>
      </w:r>
      <w:r>
        <w:rPr>
          <w:rFonts w:ascii="Times New Roman" w:hAnsi="Times New Roman" w:eastAsia="宋体" w:cs="Times New Roman"/>
          <w:color w:val="auto"/>
        </w:rPr>
        <w:t>给予</w:t>
      </w:r>
      <w:r>
        <w:rPr>
          <w:rFonts w:hint="eastAsia" w:ascii="Times New Roman" w:hAnsi="Times New Roman" w:eastAsia="宋体" w:cs="Times New Roman"/>
          <w:color w:val="auto"/>
        </w:rPr>
        <w:t>20</w:t>
      </w:r>
      <w:r>
        <w:rPr>
          <w:rFonts w:ascii="Times New Roman" w:hAnsi="Times New Roman" w:eastAsia="宋体" w:cs="Times New Roman"/>
          <w:color w:val="auto"/>
        </w:rPr>
        <w:t>%的扣除。</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（六）根据《关于推动解决政府采购异常低价问题的通知》（财库〔2026〕2号）的要求，当供应商报价出现以下情形之一时，评标委员会应当启动对该供应商的异常低价审查程序：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供应商报价&lt;全部通过符合性审查供应商报价平均值×50%；</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供应商报价&lt;通过符合性审查的次低供应商报价×50%；</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供应商报价&lt;最高限价×45%；</w:t>
      </w:r>
    </w:p>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s="Times New Roman"/>
          <w:color w:val="auto"/>
        </w:rPr>
        <w:t>4. 评标委员会基于专业判断，认为供应商报价过低，有可能影响产品质量或者不能诚信履约的其他情形。</w:t>
      </w:r>
    </w:p>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五、参与本项目的步骤、时间与方式</w:t>
      </w:r>
    </w:p>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（一）参与本项目的时间要求</w:t>
      </w:r>
    </w:p>
    <w:tbl>
      <w:tblPr>
        <w:tblStyle w:val="23"/>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1941"/>
        <w:gridCol w:w="1891"/>
        <w:gridCol w:w="1891"/>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79"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序号</w:t>
            </w:r>
          </w:p>
        </w:tc>
        <w:tc>
          <w:tcPr>
            <w:tcW w:w="194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步骤名称</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开始时间</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截止时间</w:t>
            </w:r>
          </w:p>
        </w:tc>
        <w:tc>
          <w:tcPr>
            <w:tcW w:w="2632"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1</w:t>
            </w:r>
          </w:p>
        </w:tc>
        <w:tc>
          <w:tcPr>
            <w:tcW w:w="194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获取招标文件</w:t>
            </w:r>
          </w:p>
        </w:tc>
        <w:tc>
          <w:tcPr>
            <w:tcW w:w="1891" w:type="dxa"/>
            <w:vAlign w:val="center"/>
          </w:tcPr>
          <w:p>
            <w:pPr>
              <w:pStyle w:val="29"/>
              <w:snapToGrid w:val="0"/>
              <w:jc w:val="center"/>
              <w:rPr>
                <w:rFonts w:ascii="Times New Roman" w:hAnsi="Times New Roman" w:eastAsia="宋体"/>
                <w:color w:val="auto"/>
                <w:sz w:val="21"/>
                <w:szCs w:val="21"/>
              </w:rPr>
            </w:pPr>
            <w:r>
              <w:rPr>
                <w:rFonts w:ascii="Times New Roman" w:hAnsi="Times New Roman" w:eastAsia="宋体" w:cs="Times New Roman"/>
                <w:color w:val="auto"/>
                <w:sz w:val="21"/>
                <w:szCs w:val="21"/>
              </w:rPr>
              <w:t>2026年</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月</w:t>
            </w:r>
            <w:r>
              <w:rPr>
                <w:rFonts w:hint="eastAsia" w:ascii="Times New Roman" w:hAnsi="Times New Roman" w:eastAsia="宋体" w:cs="Times New Roman"/>
                <w:color w:val="auto"/>
                <w:sz w:val="21"/>
                <w:szCs w:val="21"/>
              </w:rPr>
              <w:t>13</w:t>
            </w:r>
            <w:r>
              <w:rPr>
                <w:rFonts w:ascii="Times New Roman" w:hAnsi="Times New Roman" w:eastAsia="宋体" w:cs="Times New Roman"/>
                <w:color w:val="auto"/>
                <w:sz w:val="21"/>
                <w:szCs w:val="21"/>
              </w:rPr>
              <w:t>日</w:t>
            </w:r>
          </w:p>
        </w:tc>
        <w:tc>
          <w:tcPr>
            <w:tcW w:w="1891" w:type="dxa"/>
            <w:vAlign w:val="center"/>
          </w:tcPr>
          <w:p>
            <w:pPr>
              <w:pStyle w:val="29"/>
              <w:snapToGrid w:val="0"/>
              <w:jc w:val="center"/>
              <w:rPr>
                <w:rFonts w:ascii="Times New Roman" w:hAnsi="Times New Roman" w:eastAsia="宋体"/>
                <w:color w:val="auto"/>
                <w:sz w:val="21"/>
                <w:szCs w:val="21"/>
              </w:rPr>
            </w:pPr>
            <w:r>
              <w:rPr>
                <w:rFonts w:ascii="Times New Roman" w:hAnsi="Times New Roman" w:eastAsia="宋体" w:cs="Times New Roman"/>
                <w:color w:val="auto"/>
                <w:sz w:val="21"/>
                <w:szCs w:val="21"/>
              </w:rPr>
              <w:t>2026年</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月</w:t>
            </w:r>
            <w:r>
              <w:rPr>
                <w:rFonts w:hint="eastAsia" w:ascii="Times New Roman" w:hAnsi="Times New Roman" w:eastAsia="宋体" w:cs="Times New Roman"/>
                <w:color w:val="auto"/>
                <w:sz w:val="21"/>
                <w:szCs w:val="21"/>
              </w:rPr>
              <w:t>27</w:t>
            </w:r>
            <w:r>
              <w:rPr>
                <w:rFonts w:ascii="Times New Roman" w:hAnsi="Times New Roman" w:eastAsia="宋体" w:cs="Times New Roman"/>
                <w:color w:val="auto"/>
                <w:sz w:val="21"/>
                <w:szCs w:val="21"/>
              </w:rPr>
              <w:t>日</w:t>
            </w:r>
          </w:p>
        </w:tc>
        <w:tc>
          <w:tcPr>
            <w:tcW w:w="2632" w:type="dxa"/>
            <w:vAlign w:val="center"/>
          </w:tcPr>
          <w:p>
            <w:pPr>
              <w:pStyle w:val="29"/>
              <w:snapToGrid w:val="0"/>
              <w:jc w:val="both"/>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每日9:00至17:00（北京时间，法定节假日除外）。</w:t>
            </w:r>
          </w:p>
          <w:p>
            <w:pPr>
              <w:pStyle w:val="29"/>
              <w:snapToGrid w:val="0"/>
              <w:jc w:val="both"/>
              <w:rPr>
                <w:rFonts w:ascii="Times New Roman" w:hAnsi="Times New Roman" w:eastAsia="宋体"/>
                <w:color w:val="auto"/>
                <w:sz w:val="21"/>
                <w:szCs w:val="21"/>
              </w:rPr>
            </w:pPr>
            <w:r>
              <w:rPr>
                <w:rFonts w:hint="eastAsia" w:ascii="Times New Roman" w:hAnsi="Times New Roman" w:eastAsia="宋体" w:cs="Times New Roman"/>
                <w:color w:val="auto"/>
                <w:sz w:val="21"/>
                <w:szCs w:val="21"/>
              </w:rPr>
              <w:t>未按时获取招标文件的，不能参与本项目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w:t>
            </w:r>
          </w:p>
        </w:tc>
        <w:tc>
          <w:tcPr>
            <w:tcW w:w="194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网上应答（上传电子投标文件）</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2026年2月13日9:00</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2026年3月6日8:30</w:t>
            </w:r>
          </w:p>
        </w:tc>
        <w:tc>
          <w:tcPr>
            <w:tcW w:w="2632" w:type="dxa"/>
            <w:vAlign w:val="center"/>
          </w:tcPr>
          <w:p>
            <w:pPr>
              <w:pStyle w:val="29"/>
              <w:snapToGrid w:val="0"/>
              <w:jc w:val="both"/>
              <w:rPr>
                <w:rFonts w:ascii="Times New Roman" w:hAnsi="Times New Roman" w:eastAsia="宋体"/>
                <w:color w:val="auto"/>
                <w:sz w:val="21"/>
                <w:szCs w:val="21"/>
              </w:rPr>
            </w:pPr>
            <w:r>
              <w:rPr>
                <w:rFonts w:hint="eastAsia" w:ascii="Times New Roman" w:hAnsi="Times New Roman" w:eastAsia="宋体"/>
                <w:color w:val="auto"/>
                <w:sz w:val="21"/>
                <w:szCs w:val="21"/>
              </w:rPr>
              <w:t>未按时完成网上应答或未按时上传电子投标文件的，视为无效投标。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3</w:t>
            </w:r>
          </w:p>
        </w:tc>
        <w:tc>
          <w:tcPr>
            <w:tcW w:w="194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开标解密</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2026年3月6日8:30</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2026年3月6日9:30</w:t>
            </w:r>
          </w:p>
        </w:tc>
        <w:tc>
          <w:tcPr>
            <w:tcW w:w="2632" w:type="dxa"/>
            <w:vAlign w:val="center"/>
          </w:tcPr>
          <w:p>
            <w:pPr>
              <w:pStyle w:val="29"/>
              <w:snapToGrid w:val="0"/>
              <w:jc w:val="both"/>
              <w:rPr>
                <w:rFonts w:ascii="Times New Roman" w:hAnsi="Times New Roman" w:eastAsia="宋体"/>
                <w:color w:val="auto"/>
                <w:sz w:val="21"/>
                <w:szCs w:val="21"/>
              </w:rPr>
            </w:pPr>
            <w:r>
              <w:rPr>
                <w:rFonts w:hint="eastAsia" w:ascii="Times New Roman" w:hAnsi="Times New Roman" w:eastAsia="宋体"/>
                <w:color w:val="auto"/>
                <w:sz w:val="21"/>
                <w:szCs w:val="21"/>
              </w:rPr>
              <w:t>未按时完成开标解密的，视为无效投标。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4</w:t>
            </w:r>
          </w:p>
        </w:tc>
        <w:tc>
          <w:tcPr>
            <w:tcW w:w="1941" w:type="dxa"/>
            <w:vAlign w:val="center"/>
          </w:tcPr>
          <w:p>
            <w:pPr>
              <w:pStyle w:val="29"/>
              <w:snapToGrid w:val="0"/>
              <w:jc w:val="center"/>
              <w:rPr>
                <w:rFonts w:ascii="Times New Roman" w:hAnsi="Times New Roman" w:eastAsia="宋体"/>
                <w:color w:val="auto"/>
                <w:sz w:val="21"/>
                <w:szCs w:val="21"/>
              </w:rPr>
            </w:pPr>
            <w:r>
              <w:rPr>
                <w:rFonts w:ascii="Times New Roman" w:hAnsi="Times New Roman" w:eastAsia="宋体"/>
                <w:color w:val="auto"/>
                <w:sz w:val="21"/>
                <w:szCs w:val="21"/>
              </w:rPr>
              <w:t>网上开标公示</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2026年3月6日9:30</w:t>
            </w:r>
          </w:p>
        </w:tc>
        <w:tc>
          <w:tcPr>
            <w:tcW w:w="1891" w:type="dxa"/>
            <w:vAlign w:val="center"/>
          </w:tcPr>
          <w:p>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2026年3月6日12:00</w:t>
            </w:r>
          </w:p>
        </w:tc>
        <w:tc>
          <w:tcPr>
            <w:tcW w:w="2632" w:type="dxa"/>
            <w:vAlign w:val="center"/>
          </w:tcPr>
          <w:p>
            <w:pPr>
              <w:pStyle w:val="29"/>
              <w:snapToGrid w:val="0"/>
              <w:jc w:val="both"/>
              <w:rPr>
                <w:rFonts w:ascii="Times New Roman" w:hAnsi="Times New Roman" w:eastAsia="宋体"/>
                <w:color w:val="auto"/>
                <w:sz w:val="21"/>
                <w:szCs w:val="21"/>
              </w:rPr>
            </w:pPr>
          </w:p>
        </w:tc>
      </w:tr>
    </w:tbl>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（二）参与本项目的方式要求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 xml:space="preserve">2. </w:t>
      </w:r>
      <w:r>
        <w:rPr>
          <w:rFonts w:ascii="Times New Roman" w:hAnsi="Times New Roman" w:eastAsia="宋体" w:cs="Times New Roman"/>
          <w:color w:val="auto"/>
        </w:rPr>
        <w:t>获取招标文件的方式</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采用</w:t>
      </w:r>
      <w:r>
        <w:rPr>
          <w:rFonts w:ascii="Times New Roman" w:hAnsi="Times New Roman" w:eastAsia="宋体" w:cs="Times New Roman"/>
          <w:color w:val="auto"/>
        </w:rPr>
        <w:t>网上获取电子</w:t>
      </w:r>
      <w:r>
        <w:rPr>
          <w:rFonts w:hint="eastAsia" w:ascii="Times New Roman" w:hAnsi="Times New Roman" w:eastAsia="宋体" w:cs="Times New Roman"/>
          <w:color w:val="auto"/>
        </w:rPr>
        <w:t>招标</w:t>
      </w:r>
      <w:r>
        <w:rPr>
          <w:rFonts w:ascii="Times New Roman" w:hAnsi="Times New Roman" w:eastAsia="宋体" w:cs="Times New Roman"/>
          <w:color w:val="auto"/>
        </w:rPr>
        <w:t>文件的方式，供应商应于规定的时间内使用天津数字认证有限公司发出的CA数字证书（原天津市电子认证中心发出尚在有效期内的CA数字证书仍可使用）登录天津市政府采购中心网（网址：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color w:val="auto"/>
        </w:rPr>
        <w:t>http://tjgpc.zwfwb.tj.gov.cn</w:t>
      </w:r>
      <w:r>
        <w:rPr>
          <w:rStyle w:val="26"/>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3. 网上应答（上传电子投标文件）方式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采用网上电子投标方式，投标人</w:t>
      </w:r>
      <w:r>
        <w:rPr>
          <w:rFonts w:hint="eastAsia" w:ascii="Times New Roman" w:hAnsi="Times New Roman" w:eastAsia="宋体" w:cs="Times New Roman"/>
          <w:color w:val="auto"/>
        </w:rPr>
        <w:t>应</w:t>
      </w:r>
      <w:r>
        <w:rPr>
          <w:rFonts w:ascii="Times New Roman" w:hAnsi="Times New Roman" w:eastAsia="宋体" w:cs="Times New Roman"/>
          <w:color w:val="auto"/>
        </w:rPr>
        <w:t>于</w:t>
      </w:r>
      <w:r>
        <w:rPr>
          <w:rFonts w:hint="eastAsia" w:ascii="Times New Roman" w:hAnsi="Times New Roman" w:eastAsia="宋体" w:cs="Times New Roman"/>
          <w:color w:val="auto"/>
        </w:rPr>
        <w:t>规定</w:t>
      </w:r>
      <w:r>
        <w:rPr>
          <w:rFonts w:ascii="Times New Roman" w:hAnsi="Times New Roman" w:eastAsia="宋体" w:cs="Times New Roman"/>
          <w:color w:val="auto"/>
        </w:rPr>
        <w:t>的时间</w:t>
      </w:r>
      <w:r>
        <w:rPr>
          <w:rFonts w:hint="eastAsia" w:ascii="Times New Roman" w:hAnsi="Times New Roman" w:eastAsia="宋体" w:cs="Times New Roman"/>
          <w:color w:val="auto"/>
        </w:rPr>
        <w:t>内</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w:t>
      </w:r>
      <w:r>
        <w:rPr>
          <w:rFonts w:ascii="Times New Roman" w:hAnsi="Times New Roman" w:eastAsia="宋体" w:cs="Times New Roman"/>
          <w:color w:val="auto"/>
        </w:rPr>
        <w:t xml:space="preserve"> 进行网上应答</w:t>
      </w:r>
      <w:r>
        <w:rPr>
          <w:rFonts w:hint="eastAsia" w:ascii="Times New Roman" w:hAnsi="Times New Roman" w:eastAsia="宋体" w:cs="Times New Roman"/>
          <w:color w:val="auto"/>
        </w:rPr>
        <w:t>及提交，并上传加盖投标人电子签章的电子投标文件（以通过天津公共资源电子签章客户端正确读取签章信息为准），否则视为无效投标。</w:t>
      </w:r>
    </w:p>
    <w:p>
      <w:pPr>
        <w:pStyle w:val="29"/>
        <w:spacing w:line="360" w:lineRule="auto"/>
        <w:ind w:firstLine="448" w:firstLineChars="200"/>
        <w:rPr>
          <w:rFonts w:ascii="Times New Roman" w:hAnsi="Times New Roman" w:eastAsia="宋体"/>
          <w:color w:val="auto"/>
        </w:rPr>
      </w:pPr>
      <w:r>
        <w:rPr>
          <w:rFonts w:ascii="Times New Roman" w:hAnsi="Times New Roman" w:eastAsia="宋体" w:cs="Times New Roman"/>
          <w:color w:val="auto"/>
        </w:rPr>
        <w:t>网上应答帮助链接：http://tjgpc.zwfwb.tj.gov.cn/webInfo/getWebInfoListForwebInfoClass.do?fkWebInfoclassId=W008</w:t>
      </w:r>
    </w:p>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4. 开标解密方式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采用网上开标解密方式，投标人</w:t>
      </w:r>
      <w:r>
        <w:rPr>
          <w:rFonts w:hint="eastAsia" w:ascii="Times New Roman" w:hAnsi="Times New Roman" w:eastAsia="宋体" w:cs="Times New Roman"/>
          <w:color w:val="auto"/>
        </w:rPr>
        <w:t>应</w:t>
      </w:r>
      <w:r>
        <w:rPr>
          <w:rFonts w:ascii="Times New Roman" w:hAnsi="Times New Roman" w:eastAsia="宋体" w:cs="Times New Roman"/>
          <w:color w:val="auto"/>
        </w:rPr>
        <w:t>于</w:t>
      </w:r>
      <w:r>
        <w:rPr>
          <w:rFonts w:hint="eastAsia" w:ascii="Times New Roman" w:hAnsi="Times New Roman" w:eastAsia="宋体" w:cs="Times New Roman"/>
          <w:color w:val="auto"/>
        </w:rPr>
        <w:t>规定的时间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r>
        <w:rPr>
          <w:rFonts w:hint="eastAsia" w:ascii="Times New Roman" w:hAnsi="Times New Roman" w:eastAsia="宋体" w:cs="Times New Roman"/>
          <w:color w:val="auto"/>
        </w:rPr>
        <w:t>，否则视为无效投标。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5. </w:t>
      </w:r>
      <w:r>
        <w:rPr>
          <w:rFonts w:ascii="Times New Roman" w:hAnsi="Times New Roman" w:eastAsia="宋体" w:cs="Times New Roman"/>
          <w:color w:val="auto"/>
        </w:rPr>
        <w:t>网上开标公示方式</w:t>
      </w:r>
    </w:p>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供应商应按以上步骤顺序、时间及方式要求参与本项目，否则视为不参与本项目。</w:t>
      </w:r>
    </w:p>
    <w:p>
      <w:pPr>
        <w:pStyle w:val="29"/>
        <w:spacing w:line="360" w:lineRule="auto"/>
        <w:ind w:firstLine="448" w:firstLineChars="200"/>
        <w:jc w:val="both"/>
        <w:rPr>
          <w:rFonts w:ascii="Times New Roman" w:hAnsi="Times New Roman" w:eastAsia="宋体" w:cs="Times New Roman"/>
          <w:color w:val="auto"/>
        </w:rPr>
      </w:pPr>
      <w:bookmarkStart w:id="3" w:name="_Toc412903615"/>
      <w:r>
        <w:rPr>
          <w:rFonts w:hint="eastAsia" w:ascii="Times New Roman" w:hAnsi="Times New Roman" w:eastAsia="宋体" w:cs="Times New Roman"/>
          <w:color w:val="auto"/>
        </w:rPr>
        <w:t>六、现场考察、标前答疑会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本项目不组织现场考察，不组织标前答疑会</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七、采购代理机构</w:t>
      </w:r>
      <w:r>
        <w:rPr>
          <w:rFonts w:hint="eastAsia" w:ascii="Times New Roman" w:hAnsi="Times New Roman" w:eastAsia="宋体" w:cs="Times New Roman"/>
          <w:color w:val="auto"/>
        </w:rPr>
        <w:t>信息</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 xml:space="preserve">联系人：张艳 </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8176</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w:t>
      </w:r>
      <w:r>
        <w:rPr>
          <w:rFonts w:ascii="Times New Roman" w:hAnsi="Times New Roman" w:eastAsia="宋体" w:cs="Times New Roman"/>
          <w:color w:val="auto"/>
        </w:rPr>
        <w:t>、采购人</w:t>
      </w:r>
      <w:r>
        <w:rPr>
          <w:rFonts w:hint="eastAsia" w:ascii="Times New Roman" w:hAnsi="Times New Roman" w:eastAsia="宋体" w:cs="Times New Roman"/>
          <w:color w:val="auto"/>
        </w:rPr>
        <w:t>信息</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张慧</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（四）采购人联系电话：022-24465513 </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、质疑方式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联系部门：财务处</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人：张慧</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022-24465513</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十、公告期限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、招标代理服务费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rFonts w:hint="eastAsia"/>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rFonts w:hint="eastAsia"/>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rFonts w:hint="eastAsia"/>
                <w:sz w:val="24"/>
              </w:rPr>
              <w:t>0.05%</w:t>
            </w:r>
          </w:p>
        </w:tc>
      </w:tr>
    </w:tbl>
    <w:p>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both"/>
        <w:rPr>
          <w:rFonts w:ascii="Times New Roman" w:hAnsi="Times New Roman" w:eastAsia="宋体" w:cs="Times New Roman"/>
          <w:color w:val="auto"/>
        </w:rPr>
      </w:pPr>
    </w:p>
    <w:p>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2026年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13</w:t>
      </w:r>
      <w:r>
        <w:rPr>
          <w:rFonts w:ascii="Times New Roman" w:hAnsi="Times New Roman" w:eastAsia="宋体" w:cs="Times New Roman"/>
          <w:color w:val="auto"/>
        </w:rPr>
        <w:t>日</w:t>
      </w:r>
    </w:p>
    <w:p>
      <w:pPr>
        <w:pStyle w:val="29"/>
        <w:spacing w:line="360" w:lineRule="auto"/>
        <w:ind w:right="892"/>
        <w:rPr>
          <w:rFonts w:ascii="Times New Roman" w:hAnsi="Times New Roman" w:eastAsia="宋体" w:cs="Times New Roman"/>
          <w:color w:val="auto"/>
        </w:rPr>
      </w:pPr>
    </w:p>
    <w:p>
      <w:pPr>
        <w:widowControl/>
        <w:jc w:val="left"/>
        <w:rPr>
          <w:kern w:val="0"/>
          <w:sz w:val="24"/>
          <w:szCs w:val="24"/>
        </w:rPr>
      </w:pPr>
      <w:r>
        <w:br w:type="page"/>
      </w:r>
    </w:p>
    <w:p>
      <w:pPr>
        <w:pStyle w:val="16"/>
        <w:rPr>
          <w:rFonts w:ascii="Times New Roman" w:hAnsi="Times New Roman"/>
          <w:lang w:eastAsia="zh-CN"/>
        </w:rPr>
      </w:pPr>
      <w:r>
        <w:rPr>
          <w:rFonts w:ascii="Times New Roman" w:hAnsi="Times New Roman"/>
        </w:rPr>
        <w:t>第</w:t>
      </w:r>
      <w:r>
        <w:rPr>
          <w:rFonts w:ascii="Times New Roman" w:hAnsi="Times New Roman"/>
          <w:lang w:eastAsia="zh-CN"/>
        </w:rPr>
        <w:t>二</w:t>
      </w:r>
      <w:r>
        <w:rPr>
          <w:rFonts w:ascii="Times New Roman" w:hAnsi="Times New Roman"/>
        </w:rPr>
        <w:t>部分  招标项目</w:t>
      </w:r>
      <w:bookmarkEnd w:id="3"/>
      <w:r>
        <w:rPr>
          <w:rFonts w:ascii="Times New Roman" w:hAnsi="Times New Roman"/>
        </w:rPr>
        <w:t>需求</w:t>
      </w:r>
    </w:p>
    <w:p>
      <w:pPr>
        <w:autoSpaceDE w:val="0"/>
        <w:autoSpaceDN w:val="0"/>
        <w:adjustRightInd w:val="0"/>
        <w:spacing w:line="360" w:lineRule="auto"/>
        <w:ind w:firstLine="448" w:firstLineChars="200"/>
        <w:rPr>
          <w:sz w:val="24"/>
        </w:rPr>
      </w:pPr>
      <w:r>
        <w:rPr>
          <w:rFonts w:hint="eastAsia"/>
          <w:sz w:val="24"/>
        </w:rPr>
        <w:t>加注“★”号条款为不允许偏离的实质性要求，经评标委员会判定任意一条加注“★”号的条款出现偏离，视为无效投标。</w:t>
      </w:r>
    </w:p>
    <w:p>
      <w:pPr>
        <w:widowControl/>
        <w:ind w:firstLine="448" w:firstLineChars="200"/>
        <w:jc w:val="left"/>
        <w:rPr>
          <w:sz w:val="24"/>
        </w:rPr>
      </w:pPr>
      <w:r>
        <w:rPr>
          <w:rFonts w:hint="eastAsia"/>
          <w:sz w:val="24"/>
        </w:rPr>
        <w:t>一、项目背景</w:t>
      </w:r>
    </w:p>
    <w:p>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随着税收深化改革不断推进，金税四期相关应用系统的上线，为了更好的保障“金四”配套软件基础环境及数据链路平稳、安全和高效的运行，本项目拟采购“金四”配套软件基础环境及数据链路运维服务，为“金四”配套软件基础环境及数据链路提供提供5*8,重保时期7*24服务，充分利用专业技术力量，及时发现隐患，快速排除故障，为确保“金四”配套软件基础环境及数据链路的正常运行提供安全保障，对于提高税务信息系统整体服务水平起到重要作用。</w:t>
      </w:r>
    </w:p>
    <w:p>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二、技术要求</w:t>
      </w:r>
    </w:p>
    <w:p>
      <w:pPr>
        <w:spacing w:line="360" w:lineRule="auto"/>
        <w:ind w:firstLine="448" w:firstLineChars="200"/>
        <w:outlineLvl w:val="0"/>
        <w:rPr>
          <w:sz w:val="24"/>
        </w:rPr>
      </w:pPr>
      <w:r>
        <w:rPr>
          <w:rFonts w:hint="eastAsia"/>
          <w:sz w:val="24"/>
        </w:rPr>
        <w:t>★</w:t>
      </w:r>
      <w:r>
        <w:rPr>
          <w:sz w:val="24"/>
        </w:rPr>
        <w:t>（一）投标人须承诺所提供的服务、人员及设备符合相关强制性规定。</w:t>
      </w:r>
      <w:r>
        <w:rPr>
          <w:rFonts w:hint="eastAsia"/>
          <w:sz w:val="24"/>
        </w:rPr>
        <w:t>验收时采购人有权要求投标人出具</w:t>
      </w:r>
      <w:r>
        <w:rPr>
          <w:sz w:val="24"/>
        </w:rPr>
        <w:t>所提供的服务、人员及设备</w:t>
      </w:r>
      <w:r>
        <w:rPr>
          <w:rFonts w:hint="eastAsia"/>
          <w:sz w:val="24"/>
        </w:rPr>
        <w:t>符合上述规定的证明文件。</w:t>
      </w:r>
    </w:p>
    <w:p>
      <w:pPr>
        <w:spacing w:line="360" w:lineRule="auto"/>
        <w:ind w:firstLine="504" w:firstLineChars="225"/>
        <w:rPr>
          <w:sz w:val="24"/>
        </w:rPr>
      </w:pPr>
      <w:r>
        <w:rPr>
          <w:rFonts w:hint="eastAsia"/>
          <w:sz w:val="24"/>
        </w:rPr>
        <w:t>★（二）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投标人应严格遵守与采购人签订的保密协议，对上述开放资料严格保密，经采购人允许合规使用。</w:t>
      </w:r>
    </w:p>
    <w:p>
      <w:pPr>
        <w:spacing w:line="360" w:lineRule="auto"/>
        <w:ind w:firstLine="504" w:firstLineChars="225"/>
        <w:rPr>
          <w:sz w:val="24"/>
        </w:rPr>
      </w:pPr>
      <w:r>
        <w:rPr>
          <w:rFonts w:hint="eastAsia"/>
          <w:sz w:val="24"/>
        </w:rPr>
        <w:t>（三）具体需求详见项目需求书。</w:t>
      </w:r>
    </w:p>
    <w:p>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三</w:t>
      </w:r>
      <w:r>
        <w:rPr>
          <w:sz w:val="24"/>
          <w:szCs w:val="24"/>
        </w:rPr>
        <w:t>、商务要求</w:t>
      </w:r>
    </w:p>
    <w:p>
      <w:pPr>
        <w:tabs>
          <w:tab w:val="left" w:pos="210"/>
        </w:tabs>
        <w:autoSpaceDE w:val="0"/>
        <w:autoSpaceDN w:val="0"/>
        <w:adjustRightInd w:val="0"/>
        <w:spacing w:line="360" w:lineRule="auto"/>
        <w:ind w:firstLine="448" w:firstLineChars="200"/>
        <w:outlineLvl w:val="0"/>
        <w:rPr>
          <w:sz w:val="24"/>
          <w:szCs w:val="24"/>
        </w:rPr>
      </w:pPr>
      <w:r>
        <w:rPr>
          <w:sz w:val="24"/>
          <w:szCs w:val="24"/>
        </w:rPr>
        <w:t>（一）报价要求</w:t>
      </w:r>
    </w:p>
    <w:p>
      <w:pPr>
        <w:autoSpaceDE w:val="0"/>
        <w:autoSpaceDN w:val="0"/>
        <w:adjustRightInd w:val="0"/>
        <w:spacing w:line="360" w:lineRule="auto"/>
        <w:ind w:firstLine="448" w:firstLineChars="200"/>
        <w:rPr>
          <w:sz w:val="24"/>
        </w:rPr>
      </w:pPr>
      <w:r>
        <w:rPr>
          <w:sz w:val="24"/>
        </w:rPr>
        <w:t>1. 投标报价以人民币填列。</w:t>
      </w:r>
    </w:p>
    <w:p>
      <w:pPr>
        <w:autoSpaceDE w:val="0"/>
        <w:autoSpaceDN w:val="0"/>
        <w:adjustRightInd w:val="0"/>
        <w:spacing w:line="360" w:lineRule="auto"/>
        <w:ind w:firstLine="448" w:firstLineChars="200"/>
        <w:rPr>
          <w:sz w:val="24"/>
        </w:rPr>
      </w:pPr>
      <w:r>
        <w:rPr>
          <w:sz w:val="24"/>
        </w:rPr>
        <w:t>2. 投标人的报价应包括：人员费用、</w:t>
      </w:r>
      <w:r>
        <w:rPr>
          <w:rFonts w:hint="eastAsia"/>
          <w:sz w:val="24"/>
        </w:rPr>
        <w:t>维保</w:t>
      </w:r>
      <w:r>
        <w:rPr>
          <w:sz w:val="24"/>
        </w:rPr>
        <w:t>服务费用、</w:t>
      </w:r>
      <w:r>
        <w:rPr>
          <w:rFonts w:hint="eastAsia"/>
          <w:sz w:val="24"/>
        </w:rPr>
        <w:t>管理费及税金</w:t>
      </w:r>
      <w:r>
        <w:rPr>
          <w:sz w:val="24"/>
        </w:rPr>
        <w:t>等为完成招标文件规定的一切工作所需的全部费用。投标人所报价格应为最终优惠价格。</w:t>
      </w:r>
    </w:p>
    <w:p>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合同规定的服务起始之日起6个月的服务期</w:t>
      </w:r>
      <w:r>
        <w:rPr>
          <w:sz w:val="24"/>
        </w:rPr>
        <w:t>（特殊情况以合同为准）。</w:t>
      </w:r>
    </w:p>
    <w:p>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pPr>
        <w:autoSpaceDE w:val="0"/>
        <w:autoSpaceDN w:val="0"/>
        <w:spacing w:line="360" w:lineRule="auto"/>
        <w:ind w:firstLine="448" w:firstLineChars="200"/>
        <w:rPr>
          <w:sz w:val="24"/>
        </w:rPr>
      </w:pPr>
      <w:r>
        <w:rPr>
          <w:rFonts w:hint="eastAsia"/>
          <w:sz w:val="24"/>
        </w:rPr>
        <w:t>合同签订之日起15个工作日内支付合同总额的30%，服务期过半阶段性验收合格之日起15个工作日内支付合同总额的40%，服务期结束终验合格后15个工作日内支付合同总额的30%</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pPr>
        <w:autoSpaceDE w:val="0"/>
        <w:autoSpaceDN w:val="0"/>
        <w:adjustRightInd w:val="0"/>
        <w:spacing w:line="360" w:lineRule="auto"/>
        <w:ind w:firstLine="448" w:firstLineChars="200"/>
        <w:rPr>
          <w:sz w:val="24"/>
        </w:rPr>
      </w:pPr>
      <w:r>
        <w:rPr>
          <w:sz w:val="24"/>
        </w:rPr>
        <w:t>本项目不收取投标保证金和履约保证金。</w:t>
      </w:r>
    </w:p>
    <w:p>
      <w:pPr>
        <w:autoSpaceDE w:val="0"/>
        <w:autoSpaceDN w:val="0"/>
        <w:adjustRightInd w:val="0"/>
        <w:spacing w:line="360" w:lineRule="auto"/>
        <w:ind w:firstLine="448" w:firstLineChars="200"/>
        <w:rPr>
          <w:sz w:val="24"/>
        </w:rPr>
      </w:pPr>
      <w:r>
        <w:rPr>
          <w:rFonts w:hint="eastAsia"/>
          <w:sz w:val="24"/>
        </w:rPr>
        <w:t>（五）验收方法及标准</w:t>
      </w:r>
    </w:p>
    <w:p>
      <w:pPr>
        <w:autoSpaceDE w:val="0"/>
        <w:autoSpaceDN w:val="0"/>
        <w:adjustRightInd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spacing w:line="360" w:lineRule="auto"/>
        <w:ind w:firstLine="448" w:firstLineChars="200"/>
        <w:outlineLvl w:val="0"/>
        <w:rPr>
          <w:sz w:val="24"/>
        </w:rPr>
      </w:pPr>
      <w:r>
        <w:rPr>
          <w:sz w:val="24"/>
        </w:rPr>
        <w:t>四、评分因素及评标标准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第一部分</w:t>
            </w:r>
            <w:r>
              <w:rPr>
                <w:kern w:val="0"/>
                <w:sz w:val="24"/>
                <w:szCs w:val="24"/>
              </w:rPr>
              <w:t xml:space="preserve"> </w:t>
            </w:r>
            <w:r>
              <w:rPr>
                <w:rFonts w:hint="eastAsia"/>
                <w:kern w:val="0"/>
                <w:sz w:val="24"/>
                <w:szCs w:val="24"/>
              </w:rPr>
              <w:t>价格（1</w:t>
            </w:r>
            <w:r>
              <w:rPr>
                <w:kern w:val="0"/>
                <w:sz w:val="24"/>
                <w:szCs w:val="24"/>
              </w:rPr>
              <w:t>0</w:t>
            </w:r>
            <w:r>
              <w:rPr>
                <w:rFonts w:hint="eastAsia"/>
                <w:kern w:val="0"/>
                <w:sz w:val="24"/>
                <w:szCs w:val="24"/>
              </w:rPr>
              <w:t>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kern w:val="0"/>
                <w:sz w:val="24"/>
                <w:szCs w:val="24"/>
              </w:rPr>
            </w:pPr>
            <w:r>
              <w:rPr>
                <w:rFonts w:hint="eastAsia"/>
                <w:kern w:val="0"/>
                <w:sz w:val="24"/>
                <w:szCs w:val="24"/>
              </w:rPr>
              <w:t>（</w:t>
            </w:r>
            <w:r>
              <w:rPr>
                <w:kern w:val="0"/>
                <w:sz w:val="24"/>
                <w:szCs w:val="24"/>
              </w:rPr>
              <w:t>1</w:t>
            </w:r>
            <w:r>
              <w:rPr>
                <w:rFonts w:hint="eastAsia"/>
                <w:kern w:val="0"/>
                <w:sz w:val="24"/>
                <w:szCs w:val="24"/>
              </w:rPr>
              <w:t>）投标报价超过采购预算的，投标无效，未超过采购预算的投标报价按以下公式进行计算。</w:t>
            </w:r>
          </w:p>
          <w:p>
            <w:pPr>
              <w:widowControl/>
              <w:adjustRightInd w:val="0"/>
              <w:snapToGrid w:val="0"/>
              <w:rPr>
                <w:kern w:val="0"/>
                <w:sz w:val="24"/>
                <w:szCs w:val="24"/>
              </w:rPr>
            </w:pPr>
            <w:r>
              <w:rPr>
                <w:rFonts w:hint="eastAsia"/>
                <w:kern w:val="0"/>
                <w:sz w:val="24"/>
                <w:szCs w:val="24"/>
              </w:rPr>
              <w:t>（</w:t>
            </w:r>
            <w:r>
              <w:rPr>
                <w:kern w:val="0"/>
                <w:sz w:val="24"/>
                <w:szCs w:val="24"/>
              </w:rPr>
              <w:t>2</w:t>
            </w:r>
            <w:r>
              <w:rPr>
                <w:rFonts w:hint="eastAsia"/>
                <w:kern w:val="0"/>
                <w:sz w:val="24"/>
                <w:szCs w:val="24"/>
              </w:rPr>
              <w:t>）投标报价得分</w:t>
            </w:r>
            <w:r>
              <w:rPr>
                <w:kern w:val="0"/>
                <w:sz w:val="24"/>
                <w:szCs w:val="24"/>
              </w:rPr>
              <w:t>=</w:t>
            </w:r>
            <w:r>
              <w:rPr>
                <w:rFonts w:hint="eastAsia"/>
                <w:kern w:val="0"/>
                <w:sz w:val="24"/>
                <w:szCs w:val="24"/>
              </w:rPr>
              <w:t>（评标基准价</w:t>
            </w:r>
            <w:r>
              <w:rPr>
                <w:kern w:val="0"/>
                <w:sz w:val="24"/>
                <w:szCs w:val="24"/>
              </w:rPr>
              <w:t>/</w:t>
            </w:r>
            <w:r>
              <w:rPr>
                <w:rFonts w:hint="eastAsia"/>
                <w:kern w:val="0"/>
                <w:sz w:val="24"/>
                <w:szCs w:val="24"/>
              </w:rPr>
              <w:t>投标报价）</w:t>
            </w:r>
            <w:r>
              <w:rPr>
                <w:kern w:val="0"/>
                <w:sz w:val="24"/>
                <w:szCs w:val="24"/>
              </w:rPr>
              <w:t>×</w:t>
            </w:r>
            <w:r>
              <w:rPr>
                <w:rFonts w:hint="eastAsia"/>
                <w:kern w:val="0"/>
                <w:sz w:val="24"/>
                <w:szCs w:val="24"/>
              </w:rPr>
              <w:t>1</w:t>
            </w:r>
            <w:r>
              <w:rPr>
                <w:kern w:val="0"/>
                <w:sz w:val="24"/>
                <w:szCs w:val="24"/>
              </w:rPr>
              <w:t>0</w:t>
            </w:r>
          </w:p>
          <w:p>
            <w:pPr>
              <w:widowControl/>
              <w:adjustRightInd w:val="0"/>
              <w:snapToGrid w:val="0"/>
              <w:rPr>
                <w:kern w:val="0"/>
                <w:sz w:val="24"/>
                <w:szCs w:val="24"/>
              </w:rPr>
            </w:pPr>
            <w:r>
              <w:rPr>
                <w:rFonts w:hint="eastAsia"/>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w:t>
            </w:r>
            <w:r>
              <w:rPr>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第二部分</w:t>
            </w:r>
            <w:r>
              <w:rPr>
                <w:kern w:val="0"/>
                <w:sz w:val="24"/>
                <w:szCs w:val="24"/>
              </w:rPr>
              <w:t xml:space="preserve"> </w:t>
            </w:r>
            <w:r>
              <w:rPr>
                <w:rFonts w:hint="eastAsia"/>
                <w:kern w:val="0"/>
                <w:sz w:val="24"/>
                <w:szCs w:val="24"/>
              </w:rPr>
              <w:t>客观分（20分）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投标人业绩</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kern w:val="0"/>
                <w:sz w:val="24"/>
                <w:szCs w:val="24"/>
              </w:rPr>
            </w:pPr>
            <w:r>
              <w:rPr>
                <w:rFonts w:hint="eastAsia"/>
                <w:kern w:val="0"/>
                <w:sz w:val="24"/>
                <w:szCs w:val="24"/>
              </w:rPr>
              <w:t>完全按照以下要求提供投标人曾实施的软件运行维护业绩，提供的证明材料均不得遮挡涂黑，否则不予认定加分。</w:t>
            </w:r>
          </w:p>
          <w:p>
            <w:pPr>
              <w:widowControl/>
              <w:adjustRightInd w:val="0"/>
              <w:snapToGrid w:val="0"/>
              <w:rPr>
                <w:kern w:val="0"/>
                <w:sz w:val="24"/>
                <w:szCs w:val="24"/>
              </w:rPr>
            </w:pPr>
            <w:r>
              <w:rPr>
                <w:rFonts w:hint="eastAsia"/>
                <w:kern w:val="0"/>
                <w:sz w:val="24"/>
                <w:szCs w:val="24"/>
              </w:rPr>
              <w:t>合同原件扫描件。包括买卖双方名称及盖章、服务内容</w:t>
            </w:r>
            <w:r>
              <w:rPr>
                <w:rFonts w:hint="eastAsia"/>
                <w:bCs/>
                <w:sz w:val="24"/>
              </w:rPr>
              <w:t>、合同签订日期（应为2022年1月1日或以后）</w:t>
            </w:r>
            <w:r>
              <w:rPr>
                <w:rFonts w:hint="eastAsia"/>
                <w:kern w:val="0"/>
                <w:sz w:val="24"/>
                <w:szCs w:val="24"/>
              </w:rPr>
              <w:t>。</w:t>
            </w:r>
          </w:p>
          <w:p>
            <w:pPr>
              <w:widowControl/>
              <w:adjustRightInd w:val="0"/>
              <w:snapToGrid w:val="0"/>
              <w:rPr>
                <w:kern w:val="0"/>
                <w:sz w:val="24"/>
                <w:szCs w:val="24"/>
              </w:rPr>
            </w:pPr>
            <w:r>
              <w:rPr>
                <w:rFonts w:hint="eastAsia"/>
                <w:kern w:val="0"/>
                <w:sz w:val="24"/>
                <w:szCs w:val="24"/>
              </w:rPr>
              <w:t>每个业绩1分，最多5分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sz w:val="24"/>
              </w:rPr>
            </w:pPr>
            <w:r>
              <w:rPr>
                <w:rFonts w:hint="eastAsia"/>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承诺完全满足招标文件“报价要求”、“时间地点要求”、“付款方式要求”和技术要求中非“★”号要求的：15分，其他0分。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第三部分</w:t>
            </w:r>
            <w:r>
              <w:rPr>
                <w:kern w:val="0"/>
                <w:sz w:val="24"/>
                <w:szCs w:val="24"/>
              </w:rPr>
              <w:t xml:space="preserve"> </w:t>
            </w:r>
            <w:r>
              <w:rPr>
                <w:rFonts w:hint="eastAsia"/>
                <w:kern w:val="0"/>
                <w:sz w:val="24"/>
                <w:szCs w:val="24"/>
              </w:rPr>
              <w:t>主观分（</w:t>
            </w:r>
            <w:r>
              <w:rPr>
                <w:kern w:val="0"/>
                <w:sz w:val="24"/>
                <w:szCs w:val="24"/>
              </w:rPr>
              <w:t>7</w:t>
            </w:r>
            <w:r>
              <w:rPr>
                <w:rFonts w:hint="eastAsia"/>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项目需求理解分析评价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kern w:val="0"/>
                <w:sz w:val="24"/>
                <w:szCs w:val="24"/>
              </w:rPr>
            </w:pPr>
            <w:r>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运行维护方案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sz w:val="24"/>
                <w:szCs w:val="24"/>
                <w:lang w:val="zh-CN"/>
              </w:rPr>
            </w:pPr>
            <w:r>
              <w:rPr>
                <w:rFonts w:hint="eastAsia" w:cs="宋体"/>
                <w:sz w:val="24"/>
                <w:szCs w:val="24"/>
                <w:lang w:val="zh-CN"/>
              </w:rPr>
              <w:t>至少包含</w:t>
            </w:r>
            <w:r>
              <w:rPr>
                <w:rFonts w:hint="eastAsia"/>
                <w:kern w:val="0"/>
                <w:sz w:val="24"/>
                <w:szCs w:val="24"/>
              </w:rPr>
              <w:t>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adjustRightInd w:val="0"/>
              <w:snapToGrid w:val="0"/>
              <w:rPr>
                <w:rFonts w:cs="宋体"/>
                <w:sz w:val="24"/>
                <w:szCs w:val="24"/>
                <w:lang w:val="zh-CN"/>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管理实施方案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sz w:val="24"/>
                <w:szCs w:val="24"/>
                <w:lang w:val="zh-CN"/>
              </w:rPr>
            </w:pPr>
            <w:r>
              <w:rPr>
                <w:rFonts w:hint="eastAsia" w:cs="宋体"/>
                <w:sz w:val="24"/>
                <w:szCs w:val="24"/>
                <w:lang w:val="zh-CN"/>
              </w:rPr>
              <w:t>至少包含</w:t>
            </w:r>
            <w:r>
              <w:rPr>
                <w:rFonts w:hint="eastAsia"/>
                <w:kern w:val="0"/>
                <w:sz w:val="24"/>
                <w:szCs w:val="24"/>
              </w:rPr>
              <w:t>组织管理、进度管理、范围管理以及项目实施过程中的实施管理、质量管理、资源管理、日常运行管理等内容</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adjustRightInd w:val="0"/>
              <w:snapToGrid w:val="0"/>
              <w:rPr>
                <w:rFonts w:cs="宋体"/>
                <w:sz w:val="24"/>
                <w:szCs w:val="24"/>
                <w:lang w:val="zh-CN"/>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保密</w:t>
            </w:r>
            <w:r>
              <w:rPr>
                <w:kern w:val="0"/>
                <w:sz w:val="24"/>
                <w:szCs w:val="24"/>
              </w:rPr>
              <w:t>方案评价</w:t>
            </w:r>
          </w:p>
        </w:tc>
        <w:tc>
          <w:tcPr>
            <w:tcW w:w="72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sz w:val="24"/>
                <w:szCs w:val="24"/>
                <w:lang w:val="zh-CN"/>
              </w:rPr>
            </w:pPr>
            <w:r>
              <w:rPr>
                <w:rFonts w:hint="eastAsia" w:cs="宋体"/>
                <w:sz w:val="24"/>
                <w:szCs w:val="24"/>
                <w:lang w:val="zh-CN"/>
              </w:rPr>
              <w:t>至少包含</w:t>
            </w:r>
            <w:r>
              <w:rPr>
                <w:rFonts w:hint="eastAsia"/>
                <w:kern w:val="0"/>
                <w:sz w:val="24"/>
                <w:szCs w:val="24"/>
              </w:rPr>
              <w:t>落实保密要求的措施、方法、制度、惩罚措施等内容</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adjustRightInd w:val="0"/>
              <w:snapToGrid w:val="0"/>
              <w:rPr>
                <w:rFonts w:cs="宋体"/>
                <w:sz w:val="24"/>
                <w:szCs w:val="24"/>
                <w:lang w:val="zh-CN"/>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知识转移方案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sz w:val="24"/>
                <w:szCs w:val="24"/>
                <w:lang w:val="zh-CN"/>
              </w:rPr>
            </w:pPr>
            <w:r>
              <w:rPr>
                <w:rFonts w:hint="eastAsia" w:cs="宋体"/>
                <w:sz w:val="24"/>
                <w:szCs w:val="24"/>
                <w:lang w:val="zh-CN"/>
              </w:rPr>
              <w:t>至少包含</w:t>
            </w:r>
            <w:r>
              <w:rPr>
                <w:rFonts w:hint="eastAsia"/>
                <w:kern w:val="0"/>
                <w:sz w:val="24"/>
                <w:szCs w:val="24"/>
              </w:rPr>
              <w:t>转移内容、转移形式、转移要求等方面内容</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adjustRightInd w:val="0"/>
              <w:snapToGrid w:val="0"/>
              <w:rPr>
                <w:rFonts w:cs="宋体"/>
                <w:sz w:val="24"/>
                <w:szCs w:val="24"/>
                <w:lang w:val="zh-CN"/>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风险管控方案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sz w:val="24"/>
                <w:szCs w:val="24"/>
                <w:lang w:val="zh-CN"/>
              </w:rPr>
            </w:pPr>
            <w:r>
              <w:rPr>
                <w:rFonts w:hint="eastAsia" w:cs="宋体"/>
                <w:sz w:val="24"/>
                <w:szCs w:val="24"/>
                <w:lang w:val="zh-CN"/>
              </w:rPr>
              <w:t>至少包含</w:t>
            </w:r>
            <w:r>
              <w:rPr>
                <w:rFonts w:hint="eastAsia"/>
                <w:kern w:val="0"/>
                <w:sz w:val="24"/>
                <w:szCs w:val="24"/>
              </w:rPr>
              <w:t>业务风险、人员风险、进度风险等。基于风险评估结果，制定针对性的风险应对策略，持续监控风险状况，并根据实际情况及时完善风险应对策略，确保项目目标顺利实现</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adjustRightInd w:val="0"/>
              <w:snapToGrid w:val="0"/>
              <w:rPr>
                <w:sz w:val="24"/>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kern w:val="0"/>
                <w:sz w:val="24"/>
                <w:szCs w:val="24"/>
              </w:rPr>
            </w:pPr>
            <w:r>
              <w:rPr>
                <w:rFonts w:hint="eastAsia"/>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pPr>
              <w:adjustRightInd w:val="0"/>
              <w:snapToGrid w:val="0"/>
              <w:rPr>
                <w:kern w:val="0"/>
                <w:sz w:val="24"/>
                <w:szCs w:val="24"/>
              </w:rPr>
            </w:pPr>
            <w:r>
              <w:rPr>
                <w:rFonts w:hint="eastAsia" w:cs="宋体"/>
                <w:sz w:val="24"/>
                <w:szCs w:val="24"/>
                <w:lang w:val="zh-CN"/>
              </w:rPr>
              <w:t>至少包含</w:t>
            </w:r>
            <w:r>
              <w:rPr>
                <w:rFonts w:hint="eastAsia"/>
                <w:kern w:val="0"/>
                <w:sz w:val="24"/>
                <w:szCs w:val="24"/>
              </w:rPr>
              <w:t>对合同规定的各项验收指标，提出明确的验收前提条件和验收依据及标准，列明需要移交和交付的各类文档及产出物。对验收中可能发现的问题，供应商应提出有效解决办法和补救措施等内容</w:t>
            </w:r>
          </w:p>
          <w:p>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pPr>
              <w:adjustRightInd w:val="0"/>
              <w:snapToGrid w:val="0"/>
              <w:rPr>
                <w:rFonts w:cs="宋体"/>
                <w:sz w:val="24"/>
                <w:szCs w:val="24"/>
                <w:lang w:val="zh-CN"/>
              </w:rPr>
            </w:pPr>
            <w:r>
              <w:rPr>
                <w:rFonts w:hint="eastAsia"/>
                <w:kern w:val="0"/>
                <w:sz w:val="24"/>
                <w:szCs w:val="24"/>
              </w:rPr>
              <w:t>方案</w:t>
            </w:r>
            <w:r>
              <w:rPr>
                <w:kern w:val="0"/>
                <w:sz w:val="24"/>
                <w:szCs w:val="24"/>
              </w:rPr>
              <w:t>内容每出现</w:t>
            </w:r>
            <w:r>
              <w:rPr>
                <w:rFonts w:hint="eastAsia"/>
                <w:kern w:val="0"/>
                <w:sz w:val="24"/>
                <w:szCs w:val="24"/>
              </w:rPr>
              <w:t>1处瑕疵减2.5分，最低0分。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sz w:val="24"/>
              </w:rPr>
            </w:pPr>
            <w:r>
              <w:rPr>
                <w:rFonts w:hint="eastAsia"/>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24"/>
                <w:szCs w:val="24"/>
              </w:rPr>
            </w:pPr>
            <w:r>
              <w:rPr>
                <w:kern w:val="0"/>
                <w:sz w:val="24"/>
                <w:szCs w:val="24"/>
              </w:rPr>
              <w:t>100</w:t>
            </w:r>
          </w:p>
        </w:tc>
      </w:tr>
    </w:tbl>
    <w:p>
      <w:pPr>
        <w:spacing w:line="360" w:lineRule="auto"/>
        <w:ind w:firstLine="448" w:firstLineChars="200"/>
        <w:outlineLvl w:val="0"/>
        <w:rPr>
          <w:sz w:val="24"/>
        </w:rPr>
      </w:pPr>
      <w:r>
        <w:rPr>
          <w:rFonts w:hint="eastAsia"/>
          <w:kern w:val="0"/>
          <w:sz w:val="24"/>
          <w:szCs w:val="24"/>
        </w:rPr>
        <w:t>主观分中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p>
      <w:pPr>
        <w:widowControl/>
        <w:jc w:val="left"/>
        <w:rPr>
          <w:sz w:val="24"/>
        </w:rPr>
      </w:pPr>
      <w:r>
        <w:rPr>
          <w:sz w:val="24"/>
        </w:rPr>
        <w:br w:type="page"/>
      </w:r>
    </w:p>
    <w:p>
      <w:pPr>
        <w:spacing w:line="360" w:lineRule="auto"/>
        <w:ind w:firstLine="448" w:firstLineChars="200"/>
        <w:jc w:val="center"/>
        <w:outlineLvl w:val="0"/>
        <w:rPr>
          <w:b/>
          <w:sz w:val="24"/>
        </w:rPr>
      </w:pPr>
      <w:r>
        <w:rPr>
          <w:rFonts w:hint="eastAsia"/>
          <w:b/>
          <w:sz w:val="24"/>
        </w:rPr>
        <w:t>项目需求书</w:t>
      </w:r>
    </w:p>
    <w:p>
      <w:pPr>
        <w:spacing w:line="360" w:lineRule="auto"/>
        <w:ind w:firstLine="448" w:firstLineChars="200"/>
        <w:jc w:val="center"/>
        <w:outlineLvl w:val="0"/>
        <w:rPr>
          <w:b/>
          <w:sz w:val="24"/>
        </w:rPr>
      </w:pPr>
    </w:p>
    <w:p>
      <w:pPr>
        <w:spacing w:line="360" w:lineRule="auto"/>
        <w:ind w:firstLine="448" w:firstLineChars="200"/>
        <w:outlineLvl w:val="0"/>
        <w:rPr>
          <w:sz w:val="24"/>
        </w:rPr>
      </w:pPr>
      <w:r>
        <w:rPr>
          <w:rFonts w:hint="eastAsia"/>
          <w:sz w:val="24"/>
        </w:rPr>
        <w:t>一、项目建设思路</w:t>
      </w:r>
    </w:p>
    <w:p>
      <w:pPr>
        <w:spacing w:line="360" w:lineRule="auto"/>
        <w:ind w:firstLine="448" w:firstLineChars="200"/>
        <w:outlineLvl w:val="0"/>
        <w:rPr>
          <w:sz w:val="24"/>
        </w:rPr>
      </w:pPr>
      <w:r>
        <w:rPr>
          <w:rFonts w:hint="eastAsia"/>
          <w:sz w:val="24"/>
        </w:rPr>
        <w:t>本项目旨在为我局“金四”配套软件基础环境及数据链路提供5*8,重保时期7*24运维服务，提供“金四”配套软件基础环境告警处理、日常巡检及运维、问题处理及维护、垃圾数据清理、版本升级、参加日常培训及保障会议、资料整理、工作资料整理移交、安全漏洞修复；数据链路搭建与配置、日常运维监控、故障恢复及改进优化、数据质量一致性保障等运维服务，支撑“金四”配套软件基础环境及数据链路的业务运营，充分利用专业技术力量，及时发现隐患，快速排除故障，为金四”配套软件基础环境及数据链路的正常运行提供安全保障，不断提高税务信息系统服务水平。</w:t>
      </w:r>
    </w:p>
    <w:p>
      <w:pPr>
        <w:spacing w:line="360" w:lineRule="auto"/>
        <w:ind w:firstLine="448" w:firstLineChars="200"/>
        <w:outlineLvl w:val="0"/>
        <w:rPr>
          <w:sz w:val="24"/>
        </w:rPr>
      </w:pPr>
      <w:r>
        <w:rPr>
          <w:rFonts w:hint="eastAsia"/>
          <w:sz w:val="24"/>
        </w:rPr>
        <w:t>二、采购内容</w:t>
      </w:r>
    </w:p>
    <w:p>
      <w:pPr>
        <w:spacing w:line="360" w:lineRule="auto"/>
        <w:ind w:firstLine="448" w:firstLineChars="200"/>
        <w:outlineLvl w:val="0"/>
        <w:rPr>
          <w:sz w:val="24"/>
        </w:rPr>
      </w:pPr>
      <w:r>
        <w:rPr>
          <w:rFonts w:hint="eastAsia"/>
          <w:sz w:val="24"/>
        </w:rPr>
        <w:t>技术工程师驻场服务总计10000工时，分别负责平台、计算存储、网络、安全、数据库、中间件、DSG和CDC数据链路等方向的工作，每个方向至少2人互为主备，允许一人负责多个方向。驻场人员都应具备相关的认证资格，整体工作安排服从我局。如出现重要变更事项或者故障影响较大，应用户要求，应配合原厂提供相关专业技术服务保障，保证系统运行稳定和故障排除。</w:t>
      </w:r>
    </w:p>
    <w:p>
      <w:pPr>
        <w:spacing w:line="360" w:lineRule="auto"/>
        <w:ind w:firstLine="448" w:firstLineChars="200"/>
        <w:outlineLvl w:val="0"/>
        <w:rPr>
          <w:sz w:val="24"/>
        </w:rPr>
      </w:pPr>
      <w:r>
        <w:rPr>
          <w:rFonts w:hint="eastAsia"/>
          <w:sz w:val="24"/>
        </w:rPr>
        <w:t>其中高级岗位不少于6000工时，中级岗位不少于2000工时，其他岗位不少于2000工时，服务期限为合同签订之日起6个月。</w:t>
      </w:r>
    </w:p>
    <w:p>
      <w:pPr>
        <w:spacing w:line="360" w:lineRule="auto"/>
        <w:ind w:firstLine="448" w:firstLineChars="200"/>
        <w:outlineLvl w:val="0"/>
        <w:rPr>
          <w:sz w:val="24"/>
        </w:rPr>
      </w:pPr>
      <w:r>
        <w:rPr>
          <w:rFonts w:hint="eastAsia"/>
          <w:sz w:val="24"/>
        </w:rPr>
        <w:t>三、实施范围要求</w:t>
      </w:r>
    </w:p>
    <w:p>
      <w:pPr>
        <w:spacing w:line="360" w:lineRule="auto"/>
        <w:ind w:firstLine="448" w:firstLineChars="200"/>
        <w:outlineLvl w:val="0"/>
        <w:rPr>
          <w:sz w:val="24"/>
        </w:rPr>
      </w:pPr>
      <w:r>
        <w:rPr>
          <w:rFonts w:hint="eastAsia"/>
          <w:sz w:val="24"/>
        </w:rPr>
        <w:t>为“金四”配套软件基础环境及数据链路提供5*8,重保时期7*24服务，充分利用专业技术力量，及时发现隐患，快速排除故障，为确保“金四”配套软件基础环境及数据链路的正常运行提供安全保障，对于提高税务信息系统整体服务水平起到重要作用，服务内容包括但不限于“金四”配套软件基础环境告警处理、日常巡检及运维、问题处理及维护、垃圾数据清理、版本升级、参加日常培训及保障会议、资料整理、工作资料整理移交、安全漏洞修复；数据链路搭建与配置、日常运维监控、故障恢复及改进优化、数据质量一致性保障等运维服务，支撑“金四”配套软件基础环境及数据链路的业务运营。</w:t>
      </w:r>
    </w:p>
    <w:p>
      <w:pPr>
        <w:spacing w:line="360" w:lineRule="auto"/>
        <w:ind w:firstLine="448" w:firstLineChars="200"/>
        <w:outlineLvl w:val="0"/>
        <w:rPr>
          <w:sz w:val="24"/>
        </w:rPr>
      </w:pPr>
      <w:r>
        <w:rPr>
          <w:rFonts w:hint="eastAsia"/>
          <w:sz w:val="24"/>
        </w:rPr>
        <w:t>1.2.4系统情况</w:t>
      </w:r>
    </w:p>
    <w:p>
      <w:pPr>
        <w:spacing w:line="360" w:lineRule="auto"/>
        <w:ind w:firstLine="448" w:firstLineChars="200"/>
        <w:outlineLvl w:val="0"/>
        <w:rPr>
          <w:sz w:val="24"/>
        </w:rPr>
      </w:pPr>
      <w:r>
        <w:rPr>
          <w:rFonts w:hint="eastAsia"/>
          <w:sz w:val="24"/>
        </w:rPr>
        <w:t>1.2.4.1现有软件系统的主要功能</w:t>
      </w:r>
    </w:p>
    <w:p>
      <w:pPr>
        <w:spacing w:line="360" w:lineRule="auto"/>
        <w:ind w:firstLine="448" w:firstLineChars="200"/>
        <w:outlineLvl w:val="0"/>
        <w:rPr>
          <w:sz w:val="24"/>
        </w:rPr>
      </w:pPr>
      <w:r>
        <w:rPr>
          <w:rFonts w:hint="eastAsia"/>
          <w:sz w:val="24"/>
        </w:rPr>
        <w:t>金税四期基础环境及数据链路，作为系统底座，支撑着全国统一规范电子税务局、统一身份管理平台、慧办平台、应用支撑平台、征纳互动、电子发票服务平台等各金四应用系统的运行。相关服务全年无休，必须保障系统7×24小时稳定高效运行，否则将影响纳税人通过互联网办理税费申报业务，影响税务人通过专网办理管理审批业务。</w:t>
      </w:r>
    </w:p>
    <w:p>
      <w:pPr>
        <w:spacing w:line="360" w:lineRule="auto"/>
        <w:ind w:firstLine="448" w:firstLineChars="200"/>
        <w:outlineLvl w:val="0"/>
        <w:rPr>
          <w:sz w:val="24"/>
        </w:rPr>
      </w:pPr>
      <w:r>
        <w:rPr>
          <w:rFonts w:hint="eastAsia"/>
          <w:sz w:val="24"/>
        </w:rPr>
        <w:t>1.2.4.2业务和技术体系架构及部署</w:t>
      </w:r>
    </w:p>
    <w:p>
      <w:pPr>
        <w:spacing w:line="360" w:lineRule="auto"/>
        <w:ind w:firstLine="448" w:firstLineChars="200"/>
        <w:outlineLvl w:val="0"/>
        <w:rPr>
          <w:sz w:val="24"/>
        </w:rPr>
      </w:pPr>
      <w:r>
        <w:rPr>
          <w:rFonts w:hint="eastAsia"/>
          <w:sz w:val="24"/>
        </w:rPr>
        <w:t>为“金四”配套软件基础环境及数据链路提供5*8,重保时期7*24服务，充分利用专业技术力量，及时发现隐患，快速排除故障，为确保“金四”配套软件基础环境及数据链路的正常运行提供安全保障，对于提高税务信息系统整体服务水平起到重要作用，服务内容包括但不限于“金四”配套软件基础环境告警处理、日常巡检及运维、问题处理及维护、垃圾数据清理、版本升级、参加日常培训及保障会议、资料整理、工作资料整理移交、安全漏洞修复；数据链路搭建与配置、日常运维监控、故障恢复及改进优化、数据质量一致性保障等运维服务，支撑“金四”配套软件基础环境及数据链路的业务运营。分别负责平台、计算存储、网络、安全、数据库、中间件、DSG和CDC数据链路等方向的工作，每个方向至少2人互为主备，允许一人负责多个方向。</w:t>
      </w:r>
    </w:p>
    <w:p>
      <w:pPr>
        <w:widowControl/>
        <w:ind w:firstLine="448" w:firstLineChars="200"/>
        <w:jc w:val="left"/>
        <w:rPr>
          <w:sz w:val="24"/>
        </w:rPr>
      </w:pPr>
      <w:r>
        <w:rPr>
          <w:rFonts w:hint="eastAsia"/>
          <w:sz w:val="24"/>
        </w:rPr>
        <w:t>1.3其他要求</w:t>
      </w:r>
    </w:p>
    <w:p>
      <w:pPr>
        <w:widowControl/>
        <w:ind w:firstLine="448" w:firstLineChars="200"/>
        <w:jc w:val="left"/>
        <w:rPr>
          <w:sz w:val="24"/>
        </w:rPr>
      </w:pPr>
      <w:r>
        <w:rPr>
          <w:rFonts w:hint="eastAsia"/>
          <w:sz w:val="24"/>
        </w:rPr>
        <w:t>1.3.1采购标的需执行的相关标准规范</w:t>
      </w:r>
    </w:p>
    <w:p>
      <w:pPr>
        <w:widowControl/>
        <w:ind w:firstLine="448" w:firstLineChars="200"/>
        <w:jc w:val="left"/>
        <w:rPr>
          <w:sz w:val="24"/>
        </w:rPr>
      </w:pPr>
      <w:r>
        <w:rPr>
          <w:rFonts w:hint="eastAsia"/>
          <w:sz w:val="24"/>
        </w:rPr>
        <w:t>（一）工时分类</w:t>
      </w:r>
    </w:p>
    <w:p>
      <w:pPr>
        <w:widowControl/>
        <w:ind w:firstLine="448" w:firstLineChars="200"/>
        <w:jc w:val="left"/>
        <w:rPr>
          <w:sz w:val="24"/>
        </w:rPr>
      </w:pPr>
      <w:r>
        <w:rPr>
          <w:rFonts w:hint="eastAsia"/>
          <w:sz w:val="24"/>
        </w:rPr>
        <w:t>1.平日工时：全年工作日为248天，工作日每日工时为8小时，预估全年基础平日工时不少于248*8=1984小时/人，为方便计核算，取整后全年基础平日工时不少于2000小时/人。</w:t>
      </w:r>
    </w:p>
    <w:p>
      <w:pPr>
        <w:widowControl/>
        <w:ind w:firstLine="448" w:firstLineChars="200"/>
        <w:jc w:val="left"/>
        <w:rPr>
          <w:sz w:val="24"/>
        </w:rPr>
      </w:pPr>
      <w:r>
        <w:rPr>
          <w:rFonts w:hint="eastAsia"/>
          <w:sz w:val="24"/>
        </w:rPr>
        <w:t>2.值班工时：各月征期内需提供7*8小时值守，全年征期内的休息日约70天，休息日加班8小时工时按2倍计算，即8*2=16小时，预估全年基础加班工时不少于70*16=1120小时/人，为方便计核算，取整后全年基础加班工时不少于1100小时/人。</w:t>
      </w:r>
    </w:p>
    <w:p>
      <w:pPr>
        <w:widowControl/>
        <w:ind w:firstLine="448" w:firstLineChars="200"/>
        <w:jc w:val="left"/>
        <w:rPr>
          <w:sz w:val="24"/>
        </w:rPr>
      </w:pPr>
      <w:r>
        <w:rPr>
          <w:rFonts w:hint="eastAsia"/>
          <w:sz w:val="24"/>
        </w:rPr>
        <w:t>3.重保工时：每年4个月大征期（约75天）、两会期间（约8天）、重要安全演练期间（约30天）、国家和天津市重要活动期间（例如冬奥会、二十大、上合峰会）等重要时间节点，需在非工作时间开展夜班值守，全年值守夜班不少于113天，每日夜间值守16小时工时按1.5倍计算，即16*1.5=24小时，预估全年基础重保工时不少于（75+8+30）*24=2712小时/人，为方便计核算，取整后全年基础重保工时不少于2700小时/人。。</w:t>
      </w:r>
    </w:p>
    <w:p>
      <w:pPr>
        <w:widowControl/>
        <w:ind w:firstLine="448" w:firstLineChars="200"/>
        <w:jc w:val="left"/>
        <w:rPr>
          <w:sz w:val="24"/>
        </w:rPr>
      </w:pPr>
      <w:r>
        <w:rPr>
          <w:rFonts w:hint="eastAsia"/>
          <w:sz w:val="24"/>
        </w:rPr>
        <w:t>4.高峰工时：当系统处于业务繁忙高峰期，如征期高峰（征期最后2天）、月末升级和月结初始化（每月最后2天）等，需根据天津市税务局要求，额外动态增加人力资源，每日可增加不超过4小时高峰工时，高峰工时需提前报备弹性人力资源计划，并根据计划执行情况据实核算工时，预估全年基础高峰工时不少于(2+2)*12*4=192小时/人，为方便计核算，取整后全年基础高峰工时不少于200小时/人。</w:t>
      </w:r>
    </w:p>
    <w:p>
      <w:pPr>
        <w:widowControl/>
        <w:ind w:firstLine="448" w:firstLineChars="200"/>
        <w:jc w:val="left"/>
        <w:rPr>
          <w:sz w:val="24"/>
        </w:rPr>
      </w:pPr>
      <w:r>
        <w:rPr>
          <w:rFonts w:hint="eastAsia"/>
          <w:sz w:val="24"/>
        </w:rPr>
        <w:t>5.紧急工时：当系统在非工作时间突发紧急故障，能够开展有效处置，包括非不可抗力因素造成的故障（故障恢复时间＜30分钟），不可抗力因素造成的故障（响应时间≤30分钟，故障恢复时间＜4小时），可按平日工时2倍计算紧急加班工时，并根据事后故障处置报告中人力投入情况据实核算工时，否则不予记录工时。</w:t>
      </w:r>
    </w:p>
    <w:p>
      <w:pPr>
        <w:widowControl/>
        <w:ind w:firstLine="448" w:firstLineChars="200"/>
        <w:jc w:val="left"/>
        <w:rPr>
          <w:sz w:val="24"/>
        </w:rPr>
      </w:pPr>
      <w:r>
        <w:rPr>
          <w:rFonts w:hint="eastAsia"/>
          <w:sz w:val="24"/>
        </w:rPr>
        <w:t>（二）动态调配要求</w:t>
      </w:r>
    </w:p>
    <w:p>
      <w:pPr>
        <w:widowControl/>
        <w:ind w:firstLine="448" w:firstLineChars="200"/>
        <w:jc w:val="left"/>
        <w:rPr>
          <w:sz w:val="24"/>
        </w:rPr>
      </w:pPr>
      <w:r>
        <w:rPr>
          <w:rFonts w:hint="eastAsia"/>
          <w:sz w:val="24"/>
        </w:rPr>
        <w:t>1.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pPr>
        <w:widowControl/>
        <w:ind w:firstLine="448" w:firstLineChars="200"/>
        <w:jc w:val="left"/>
        <w:rPr>
          <w:sz w:val="24"/>
        </w:rPr>
      </w:pPr>
      <w:r>
        <w:rPr>
          <w:rFonts w:hint="eastAsia"/>
          <w:sz w:val="24"/>
        </w:rPr>
        <w:t>2.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pPr>
        <w:widowControl/>
        <w:ind w:firstLine="448" w:firstLineChars="200"/>
        <w:jc w:val="left"/>
        <w:rPr>
          <w:sz w:val="24"/>
        </w:rPr>
      </w:pPr>
      <w:r>
        <w:rPr>
          <w:rFonts w:hint="eastAsia"/>
          <w:sz w:val="24"/>
        </w:rPr>
        <w:t>3.</w:t>
      </w:r>
      <w:r>
        <w:rPr>
          <w:rFonts w:hint="eastAsia"/>
        </w:rPr>
        <w:t xml:space="preserve"> </w:t>
      </w:r>
      <w:r>
        <w:rPr>
          <w:rFonts w:hint="eastAsia"/>
          <w:sz w:val="24"/>
        </w:rPr>
        <w:t>供应商投入的同级别动态人力资源，包括常规工时与额外工时，分类小计应不少于项目采购内容所列各级别所需工时合计数，全部类别合计应不少于项目采购内容所列的需求工时数总量。</w:t>
      </w:r>
    </w:p>
    <w:p>
      <w:pPr>
        <w:widowControl/>
        <w:ind w:firstLine="448" w:firstLineChars="200"/>
        <w:jc w:val="left"/>
        <w:rPr>
          <w:sz w:val="24"/>
        </w:rPr>
      </w:pPr>
      <w:r>
        <w:rPr>
          <w:rFonts w:hint="eastAsia"/>
          <w:sz w:val="24"/>
        </w:rPr>
        <w:t>4.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pPr>
        <w:widowControl/>
        <w:ind w:firstLine="448" w:firstLineChars="200"/>
        <w:jc w:val="left"/>
        <w:rPr>
          <w:sz w:val="24"/>
        </w:rPr>
      </w:pPr>
      <w:r>
        <w:rPr>
          <w:rFonts w:hint="eastAsia"/>
          <w:sz w:val="24"/>
        </w:rPr>
        <w:t>5.供应商不得虚报工时，若采购人发现虚假工时记录，按虚报工时的3倍扣除工时数据。若供应商没有建立动态人力资源池，在高峰期或重保期未达承诺人力，并给采购人造成损失，按缺岗工时的2倍扣除工时数据。</w:t>
      </w:r>
    </w:p>
    <w:p>
      <w:pPr>
        <w:widowControl/>
        <w:ind w:firstLine="448" w:firstLineChars="200"/>
        <w:jc w:val="left"/>
        <w:rPr>
          <w:sz w:val="24"/>
        </w:rPr>
      </w:pPr>
      <w:r>
        <w:rPr>
          <w:rFonts w:hint="eastAsia"/>
          <w:sz w:val="24"/>
        </w:rPr>
        <w:t>四</w:t>
      </w:r>
      <w:r>
        <w:rPr>
          <w:sz w:val="24"/>
        </w:rPr>
        <w:t>、项目需求</w:t>
      </w:r>
    </w:p>
    <w:p>
      <w:pPr>
        <w:widowControl/>
        <w:ind w:firstLine="448" w:firstLineChars="200"/>
        <w:jc w:val="left"/>
        <w:rPr>
          <w:sz w:val="24"/>
        </w:rPr>
      </w:pPr>
      <w:r>
        <w:rPr>
          <w:rFonts w:hint="eastAsia"/>
          <w:sz w:val="24"/>
        </w:rPr>
        <w:t>（一）总体要求</w:t>
      </w:r>
    </w:p>
    <w:p>
      <w:pPr>
        <w:widowControl/>
        <w:ind w:firstLine="448" w:firstLineChars="200"/>
        <w:jc w:val="left"/>
        <w:rPr>
          <w:sz w:val="24"/>
        </w:rPr>
      </w:pPr>
      <w:r>
        <w:rPr>
          <w:rFonts w:hint="eastAsia"/>
          <w:sz w:val="24"/>
        </w:rPr>
        <w:t>供应商按采购人需求组建运维团队，提供运维支持服务，在采购人运维统筹机制下开展工作，提供与驻场支持服务人员配套的内部支持体系，以确保现场支持工作有效进行，保证服务质量。</w:t>
      </w:r>
    </w:p>
    <w:p>
      <w:pPr>
        <w:widowControl/>
        <w:ind w:firstLine="448" w:firstLineChars="200"/>
        <w:jc w:val="left"/>
        <w:rPr>
          <w:sz w:val="24"/>
        </w:rPr>
      </w:pPr>
      <w:r>
        <w:rPr>
          <w:rFonts w:hint="eastAsia"/>
          <w:sz w:val="24"/>
        </w:rPr>
        <w:t>按照总局和市局的要求，供应商对系统提供技术支持服务，对可能发生的异常做到科学预判，对已经发生的问题做到及时处理，对已经解决的问题做到分析总结。</w:t>
      </w:r>
    </w:p>
    <w:p>
      <w:pPr>
        <w:widowControl/>
        <w:ind w:firstLine="448" w:firstLineChars="200"/>
        <w:jc w:val="left"/>
        <w:rPr>
          <w:sz w:val="24"/>
        </w:rPr>
      </w:pPr>
      <w:r>
        <w:rPr>
          <w:rFonts w:hint="eastAsia"/>
          <w:sz w:val="24"/>
        </w:rPr>
        <w:t>（二）“金四”配套软件基础环境</w:t>
      </w:r>
    </w:p>
    <w:p>
      <w:pPr>
        <w:widowControl/>
        <w:ind w:firstLine="448" w:firstLineChars="200"/>
        <w:jc w:val="left"/>
        <w:rPr>
          <w:sz w:val="24"/>
        </w:rPr>
      </w:pPr>
      <w:r>
        <w:rPr>
          <w:rFonts w:hint="eastAsia"/>
          <w:sz w:val="24"/>
        </w:rPr>
        <w:t>1 基础环境检查及修复</w:t>
      </w:r>
    </w:p>
    <w:p>
      <w:pPr>
        <w:widowControl/>
        <w:ind w:firstLine="448" w:firstLineChars="200"/>
        <w:jc w:val="left"/>
        <w:rPr>
          <w:sz w:val="24"/>
        </w:rPr>
      </w:pPr>
      <w:r>
        <w:rPr>
          <w:rFonts w:hint="eastAsia"/>
          <w:sz w:val="24"/>
        </w:rPr>
        <w:t>每天进行5次巡检，巡检要求1人巡检1人复检，巡检内容包含专网、互联网云哨，天巡，常用组件情况等，巡检过程中发现的所有问题要形成文字报告发送给项目负责人，1类问题要由项目负责人及时汇报给局方负责人。针对每日巡检及总局下发的巡检公告中的告警问题进行处理，要求1类告警问题当天清零，其它类告警问题2天内完成分析归类，按步进行清零操作。</w:t>
      </w:r>
    </w:p>
    <w:p>
      <w:pPr>
        <w:widowControl/>
        <w:ind w:firstLine="448" w:firstLineChars="200"/>
        <w:jc w:val="left"/>
        <w:rPr>
          <w:sz w:val="24"/>
        </w:rPr>
      </w:pPr>
      <w:r>
        <w:rPr>
          <w:rFonts w:hint="eastAsia"/>
          <w:sz w:val="24"/>
        </w:rPr>
        <w:t>2 磁盘容量检查及清理</w:t>
      </w:r>
    </w:p>
    <w:p>
      <w:pPr>
        <w:widowControl/>
        <w:ind w:firstLine="448" w:firstLineChars="200"/>
        <w:jc w:val="left"/>
        <w:rPr>
          <w:sz w:val="24"/>
        </w:rPr>
      </w:pPr>
      <w:r>
        <w:rPr>
          <w:rFonts w:hint="eastAsia"/>
          <w:sz w:val="24"/>
        </w:rPr>
        <w:t>按照规则编制定时数据清理脚本，对占用磁盘过大的云平台容器进行定期清理；手工对磁盘占用过大的云平台物理机进行日志类数据、垃圾类数据进行清理。每日将清理结果上报局方负责人。</w:t>
      </w:r>
    </w:p>
    <w:p>
      <w:pPr>
        <w:widowControl/>
        <w:ind w:firstLine="448" w:firstLineChars="200"/>
        <w:jc w:val="left"/>
        <w:rPr>
          <w:sz w:val="24"/>
        </w:rPr>
      </w:pPr>
      <w:r>
        <w:rPr>
          <w:rFonts w:hint="eastAsia"/>
          <w:sz w:val="24"/>
        </w:rPr>
        <w:t>3 版本升级</w:t>
      </w:r>
    </w:p>
    <w:p>
      <w:pPr>
        <w:widowControl/>
        <w:ind w:firstLine="448" w:firstLineChars="200"/>
        <w:jc w:val="left"/>
        <w:rPr>
          <w:sz w:val="24"/>
        </w:rPr>
      </w:pPr>
      <w:r>
        <w:rPr>
          <w:rFonts w:hint="eastAsia"/>
          <w:sz w:val="24"/>
        </w:rPr>
        <w:t>对总局下发的版本升级物料包进行下载，并上传到对应的跳板机，解压并进行验证。在业务不繁忙时段进行总局下发的云平台版本升级。对升级过程中出现的错误进行修正，无法及时修正的联系腾讯工程师处理。升级结束后形成升级报告上报局方负责人。</w:t>
      </w:r>
    </w:p>
    <w:p>
      <w:pPr>
        <w:widowControl/>
        <w:ind w:firstLine="448" w:firstLineChars="200"/>
        <w:jc w:val="left"/>
        <w:rPr>
          <w:sz w:val="24"/>
        </w:rPr>
      </w:pPr>
      <w:r>
        <w:rPr>
          <w:rFonts w:hint="eastAsia"/>
          <w:sz w:val="24"/>
        </w:rPr>
        <w:t>4配置项优化</w:t>
      </w:r>
    </w:p>
    <w:p>
      <w:pPr>
        <w:widowControl/>
        <w:ind w:firstLine="448" w:firstLineChars="200"/>
        <w:jc w:val="left"/>
        <w:rPr>
          <w:sz w:val="24"/>
        </w:rPr>
      </w:pPr>
      <w:r>
        <w:rPr>
          <w:rFonts w:hint="eastAsia"/>
          <w:sz w:val="24"/>
        </w:rPr>
        <w:t>对总局下发的组件配置检查项进行对应的检查，按照SOP文档中的内容进行对应优化，检查优化过程中发现问题及时解决，并将结果上报局方负责人。</w:t>
      </w:r>
    </w:p>
    <w:p>
      <w:pPr>
        <w:widowControl/>
        <w:ind w:firstLine="448" w:firstLineChars="200"/>
        <w:jc w:val="left"/>
        <w:rPr>
          <w:sz w:val="24"/>
        </w:rPr>
      </w:pPr>
      <w:r>
        <w:rPr>
          <w:rFonts w:hint="eastAsia"/>
          <w:sz w:val="24"/>
        </w:rPr>
        <w:t>5 故障处理</w:t>
      </w:r>
    </w:p>
    <w:p>
      <w:pPr>
        <w:widowControl/>
        <w:ind w:firstLine="448" w:firstLineChars="200"/>
        <w:jc w:val="left"/>
        <w:rPr>
          <w:sz w:val="24"/>
        </w:rPr>
      </w:pPr>
      <w:r>
        <w:rPr>
          <w:rFonts w:hint="eastAsia"/>
          <w:sz w:val="24"/>
        </w:rPr>
        <w:t>处理金四基础环境发生的硬件、软件故障，详细记录故障现象、原因和解决方案，确保故障能够得到及时有效的处理。同时，还要对故障进行深入分析，找出根本原因，防止类似故障再次发生。问题处理过程及时与局方负责人沟通。</w:t>
      </w:r>
    </w:p>
    <w:p>
      <w:pPr>
        <w:widowControl/>
        <w:ind w:firstLine="448" w:firstLineChars="200"/>
        <w:jc w:val="left"/>
        <w:rPr>
          <w:sz w:val="24"/>
        </w:rPr>
      </w:pPr>
      <w:r>
        <w:rPr>
          <w:rFonts w:hint="eastAsia"/>
          <w:sz w:val="24"/>
        </w:rPr>
        <w:t>处理总局监控发现的问题及下发的多云工单。多云工单在1小时内受理，24小时内处理并反馈。</w:t>
      </w:r>
    </w:p>
    <w:p>
      <w:pPr>
        <w:widowControl/>
        <w:ind w:firstLine="448" w:firstLineChars="200"/>
        <w:jc w:val="left"/>
        <w:rPr>
          <w:sz w:val="24"/>
        </w:rPr>
      </w:pPr>
      <w:r>
        <w:rPr>
          <w:rFonts w:hint="eastAsia"/>
          <w:sz w:val="24"/>
        </w:rPr>
        <w:t>6 安全加固</w:t>
      </w:r>
    </w:p>
    <w:p>
      <w:pPr>
        <w:widowControl/>
        <w:ind w:firstLine="448" w:firstLineChars="200"/>
        <w:jc w:val="left"/>
        <w:rPr>
          <w:sz w:val="24"/>
        </w:rPr>
      </w:pPr>
      <w:r>
        <w:rPr>
          <w:rFonts w:hint="eastAsia"/>
          <w:sz w:val="24"/>
        </w:rPr>
        <w:t>配合天津市税务局开展本项目系统安全加固，包括漏洞修复、基线安全配置、高危端口修改、弱口令清理等。配合天津市税务局开展信息系统等级保护测评、密码安全性评估、渗透测试、数据安全风险评估、源代码审计等安全检查和安全审计工作，包括人员访谈，提供资产信息，根据报告进行问题整改和复测等。</w:t>
      </w:r>
    </w:p>
    <w:p>
      <w:pPr>
        <w:widowControl/>
        <w:ind w:firstLine="448" w:firstLineChars="200"/>
        <w:jc w:val="left"/>
        <w:rPr>
          <w:sz w:val="24"/>
        </w:rPr>
      </w:pPr>
      <w:r>
        <w:rPr>
          <w:rFonts w:hint="eastAsia"/>
          <w:sz w:val="24"/>
        </w:rPr>
        <w:t>7 其他</w:t>
      </w:r>
    </w:p>
    <w:p>
      <w:pPr>
        <w:widowControl/>
        <w:ind w:firstLine="448" w:firstLineChars="200"/>
        <w:jc w:val="left"/>
        <w:rPr>
          <w:sz w:val="24"/>
        </w:rPr>
      </w:pPr>
      <w:r>
        <w:rPr>
          <w:rFonts w:hint="eastAsia"/>
          <w:sz w:val="24"/>
        </w:rPr>
        <w:t>整理“金四”配套软件相关资料，并录入一帐式进行管理。</w:t>
      </w:r>
    </w:p>
    <w:p>
      <w:pPr>
        <w:widowControl/>
        <w:ind w:firstLine="448" w:firstLineChars="200"/>
        <w:jc w:val="left"/>
        <w:rPr>
          <w:sz w:val="24"/>
        </w:rPr>
      </w:pPr>
      <w:r>
        <w:rPr>
          <w:rFonts w:hint="eastAsia"/>
          <w:sz w:val="24"/>
        </w:rPr>
        <w:t>处理日常业务工作和部署工作中遇到的软件基础环境出现报错或业务中断等问题。</w:t>
      </w:r>
    </w:p>
    <w:p>
      <w:pPr>
        <w:widowControl/>
        <w:ind w:firstLine="448" w:firstLineChars="200"/>
        <w:jc w:val="left"/>
        <w:rPr>
          <w:sz w:val="24"/>
        </w:rPr>
      </w:pPr>
      <w:r>
        <w:rPr>
          <w:rFonts w:hint="eastAsia"/>
          <w:sz w:val="24"/>
        </w:rPr>
        <w:t>处理局方安排的其他云平台相关工作。</w:t>
      </w:r>
    </w:p>
    <w:p>
      <w:pPr>
        <w:widowControl/>
        <w:ind w:firstLine="448" w:firstLineChars="200"/>
        <w:jc w:val="left"/>
        <w:rPr>
          <w:sz w:val="24"/>
        </w:rPr>
      </w:pPr>
      <w:r>
        <w:rPr>
          <w:rFonts w:hint="eastAsia"/>
          <w:sz w:val="24"/>
        </w:rPr>
        <w:t>按照天津市税务局实际需要，在每季度大征期、国家重要节日活动期间，在天津市税务局统一指挥下开展7×24小时重保值守工作，开展本项目系统相关安全保障检查、安全保障监控和安全保障响应，及时开展系统问题处置和安全加固。</w:t>
      </w:r>
    </w:p>
    <w:p>
      <w:pPr>
        <w:widowControl/>
        <w:ind w:firstLine="448" w:firstLineChars="200"/>
        <w:jc w:val="left"/>
        <w:rPr>
          <w:sz w:val="24"/>
        </w:rPr>
      </w:pPr>
      <w:r>
        <w:rPr>
          <w:rFonts w:hint="eastAsia"/>
          <w:sz w:val="24"/>
        </w:rPr>
        <w:t>系统可用性低于50%或出现业务功能阻断问题，未能在0.5小时内解决的，按以下标准扣除合同应付款项。运行故障在0.5小时≤持续时间＜4小时的，按次扣除合同总额的1%；4小时≤持续时间＜8小时的，按次扣除合同总额的5%；持续时间≥8小时的，按次扣除合同总额的10%；合同执行期内，出现3次（含）及以上上述情况，扣除合同总额的30%，并按照相关流程对乙方失信行为进行认定。</w:t>
      </w:r>
    </w:p>
    <w:p>
      <w:pPr>
        <w:widowControl/>
        <w:ind w:firstLine="448" w:firstLineChars="200"/>
        <w:jc w:val="left"/>
        <w:rPr>
          <w:sz w:val="24"/>
        </w:rPr>
      </w:pPr>
      <w:r>
        <w:rPr>
          <w:sz w:val="24"/>
        </w:rPr>
        <w:t>（三）数据链路</w:t>
      </w:r>
    </w:p>
    <w:p>
      <w:pPr>
        <w:widowControl/>
        <w:ind w:firstLine="448" w:firstLineChars="200"/>
        <w:jc w:val="left"/>
        <w:rPr>
          <w:sz w:val="24"/>
        </w:rPr>
      </w:pPr>
      <w:r>
        <w:rPr>
          <w:rFonts w:hint="eastAsia"/>
          <w:sz w:val="24"/>
        </w:rPr>
        <w:t>1 数据链路搭建与配置</w:t>
      </w:r>
    </w:p>
    <w:p>
      <w:pPr>
        <w:widowControl/>
        <w:ind w:firstLine="448" w:firstLineChars="200"/>
        <w:jc w:val="left"/>
        <w:rPr>
          <w:sz w:val="24"/>
        </w:rPr>
      </w:pPr>
      <w:r>
        <w:rPr>
          <w:rFonts w:hint="eastAsia"/>
          <w:sz w:val="24"/>
        </w:rPr>
        <w:t>使用DSG、kafka、cdc等工具设计并部署数据同步方案，覆盖全量及增量同步需求。总计已对接15个内部系统：核心征管、税库银、外部交换、决策一包、决策二包、电子抵账、社保费、内控、实名办税、税控、税智撑、多云平台、慧办平台、可信、新电局；DSG共计搭建50多条链路,实现8000多张表的数据同步。CDC共计搭建27条链路,实现12000多张表的数据同步。配置源端（如MySQL、Oracle等数据库）与目标端（如Kafka、Ckafka、数据仓库）的同步规则，包括表映射、字段转换、数据过滤等。</w:t>
      </w:r>
    </w:p>
    <w:p>
      <w:pPr>
        <w:widowControl/>
        <w:ind w:firstLine="448" w:firstLineChars="200"/>
        <w:jc w:val="left"/>
        <w:rPr>
          <w:sz w:val="24"/>
        </w:rPr>
      </w:pPr>
      <w:r>
        <w:rPr>
          <w:rFonts w:hint="eastAsia"/>
          <w:sz w:val="24"/>
        </w:rPr>
        <w:t>2 日常运维与监控</w:t>
      </w:r>
    </w:p>
    <w:p>
      <w:pPr>
        <w:widowControl/>
        <w:ind w:firstLine="448" w:firstLineChars="200"/>
        <w:jc w:val="left"/>
        <w:rPr>
          <w:sz w:val="24"/>
        </w:rPr>
      </w:pPr>
      <w:r>
        <w:rPr>
          <w:rFonts w:hint="eastAsia"/>
          <w:sz w:val="24"/>
        </w:rPr>
        <w:t>每日进行链路巡检,监控数据同步任务状态，通过DSG和CDC控制台监控同步延迟、吞吐量、错误日志、错误表等关键指标,确保链路正常运行；每月初对DSG和CDC链路服务器进行月健康检查；每月末配合发票系统,进行发票除灰操作；每月末配合其他内部系统,进行新增链路、链路添加表、删除表及数据过滤操作；将链路纳入数据治理的链路监控，开展实时的可视化监控，缩短问题处理时效。</w:t>
      </w:r>
    </w:p>
    <w:p>
      <w:pPr>
        <w:widowControl/>
        <w:ind w:firstLine="448" w:firstLineChars="200"/>
        <w:jc w:val="left"/>
        <w:rPr>
          <w:sz w:val="24"/>
        </w:rPr>
      </w:pPr>
      <w:r>
        <w:rPr>
          <w:rFonts w:hint="eastAsia"/>
          <w:sz w:val="24"/>
        </w:rPr>
        <w:t>3 故障恢复及优化改进</w:t>
      </w:r>
    </w:p>
    <w:p>
      <w:pPr>
        <w:widowControl/>
        <w:ind w:firstLine="448" w:firstLineChars="200"/>
        <w:jc w:val="left"/>
        <w:rPr>
          <w:sz w:val="24"/>
        </w:rPr>
      </w:pPr>
      <w:r>
        <w:rPr>
          <w:rFonts w:hint="eastAsia"/>
          <w:sz w:val="24"/>
        </w:rPr>
        <w:t>快速响应数据链路故障（如链路挂起、数据不一致等），通过DSG和CDC后台日志定位问题（如网络异常、源端变更、目标端写入失败等）,及时分析故障原因，并进行数据补发、重传等操作。优化链路同步任务性能，调整系统参数、并发参数等，提升数据同步效率与资源利用率。根据客户需求,对链路所在服务器进行漏洞修复（如操作系统内核版本升级等）。</w:t>
      </w:r>
    </w:p>
    <w:p>
      <w:pPr>
        <w:widowControl/>
        <w:ind w:firstLine="448" w:firstLineChars="200"/>
        <w:jc w:val="left"/>
        <w:rPr>
          <w:sz w:val="24"/>
        </w:rPr>
      </w:pPr>
      <w:r>
        <w:rPr>
          <w:rFonts w:hint="eastAsia"/>
          <w:sz w:val="24"/>
        </w:rPr>
        <w:t>4 数据质量及一致性保障</w:t>
      </w:r>
    </w:p>
    <w:p>
      <w:pPr>
        <w:widowControl/>
        <w:ind w:firstLine="448" w:firstLineChars="200"/>
        <w:jc w:val="left"/>
        <w:rPr>
          <w:sz w:val="24"/>
        </w:rPr>
      </w:pPr>
      <w:r>
        <w:rPr>
          <w:rFonts w:hint="eastAsia"/>
          <w:sz w:val="24"/>
        </w:rPr>
        <w:t>定期执行数据一致性校验（如比对源端与目标端数据量、关键字段值），使用数据比对工具或自定义脚本检测差异。在数据治理系统上进行配置(如数据对账和结构对账)，根据对账结果预估风险、锁定问题，推动标准化数据同步规范，提升整体数据链路质量。</w:t>
      </w:r>
    </w:p>
    <w:p>
      <w:pPr>
        <w:widowControl/>
        <w:ind w:firstLine="448" w:firstLineChars="200"/>
        <w:jc w:val="left"/>
        <w:rPr>
          <w:sz w:val="24"/>
        </w:rPr>
      </w:pPr>
      <w:r>
        <w:rPr>
          <w:rFonts w:hint="eastAsia"/>
          <w:sz w:val="24"/>
        </w:rPr>
        <w:t>5 本地特色业务</w:t>
      </w:r>
    </w:p>
    <w:p>
      <w:pPr>
        <w:widowControl/>
        <w:ind w:firstLine="448" w:firstLineChars="200"/>
        <w:jc w:val="left"/>
        <w:rPr>
          <w:sz w:val="24"/>
        </w:rPr>
      </w:pPr>
      <w:r>
        <w:rPr>
          <w:rFonts w:hint="eastAsia"/>
          <w:sz w:val="24"/>
        </w:rPr>
        <w:t>根据业务需求，搭建其他特色链路，进行数据准确性测试和验证。</w:t>
      </w:r>
    </w:p>
    <w:p>
      <w:pPr>
        <w:widowControl/>
        <w:ind w:firstLine="448" w:firstLineChars="200"/>
        <w:jc w:val="left"/>
        <w:rPr>
          <w:sz w:val="24"/>
        </w:rPr>
      </w:pPr>
      <w:r>
        <w:rPr>
          <w:rFonts w:hint="eastAsia"/>
          <w:sz w:val="24"/>
        </w:rPr>
        <w:t>5.3 高峰运维</w:t>
      </w:r>
    </w:p>
    <w:p>
      <w:pPr>
        <w:widowControl/>
        <w:ind w:firstLine="448" w:firstLineChars="200"/>
        <w:jc w:val="left"/>
        <w:rPr>
          <w:sz w:val="24"/>
        </w:rPr>
      </w:pPr>
      <w:r>
        <w:rPr>
          <w:rFonts w:hint="eastAsia"/>
          <w:sz w:val="24"/>
        </w:rPr>
        <w:t>当系统处于业务繁忙高峰期，如征期高峰（征期最后2天）、月末升级和月结初始化（每月最后2天）等，需根据天津市税务局要求，额外动态增加人力资源，确保按时完成业务和技术运维需求。</w:t>
      </w:r>
    </w:p>
    <w:p>
      <w:pPr>
        <w:widowControl/>
        <w:ind w:firstLine="448" w:firstLineChars="200"/>
        <w:jc w:val="left"/>
        <w:rPr>
          <w:sz w:val="24"/>
        </w:rPr>
      </w:pPr>
      <w:r>
        <w:rPr>
          <w:rFonts w:hint="eastAsia"/>
          <w:sz w:val="24"/>
        </w:rPr>
        <w:t>5.4 征期值守</w:t>
      </w:r>
    </w:p>
    <w:p>
      <w:pPr>
        <w:widowControl/>
        <w:ind w:firstLine="448" w:firstLineChars="200"/>
        <w:jc w:val="left"/>
        <w:rPr>
          <w:sz w:val="24"/>
        </w:rPr>
      </w:pPr>
      <w:r>
        <w:rPr>
          <w:rFonts w:hint="eastAsia"/>
          <w:sz w:val="24"/>
        </w:rPr>
        <w:t>按照天津市税务局实际需要，在每季度大征期以外的普通征期内，在天津市税务局统一指挥下开展7×8小时征期值守工作，开展本项目系统相关安全保障检查、安全保障监控和安全保障响应，及时开展系统问题处置和安全加固。</w:t>
      </w:r>
    </w:p>
    <w:p>
      <w:pPr>
        <w:widowControl/>
        <w:ind w:firstLine="448" w:firstLineChars="200"/>
        <w:jc w:val="left"/>
        <w:rPr>
          <w:sz w:val="24"/>
        </w:rPr>
      </w:pPr>
      <w:r>
        <w:rPr>
          <w:rFonts w:hint="eastAsia"/>
          <w:sz w:val="24"/>
        </w:rPr>
        <w:t>征期值守期间，运维人员应按时完成系统健康巡检，关注系统可用性监控和自动化拨测告警，发现问题及时上报，及时处置系统故障。在节假日等非工作时间根据天津市税务局实际需要，对系统开展业务和技术支持。当系统在非工作时间突发紧急故障，能够开展有效处置，包括非不可抗力因素造成的故障（故障恢复时间＜30分钟），不可抗力因素造成的故障（响应时间≤30分钟，故障恢复时间＜4小时）。</w:t>
      </w:r>
    </w:p>
    <w:p>
      <w:pPr>
        <w:widowControl/>
        <w:ind w:firstLine="448" w:firstLineChars="200"/>
        <w:jc w:val="left"/>
        <w:rPr>
          <w:sz w:val="24"/>
        </w:rPr>
      </w:pPr>
      <w:r>
        <w:rPr>
          <w:rFonts w:hint="eastAsia"/>
          <w:sz w:val="24"/>
        </w:rPr>
        <w:t>（四）人员要求</w:t>
      </w:r>
    </w:p>
    <w:p>
      <w:pPr>
        <w:widowControl/>
        <w:ind w:firstLine="448" w:firstLineChars="200"/>
        <w:jc w:val="left"/>
        <w:rPr>
          <w:sz w:val="24"/>
        </w:rPr>
      </w:pPr>
      <w:r>
        <w:rPr>
          <w:rFonts w:hint="eastAsia"/>
          <w:sz w:val="24"/>
        </w:rPr>
        <w:t>运维人员应当是供应商的正式工作人员，或者是与供应商签订1年以上劳动合同且实际工作满1年的人员，常驻运维人员应当为技术骨干，对于拟购买的驻场运维人员具体要求如下：</w:t>
      </w:r>
    </w:p>
    <w:p>
      <w:pPr>
        <w:widowControl/>
        <w:ind w:firstLine="448" w:firstLineChars="200"/>
        <w:jc w:val="left"/>
        <w:rPr>
          <w:sz w:val="24"/>
        </w:rPr>
      </w:pPr>
      <w:r>
        <w:rPr>
          <w:rFonts w:hint="eastAsia"/>
          <w:sz w:val="24"/>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pPr>
        <w:widowControl/>
        <w:ind w:firstLine="448" w:firstLineChars="200"/>
        <w:jc w:val="left"/>
        <w:rPr>
          <w:sz w:val="24"/>
        </w:rPr>
      </w:pPr>
      <w:r>
        <w:rPr>
          <w:rFonts w:hint="eastAsia"/>
          <w:sz w:val="24"/>
        </w:rPr>
        <w:t>中级岗位人员需满足资质：本科以下学历工作3年及以上，或本科学历工作2年及以上，或硕士及以上学历工作1年及以上；且从事信息化行业2年及以上（硕士及以上学历可放宽到1年及以上）。</w:t>
      </w:r>
    </w:p>
    <w:p>
      <w:pPr>
        <w:widowControl/>
        <w:ind w:firstLine="448" w:firstLineChars="200"/>
        <w:jc w:val="left"/>
        <w:rPr>
          <w:sz w:val="24"/>
        </w:rPr>
      </w:pPr>
      <w:r>
        <w:rPr>
          <w:rFonts w:hint="eastAsia"/>
          <w:sz w:val="24"/>
        </w:rPr>
        <w:t>其他岗位人员资质要求与高级岗位人员一致，需满足加班、重保、高峰、紧急等工作要求，运维厂商可从现有岗位人员中动态调配人力资源。</w:t>
      </w:r>
    </w:p>
    <w:p>
      <w:pPr>
        <w:widowControl/>
        <w:ind w:firstLine="448" w:firstLineChars="200"/>
        <w:jc w:val="left"/>
        <w:rPr>
          <w:sz w:val="24"/>
        </w:rPr>
      </w:pPr>
      <w:r>
        <w:rPr>
          <w:rFonts w:hint="eastAsia"/>
          <w:sz w:val="24"/>
        </w:rPr>
        <w:t>（五）岗位分类需求明细</w:t>
      </w:r>
    </w:p>
    <w:p>
      <w:pPr>
        <w:widowControl/>
        <w:ind w:firstLine="448" w:firstLineChars="200"/>
        <w:jc w:val="left"/>
        <w:rPr>
          <w:sz w:val="24"/>
        </w:rPr>
      </w:pPr>
      <w:r>
        <w:rPr>
          <w:rFonts w:hint="eastAsia"/>
          <w:sz w:val="24"/>
        </w:rPr>
        <w:t>合计购买不少于10000工时的运维服务，服务期限为合同规定的服务起始之日起6个月的服务期</w:t>
      </w:r>
    </w:p>
    <w:p>
      <w:pPr>
        <w:widowControl/>
        <w:ind w:firstLine="448" w:firstLineChars="200"/>
        <w:jc w:val="left"/>
        <w:rPr>
          <w:sz w:val="24"/>
        </w:rPr>
      </w:pPr>
      <w:r>
        <w:rPr>
          <w:rFonts w:hint="eastAsia"/>
          <w:sz w:val="24"/>
        </w:rPr>
        <w:t>1.</w:t>
      </w:r>
      <w:r>
        <w:rPr>
          <w:rFonts w:hint="eastAsia"/>
        </w:rPr>
        <w:t xml:space="preserve"> </w:t>
      </w:r>
      <w:r>
        <w:rPr>
          <w:rFonts w:hint="eastAsia"/>
          <w:sz w:val="24"/>
        </w:rPr>
        <w:t>运维高级岗：投入工作量不少于6000工时，开展平日运维工作，需满足高级技术人员资质要求。</w:t>
      </w:r>
    </w:p>
    <w:p>
      <w:pPr>
        <w:widowControl/>
        <w:ind w:firstLine="448" w:firstLineChars="200"/>
        <w:jc w:val="left"/>
        <w:rPr>
          <w:sz w:val="24"/>
        </w:rPr>
      </w:pPr>
      <w:r>
        <w:rPr>
          <w:rFonts w:hint="eastAsia"/>
          <w:sz w:val="24"/>
        </w:rPr>
        <w:t>2.</w:t>
      </w:r>
      <w:r>
        <w:rPr>
          <w:rFonts w:hint="eastAsia"/>
        </w:rPr>
        <w:t xml:space="preserve"> </w:t>
      </w:r>
      <w:r>
        <w:rPr>
          <w:rFonts w:hint="eastAsia"/>
          <w:sz w:val="24"/>
        </w:rPr>
        <w:t>运维中级岗：投入工作量不少于2000工时，开展平日运维工作，需满足中级技术人员资质要求。</w:t>
      </w:r>
    </w:p>
    <w:p>
      <w:pPr>
        <w:widowControl/>
        <w:ind w:firstLine="448" w:firstLineChars="200"/>
        <w:jc w:val="left"/>
        <w:rPr>
          <w:sz w:val="24"/>
        </w:rPr>
      </w:pPr>
      <w:r>
        <w:rPr>
          <w:rFonts w:hint="eastAsia"/>
          <w:sz w:val="24"/>
        </w:rPr>
        <w:t>3.</w:t>
      </w:r>
      <w:r>
        <w:rPr>
          <w:rFonts w:hint="eastAsia"/>
        </w:rPr>
        <w:t xml:space="preserve"> </w:t>
      </w:r>
      <w:r>
        <w:rPr>
          <w:rFonts w:hint="eastAsia"/>
          <w:sz w:val="24"/>
        </w:rPr>
        <w:t>运维其他岗：投入工作量不少于2000工时，开展值班、重保、高峰、紧急等运维工作，需满足高级技术人员资质要求。</w:t>
      </w:r>
    </w:p>
    <w:p>
      <w:pPr>
        <w:widowControl/>
        <w:ind w:firstLine="448" w:firstLineChars="200"/>
        <w:jc w:val="left"/>
        <w:rPr>
          <w:sz w:val="24"/>
        </w:rPr>
      </w:pPr>
      <w:r>
        <w:rPr>
          <w:sz w:val="24"/>
        </w:rPr>
        <w:t>（六）</w:t>
      </w:r>
      <w:r>
        <w:rPr>
          <w:rFonts w:hint="eastAsia"/>
          <w:sz w:val="24"/>
        </w:rPr>
        <w:t>岗位管理保障要求</w:t>
      </w:r>
    </w:p>
    <w:p>
      <w:pPr>
        <w:widowControl/>
        <w:ind w:firstLine="448" w:firstLineChars="200"/>
        <w:jc w:val="left"/>
        <w:rPr>
          <w:sz w:val="24"/>
        </w:rPr>
      </w:pPr>
      <w:r>
        <w:rPr>
          <w:rFonts w:hint="eastAsia"/>
          <w:sz w:val="24"/>
        </w:rPr>
        <w:t>1.运维人员受采购人和供应商双重管理，采购人的意见应作为运维人员业绩考核的重要依据。供应商应保证运维人员常驻采购人，并能完全胜任本项目所含各系统的运行维护工作。</w:t>
      </w:r>
    </w:p>
    <w:p>
      <w:pPr>
        <w:widowControl/>
        <w:ind w:firstLine="448" w:firstLineChars="200"/>
        <w:jc w:val="left"/>
        <w:rPr>
          <w:sz w:val="24"/>
        </w:rPr>
      </w:pPr>
      <w:r>
        <w:rPr>
          <w:rFonts w:hint="eastAsia"/>
          <w:sz w:val="24"/>
        </w:rPr>
        <w:t>2.供应商须保证运维人员的稳定性和连续性，运维人员确定后，不得随意更换。供应商须提前做好人力储备,如运维人员合同到期或申请离职，供应商必须提前一个月通知采购人，并立即从技术支持单位后备人员库中经考核，选拔出合格运维人员进行工作熟悉和交接，确保正常工作不受影响。正式更换前，供应商需正式提交书面申请，报采购人负责人审批后方可调整，人员交接过程应符合采购人相关要求。如果因供应商无法保证人员的连续性所造成的全部损失由供应商承担，并从费用中扣除。</w:t>
      </w:r>
    </w:p>
    <w:p>
      <w:pPr>
        <w:widowControl/>
        <w:ind w:firstLine="448" w:firstLineChars="200"/>
        <w:jc w:val="left"/>
        <w:rPr>
          <w:sz w:val="24"/>
        </w:rPr>
      </w:pPr>
      <w:r>
        <w:rPr>
          <w:rFonts w:hint="eastAsia"/>
          <w:sz w:val="24"/>
        </w:rPr>
        <w:t>3.运维人员应具备良好的职业道德。较强的责任心。良好的沟通能力。熟悉本系统相关业务域。具有一定的问题分析能力，能够及时准确的定位问题。</w:t>
      </w:r>
    </w:p>
    <w:p>
      <w:pPr>
        <w:widowControl/>
        <w:ind w:firstLine="448" w:firstLineChars="200"/>
        <w:jc w:val="left"/>
        <w:rPr>
          <w:sz w:val="24"/>
        </w:rPr>
      </w:pPr>
      <w:r>
        <w:rPr>
          <w:rFonts w:hint="eastAsia"/>
          <w:sz w:val="24"/>
        </w:rPr>
        <w:t>4.运维人员工作能力和工作态度达不到维护工作要求的，采购人有权要求更换，供应商应及时更换相关人员。</w:t>
      </w:r>
    </w:p>
    <w:p>
      <w:pPr>
        <w:widowControl/>
        <w:ind w:firstLine="448" w:firstLineChars="200"/>
        <w:jc w:val="left"/>
        <w:rPr>
          <w:sz w:val="24"/>
        </w:rPr>
      </w:pPr>
      <w:r>
        <w:rPr>
          <w:rFonts w:hint="eastAsia"/>
          <w:sz w:val="24"/>
        </w:rPr>
        <w:t>5.供应商和运维人员应严格遵守采购人的出勤、着装、安全等管理规定。在派驻期间，遵守采购人的工作作息时间，同时应按照采购人的要求，在工作需要的时候进行加班。</w:t>
      </w:r>
    </w:p>
    <w:p>
      <w:pPr>
        <w:widowControl/>
        <w:ind w:firstLine="448" w:firstLineChars="200"/>
        <w:jc w:val="left"/>
        <w:rPr>
          <w:sz w:val="24"/>
        </w:rPr>
      </w:pPr>
      <w:r>
        <w:rPr>
          <w:rFonts w:hint="eastAsia"/>
          <w:sz w:val="24"/>
        </w:rPr>
        <w:t>6.遇有疑难问题时，供应商应及时协调提供二线技术支持。</w:t>
      </w:r>
    </w:p>
    <w:p>
      <w:pPr>
        <w:widowControl/>
        <w:ind w:firstLine="448" w:firstLineChars="200"/>
        <w:jc w:val="left"/>
        <w:rPr>
          <w:sz w:val="24"/>
        </w:rPr>
      </w:pPr>
      <w:r>
        <w:rPr>
          <w:rFonts w:hint="eastAsia"/>
          <w:sz w:val="24"/>
        </w:rPr>
        <w:t>7.供应商和运维人员应对采购人负责，按照授权进行工作，不得从事不在授权内的工作内容。因供应商派出的运维人员自身原因造成工作失误，给采购人造成损失的，供应商应承担赔偿责任</w:t>
      </w:r>
    </w:p>
    <w:p>
      <w:pPr>
        <w:widowControl/>
        <w:ind w:firstLine="448" w:firstLineChars="200"/>
        <w:jc w:val="left"/>
        <w:rPr>
          <w:sz w:val="24"/>
        </w:rPr>
      </w:pPr>
      <w:r>
        <w:rPr>
          <w:rFonts w:hint="eastAsia"/>
          <w:sz w:val="24"/>
        </w:rPr>
        <w:t>8.供应商和运维人员应按采购人要求协助开展其它工作。</w:t>
      </w:r>
    </w:p>
    <w:p>
      <w:pPr>
        <w:widowControl/>
        <w:ind w:firstLine="448" w:firstLineChars="200"/>
        <w:jc w:val="left"/>
        <w:rPr>
          <w:sz w:val="24"/>
        </w:rPr>
      </w:pPr>
      <w:r>
        <w:rPr>
          <w:rFonts w:hint="eastAsia"/>
          <w:sz w:val="24"/>
        </w:rPr>
        <w:t>（七）人员动态管理</w:t>
      </w:r>
    </w:p>
    <w:p>
      <w:pPr>
        <w:widowControl/>
        <w:ind w:firstLine="448" w:firstLineChars="200"/>
        <w:jc w:val="left"/>
        <w:rPr>
          <w:sz w:val="24"/>
        </w:rPr>
      </w:pPr>
      <w:r>
        <w:rPr>
          <w:rFonts w:hint="eastAsia"/>
          <w:sz w:val="24"/>
        </w:rPr>
        <w:t>供应商应合理准确估算本项目工作量，做好工作量冗余和动态调整计划。通过建立基于工时的弹性运维体系，实现人员动态调配，保障高峰期服务质量，降低平峰期资源冗余成本，涵盖所有业务和技术运维工作。</w:t>
      </w:r>
    </w:p>
    <w:p>
      <w:pPr>
        <w:widowControl/>
        <w:ind w:firstLine="448" w:firstLineChars="200"/>
        <w:jc w:val="left"/>
        <w:rPr>
          <w:sz w:val="24"/>
        </w:rPr>
      </w:pPr>
      <w:r>
        <w:rPr>
          <w:rFonts w:hint="eastAsia"/>
          <w:sz w:val="24"/>
        </w:rPr>
        <w:t>1.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pPr>
        <w:widowControl/>
        <w:ind w:firstLine="448" w:firstLineChars="200"/>
        <w:jc w:val="left"/>
        <w:rPr>
          <w:sz w:val="24"/>
        </w:rPr>
      </w:pPr>
      <w:r>
        <w:rPr>
          <w:rFonts w:hint="eastAsia"/>
          <w:sz w:val="24"/>
        </w:rPr>
        <w:t>2.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pPr>
        <w:widowControl/>
        <w:ind w:firstLine="448" w:firstLineChars="200"/>
        <w:jc w:val="left"/>
        <w:rPr>
          <w:sz w:val="24"/>
        </w:rPr>
      </w:pPr>
      <w:r>
        <w:rPr>
          <w:rFonts w:hint="eastAsia"/>
          <w:sz w:val="24"/>
        </w:rPr>
        <w:t>3.供应商投入的高中低级别动态人力资源，包括常规工时与额外工时，合计应不少于项目采购内容所列的需求人月数总量。</w:t>
      </w:r>
    </w:p>
    <w:p>
      <w:pPr>
        <w:widowControl/>
        <w:ind w:firstLine="448" w:firstLineChars="200"/>
        <w:jc w:val="left"/>
        <w:rPr>
          <w:sz w:val="24"/>
        </w:rPr>
      </w:pPr>
      <w:r>
        <w:rPr>
          <w:rFonts w:hint="eastAsia"/>
          <w:sz w:val="24"/>
        </w:rPr>
        <w:t>4.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采购人可通过第三方打卡记录、堡垒机在线时长等工具对报告数据进行核验，由双方共同对报告中工作量进行确认。</w:t>
      </w:r>
    </w:p>
    <w:p>
      <w:pPr>
        <w:widowControl/>
        <w:ind w:firstLine="448" w:firstLineChars="200"/>
        <w:jc w:val="left"/>
        <w:rPr>
          <w:sz w:val="24"/>
        </w:rPr>
      </w:pPr>
      <w:r>
        <w:rPr>
          <w:rFonts w:hint="eastAsia"/>
          <w:sz w:val="24"/>
        </w:rPr>
        <w:t>5.供应商不得虚报工时，若采购人发现虚假工时记录，按虚报工时的3倍扣除工时数据。若供应商没有建立动态人力资源池，在高峰期或重保期未达承诺人力，并给采购人造成损失，按缺岗工时的2倍扣除工时数据。</w:t>
      </w:r>
    </w:p>
    <w:p>
      <w:pPr>
        <w:widowControl/>
        <w:ind w:firstLine="448" w:firstLineChars="200"/>
        <w:jc w:val="left"/>
        <w:rPr>
          <w:sz w:val="24"/>
        </w:rPr>
      </w:pPr>
      <w:r>
        <w:rPr>
          <w:rFonts w:hint="eastAsia"/>
          <w:sz w:val="24"/>
        </w:rPr>
        <w:t>（八）管理实施要求</w:t>
      </w:r>
    </w:p>
    <w:p>
      <w:pPr>
        <w:widowControl/>
        <w:ind w:firstLine="448" w:firstLineChars="200"/>
        <w:jc w:val="left"/>
        <w:rPr>
          <w:sz w:val="24"/>
        </w:rPr>
      </w:pPr>
      <w:r>
        <w:rPr>
          <w:rFonts w:hint="eastAsia"/>
          <w:sz w:val="24"/>
        </w:rPr>
        <w:t>1、供应商应成立项目管理组织，严格遵守本项目业务管控、架构管控、项目管控的要求。</w:t>
      </w:r>
    </w:p>
    <w:p>
      <w:pPr>
        <w:widowControl/>
        <w:ind w:firstLine="448" w:firstLineChars="200"/>
        <w:jc w:val="left"/>
        <w:rPr>
          <w:sz w:val="24"/>
        </w:rPr>
      </w:pPr>
      <w:r>
        <w:rPr>
          <w:rFonts w:hint="eastAsia"/>
          <w:sz w:val="24"/>
        </w:rPr>
        <w:t>2、供应商应基于成熟的项目管理方法论，制订完善的项目管理制度、流程，合理划分项目管理的阶段，借助工程管理工具，在项目实施过程中对项目进行规范化管理，确保项目实施进度和实施质量。</w:t>
      </w:r>
    </w:p>
    <w:p>
      <w:pPr>
        <w:widowControl/>
        <w:ind w:firstLine="448" w:firstLineChars="200"/>
        <w:jc w:val="left"/>
        <w:rPr>
          <w:sz w:val="24"/>
        </w:rPr>
      </w:pPr>
      <w:r>
        <w:rPr>
          <w:rFonts w:hint="eastAsia"/>
          <w:sz w:val="24"/>
        </w:rPr>
        <w:t>3、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pPr>
        <w:widowControl/>
        <w:ind w:firstLine="448" w:firstLineChars="200"/>
        <w:jc w:val="left"/>
        <w:rPr>
          <w:sz w:val="24"/>
        </w:rPr>
      </w:pPr>
      <w:r>
        <w:rPr>
          <w:rFonts w:hint="eastAsia"/>
          <w:sz w:val="24"/>
        </w:rPr>
        <w:t>4、供应商应提供合理的技术、运维力量配置及工作量单价。</w:t>
      </w:r>
    </w:p>
    <w:p>
      <w:pPr>
        <w:widowControl/>
        <w:ind w:firstLine="448" w:firstLineChars="200"/>
        <w:jc w:val="left"/>
        <w:rPr>
          <w:sz w:val="24"/>
        </w:rPr>
      </w:pPr>
      <w:r>
        <w:rPr>
          <w:rFonts w:hint="eastAsia"/>
          <w:sz w:val="24"/>
        </w:rPr>
        <w:t>5、在项目实施工程中，采购人可能根据实际情况，在不改变工作量的情况下调整项目运维要求，供应商应充分考虑、无条件满足采购人的要求，采购人对此不再额外付费。</w:t>
      </w:r>
    </w:p>
    <w:p>
      <w:pPr>
        <w:widowControl/>
        <w:ind w:firstLine="448" w:firstLineChars="200"/>
        <w:jc w:val="left"/>
        <w:rPr>
          <w:sz w:val="24"/>
        </w:rPr>
      </w:pPr>
      <w:r>
        <w:rPr>
          <w:rFonts w:hint="eastAsia"/>
          <w:sz w:val="24"/>
        </w:rPr>
        <w:t>6、供应商应合理准确估算本项目工作量，做好工作量冗余和动态调整计划。通过建立基于工时的弹性运维体系，实现人员动态调配，保障高峰期服务质量，降低平峰期资源冗余成本，涵盖所有业务和技术运维工作。</w:t>
      </w:r>
    </w:p>
    <w:p>
      <w:pPr>
        <w:widowControl/>
        <w:ind w:firstLine="448" w:firstLineChars="200"/>
        <w:jc w:val="left"/>
        <w:rPr>
          <w:sz w:val="24"/>
        </w:rPr>
      </w:pPr>
      <w:r>
        <w:rPr>
          <w:rFonts w:hint="eastAsia"/>
          <w:sz w:val="24"/>
        </w:rPr>
        <w:t>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pPr>
        <w:widowControl/>
        <w:ind w:firstLine="448" w:firstLineChars="200"/>
        <w:jc w:val="left"/>
        <w:rPr>
          <w:sz w:val="24"/>
        </w:rPr>
      </w:pPr>
      <w:r>
        <w:rPr>
          <w:rFonts w:hint="eastAsia"/>
          <w:sz w:val="24"/>
        </w:rPr>
        <w:t>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pPr>
        <w:widowControl/>
        <w:ind w:firstLine="448" w:firstLineChars="200"/>
        <w:jc w:val="left"/>
        <w:rPr>
          <w:sz w:val="24"/>
        </w:rPr>
      </w:pPr>
      <w:r>
        <w:rPr>
          <w:rFonts w:hint="eastAsia"/>
          <w:sz w:val="24"/>
        </w:rPr>
        <w:t>供应商投入的高中低级别动态人力资源，包括常规工时与额外工时，合计应不少于项目采购内容所列的需求人月数总量。</w:t>
      </w:r>
    </w:p>
    <w:p>
      <w:pPr>
        <w:widowControl/>
        <w:ind w:firstLine="448" w:firstLineChars="200"/>
        <w:jc w:val="left"/>
        <w:rPr>
          <w:sz w:val="24"/>
        </w:rPr>
      </w:pPr>
      <w:r>
        <w:rPr>
          <w:rFonts w:hint="eastAsia"/>
          <w:sz w:val="24"/>
        </w:rPr>
        <w:t>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采购人可通过第三方打卡记录、堡垒机在线时长等工具对报告数据进行核验，由双方共同对报告中工作量进行确认。</w:t>
      </w:r>
    </w:p>
    <w:p>
      <w:pPr>
        <w:widowControl/>
        <w:ind w:firstLine="448" w:firstLineChars="200"/>
        <w:jc w:val="left"/>
        <w:rPr>
          <w:sz w:val="24"/>
        </w:rPr>
      </w:pPr>
      <w:r>
        <w:rPr>
          <w:rFonts w:hint="eastAsia"/>
          <w:sz w:val="24"/>
        </w:rPr>
        <w:t>供应商不得虚报工时，若采购人发现虚假工时记录，按虚报工时的3倍扣除工时数据。若供应商没有建立动态人力资源池，在高峰期或重保期未达承诺人力，并给采购人造成损失，按缺岗工时的2倍扣除工时数据。</w:t>
      </w:r>
    </w:p>
    <w:p>
      <w:pPr>
        <w:widowControl/>
        <w:ind w:firstLine="448" w:firstLineChars="200"/>
        <w:jc w:val="left"/>
        <w:rPr>
          <w:sz w:val="24"/>
        </w:rPr>
      </w:pPr>
      <w:r>
        <w:rPr>
          <w:rFonts w:hint="eastAsia"/>
          <w:sz w:val="24"/>
        </w:rPr>
        <w:t>（九）保密要求</w:t>
      </w:r>
    </w:p>
    <w:p>
      <w:pPr>
        <w:widowControl/>
        <w:ind w:firstLine="448" w:firstLineChars="200"/>
        <w:jc w:val="left"/>
        <w:rPr>
          <w:sz w:val="24"/>
        </w:rPr>
      </w:pPr>
      <w:r>
        <w:rPr>
          <w:rFonts w:hint="eastAsia"/>
          <w:sz w:val="24"/>
        </w:rPr>
        <w:t>1.供应商应严格落实国家税务总局天津市税务局网络安全保密管理要求，承担技术支持人员的安全和保密管理责任。按采购人要求签订供应商保密协议书和技术支持人员保密承诺书。</w:t>
      </w:r>
    </w:p>
    <w:p>
      <w:pPr>
        <w:widowControl/>
        <w:ind w:firstLine="448" w:firstLineChars="200"/>
        <w:jc w:val="left"/>
        <w:rPr>
          <w:sz w:val="24"/>
        </w:rPr>
      </w:pPr>
      <w:r>
        <w:rPr>
          <w:rFonts w:hint="eastAsia"/>
          <w:sz w:val="24"/>
        </w:rPr>
        <w:t>2.供应商负责派驻技术支持人员背景审查工作，提供其身份证明、履历、家庭成员及主要社会关系、无犯罪记录证明、学历证明（《教育部学历证书电子注册备案表》）、劳动合同、社保和个税缴纳凭证等材料，提交信息备案表。</w:t>
      </w:r>
    </w:p>
    <w:p>
      <w:pPr>
        <w:widowControl/>
        <w:ind w:firstLine="448" w:firstLineChars="200"/>
        <w:jc w:val="left"/>
        <w:rPr>
          <w:sz w:val="24"/>
        </w:rPr>
      </w:pPr>
      <w:r>
        <w:rPr>
          <w:rFonts w:hint="eastAsia"/>
          <w:sz w:val="24"/>
        </w:rPr>
        <w:t>3.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pPr>
        <w:widowControl/>
        <w:ind w:firstLine="448" w:firstLineChars="200"/>
        <w:jc w:val="left"/>
        <w:rPr>
          <w:sz w:val="24"/>
        </w:rPr>
      </w:pPr>
      <w:r>
        <w:rPr>
          <w:rFonts w:hint="eastAsia"/>
          <w:sz w:val="24"/>
        </w:rPr>
        <w:t>4.对“保密责任”落实不严格、不到位，造成重大安全事件或产生负面影响的，按照合同中“其他终止合同情况”条款执行，并依照相关法律等规定进行追责。</w:t>
      </w:r>
    </w:p>
    <w:p>
      <w:pPr>
        <w:widowControl/>
        <w:ind w:firstLine="448" w:firstLineChars="200"/>
        <w:jc w:val="left"/>
        <w:rPr>
          <w:sz w:val="24"/>
        </w:rPr>
      </w:pPr>
      <w:r>
        <w:rPr>
          <w:rFonts w:hint="eastAsia"/>
          <w:sz w:val="24"/>
        </w:rPr>
        <w:t>（十）知识转移要求</w:t>
      </w:r>
    </w:p>
    <w:p>
      <w:pPr>
        <w:widowControl/>
        <w:ind w:firstLine="448" w:firstLineChars="200"/>
        <w:jc w:val="left"/>
        <w:rPr>
          <w:sz w:val="24"/>
        </w:rPr>
      </w:pPr>
      <w:r>
        <w:rPr>
          <w:rFonts w:hint="eastAsia"/>
          <w:sz w:val="24"/>
        </w:rPr>
        <w:t>1.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pPr>
        <w:widowControl/>
        <w:ind w:firstLine="448" w:firstLineChars="200"/>
        <w:jc w:val="left"/>
        <w:rPr>
          <w:sz w:val="24"/>
        </w:rPr>
      </w:pPr>
      <w:r>
        <w:rPr>
          <w:rFonts w:hint="eastAsia"/>
          <w:sz w:val="24"/>
        </w:rPr>
        <w:t>2.根据项目具体情况补充其它需要知识转移要求。</w:t>
      </w:r>
    </w:p>
    <w:p>
      <w:pPr>
        <w:widowControl/>
        <w:ind w:firstLine="448" w:firstLineChars="200"/>
        <w:jc w:val="left"/>
        <w:rPr>
          <w:sz w:val="24"/>
        </w:rPr>
      </w:pPr>
      <w:r>
        <w:rPr>
          <w:rFonts w:hint="eastAsia"/>
          <w:sz w:val="24"/>
        </w:rPr>
        <w:t>（十一）风险管控要求</w:t>
      </w:r>
    </w:p>
    <w:p>
      <w:pPr>
        <w:widowControl/>
        <w:ind w:firstLine="448" w:firstLineChars="200"/>
        <w:jc w:val="left"/>
        <w:rPr>
          <w:sz w:val="24"/>
        </w:rPr>
      </w:pPr>
      <w:r>
        <w:rPr>
          <w:rFonts w:hint="eastAsia"/>
          <w:sz w:val="24"/>
        </w:rPr>
        <w:t>1.风险管控总体要求</w:t>
      </w:r>
    </w:p>
    <w:p>
      <w:pPr>
        <w:widowControl/>
        <w:ind w:firstLine="448" w:firstLineChars="200"/>
        <w:jc w:val="left"/>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pPr>
        <w:widowControl/>
        <w:ind w:firstLine="448" w:firstLineChars="200"/>
        <w:jc w:val="left"/>
        <w:rPr>
          <w:sz w:val="24"/>
        </w:rPr>
      </w:pPr>
      <w:r>
        <w:rPr>
          <w:rFonts w:hint="eastAsia"/>
          <w:sz w:val="24"/>
        </w:rPr>
        <w:t>2.风险管控具体要求</w:t>
      </w:r>
    </w:p>
    <w:p>
      <w:pPr>
        <w:widowControl/>
        <w:ind w:firstLine="448" w:firstLineChars="200"/>
        <w:jc w:val="left"/>
        <w:rPr>
          <w:sz w:val="24"/>
        </w:rPr>
      </w:pPr>
      <w:r>
        <w:rPr>
          <w:rFonts w:hint="eastAsia"/>
          <w:sz w:val="24"/>
        </w:rPr>
        <w:t>（1）风险管控内容要求</w:t>
      </w:r>
    </w:p>
    <w:p>
      <w:pPr>
        <w:widowControl/>
        <w:ind w:firstLine="448" w:firstLineChars="200"/>
        <w:jc w:val="left"/>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一是管控人员流动风险：制定合理的薪酬体系和激励机制，避免因人员流动影响项目执行；二是管控运维风险：加强监控预警和安全防护，规范运维操作流程，避免因各种原因导致的事故。</w:t>
      </w:r>
    </w:p>
    <w:p>
      <w:pPr>
        <w:widowControl/>
        <w:ind w:firstLine="448" w:firstLineChars="200"/>
        <w:jc w:val="left"/>
        <w:rPr>
          <w:sz w:val="24"/>
        </w:rPr>
      </w:pPr>
      <w:r>
        <w:rPr>
          <w:rFonts w:hint="eastAsia"/>
          <w:sz w:val="24"/>
        </w:rPr>
        <w:t>（2）风险管控时间要求</w:t>
      </w:r>
    </w:p>
    <w:p>
      <w:pPr>
        <w:widowControl/>
        <w:ind w:firstLine="448" w:firstLineChars="200"/>
        <w:jc w:val="left"/>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pPr>
        <w:widowControl/>
        <w:ind w:firstLine="448" w:firstLineChars="200"/>
        <w:jc w:val="left"/>
        <w:rPr>
          <w:sz w:val="24"/>
        </w:rPr>
      </w:pPr>
      <w:r>
        <w:rPr>
          <w:rFonts w:hint="eastAsia"/>
          <w:sz w:val="24"/>
        </w:rPr>
        <w:t>（3）风险管控形式要求</w:t>
      </w:r>
    </w:p>
    <w:p>
      <w:pPr>
        <w:widowControl/>
        <w:ind w:firstLine="448" w:firstLineChars="200"/>
        <w:jc w:val="left"/>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pPr>
        <w:widowControl/>
        <w:ind w:firstLine="448" w:firstLineChars="200"/>
        <w:jc w:val="left"/>
        <w:rPr>
          <w:sz w:val="24"/>
        </w:rPr>
      </w:pPr>
      <w:r>
        <w:rPr>
          <w:rFonts w:hint="eastAsia"/>
          <w:sz w:val="24"/>
        </w:rPr>
        <w:t>（十二）履约验收要求</w:t>
      </w:r>
    </w:p>
    <w:tbl>
      <w:tblPr>
        <w:tblStyle w:val="22"/>
        <w:tblW w:w="5000" w:type="pct"/>
        <w:tblInd w:w="30" w:type="dxa"/>
        <w:tblLayout w:type="autofit"/>
        <w:tblCellMar>
          <w:top w:w="15" w:type="dxa"/>
          <w:left w:w="15" w:type="dxa"/>
          <w:bottom w:w="15" w:type="dxa"/>
          <w:right w:w="15" w:type="dxa"/>
        </w:tblCellMar>
      </w:tblPr>
      <w:tblGrid>
        <w:gridCol w:w="4178"/>
        <w:gridCol w:w="4178"/>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jc w:val="center"/>
              <w:rPr>
                <w:rFonts w:ascii="仿宋_GB2312" w:hAnsi="仿宋_GB2312" w:eastAsia="仿宋_GB2312" w:cs="仿宋_GB2312"/>
                <w:b/>
                <w:bCs/>
                <w:szCs w:val="21"/>
              </w:rPr>
            </w:pPr>
            <w:r>
              <w:rPr>
                <w:rFonts w:ascii="仿宋_GB2312" w:hAnsi="仿宋_GB2312" w:eastAsia="仿宋_GB2312" w:cs="仿宋_GB2312"/>
                <w:b/>
                <w:bCs/>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jc w:val="center"/>
              <w:rPr>
                <w:rFonts w:ascii="仿宋_GB2312" w:hAnsi="仿宋_GB2312" w:eastAsia="仿宋_GB2312" w:cs="仿宋_GB2312"/>
                <w:b/>
                <w:bCs/>
                <w:szCs w:val="21"/>
              </w:rPr>
            </w:pPr>
            <w:r>
              <w:rPr>
                <w:rFonts w:ascii="仿宋_GB2312" w:hAnsi="仿宋_GB2312" w:eastAsia="仿宋_GB2312" w:cs="仿宋_GB2312"/>
                <w:b/>
                <w:bCs/>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szCs w:val="21"/>
              </w:rPr>
            </w:pPr>
            <w:r>
              <w:rPr>
                <w:rFonts w:ascii="仿宋_GB2312" w:hAnsi="仿宋_GB2312" w:eastAsia="仿宋_GB2312" w:cs="仿宋_GB2312"/>
                <w:szCs w:val="21"/>
              </w:rPr>
              <w:t>第1次验收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szCs w:val="21"/>
              </w:rPr>
            </w:pPr>
            <w:r>
              <w:rPr>
                <w:rFonts w:ascii="仿宋_GB2312" w:hAnsi="仿宋_GB2312" w:eastAsia="仿宋_GB2312" w:cs="仿宋_GB2312"/>
                <w:szCs w:val="21"/>
              </w:rPr>
              <w:t>项目工作进度或时间进度达到50%左右时进行阶段性验收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szCs w:val="21"/>
              </w:rPr>
            </w:pPr>
            <w:r>
              <w:rPr>
                <w:rFonts w:ascii="仿宋_GB2312" w:hAnsi="仿宋_GB2312" w:eastAsia="仿宋_GB2312" w:cs="仿宋_GB2312"/>
                <w:szCs w:val="21"/>
              </w:rPr>
              <w:t>第2次验收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rPr>
                <w:rFonts w:ascii="仿宋_GB2312" w:hAnsi="仿宋_GB2312" w:eastAsia="仿宋_GB2312" w:cs="仿宋_GB2312"/>
                <w:szCs w:val="21"/>
              </w:rPr>
            </w:pPr>
            <w:r>
              <w:rPr>
                <w:rFonts w:ascii="仿宋_GB2312" w:hAnsi="仿宋_GB2312" w:eastAsia="仿宋_GB2312" w:cs="仿宋_GB2312"/>
                <w:szCs w:val="21"/>
              </w:rPr>
              <w:t>项目执行完毕后进行终期验收</w:t>
            </w:r>
          </w:p>
        </w:tc>
      </w:tr>
    </w:tbl>
    <w:p>
      <w:pPr>
        <w:widowControl/>
        <w:ind w:firstLine="448" w:firstLineChars="200"/>
        <w:jc w:val="left"/>
        <w:rPr>
          <w:sz w:val="24"/>
        </w:rPr>
      </w:pPr>
      <w:r>
        <w:rPr>
          <w:rFonts w:hint="eastAsia"/>
          <w:sz w:val="24"/>
        </w:rPr>
        <w:t>1.验收工作由采购人组织实施，采购人、供应商和第三方验收公司等共同参与。</w:t>
      </w:r>
    </w:p>
    <w:p>
      <w:pPr>
        <w:widowControl/>
        <w:ind w:firstLine="448" w:firstLineChars="200"/>
        <w:jc w:val="left"/>
        <w:rPr>
          <w:sz w:val="24"/>
        </w:rPr>
      </w:pPr>
      <w:r>
        <w:rPr>
          <w:rFonts w:hint="eastAsia"/>
          <w:sz w:val="24"/>
        </w:rPr>
        <w:t>2.供应商在满足验收条件后，提出项目验收申请，提交验收相关产出物，提供的各类文档应内容完整、描述清晰、经采购人确认后进行项目验收。</w:t>
      </w:r>
    </w:p>
    <w:p>
      <w:pPr>
        <w:widowControl/>
        <w:ind w:firstLine="448" w:firstLineChars="200"/>
        <w:jc w:val="left"/>
        <w:rPr>
          <w:sz w:val="24"/>
        </w:rPr>
      </w:pPr>
      <w:r>
        <w:rPr>
          <w:rFonts w:hint="eastAsia"/>
          <w:sz w:val="24"/>
        </w:rPr>
        <w:t>3.以项目合同书、验收前双方确认的工作主要交付物、项目验收报告等作为验收依据。</w:t>
      </w:r>
    </w:p>
    <w:p>
      <w:pPr>
        <w:widowControl/>
        <w:ind w:firstLine="448" w:firstLineChars="200"/>
        <w:jc w:val="left"/>
        <w:rPr>
          <w:sz w:val="24"/>
        </w:rPr>
      </w:pPr>
      <w:r>
        <w:rPr>
          <w:rFonts w:hint="eastAsia"/>
          <w:sz w:val="24"/>
        </w:rPr>
        <w:t>（十三）其他要求</w:t>
      </w:r>
    </w:p>
    <w:p>
      <w:pPr>
        <w:widowControl/>
        <w:ind w:firstLine="448" w:firstLineChars="200"/>
        <w:jc w:val="left"/>
        <w:rPr>
          <w:sz w:val="24"/>
        </w:rPr>
      </w:pPr>
      <w:r>
        <w:rPr>
          <w:rFonts w:hint="eastAsia"/>
          <w:sz w:val="24"/>
        </w:rPr>
        <w:t>★税收信息化项目开发和应用管理工作要求</w:t>
      </w:r>
    </w:p>
    <w:p>
      <w:pPr>
        <w:widowControl/>
        <w:ind w:firstLine="448" w:firstLineChars="200"/>
        <w:jc w:val="left"/>
        <w:rPr>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pPr>
        <w:widowControl/>
        <w:ind w:firstLine="448" w:firstLineChars="200"/>
        <w:jc w:val="left"/>
        <w:rPr>
          <w:sz w:val="24"/>
        </w:rPr>
      </w:pPr>
      <w:r>
        <w:rPr>
          <w:rFonts w:hint="eastAsia"/>
          <w:sz w:val="24"/>
        </w:rPr>
        <w:t>★供应链安全管理要求</w:t>
      </w:r>
    </w:p>
    <w:p>
      <w:pPr>
        <w:widowControl/>
        <w:ind w:firstLine="448" w:firstLineChars="200"/>
        <w:jc w:val="left"/>
        <w:rPr>
          <w:sz w:val="24"/>
        </w:rPr>
      </w:pPr>
      <w:r>
        <w:rPr>
          <w:rFonts w:hint="eastAsia"/>
          <w:sz w:val="24"/>
        </w:rPr>
        <w:t xml:space="preserve">1、人员资格要求 </w:t>
      </w:r>
    </w:p>
    <w:p>
      <w:pPr>
        <w:widowControl/>
        <w:ind w:firstLine="448" w:firstLineChars="200"/>
        <w:jc w:val="left"/>
        <w:rPr>
          <w:sz w:val="24"/>
        </w:rPr>
      </w:pPr>
      <w:r>
        <w:rPr>
          <w:rFonts w:hint="eastAsia"/>
          <w:sz w:val="24"/>
        </w:rPr>
        <w:t xml:space="preserve">（1）签订承诺书。供应商应严格落实国家税务总局网络安全和保密管理要求，承担技术支持人员的网络安全和保密管理责任，按采购人要求签订协议和承诺书。 </w:t>
      </w:r>
    </w:p>
    <w:p>
      <w:pPr>
        <w:widowControl/>
        <w:ind w:firstLine="448" w:firstLineChars="200"/>
        <w:jc w:val="left"/>
        <w:rPr>
          <w:sz w:val="24"/>
        </w:rPr>
      </w:pPr>
      <w:r>
        <w:rPr>
          <w:rFonts w:hint="eastAsia"/>
          <w:sz w:val="24"/>
        </w:rPr>
        <w:t xml:space="preserve">（2）开展背景审查。供应商承担技术支持人员背景审查工作，提供其身份证明、履历、家庭成员及主要社会关系、无犯罪记录证明等材料，并提交采购人进行备案。 </w:t>
      </w:r>
    </w:p>
    <w:p>
      <w:pPr>
        <w:widowControl/>
        <w:ind w:firstLine="448" w:firstLineChars="200"/>
        <w:jc w:val="left"/>
        <w:rPr>
          <w:sz w:val="24"/>
        </w:rPr>
      </w:pPr>
      <w:r>
        <w:rPr>
          <w:rFonts w:hint="eastAsia"/>
          <w:sz w:val="24"/>
        </w:rPr>
        <w:t xml:space="preserve">（3）设置网络安全负责人（由驻场运维人员兼任）。供应商为本项目配备一名网络安全负责人，该负责人具备独立决策能力并保持相对稳定，在项目实施的全过程负责网络安全工作，组织落实各项网络安全要求。 </w:t>
      </w:r>
    </w:p>
    <w:p>
      <w:pPr>
        <w:widowControl/>
        <w:ind w:firstLine="448" w:firstLineChars="200"/>
        <w:jc w:val="left"/>
        <w:rPr>
          <w:sz w:val="24"/>
        </w:rPr>
      </w:pPr>
      <w:r>
        <w:rPr>
          <w:rFonts w:hint="eastAsia"/>
          <w:sz w:val="24"/>
        </w:rPr>
        <w:t xml:space="preserve">2、日常行为规范要求 </w:t>
      </w:r>
    </w:p>
    <w:p>
      <w:pPr>
        <w:widowControl/>
        <w:ind w:firstLine="448" w:firstLineChars="200"/>
        <w:jc w:val="left"/>
        <w:rPr>
          <w:sz w:val="24"/>
        </w:rPr>
      </w:pPr>
      <w:r>
        <w:rPr>
          <w:rFonts w:hint="eastAsia"/>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pPr>
        <w:widowControl/>
        <w:ind w:firstLine="448" w:firstLineChars="200"/>
        <w:jc w:val="left"/>
        <w:rPr>
          <w:sz w:val="24"/>
        </w:rPr>
      </w:pPr>
      <w:r>
        <w:rPr>
          <w:rFonts w:hint="eastAsia"/>
          <w:sz w:val="24"/>
        </w:rPr>
        <w:t xml:space="preserve">（2）教育培训要求。供应商负责对技术支持人员进行网络和数据安全法律法规、网络安全意识、网络安全管理、网络安全技能、保密意识以及网络安全警示教育等培训，上岗前对其进行考核。 </w:t>
      </w:r>
    </w:p>
    <w:p>
      <w:pPr>
        <w:widowControl/>
        <w:ind w:firstLine="448" w:firstLineChars="200"/>
        <w:jc w:val="left"/>
        <w:rPr>
          <w:sz w:val="24"/>
        </w:rPr>
      </w:pPr>
      <w:r>
        <w:rPr>
          <w:rFonts w:hint="eastAsia"/>
          <w:sz w:val="24"/>
        </w:rPr>
        <w:t xml:space="preserve">3、违约惩戒措施 </w:t>
      </w:r>
    </w:p>
    <w:p>
      <w:pPr>
        <w:widowControl/>
        <w:ind w:firstLine="448" w:firstLineChars="200"/>
        <w:jc w:val="left"/>
        <w:rPr>
          <w:sz w:val="24"/>
        </w:rPr>
      </w:pPr>
      <w:r>
        <w:rPr>
          <w:rFonts w:hint="eastAsia"/>
          <w:sz w:val="24"/>
        </w:rPr>
        <w:t>供应商对供应链安全管理责任落实不到位，造成安全事件或产生不良影响的，采购人按照法律法规及合同约定进行处理。</w:t>
      </w:r>
    </w:p>
    <w:p>
      <w:pPr>
        <w:widowControl/>
        <w:ind w:firstLine="448" w:firstLineChars="200"/>
        <w:jc w:val="left"/>
        <w:rPr>
          <w:sz w:val="24"/>
        </w:rPr>
      </w:pPr>
      <w:r>
        <w:rPr>
          <w:rFonts w:hint="eastAsia"/>
          <w:sz w:val="24"/>
        </w:rPr>
        <w:t>★信息化服务运维人员要求</w:t>
      </w:r>
    </w:p>
    <w:p>
      <w:pPr>
        <w:widowControl/>
        <w:ind w:firstLine="448" w:firstLineChars="200"/>
        <w:jc w:val="left"/>
        <w:rPr>
          <w:sz w:val="24"/>
        </w:rPr>
      </w:pPr>
      <w:r>
        <w:rPr>
          <w:rFonts w:hint="eastAsia"/>
          <w:sz w:val="24"/>
        </w:rPr>
        <w:t>本项目涉及信息化服务运维人员的，运维人员应当是运维单位的正式人员，或者是与运维单位签订1年以上劳动合同且实际工作满1年的人员，常驻运维人员应当为技术骨干。</w:t>
      </w:r>
    </w:p>
    <w:p>
      <w:pPr>
        <w:widowControl/>
        <w:ind w:firstLine="448" w:firstLineChars="200"/>
        <w:jc w:val="left"/>
        <w:rPr>
          <w:sz w:val="24"/>
        </w:rPr>
      </w:pPr>
      <w:r>
        <w:rPr>
          <w:rFonts w:hint="eastAsia"/>
          <w:sz w:val="24"/>
        </w:rPr>
        <w:t>1.本项目涉及信息化服务运维人员的，运维人员应当是运维单位的正式人员，或者是与运维单位签订1年以上劳动合同且实际工作满1年的人员，常驻运维人员应当为技术骨干。</w:t>
      </w:r>
    </w:p>
    <w:p>
      <w:pPr>
        <w:widowControl/>
        <w:ind w:firstLine="448" w:firstLineChars="200"/>
        <w:jc w:val="left"/>
        <w:rPr>
          <w:sz w:val="24"/>
        </w:rPr>
      </w:pPr>
      <w:r>
        <w:rPr>
          <w:rFonts w:hint="eastAsia"/>
          <w:sz w:val="24"/>
        </w:rPr>
        <w:t>2.严格控制运维人员处理内部文件、获取税务数据的范围和权限，包括不得随意将携带的电脑和移动存储介质接入税务专网。</w:t>
      </w:r>
    </w:p>
    <w:p>
      <w:pPr>
        <w:widowControl/>
        <w:ind w:firstLine="448" w:firstLineChars="200"/>
        <w:jc w:val="left"/>
        <w:rPr>
          <w:sz w:val="24"/>
        </w:rPr>
      </w:pPr>
      <w:r>
        <w:rPr>
          <w:rFonts w:hint="eastAsia"/>
          <w:sz w:val="24"/>
        </w:rPr>
        <w:t>3.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pPr>
        <w:widowControl/>
        <w:ind w:firstLine="448" w:firstLineChars="200"/>
        <w:jc w:val="left"/>
        <w:rPr>
          <w:sz w:val="24"/>
        </w:rPr>
      </w:pPr>
      <w:r>
        <w:rPr>
          <w:rFonts w:hint="eastAsia"/>
          <w:sz w:val="24"/>
        </w:rPr>
        <w:t>4.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pPr>
        <w:widowControl/>
        <w:ind w:firstLine="448" w:firstLineChars="200"/>
        <w:jc w:val="left"/>
        <w:rPr>
          <w:sz w:val="24"/>
        </w:rPr>
      </w:pPr>
      <w:r>
        <w:rPr>
          <w:rFonts w:hint="eastAsia"/>
          <w:sz w:val="24"/>
        </w:rPr>
        <w:t>运行维护保障要求</w:t>
      </w:r>
    </w:p>
    <w:p>
      <w:pPr>
        <w:widowControl/>
        <w:ind w:firstLine="448" w:firstLineChars="200"/>
        <w:jc w:val="left"/>
        <w:rPr>
          <w:sz w:val="24"/>
        </w:rPr>
      </w:pPr>
      <w:r>
        <w:rPr>
          <w:rFonts w:hint="eastAsia"/>
          <w:sz w:val="24"/>
        </w:rPr>
        <w:t>1.供应商在运行维护中出现运行故障（不可抗力因素除外）或发现违规操作，30分钟内未主动上报采购单位的，给予警告，并按次扣除合同总价款1‰的金额；合同生效期间累计扣除不超过合同总价款5%的金额。</w:t>
      </w:r>
    </w:p>
    <w:p>
      <w:pPr>
        <w:widowControl/>
        <w:ind w:firstLine="448" w:firstLineChars="200"/>
        <w:jc w:val="left"/>
        <w:rPr>
          <w:sz w:val="24"/>
        </w:rPr>
      </w:pPr>
      <w:r>
        <w:rPr>
          <w:rFonts w:hint="eastAsia"/>
          <w:sz w:val="24"/>
        </w:rPr>
        <w:t>2.供应商在运行维护中出现巡检不及时、不到位的，按次扣除合同总价款1‰的金额；合同生效期间累计扣除不超过合同总价款的5%。</w:t>
      </w:r>
    </w:p>
    <w:p>
      <w:pPr>
        <w:widowControl/>
        <w:ind w:firstLine="448" w:firstLineChars="200"/>
        <w:jc w:val="left"/>
        <w:rPr>
          <w:sz w:val="24"/>
        </w:rPr>
      </w:pPr>
      <w:r>
        <w:rPr>
          <w:rFonts w:hint="eastAsia"/>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pPr>
        <w:widowControl/>
        <w:ind w:firstLine="448" w:firstLineChars="200"/>
        <w:jc w:val="left"/>
        <w:rPr>
          <w:sz w:val="24"/>
        </w:rPr>
      </w:pPr>
      <w:r>
        <w:rPr>
          <w:rFonts w:hint="eastAsia"/>
          <w:sz w:val="24"/>
        </w:rPr>
        <w:t>廉政要求</w:t>
      </w:r>
    </w:p>
    <w:p>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pPr>
        <w:widowControl/>
        <w:ind w:firstLine="448" w:firstLineChars="200"/>
        <w:jc w:val="left"/>
        <w:rPr>
          <w:sz w:val="24"/>
        </w:rPr>
      </w:pPr>
      <w:r>
        <w:rPr>
          <w:rFonts w:hint="eastAsia"/>
          <w:sz w:val="24"/>
        </w:rPr>
        <w:t>1.积极发挥廉政风险防控正向作用</w:t>
      </w:r>
    </w:p>
    <w:p>
      <w:pPr>
        <w:widowControl/>
        <w:ind w:firstLine="448" w:firstLineChars="200"/>
        <w:jc w:val="left"/>
        <w:rPr>
          <w:sz w:val="24"/>
        </w:rPr>
      </w:pPr>
      <w:r>
        <w:rPr>
          <w:rFonts w:hint="eastAsia"/>
          <w:sz w:val="24"/>
        </w:rPr>
        <w:t>供应商有义务配合税务部门在信息化项目工作中加强廉政风险防控，执行有关措施。</w:t>
      </w:r>
    </w:p>
    <w:p>
      <w:pPr>
        <w:widowControl/>
        <w:ind w:firstLine="448" w:firstLineChars="200"/>
        <w:jc w:val="left"/>
        <w:rPr>
          <w:sz w:val="24"/>
        </w:rPr>
      </w:pPr>
      <w:r>
        <w:rPr>
          <w:rFonts w:hint="eastAsia"/>
          <w:sz w:val="24"/>
        </w:rPr>
        <w:t>2.健全廉政风险防控机制</w:t>
      </w:r>
    </w:p>
    <w:p>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pPr>
        <w:widowControl/>
        <w:ind w:firstLine="448" w:firstLineChars="200"/>
        <w:jc w:val="left"/>
        <w:rPr>
          <w:sz w:val="24"/>
        </w:rPr>
      </w:pPr>
      <w:r>
        <w:rPr>
          <w:rFonts w:hint="eastAsia"/>
          <w:sz w:val="24"/>
        </w:rPr>
        <w:t>3.杜绝违纪违法行为</w:t>
      </w:r>
    </w:p>
    <w:p>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pPr>
        <w:widowControl/>
        <w:ind w:firstLine="448" w:firstLineChars="200"/>
        <w:jc w:val="left"/>
        <w:rPr>
          <w:sz w:val="24"/>
        </w:rPr>
      </w:pPr>
      <w:r>
        <w:rPr>
          <w:rFonts w:hint="eastAsia"/>
          <w:sz w:val="24"/>
        </w:rPr>
        <w:t>（2）以各种形式和名义提供宴请、旅游、健身、娱乐、私人会所等活动安排；代付加班餐费、打车费等。</w:t>
      </w:r>
    </w:p>
    <w:p>
      <w:pPr>
        <w:widowControl/>
        <w:ind w:firstLine="448" w:firstLineChars="200"/>
        <w:jc w:val="left"/>
        <w:rPr>
          <w:sz w:val="24"/>
        </w:rPr>
      </w:pPr>
      <w:r>
        <w:rPr>
          <w:rFonts w:hint="eastAsia"/>
          <w:sz w:val="24"/>
        </w:rPr>
        <w:t>（3）以讲课费、咨询费等名义，提供或变相提供报酬。</w:t>
      </w:r>
    </w:p>
    <w:p>
      <w:pPr>
        <w:widowControl/>
        <w:ind w:firstLine="448" w:firstLineChars="200"/>
        <w:jc w:val="left"/>
        <w:rPr>
          <w:sz w:val="24"/>
        </w:rPr>
      </w:pPr>
      <w:r>
        <w:rPr>
          <w:rFonts w:hint="eastAsia"/>
          <w:sz w:val="24"/>
        </w:rPr>
        <w:t>（4）借款、借房、借车，报销应由个人负担的费用。</w:t>
      </w:r>
    </w:p>
    <w:p>
      <w:pPr>
        <w:widowControl/>
        <w:ind w:firstLine="448" w:firstLineChars="200"/>
        <w:jc w:val="left"/>
        <w:rPr>
          <w:sz w:val="24"/>
        </w:rPr>
      </w:pPr>
      <w:r>
        <w:rPr>
          <w:rFonts w:hint="eastAsia"/>
          <w:sz w:val="24"/>
        </w:rPr>
        <w:t>（5）以无偿、象征性地收取费用等方式提供家政、司机等服务劳务。</w:t>
      </w:r>
    </w:p>
    <w:p>
      <w:pPr>
        <w:widowControl/>
        <w:ind w:firstLine="448" w:firstLineChars="200"/>
        <w:jc w:val="left"/>
        <w:rPr>
          <w:sz w:val="24"/>
        </w:rPr>
      </w:pPr>
      <w:r>
        <w:rPr>
          <w:rFonts w:hint="eastAsia"/>
          <w:sz w:val="24"/>
        </w:rPr>
        <w:t>（6）其他通过任何形式行贿或输送利益的行为。</w:t>
      </w:r>
    </w:p>
    <w:p>
      <w:pPr>
        <w:widowControl/>
        <w:ind w:firstLine="448" w:firstLineChars="200"/>
        <w:jc w:val="left"/>
        <w:rPr>
          <w:sz w:val="24"/>
        </w:rPr>
      </w:pPr>
      <w:r>
        <w:rPr>
          <w:rFonts w:hint="eastAsia"/>
          <w:sz w:val="24"/>
        </w:rPr>
        <w:t>4.信守承诺</w:t>
      </w:r>
    </w:p>
    <w:p>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格式详见附件A）提交采购人负责项目实施的单位。</w:t>
      </w:r>
    </w:p>
    <w:p>
      <w:pPr>
        <w:widowControl/>
        <w:ind w:firstLine="448" w:firstLineChars="200"/>
        <w:jc w:val="left"/>
        <w:rPr>
          <w:sz w:val="24"/>
        </w:rPr>
      </w:pPr>
      <w:r>
        <w:rPr>
          <w:rFonts w:hint="eastAsia"/>
          <w:sz w:val="24"/>
        </w:rPr>
        <w:t>5.自觉接受监管</w:t>
      </w:r>
    </w:p>
    <w:p>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pPr>
        <w:widowControl/>
        <w:ind w:firstLine="448" w:firstLineChars="200"/>
        <w:jc w:val="left"/>
        <w:rPr>
          <w:sz w:val="24"/>
        </w:rPr>
      </w:pPr>
      <w:r>
        <w:rPr>
          <w:rFonts w:hint="eastAsia"/>
          <w:sz w:val="24"/>
        </w:rPr>
        <w:t>6.举报和反馈意见</w:t>
      </w:r>
    </w:p>
    <w:p>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w:t>
      </w:r>
      <w:r>
        <w:rPr>
          <w:sz w:val="24"/>
        </w:rPr>
        <w:t>（格式详见附件A）</w:t>
      </w:r>
      <w:r>
        <w:rPr>
          <w:rFonts w:hint="eastAsia"/>
          <w:sz w:val="24"/>
        </w:rPr>
        <w:t>，提交采购人网络安全和信息化领导小组办公室。</w:t>
      </w:r>
    </w:p>
    <w:p>
      <w:pPr>
        <w:widowControl/>
        <w:ind w:firstLine="450"/>
        <w:jc w:val="left"/>
        <w:rPr>
          <w:sz w:val="24"/>
        </w:rPr>
      </w:pPr>
      <w:r>
        <w:rPr>
          <w:rFonts w:hint="eastAsia"/>
          <w:sz w:val="24"/>
        </w:rPr>
        <w:t>违约责任要求</w:t>
      </w:r>
    </w:p>
    <w:p>
      <w:pPr>
        <w:widowControl/>
        <w:ind w:firstLine="450"/>
        <w:jc w:val="left"/>
        <w:rPr>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pPr>
        <w:widowControl/>
        <w:ind w:firstLine="450"/>
        <w:jc w:val="left"/>
        <w:rPr>
          <w:sz w:val="24"/>
        </w:rPr>
      </w:pPr>
      <w:r>
        <w:rPr>
          <w:rFonts w:hint="eastAsia"/>
          <w:sz w:val="24"/>
        </w:rPr>
        <w:t>2.供应商违规聘用离职税务人员的，按照规定认定供应商失信行为，并将其失信行为报送税务总局网信办。</w:t>
      </w:r>
    </w:p>
    <w:p>
      <w:pPr>
        <w:widowControl/>
        <w:ind w:firstLine="450"/>
        <w:jc w:val="left"/>
        <w:rPr>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pPr>
        <w:widowControl/>
        <w:ind w:firstLine="450"/>
        <w:jc w:val="left"/>
        <w:rPr>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pPr>
        <w:widowControl/>
        <w:ind w:firstLine="450"/>
        <w:jc w:val="left"/>
        <w:rPr>
          <w:sz w:val="24"/>
        </w:rPr>
      </w:pPr>
      <w:r>
        <w:rPr>
          <w:rFonts w:hint="eastAsia"/>
          <w:sz w:val="24"/>
        </w:rPr>
        <w:t>5.供应商存在其他严重失信行为的，经相关部门分析研判，按照规定认定供应商失信行为，并将其失信行为报送税务总局网信办。</w:t>
      </w:r>
    </w:p>
    <w:p>
      <w:pPr>
        <w:widowControl/>
        <w:ind w:firstLine="450"/>
        <w:jc w:val="left"/>
        <w:rPr>
          <w:sz w:val="24"/>
        </w:rPr>
      </w:pPr>
      <w:r>
        <w:rPr>
          <w:rFonts w:hint="eastAsia"/>
          <w:sz w:val="24"/>
        </w:rPr>
        <w:t>知识产权要求</w:t>
      </w:r>
    </w:p>
    <w:p>
      <w:pPr>
        <w:widowControl/>
        <w:ind w:firstLine="450"/>
        <w:jc w:val="left"/>
        <w:rPr>
          <w:sz w:val="24"/>
        </w:rPr>
      </w:pPr>
      <w:r>
        <w:rPr>
          <w:rFonts w:hint="eastAsia"/>
          <w:sz w:val="24"/>
        </w:rPr>
        <w:t>1.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pPr>
        <w:widowControl/>
        <w:ind w:firstLine="450"/>
        <w:jc w:val="left"/>
        <w:rPr>
          <w:sz w:val="24"/>
        </w:rPr>
      </w:pPr>
      <w:r>
        <w:rPr>
          <w:rFonts w:hint="eastAsia"/>
          <w:sz w:val="24"/>
        </w:rPr>
        <w:t>2.供应商应保证在本项目中所有预装和为本项目安装的软件为在中国境内具有合法版权或使用权的正版软件且无质量瑕疵。</w:t>
      </w:r>
    </w:p>
    <w:p>
      <w:pPr>
        <w:widowControl/>
        <w:ind w:firstLine="450"/>
        <w:jc w:val="left"/>
        <w:rPr>
          <w:sz w:val="24"/>
        </w:rPr>
      </w:pPr>
      <w:r>
        <w:rPr>
          <w:rFonts w:hint="eastAsia"/>
          <w:sz w:val="24"/>
        </w:rPr>
        <w:t>3.供应商应保证其所提供的产品及服务不侵犯第三方的知识产权，否则，由此给采购人造成的一切损失由供应商承担。</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rPr>
          <w:sz w:val="24"/>
        </w:rPr>
      </w:pPr>
    </w:p>
    <w:p>
      <w:pPr>
        <w:widowControl/>
        <w:jc w:val="left"/>
        <w:rPr>
          <w:sz w:val="24"/>
        </w:rPr>
      </w:pPr>
    </w:p>
    <w:p>
      <w:pPr>
        <w:widowControl/>
        <w:jc w:val="left"/>
        <w:rPr>
          <w:sz w:val="24"/>
        </w:rPr>
      </w:pPr>
    </w:p>
    <w:p>
      <w:pPr>
        <w:spacing w:line="360" w:lineRule="auto"/>
        <w:ind w:firstLine="448" w:firstLineChars="200"/>
        <w:jc w:val="center"/>
        <w:outlineLvl w:val="0"/>
        <w:rPr>
          <w:b/>
          <w:sz w:val="24"/>
        </w:rPr>
      </w:pPr>
    </w:p>
    <w:p>
      <w:pPr>
        <w:widowControl/>
        <w:ind w:firstLine="448" w:firstLineChars="200"/>
        <w:jc w:val="left"/>
        <w:rPr>
          <w:sz w:val="24"/>
        </w:rPr>
      </w:pPr>
      <w:r>
        <w:rPr>
          <w:sz w:val="24"/>
        </w:rPr>
        <w:t>附件A：</w:t>
      </w:r>
    </w:p>
    <w:p>
      <w:pPr>
        <w:pStyle w:val="54"/>
        <w:spacing w:line="360" w:lineRule="auto"/>
        <w:jc w:val="center"/>
        <w:rPr>
          <w:rFonts w:asciiTheme="minorEastAsia" w:hAnsiTheme="minorEastAsia"/>
          <w:lang w:eastAsia="zh-CN"/>
        </w:rPr>
      </w:pPr>
      <w:r>
        <w:rPr>
          <w:rFonts w:asciiTheme="minorEastAsia" w:hAnsiTheme="minorEastAsia"/>
          <w:b/>
          <w:bCs/>
          <w:sz w:val="28"/>
          <w:szCs w:val="28"/>
          <w:lang w:eastAsia="zh-CN"/>
        </w:rPr>
        <w:t>税务信息化服务商廉洁承诺书</w:t>
      </w:r>
    </w:p>
    <w:p>
      <w:pPr>
        <w:pStyle w:val="54"/>
        <w:spacing w:line="360" w:lineRule="auto"/>
        <w:ind w:firstLine="560"/>
        <w:rPr>
          <w:lang w:eastAsia="zh-CN"/>
        </w:rPr>
      </w:pPr>
      <w:r>
        <w:rPr>
          <w:rFonts w:eastAsia="仿宋_GB2312"/>
          <w:sz w:val="28"/>
          <w:szCs w:val="28"/>
          <w:lang w:eastAsia="zh-CN"/>
        </w:rPr>
        <w:t> </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一、合法合规经营。严格遵守国家法律法规及税务部门的相关规定，坚持廉洁从业、诚信经营的原则。在合作过程中不以任何形式进行利益输送，维护良好的政商关系。</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二、杜绝商业贿赂。加强内部管理，我司及我司员工均不对采购人工作人员实施以下行为：</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（一）以各种形式和名义提供礼品、礼金、电子红包、支付凭证、商业预付卡、名贵特产、有价证券、股权、其他金融产品等财物。</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（二）以各种形式和名义提供宴请、旅游、健身、娱乐、私人会所等活动安排；代付加班餐费、打车费等。</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（三）以讲课费、咨询费等名义，提供或变相提供报酬。</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（四）借款、借房、借车，报销应由个人负担的费用。</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（五）以无偿、象征性地收取费用等方式提供家政、司机等服务劳务。</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（六）其他通过任何形式行贿或输送利益的行为。</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六、积极参与监督。在税务信息化项目实施过程中，如发现任何违纪违法行为，将如实反馈问题和意见。</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    </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承诺单位（盖章）：_________________________</w:t>
      </w:r>
    </w:p>
    <w:p>
      <w:pPr>
        <w:pStyle w:val="54"/>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法定代表人或授权代表签字：________________</w:t>
      </w:r>
    </w:p>
    <w:p>
      <w:pPr>
        <w:pStyle w:val="54"/>
        <w:spacing w:line="360" w:lineRule="auto"/>
        <w:ind w:firstLine="560"/>
        <w:rPr>
          <w:sz w:val="21"/>
          <w:szCs w:val="21"/>
        </w:rPr>
      </w:pPr>
      <w:r>
        <w:rPr>
          <w:sz w:val="21"/>
          <w:szCs w:val="21"/>
        </w:rPr>
        <w:t>日期：XX年XX月XX日</w:t>
      </w:r>
    </w:p>
    <w:p>
      <w:pPr>
        <w:spacing w:line="360" w:lineRule="auto"/>
        <w:ind w:firstLine="448" w:firstLineChars="200"/>
        <w:jc w:val="center"/>
        <w:outlineLvl w:val="0"/>
        <w:rPr>
          <w:b/>
          <w:sz w:val="24"/>
        </w:rPr>
      </w:pPr>
    </w:p>
    <w:p>
      <w:pPr>
        <w:spacing w:line="360" w:lineRule="auto"/>
        <w:ind w:firstLine="448" w:firstLineChars="200"/>
        <w:jc w:val="center"/>
        <w:outlineLvl w:val="0"/>
        <w:rPr>
          <w:b/>
          <w:sz w:val="24"/>
        </w:rPr>
      </w:pPr>
    </w:p>
    <w:p>
      <w:pPr>
        <w:spacing w:line="360" w:lineRule="auto"/>
        <w:ind w:firstLine="448" w:firstLineChars="200"/>
        <w:jc w:val="center"/>
        <w:outlineLvl w:val="0"/>
        <w:rPr>
          <w:b/>
          <w:sz w:val="24"/>
        </w:rPr>
      </w:pPr>
    </w:p>
    <w:p>
      <w:pPr>
        <w:pStyle w:val="54"/>
        <w:spacing w:line="360" w:lineRule="auto"/>
        <w:jc w:val="center"/>
        <w:rPr>
          <w:lang w:eastAsia="zh-CN"/>
        </w:rPr>
      </w:pPr>
      <w:r>
        <w:rPr>
          <w:rFonts w:eastAsia="仿宋_GB2312"/>
          <w:b/>
          <w:bCs/>
          <w:sz w:val="28"/>
          <w:szCs w:val="28"/>
          <w:lang w:eastAsia="zh-CN"/>
        </w:rPr>
        <w:t>税务信息化廉政情况反馈书</w:t>
      </w:r>
    </w:p>
    <w:tbl>
      <w:tblPr>
        <w:tblStyle w:val="55"/>
        <w:tblW w:w="9350" w:type="dxa"/>
        <w:jc w:val="center"/>
        <w:tblCellSpacing w:w="0" w:type="dxa"/>
        <w:tblLayout w:type="autofit"/>
        <w:tblCellMar>
          <w:top w:w="15" w:type="dxa"/>
          <w:left w:w="15" w:type="dxa"/>
          <w:bottom w:w="15" w:type="dxa"/>
          <w:right w:w="15" w:type="dxa"/>
        </w:tblCellMar>
      </w:tblPr>
      <w:tblGrid>
        <w:gridCol w:w="2372"/>
        <w:gridCol w:w="6978"/>
      </w:tblGrid>
      <w:tr>
        <w:tblPrEx>
          <w:tblCellMar>
            <w:top w:w="15" w:type="dxa"/>
            <w:left w:w="15" w:type="dxa"/>
            <w:bottom w:w="15" w:type="dxa"/>
            <w:right w:w="15" w:type="dxa"/>
          </w:tblCellMar>
        </w:tblPrEx>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ind w:firstLine="481"/>
              <w:jc w:val="center"/>
              <w:textAlignment w:val="center"/>
              <w:rPr>
                <w:sz w:val="21"/>
                <w:szCs w:val="21"/>
              </w:rPr>
            </w:pPr>
            <w:r>
              <w:rPr>
                <w:rFonts w:eastAsia="仿宋_GB2312"/>
                <w:b/>
                <w:bCs/>
                <w:sz w:val="21"/>
                <w:szCs w:val="21"/>
              </w:rPr>
              <w:t>项目基本情况</w:t>
            </w:r>
          </w:p>
        </w:tc>
      </w:tr>
      <w:tr>
        <w:tblPrEx>
          <w:tblCellMar>
            <w:top w:w="15" w:type="dxa"/>
            <w:left w:w="15" w:type="dxa"/>
            <w:bottom w:w="15" w:type="dxa"/>
            <w:right w:w="15" w:type="dxa"/>
          </w:tblCellMar>
        </w:tblPrEx>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ind w:firstLine="480"/>
              <w:jc w:val="center"/>
              <w:textAlignment w:val="center"/>
              <w:rPr>
                <w:sz w:val="21"/>
                <w:szCs w:val="21"/>
                <w:lang w:eastAsia="zh-CN"/>
              </w:rPr>
            </w:pPr>
            <w:r>
              <w:rPr>
                <w:rFonts w:eastAsia="仿宋_GB2312"/>
                <w:sz w:val="21"/>
                <w:szCs w:val="21"/>
                <w:lang w:eastAsia="zh-CN"/>
              </w:rPr>
              <w:t>XXX税务信息化项目  项目编号</w:t>
            </w:r>
          </w:p>
        </w:tc>
      </w:tr>
      <w:tr>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ind w:firstLine="480"/>
              <w:jc w:val="center"/>
              <w:textAlignment w:val="center"/>
              <w:rPr>
                <w:sz w:val="21"/>
                <w:szCs w:val="21"/>
              </w:rPr>
            </w:pPr>
            <w:r>
              <w:rPr>
                <w:rFonts w:eastAsia="仿宋_GB2312"/>
                <w:sz w:val="21"/>
                <w:szCs w:val="21"/>
              </w:rPr>
              <w:t>XXX公司</w:t>
            </w:r>
          </w:p>
        </w:tc>
      </w:tr>
      <w:tr>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ind w:firstLine="480"/>
              <w:jc w:val="center"/>
              <w:textAlignment w:val="center"/>
              <w:rPr>
                <w:sz w:val="21"/>
                <w:szCs w:val="21"/>
                <w:lang w:eastAsia="zh-CN"/>
              </w:rPr>
            </w:pPr>
            <w:r>
              <w:rPr>
                <w:rFonts w:eastAsia="仿宋_GB2312"/>
                <w:sz w:val="21"/>
                <w:szCs w:val="21"/>
                <w:lang w:eastAsia="zh-CN"/>
              </w:rPr>
              <w:t>联系人：  职务：   电话：123-4567890</w:t>
            </w:r>
          </w:p>
        </w:tc>
      </w:tr>
      <w:tr>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ind w:firstLine="480"/>
              <w:jc w:val="center"/>
              <w:rPr>
                <w:sz w:val="21"/>
                <w:szCs w:val="21"/>
              </w:rPr>
            </w:pPr>
            <w:r>
              <w:rPr>
                <w:rFonts w:eastAsia="仿宋_GB2312"/>
                <w:sz w:val="21"/>
                <w:szCs w:val="21"/>
              </w:rPr>
              <w:t> </w:t>
            </w:r>
          </w:p>
        </w:tc>
      </w:tr>
      <w:tr>
        <w:tblPrEx>
          <w:tblCellMar>
            <w:top w:w="15" w:type="dxa"/>
            <w:left w:w="15" w:type="dxa"/>
            <w:bottom w:w="15" w:type="dxa"/>
            <w:right w:w="15" w:type="dxa"/>
          </w:tblCellMar>
        </w:tblPrEx>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pPr>
              <w:pStyle w:val="54"/>
              <w:adjustRightInd w:val="0"/>
              <w:snapToGrid w:val="0"/>
              <w:ind w:firstLine="481"/>
              <w:jc w:val="center"/>
              <w:textAlignment w:val="center"/>
              <w:rPr>
                <w:sz w:val="21"/>
                <w:szCs w:val="21"/>
              </w:rPr>
            </w:pPr>
            <w:r>
              <w:rPr>
                <w:rFonts w:eastAsia="仿宋_GB2312"/>
                <w:b/>
                <w:bCs/>
                <w:sz w:val="21"/>
                <w:szCs w:val="21"/>
              </w:rPr>
              <w:t>廉洁承诺履行情况</w:t>
            </w:r>
          </w:p>
        </w:tc>
      </w:tr>
      <w:tr>
        <w:tblPrEx>
          <w:tblCellMar>
            <w:top w:w="15" w:type="dxa"/>
            <w:left w:w="15" w:type="dxa"/>
            <w:bottom w:w="15" w:type="dxa"/>
            <w:right w:w="15" w:type="dxa"/>
          </w:tblCellMar>
        </w:tblPrEx>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ind w:firstLine="2640"/>
              <w:jc w:val="both"/>
              <w:textAlignment w:val="center"/>
              <w:rPr>
                <w:sz w:val="21"/>
                <w:szCs w:val="21"/>
              </w:rPr>
            </w:pPr>
            <w:r>
              <w:rPr>
                <w:rFonts w:eastAsia="仿宋_GB2312"/>
                <w:sz w:val="21"/>
                <w:szCs w:val="21"/>
              </w:rPr>
              <w:t>反馈内容</w:t>
            </w:r>
          </w:p>
        </w:tc>
      </w:tr>
      <w:tr>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textAlignment w:val="center"/>
              <w:rPr>
                <w:sz w:val="21"/>
                <w:szCs w:val="21"/>
                <w:lang w:eastAsia="zh-CN"/>
              </w:rPr>
            </w:pPr>
            <w:r>
              <w:rPr>
                <w:rFonts w:eastAsia="仿宋_GB2312"/>
                <w:sz w:val="21"/>
                <w:szCs w:val="21"/>
                <w:lang w:eastAsia="zh-CN"/>
              </w:rPr>
              <w:t>向税务工作人员及其家属赠送礼品、礼金或提供任何形式的宴请、娱乐活动情况。</w:t>
            </w:r>
          </w:p>
        </w:tc>
      </w:tr>
      <w:tr>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textAlignment w:val="center"/>
              <w:rPr>
                <w:sz w:val="21"/>
                <w:szCs w:val="21"/>
                <w:lang w:eastAsia="zh-CN"/>
              </w:rPr>
            </w:pPr>
            <w:r>
              <w:rPr>
                <w:rFonts w:eastAsia="仿宋_GB2312"/>
                <w:sz w:val="21"/>
                <w:szCs w:val="21"/>
                <w:lang w:eastAsia="zh-CN"/>
              </w:rPr>
              <w:t>按照合同要求，按时完成各阶段任务，确保项目质量和进度情况。</w:t>
            </w:r>
          </w:p>
        </w:tc>
      </w:tr>
      <w:tr>
        <w:tblPrEx>
          <w:tblCellMar>
            <w:top w:w="15" w:type="dxa"/>
            <w:left w:w="15" w:type="dxa"/>
            <w:bottom w:w="15" w:type="dxa"/>
            <w:right w:w="15" w:type="dxa"/>
          </w:tblCellMar>
        </w:tblPrEx>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rPr>
            </w:pPr>
            <w:r>
              <w:rPr>
                <w:rFonts w:eastAsia="仿宋_GB2312"/>
                <w:b/>
                <w:bCs/>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textAlignment w:val="center"/>
              <w:rPr>
                <w:sz w:val="21"/>
                <w:szCs w:val="21"/>
                <w:lang w:eastAsia="zh-CN"/>
              </w:rPr>
            </w:pPr>
            <w:r>
              <w:rPr>
                <w:rFonts w:eastAsia="仿宋_GB2312"/>
                <w:sz w:val="21"/>
                <w:szCs w:val="21"/>
                <w:lang w:eastAsia="zh-CN"/>
              </w:rPr>
              <w:t>在项目实施过程中保持信息公开透明，主动接受相关部门的监督和检查情况。</w:t>
            </w:r>
          </w:p>
        </w:tc>
      </w:tr>
      <w:tr>
        <w:tblPrEx>
          <w:tblCellMar>
            <w:top w:w="15" w:type="dxa"/>
            <w:left w:w="15" w:type="dxa"/>
            <w:bottom w:w="15" w:type="dxa"/>
            <w:right w:w="15" w:type="dxa"/>
          </w:tblCellMar>
        </w:tblPrEx>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pPr>
              <w:pStyle w:val="54"/>
              <w:adjustRightInd w:val="0"/>
              <w:snapToGrid w:val="0"/>
              <w:ind w:firstLine="481"/>
              <w:jc w:val="center"/>
              <w:textAlignment w:val="center"/>
              <w:rPr>
                <w:sz w:val="21"/>
                <w:szCs w:val="21"/>
                <w:lang w:eastAsia="zh-CN"/>
              </w:rPr>
            </w:pPr>
            <w:r>
              <w:rPr>
                <w:rFonts w:eastAsia="仿宋_GB2312"/>
                <w:b/>
                <w:bCs/>
                <w:sz w:val="21"/>
                <w:szCs w:val="21"/>
                <w:lang w:eastAsia="zh-CN"/>
              </w:rPr>
              <w:t>税务人员履职期间廉政情况</w:t>
            </w:r>
          </w:p>
        </w:tc>
      </w:tr>
      <w:tr>
        <w:tblPrEx>
          <w:tblCellMar>
            <w:top w:w="15" w:type="dxa"/>
            <w:left w:w="15" w:type="dxa"/>
            <w:bottom w:w="15" w:type="dxa"/>
            <w:right w:w="15" w:type="dxa"/>
          </w:tblCellMar>
        </w:tblPrEx>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pPr>
              <w:pStyle w:val="54"/>
              <w:adjustRightInd w:val="0"/>
              <w:snapToGrid w:val="0"/>
              <w:jc w:val="both"/>
              <w:textAlignment w:val="center"/>
              <w:rPr>
                <w:sz w:val="21"/>
                <w:szCs w:val="21"/>
                <w:lang w:eastAsia="zh-CN"/>
              </w:rPr>
            </w:pPr>
            <w:r>
              <w:rPr>
                <w:rFonts w:eastAsia="仿宋_GB2312"/>
                <w:b/>
                <w:bCs/>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pPr>
              <w:pStyle w:val="54"/>
              <w:adjustRightInd w:val="0"/>
              <w:snapToGrid w:val="0"/>
              <w:ind w:firstLine="480"/>
              <w:jc w:val="center"/>
              <w:textAlignment w:val="center"/>
              <w:rPr>
                <w:sz w:val="21"/>
                <w:szCs w:val="21"/>
              </w:rPr>
            </w:pPr>
            <w:r>
              <w:rPr>
                <w:rFonts w:eastAsia="仿宋_GB2312"/>
                <w:sz w:val="21"/>
                <w:szCs w:val="21"/>
              </w:rPr>
              <w:t>否</w:t>
            </w:r>
          </w:p>
        </w:tc>
      </w:tr>
      <w:tr>
        <w:tblPrEx>
          <w:tblCellMar>
            <w:top w:w="15" w:type="dxa"/>
            <w:left w:w="15" w:type="dxa"/>
            <w:bottom w:w="15" w:type="dxa"/>
            <w:right w:w="15" w:type="dxa"/>
          </w:tblCellMar>
        </w:tblPrEx>
        <w:trPr>
          <w:trHeight w:val="311" w:hRule="atLeast"/>
          <w:tblCellSpacing w:w="0" w:type="dxa"/>
          <w:jc w:val="center"/>
        </w:trPr>
        <w:tc>
          <w:tcPr>
            <w:tcW w:w="0" w:type="auto"/>
            <w:vMerge w:val="continue"/>
            <w:tcBorders>
              <w:left w:val="single" w:color="000000" w:sz="8" w:space="0"/>
              <w:right w:val="single" w:color="000000" w:sz="8" w:space="0"/>
            </w:tcBorders>
            <w:vAlign w:val="center"/>
          </w:tcPr>
          <w:p>
            <w:pPr>
              <w:adjustRightInd w:val="0"/>
              <w:snapToGrid w:val="0"/>
              <w:rPr>
                <w:rFonts w:eastAsia="仿宋_GB2312"/>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pPr>
              <w:pStyle w:val="54"/>
              <w:adjustRightInd w:val="0"/>
              <w:snapToGrid w:val="0"/>
              <w:ind w:firstLine="480"/>
              <w:jc w:val="center"/>
              <w:textAlignment w:val="center"/>
              <w:rPr>
                <w:sz w:val="21"/>
                <w:szCs w:val="21"/>
              </w:rPr>
            </w:pPr>
            <w:r>
              <w:rPr>
                <w:rFonts w:eastAsia="仿宋_GB2312"/>
                <w:sz w:val="21"/>
                <w:szCs w:val="21"/>
              </w:rPr>
              <w:t>是（说明具体情况）</w:t>
            </w:r>
          </w:p>
        </w:tc>
      </w:tr>
      <w:tr>
        <w:tblPrEx>
          <w:tblCellMar>
            <w:top w:w="15" w:type="dxa"/>
            <w:left w:w="15" w:type="dxa"/>
            <w:bottom w:w="15" w:type="dxa"/>
            <w:right w:w="15" w:type="dxa"/>
          </w:tblCellMar>
        </w:tblPrEx>
        <w:trPr>
          <w:trHeight w:val="537" w:hRule="atLeast"/>
          <w:tblCellSpacing w:w="0" w:type="dxa"/>
          <w:jc w:val="center"/>
        </w:trPr>
        <w:tc>
          <w:tcPr>
            <w:tcW w:w="0" w:type="auto"/>
            <w:vMerge w:val="continue"/>
            <w:tcBorders>
              <w:left w:val="single" w:color="000000" w:sz="8" w:space="0"/>
              <w:right w:val="single" w:color="000000" w:sz="8" w:space="0"/>
            </w:tcBorders>
            <w:vAlign w:val="center"/>
          </w:tcPr>
          <w:p>
            <w:pPr>
              <w:adjustRightInd w:val="0"/>
              <w:snapToGrid w:val="0"/>
              <w:rPr>
                <w:rFonts w:eastAsia="仿宋_GB2312"/>
                <w:kern w:val="0"/>
                <w:sz w:val="21"/>
                <w:szCs w:val="21"/>
                <w:lang w:eastAsia="en-US"/>
              </w:rPr>
            </w:pPr>
          </w:p>
        </w:tc>
        <w:tc>
          <w:tcPr>
            <w:tcW w:w="0" w:type="auto"/>
            <w:vMerge w:val="continue"/>
            <w:tcBorders>
              <w:right w:val="single" w:color="000000" w:sz="8" w:space="0"/>
            </w:tcBorders>
            <w:vAlign w:val="center"/>
          </w:tcPr>
          <w:p>
            <w:pPr>
              <w:adjustRightInd w:val="0"/>
              <w:snapToGrid w:val="0"/>
              <w:rPr>
                <w:rFonts w:eastAsia="仿宋_GB2312"/>
                <w:kern w:val="0"/>
                <w:sz w:val="21"/>
                <w:szCs w:val="21"/>
                <w:lang w:eastAsia="en-US"/>
              </w:rPr>
            </w:pPr>
          </w:p>
        </w:tc>
      </w:tr>
    </w:tbl>
    <w:p>
      <w:pPr>
        <w:spacing w:line="360" w:lineRule="auto"/>
        <w:ind w:firstLine="448" w:firstLineChars="200"/>
        <w:jc w:val="center"/>
        <w:outlineLvl w:val="0"/>
        <w:rPr>
          <w:b/>
          <w:sz w:val="24"/>
        </w:rPr>
      </w:pPr>
    </w:p>
    <w:p>
      <w:pPr>
        <w:spacing w:line="360" w:lineRule="auto"/>
        <w:ind w:firstLine="448" w:firstLineChars="200"/>
        <w:jc w:val="center"/>
        <w:outlineLvl w:val="0"/>
        <w:rPr>
          <w:b/>
          <w:sz w:val="24"/>
        </w:rPr>
      </w:pPr>
    </w:p>
    <w:p>
      <w:pPr>
        <w:pStyle w:val="16"/>
        <w:rPr>
          <w:rFonts w:ascii="Times New Roman" w:hAnsi="Times New Roman"/>
          <w:lang w:eastAsia="zh-CN"/>
        </w:rPr>
      </w:pPr>
    </w:p>
    <w:p>
      <w:pPr>
        <w:pStyle w:val="16"/>
        <w:rPr>
          <w:rFonts w:ascii="Times New Roman" w:hAnsi="Times New Roman"/>
          <w:lang w:eastAsia="zh-CN"/>
        </w:rPr>
      </w:pPr>
    </w:p>
    <w:p>
      <w:pPr>
        <w:pStyle w:val="16"/>
        <w:rPr>
          <w:rFonts w:ascii="Times New Roman" w:hAnsi="Times New Roman"/>
          <w:lang w:eastAsia="zh-CN"/>
        </w:rPr>
      </w:pPr>
    </w:p>
    <w:p>
      <w:pPr>
        <w:pStyle w:val="16"/>
        <w:rPr>
          <w:rFonts w:ascii="Times New Roman" w:hAnsi="Times New Roman"/>
          <w:lang w:eastAsia="zh-CN"/>
        </w:rPr>
      </w:pPr>
    </w:p>
    <w:p>
      <w:pPr>
        <w:pStyle w:val="16"/>
        <w:rPr>
          <w:rFonts w:ascii="Times New Roman" w:hAnsi="Times New Roman"/>
          <w:lang w:eastAsia="zh-CN"/>
        </w:rPr>
      </w:pPr>
    </w:p>
    <w:p>
      <w:pPr>
        <w:pStyle w:val="16"/>
        <w:rPr>
          <w:rFonts w:ascii="Times New Roman" w:hAnsi="Times New Roman"/>
          <w:lang w:eastAsia="zh-CN"/>
        </w:rPr>
      </w:pPr>
    </w:p>
    <w:p>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pPr>
        <w:pStyle w:val="29"/>
        <w:spacing w:line="360" w:lineRule="auto"/>
        <w:ind w:firstLine="448" w:firstLineChars="200"/>
        <w:jc w:val="both"/>
        <w:rPr>
          <w:rFonts w:ascii="Times New Roman" w:hAnsi="Times New Roman" w:eastAsia="宋体" w:cs="Times New Roman"/>
          <w:color w:val="FF0000"/>
        </w:rPr>
      </w:pPr>
      <w:r>
        <w:rPr>
          <w:rFonts w:ascii="Times New Roman" w:hAnsi="Times New Roman" w:eastAsia="宋体" w:cs="Times New Roman"/>
          <w:color w:val="auto"/>
        </w:rPr>
        <w:t>2.2 “投标人”和“供应商”系指</w:t>
      </w:r>
      <w:r>
        <w:rPr>
          <w:rFonts w:hint="eastAsia" w:ascii="Times New Roman" w:hAnsi="Times New Roman" w:eastAsia="宋体" w:cs="Times New Roman"/>
          <w:color w:val="auto"/>
        </w:rPr>
        <w:t>响应招标、参加投标竞争的法人、其他组织或者自然人。</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2.3</w:t>
      </w:r>
      <w:r>
        <w:rPr>
          <w:rFonts w:hint="eastAsia" w:ascii="Times New Roman" w:hAnsi="Times New Roman" w:eastAsia="宋体" w:cs="Times New Roman"/>
          <w:color w:val="auto"/>
        </w:rPr>
        <w:t xml:space="preserve"> “货物”</w:t>
      </w:r>
      <w:r>
        <w:rPr>
          <w:rFonts w:ascii="Times New Roman" w:hAnsi="Times New Roman" w:eastAsia="宋体" w:cs="Times New Roman"/>
          <w:color w:val="auto"/>
        </w:rPr>
        <w:t>系指</w:t>
      </w:r>
      <w:r>
        <w:rPr>
          <w:rFonts w:hint="eastAsia" w:ascii="Times New Roman" w:hAnsi="Times New Roman" w:eastAsia="宋体" w:cs="Times New Roman"/>
          <w:color w:val="auto"/>
        </w:rPr>
        <w:t>各种形态和种类的物品，包括原材料、燃料、设备、产品等；“工程”</w:t>
      </w:r>
      <w:r>
        <w:rPr>
          <w:rFonts w:ascii="Times New Roman" w:hAnsi="Times New Roman" w:eastAsia="宋体" w:cs="Times New Roman"/>
          <w:color w:val="auto"/>
        </w:rPr>
        <w:t>系指</w:t>
      </w:r>
      <w:r>
        <w:rPr>
          <w:rFonts w:hint="eastAsia" w:ascii="Times New Roman" w:hAnsi="Times New Roman" w:eastAsia="宋体" w:cs="Times New Roman"/>
          <w:color w:val="auto"/>
        </w:rPr>
        <w:t>建设工程，包括建筑物和构筑物的新建、改建、扩建、装修、拆除、修缮等；“服务”</w:t>
      </w:r>
      <w:r>
        <w:rPr>
          <w:rFonts w:ascii="Times New Roman" w:hAnsi="Times New Roman" w:eastAsia="宋体" w:cs="Times New Roman"/>
          <w:color w:val="auto"/>
        </w:rPr>
        <w:t>系指</w:t>
      </w:r>
      <w:r>
        <w:rPr>
          <w:rFonts w:hint="eastAsia" w:ascii="Times New Roman" w:hAnsi="Times New Roman" w:eastAsia="宋体" w:cs="Times New Roman"/>
          <w:color w:val="auto"/>
        </w:rPr>
        <w:t>除货物和工程以外的其他政府采购对象。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w:t>
      </w:r>
      <w:r>
        <w:rPr>
          <w:rFonts w:hint="eastAsia" w:ascii="Times New Roman" w:hAnsi="Times New Roman" w:eastAsia="宋体" w:cs="Times New Roman"/>
          <w:color w:val="auto"/>
        </w:rPr>
        <w:t>采购</w:t>
      </w:r>
      <w:r>
        <w:rPr>
          <w:rFonts w:ascii="Times New Roman" w:hAnsi="Times New Roman" w:eastAsia="宋体" w:cs="Times New Roman"/>
          <w:color w:val="auto"/>
        </w:rPr>
        <w:t>标的的供应商。</w:t>
      </w:r>
    </w:p>
    <w:p>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9"/>
        <w:spacing w:line="360" w:lineRule="auto"/>
        <w:ind w:firstLine="448" w:firstLineChars="200"/>
        <w:jc w:val="both"/>
        <w:rPr>
          <w:rFonts w:ascii="Times New Roman" w:hAnsi="Times New Roman" w:eastAsia="宋体" w:cs="Times New Roman"/>
          <w:color w:val="auto"/>
        </w:rPr>
      </w:pPr>
      <w:bookmarkStart w:id="4"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投标人提供的货物服务应符合招标文件要求，质量应当完全符合现行的国家标准、行业标准或地方标准。除《招标项目需求》有特殊规定外，投标人提供的货物应当是全新的、未使用过的。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w:t>
      </w:r>
      <w:bookmarkStart w:id="7" w:name="_GoBack"/>
      <w:bookmarkEnd w:id="7"/>
      <w:r>
        <w:rPr>
          <w:rFonts w:hint="eastAsia" w:ascii="Times New Roman" w:hAnsi="Times New Roman" w:eastAsia="宋体" w:cs="Times New Roman"/>
          <w:color w:val="auto"/>
        </w:rPr>
        <w:t>第三方提出侵权或知识产权的起诉及支付版税等费用由投标人承担所有责任及费用。</w:t>
      </w:r>
    </w:p>
    <w:p>
      <w:pPr>
        <w:pStyle w:val="29"/>
        <w:spacing w:line="360" w:lineRule="auto"/>
        <w:ind w:firstLine="448" w:firstLineChars="200"/>
        <w:jc w:val="both"/>
        <w:rPr>
          <w:rFonts w:ascii="Times New Roman" w:hAnsi="Times New Roman" w:eastAsia="宋体" w:cs="Times New Roman"/>
          <w:color w:val="auto"/>
        </w:rPr>
      </w:pPr>
    </w:p>
    <w:bookmarkEnd w:id="4"/>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加注“★”号条款为不允许偏离的实质性要求，经评标委员会判定任意一条加注“★”号的条款出现偏离，视为无效投标。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答疑会和现场考察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采购人、采购代理机构组织现场考察的，所有投标人按《投标邀请函》规定的时间、地点参加现场考察活动。投标人如不参加，其风险由投标人自行承担，采购人、采购代理机构不承担任何责任。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采购人、采购代理机构在答疑会或现场考察中口头介绍的情况，除经“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除招标文件中另有规定，投标文件所使用的计量单位均应使用中华人民共和国法定计量单位。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投标人可对招标文件</w:t>
      </w:r>
      <w:r>
        <w:rPr>
          <w:rFonts w:hint="eastAsia" w:ascii="Times New Roman" w:hAnsi="Times New Roman" w:eastAsia="宋体" w:cs="Times New Roman"/>
          <w:color w:val="auto"/>
        </w:rPr>
        <w:t>全部</w:t>
      </w:r>
      <w:r>
        <w:rPr>
          <w:rFonts w:ascii="Times New Roman" w:hAnsi="Times New Roman" w:eastAsia="宋体" w:cs="Times New Roman"/>
          <w:color w:val="auto"/>
        </w:rPr>
        <w:t>采购包进行投标，也可只对其中一包或几包进行投标；若无特殊说明，每一包的内容不得分项投标，原则上按照整包确定中标供应商。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pPr>
        <w:pStyle w:val="29"/>
        <w:spacing w:line="360" w:lineRule="auto"/>
        <w:ind w:firstLine="448" w:firstLineChars="200"/>
        <w:jc w:val="both"/>
        <w:rPr>
          <w:rFonts w:ascii="Times New Roman" w:hAnsi="Times New Roman" w:cs="Times New Roman"/>
          <w:color w:val="auto"/>
          <w:szCs w:val="21"/>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w:t>
      </w:r>
    </w:p>
    <w:p>
      <w:pPr>
        <w:pStyle w:val="29"/>
        <w:spacing w:line="360" w:lineRule="auto"/>
        <w:ind w:firstLine="448" w:firstLineChars="200"/>
        <w:jc w:val="both"/>
        <w:rPr>
          <w:rFonts w:ascii="Times New Roman" w:hAnsi="Times New Roman" w:cs="Times New Roman"/>
          <w:color w:val="auto"/>
          <w:szCs w:val="21"/>
        </w:rPr>
      </w:pPr>
      <w:r>
        <w:rPr>
          <w:rFonts w:hint="eastAsia" w:ascii="Times New Roman" w:hAnsi="Times New Roman" w:cs="Times New Roman"/>
          <w:color w:val="auto"/>
          <w:szCs w:val="21"/>
        </w:rPr>
        <w:t>（1）</w:t>
      </w:r>
      <w:r>
        <w:rPr>
          <w:rFonts w:ascii="Times New Roman" w:hAnsi="Times New Roman" w:cs="Times New Roman"/>
          <w:color w:val="auto"/>
          <w:szCs w:val="21"/>
        </w:rPr>
        <w:t>人力、物力等资源的投入以及服务内容、方式、手段、措施、质量保证及建议等。</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（2）货物主要技术性能的详细描述；</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（3）保证货物从采购人开始使用至招标文件规定的保修期内正常和连续运转期间所需要的所有备件和专用工具的详细清单，包括其现行价格和供货来源资料；</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（4）逐条对招标文件要求的技术规格进行评议，并按招标文件所附格式完整地填写《技术要求偏离应答表》，说明自己所投标的与招标文件要求的偏离情况。</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按照《招标项目需求》要求执行。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投标文件应按《招标项目需求》和《投标文件格式》如实编写，未尽事宜可自行补充。投标文件内容不完整、格式不符合导致投标文件被误读、漏读或者查找不到相关内容的，投标人自行承担由此产生的风险。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w:t>
      </w:r>
      <w:r>
        <w:rPr>
          <w:rFonts w:hint="eastAsia" w:ascii="Times New Roman" w:hAnsi="Times New Roman" w:eastAsia="宋体" w:cs="Times New Roman"/>
          <w:color w:val="auto"/>
        </w:rPr>
        <w:t xml:space="preserve"> 若上传加盖投标人电子签章的电子投标文件有修改，须于规定时间内重新提交电子投标文件。电子投标文件因模糊不清或表达不清所引起的后果由投标人自负。</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w:t>
      </w:r>
      <w:r>
        <w:rPr>
          <w:rFonts w:hint="eastAsia" w:ascii="Times New Roman" w:hAnsi="Times New Roman" w:eastAsia="宋体" w:cs="Times New Roman"/>
          <w:color w:val="auto"/>
        </w:rPr>
        <w:t>内容</w:t>
      </w:r>
      <w:r>
        <w:rPr>
          <w:rFonts w:ascii="Times New Roman" w:hAnsi="Times New Roman" w:eastAsia="宋体" w:cs="Times New Roman"/>
          <w:color w:val="auto"/>
        </w:rPr>
        <w:t>而使其投标成为响应性的投标。如出现下列情况之一的，其投标将被拒绝或中标无效：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（4）不能满足招标文件中任何一条实质性要求或加注“★”号条款经评委会认定出现偏离的或经评标委员会认定未实质性响应招标文件要求的或投标内容不符合相关强制性规定的；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pPr>
        <w:pStyle w:val="29"/>
        <w:adjustRightInd/>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9"/>
        <w:adjustRightInd/>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（5）根据《关于推动解决政府采购异常低价问题的通知》（财库〔2026〕2号）的要求，评标委员会启动异常低价投标审查程序，</w:t>
      </w:r>
      <w:r>
        <w:rPr>
          <w:rFonts w:ascii="Times New Roman" w:hAnsi="Times New Roman" w:eastAsia="宋体" w:cs="Times New Roman"/>
          <w:color w:val="auto"/>
        </w:rPr>
        <w:t>应当要求相关供应商在评审现场合理的时间内对投标价格作出解释，提供项目具体成本测算等与报价合理性相关的书面说明及必要的证明材料，包括但不限于原材料成本、人工成本、制造费用等，给予相关供应商的合理时间一般不少于30分钟。</w:t>
      </w:r>
      <w:r>
        <w:rPr>
          <w:rFonts w:hint="eastAsia" w:ascii="Times New Roman" w:hAnsi="Times New Roman" w:eastAsia="宋体" w:cs="Times New Roman"/>
          <w:color w:val="auto"/>
        </w:rPr>
        <w:t>评标</w:t>
      </w:r>
      <w:r>
        <w:rPr>
          <w:rFonts w:ascii="Times New Roman" w:hAnsi="Times New Roman" w:eastAsia="宋体" w:cs="Times New Roman"/>
          <w:color w:val="auto"/>
        </w:rPr>
        <w:t>委员会依据专业经验，参考同类项目中标（成交）价格、类似产品市场价格水平、行业人工费用标准、国家有关部门指导行业协会发布的行业平均成本等情况，对报价合理性进行判断。投标供应商不能提供书面说明、证明材料，或者提供的书面说明、证明材料不能证明其报价合理性的，评</w:t>
      </w:r>
      <w:r>
        <w:rPr>
          <w:rFonts w:hint="eastAsia" w:ascii="Times New Roman" w:hAnsi="Times New Roman" w:eastAsia="宋体" w:cs="Times New Roman"/>
          <w:color w:val="auto"/>
        </w:rPr>
        <w:t>标</w:t>
      </w:r>
      <w:r>
        <w:rPr>
          <w:rFonts w:ascii="Times New Roman" w:hAnsi="Times New Roman" w:eastAsia="宋体" w:cs="Times New Roman"/>
          <w:color w:val="auto"/>
        </w:rPr>
        <w:t>委员会应当将其作为无效投标处理。</w:t>
      </w:r>
    </w:p>
    <w:p>
      <w:pPr>
        <w:pStyle w:val="29"/>
        <w:adjustRightInd/>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pPr>
        <w:pStyle w:val="29"/>
        <w:adjustRightInd/>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4</w:t>
      </w:r>
      <w:r>
        <w:rPr>
          <w:rFonts w:ascii="Times New Roman" w:hAnsi="Times New Roman" w:eastAsia="宋体"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5</w:t>
      </w:r>
      <w:r>
        <w:rPr>
          <w:rFonts w:ascii="Times New Roman" w:hAnsi="Times New Roman" w:eastAsia="宋体"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6</w:t>
      </w:r>
      <w:r>
        <w:rPr>
          <w:rFonts w:ascii="Times New Roman" w:hAnsi="Times New Roman" w:eastAsia="宋体" w:cs="Times New Roman"/>
          <w:color w:val="auto"/>
        </w:rPr>
        <w:t>）根据《政府采购货物和服务招标投标管理办法》（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32.4 （本条仅适用于货物类项目）不同投标人所投全部产品均为同一品牌或不同投标人所投任一核心产品为同一品牌时（</w:t>
      </w:r>
      <w:r>
        <w:rPr>
          <w:rFonts w:hint="eastAsia" w:ascii="Times New Roman" w:hAnsi="Times New Roman" w:eastAsia="宋体" w:cs="Times New Roman"/>
          <w:color w:val="auto"/>
        </w:rPr>
        <w:t>加注“▲”号的产品为核心产品如未明确核心产品，则视为全部产品均为核心产品</w:t>
      </w:r>
      <w:r>
        <w:rPr>
          <w:rFonts w:ascii="Times New Roman" w:hAnsi="Times New Roman" w:eastAsia="宋体" w:cs="Times New Roman"/>
          <w:color w:val="auto"/>
        </w:rPr>
        <w:t>），按以下原则处理：</w:t>
      </w:r>
    </w:p>
    <w:p>
      <w:pPr>
        <w:spacing w:line="360" w:lineRule="auto"/>
        <w:ind w:firstLine="448" w:firstLineChars="200"/>
        <w:jc w:val="left"/>
        <w:rPr>
          <w:sz w:val="24"/>
          <w:szCs w:val="24"/>
        </w:rPr>
      </w:pPr>
      <w:r>
        <w:rPr>
          <w:sz w:val="24"/>
          <w:szCs w:val="24"/>
        </w:rPr>
        <w:t>（1）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pStyle w:val="29"/>
        <w:spacing w:line="360" w:lineRule="auto"/>
        <w:ind w:firstLine="448" w:firstLineChars="200"/>
        <w:rPr>
          <w:rFonts w:ascii="Times New Roman" w:hAnsi="Times New Roman" w:cs="Times New Roman"/>
        </w:rPr>
      </w:pPr>
      <w:r>
        <w:rPr>
          <w:rFonts w:ascii="Times New Roman" w:hAnsi="Times New Roman" w:cs="Times New Roman"/>
        </w:rPr>
        <w:t>（2）采用综合评分法的采购项目，提供相同品牌产品且通过资格审查、符合性审查的不同投标人参加同一合同项下投标的，按一家投标人计算，评审后得分最高的同品牌投标人获得中标人推荐资格；评审得分相同的，由采购人自行选取一个投标人获得中标人推荐资格，其他同品牌投标人不作为中标候选人。</w:t>
      </w:r>
    </w:p>
    <w:p>
      <w:pPr>
        <w:pStyle w:val="29"/>
        <w:spacing w:line="360" w:lineRule="auto"/>
        <w:ind w:firstLine="448" w:firstLineChars="200"/>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若《招标项目需求》规定须提交履约保证金的，中标供应商须按照规定要求提交履约保证金。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
      <w:pPr>
        <w:pStyle w:val="29"/>
        <w:spacing w:line="360" w:lineRule="auto"/>
        <w:ind w:firstLine="448" w:firstLineChars="200"/>
        <w:jc w:val="both"/>
        <w:rPr>
          <w:rFonts w:ascii="Times New Roman" w:hAnsi="Times New Roman" w:eastAsia="宋体" w:cs="Times New Roman"/>
          <w:color w:val="auto"/>
        </w:rPr>
      </w:pPr>
    </w:p>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ind w:firstLine="448" w:firstLineChars="200"/>
        <w:jc w:val="both"/>
        <w:rPr>
          <w:rFonts w:ascii="Times New Roman" w:hAnsi="Times New Roman" w:eastAsia="宋体" w:cs="Times New Roman"/>
          <w:color w:val="auto"/>
        </w:rPr>
      </w:pPr>
    </w:p>
    <w:p>
      <w:pPr>
        <w:widowControl/>
        <w:jc w:val="left"/>
        <w:rPr>
          <w:b/>
          <w:bCs/>
          <w:kern w:val="28"/>
          <w:sz w:val="32"/>
          <w:szCs w:val="32"/>
          <w:lang w:val="zh-CN" w:eastAsia="zh-CN"/>
        </w:rPr>
      </w:pPr>
      <w:r>
        <w:br w:type="page"/>
      </w:r>
    </w:p>
    <w:p>
      <w:pPr>
        <w:pStyle w:val="16"/>
        <w:rPr>
          <w:rFonts w:ascii="Times New Roman" w:hAnsi="Times New Roman"/>
        </w:rPr>
      </w:pPr>
      <w:r>
        <w:rPr>
          <w:rFonts w:ascii="Times New Roman" w:hAnsi="Times New Roman"/>
        </w:rPr>
        <w:t>第四部分  合同条款</w:t>
      </w:r>
    </w:p>
    <w:p>
      <w:pPr>
        <w:tabs>
          <w:tab w:val="left" w:pos="412"/>
          <w:tab w:val="left" w:pos="618"/>
        </w:tabs>
        <w:spacing w:line="520" w:lineRule="exact"/>
        <w:jc w:val="center"/>
        <w:rPr>
          <w:b/>
          <w:sz w:val="30"/>
          <w:szCs w:val="30"/>
        </w:rPr>
      </w:pPr>
      <w:r>
        <w:rPr>
          <w:b/>
          <w:sz w:val="30"/>
          <w:szCs w:val="30"/>
        </w:rPr>
        <w:t>合同一般条款</w:t>
      </w:r>
    </w:p>
    <w:p>
      <w:pPr>
        <w:tabs>
          <w:tab w:val="left" w:pos="0"/>
          <w:tab w:val="left" w:pos="315"/>
        </w:tabs>
        <w:spacing w:line="520" w:lineRule="exact"/>
        <w:ind w:firstLine="480"/>
        <w:rPr>
          <w:sz w:val="24"/>
          <w:szCs w:val="24"/>
        </w:rPr>
      </w:pPr>
      <w:r>
        <w:rPr>
          <w:sz w:val="24"/>
          <w:szCs w:val="24"/>
        </w:rPr>
        <w:t xml:space="preserve">需方：  </w:t>
      </w:r>
    </w:p>
    <w:p>
      <w:pPr>
        <w:tabs>
          <w:tab w:val="left" w:pos="0"/>
          <w:tab w:val="left" w:pos="315"/>
        </w:tabs>
        <w:spacing w:line="520" w:lineRule="exact"/>
        <w:ind w:firstLine="480"/>
        <w:rPr>
          <w:sz w:val="24"/>
          <w:szCs w:val="24"/>
        </w:rPr>
      </w:pPr>
      <w:r>
        <w:rPr>
          <w:sz w:val="24"/>
          <w:szCs w:val="24"/>
        </w:rPr>
        <w:t xml:space="preserve">供方： </w:t>
      </w:r>
    </w:p>
    <w:p>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pPr>
        <w:pStyle w:val="34"/>
        <w:numPr>
          <w:ilvl w:val="0"/>
          <w:numId w:val="2"/>
        </w:numPr>
        <w:spacing w:line="480" w:lineRule="exact"/>
        <w:ind w:firstLineChars="0"/>
        <w:rPr>
          <w:sz w:val="24"/>
          <w:szCs w:val="24"/>
        </w:rPr>
      </w:pPr>
      <w:r>
        <w:rPr>
          <w:rFonts w:hint="eastAsia"/>
          <w:sz w:val="24"/>
          <w:szCs w:val="24"/>
        </w:rPr>
        <w:t>本合同为中小企业预留合同</w:t>
      </w:r>
    </w:p>
    <w:p>
      <w:pPr>
        <w:pStyle w:val="34"/>
        <w:numPr>
          <w:ilvl w:val="0"/>
          <w:numId w:val="2"/>
        </w:numPr>
        <w:spacing w:line="480" w:lineRule="exact"/>
        <w:ind w:firstLineChars="0"/>
        <w:rPr>
          <w:sz w:val="24"/>
          <w:szCs w:val="24"/>
        </w:rPr>
      </w:pPr>
      <w:r>
        <w:rPr>
          <w:rFonts w:hint="eastAsia"/>
          <w:sz w:val="24"/>
          <w:szCs w:val="24"/>
        </w:rPr>
        <w:t>本合同非中小企业预留合同</w:t>
      </w:r>
    </w:p>
    <w:p>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pPr>
        <w:tabs>
          <w:tab w:val="left" w:pos="1133"/>
        </w:tabs>
        <w:spacing w:line="520" w:lineRule="exact"/>
        <w:ind w:firstLine="448" w:firstLineChars="200"/>
        <w:rPr>
          <w:sz w:val="24"/>
          <w:szCs w:val="24"/>
        </w:rPr>
      </w:pPr>
      <w:r>
        <w:rPr>
          <w:sz w:val="24"/>
          <w:szCs w:val="24"/>
        </w:rPr>
        <w:t>一、采购内容：  （详见附件）</w:t>
      </w:r>
    </w:p>
    <w:p>
      <w:pPr>
        <w:tabs>
          <w:tab w:val="left" w:pos="1133"/>
        </w:tabs>
        <w:spacing w:line="520" w:lineRule="exact"/>
        <w:ind w:firstLine="448" w:firstLineChars="200"/>
        <w:rPr>
          <w:sz w:val="24"/>
          <w:szCs w:val="24"/>
        </w:rPr>
      </w:pPr>
      <w:r>
        <w:rPr>
          <w:sz w:val="24"/>
          <w:szCs w:val="24"/>
        </w:rPr>
        <w:t xml:space="preserve">    合同总价款：人民币  元</w:t>
      </w:r>
    </w:p>
    <w:p>
      <w:pPr>
        <w:tabs>
          <w:tab w:val="left" w:pos="1133"/>
        </w:tabs>
        <w:spacing w:line="520" w:lineRule="exact"/>
        <w:ind w:firstLine="448" w:firstLineChars="200"/>
        <w:rPr>
          <w:sz w:val="24"/>
          <w:szCs w:val="24"/>
        </w:rPr>
      </w:pPr>
      <w:r>
        <w:rPr>
          <w:sz w:val="24"/>
          <w:szCs w:val="24"/>
        </w:rPr>
        <w:t xml:space="preserve">    大写：人民币  元整</w:t>
      </w:r>
    </w:p>
    <w:p>
      <w:pPr>
        <w:tabs>
          <w:tab w:val="left" w:pos="360"/>
        </w:tabs>
        <w:spacing w:line="520" w:lineRule="exact"/>
        <w:ind w:firstLine="448" w:firstLineChars="200"/>
        <w:rPr>
          <w:sz w:val="24"/>
          <w:szCs w:val="24"/>
        </w:rPr>
      </w:pPr>
      <w:r>
        <w:rPr>
          <w:sz w:val="24"/>
          <w:szCs w:val="24"/>
        </w:rPr>
        <w:t>二、质量要求及对质量负责条件和期限：见附件。</w:t>
      </w:r>
    </w:p>
    <w:p>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pPr>
        <w:tabs>
          <w:tab w:val="left" w:pos="360"/>
          <w:tab w:val="left" w:pos="721"/>
        </w:tabs>
        <w:spacing w:line="520" w:lineRule="exact"/>
        <w:rPr>
          <w:sz w:val="24"/>
          <w:szCs w:val="24"/>
        </w:rPr>
      </w:pPr>
      <w:r>
        <w:rPr>
          <w:sz w:val="24"/>
          <w:szCs w:val="24"/>
        </w:rPr>
        <w:t xml:space="preserve">    六、验收工作由需方负责对合同进行验收。</w:t>
      </w:r>
    </w:p>
    <w:p>
      <w:pPr>
        <w:tabs>
          <w:tab w:val="left" w:pos="360"/>
        </w:tabs>
        <w:spacing w:line="520" w:lineRule="exact"/>
        <w:rPr>
          <w:sz w:val="24"/>
          <w:szCs w:val="24"/>
        </w:rPr>
      </w:pPr>
      <w:r>
        <w:rPr>
          <w:sz w:val="24"/>
          <w:szCs w:val="24"/>
        </w:rPr>
        <w:t xml:space="preserve">    七、货款支付方式：见附件。</w:t>
      </w:r>
    </w:p>
    <w:p>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tabs>
                <w:tab w:val="left" w:pos="0"/>
                <w:tab w:val="left" w:pos="315"/>
              </w:tabs>
              <w:spacing w:line="520" w:lineRule="exact"/>
              <w:rPr>
                <w:sz w:val="24"/>
                <w:szCs w:val="24"/>
              </w:rPr>
            </w:pPr>
            <w:r>
              <w:rPr>
                <w:sz w:val="24"/>
                <w:szCs w:val="24"/>
              </w:rPr>
              <w:t xml:space="preserve">供方（公章）： </w:t>
            </w:r>
          </w:p>
        </w:tc>
        <w:tc>
          <w:tcPr>
            <w:tcW w:w="4261" w:type="dxa"/>
          </w:tcPr>
          <w:p>
            <w:pPr>
              <w:tabs>
                <w:tab w:val="left" w:pos="0"/>
                <w:tab w:val="left" w:pos="315"/>
              </w:tabs>
              <w:spacing w:line="520" w:lineRule="exact"/>
              <w:rPr>
                <w:sz w:val="24"/>
                <w:szCs w:val="24"/>
              </w:rPr>
            </w:pPr>
            <w:r>
              <w:rPr>
                <w:sz w:val="24"/>
                <w:szCs w:val="24"/>
              </w:rPr>
              <w:t xml:space="preserve">需方（公章）： </w:t>
            </w:r>
          </w:p>
        </w:tc>
      </w:tr>
      <w:tr>
        <w:tblPrEx>
          <w:tblCellMar>
            <w:top w:w="0" w:type="dxa"/>
            <w:left w:w="108" w:type="dxa"/>
            <w:bottom w:w="0" w:type="dxa"/>
            <w:right w:w="108" w:type="dxa"/>
          </w:tblCellMar>
        </w:tblPrEx>
        <w:tc>
          <w:tcPr>
            <w:tcW w:w="4261" w:type="dxa"/>
          </w:tcPr>
          <w:p>
            <w:pPr>
              <w:tabs>
                <w:tab w:val="left" w:pos="0"/>
                <w:tab w:val="left" w:pos="315"/>
              </w:tabs>
              <w:spacing w:line="520" w:lineRule="exact"/>
              <w:rPr>
                <w:sz w:val="24"/>
                <w:szCs w:val="24"/>
              </w:rPr>
            </w:pPr>
            <w:r>
              <w:rPr>
                <w:sz w:val="24"/>
                <w:szCs w:val="24"/>
              </w:rPr>
              <w:t xml:space="preserve">地址：  </w:t>
            </w:r>
          </w:p>
        </w:tc>
        <w:tc>
          <w:tcPr>
            <w:tcW w:w="4261" w:type="dxa"/>
          </w:tcPr>
          <w:p>
            <w:pPr>
              <w:tabs>
                <w:tab w:val="left" w:pos="0"/>
                <w:tab w:val="left" w:pos="315"/>
              </w:tabs>
              <w:spacing w:line="520" w:lineRule="exact"/>
              <w:rPr>
                <w:sz w:val="24"/>
                <w:szCs w:val="24"/>
              </w:rPr>
            </w:pPr>
            <w:r>
              <w:rPr>
                <w:sz w:val="24"/>
                <w:szCs w:val="24"/>
              </w:rPr>
              <w:t xml:space="preserve">地址：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 xml:space="preserve">法定代表人： </w:t>
            </w:r>
          </w:p>
        </w:tc>
        <w:tc>
          <w:tcPr>
            <w:tcW w:w="4261" w:type="dxa"/>
          </w:tcPr>
          <w:p>
            <w:pPr>
              <w:tabs>
                <w:tab w:val="left" w:pos="360"/>
              </w:tabs>
              <w:spacing w:line="520" w:lineRule="exact"/>
              <w:rPr>
                <w:sz w:val="24"/>
                <w:szCs w:val="24"/>
              </w:rPr>
            </w:pPr>
            <w:r>
              <w:rPr>
                <w:sz w:val="24"/>
                <w:szCs w:val="24"/>
              </w:rPr>
              <w:t xml:space="preserve">法定代表人：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 xml:space="preserve">委托代理人： </w:t>
            </w:r>
          </w:p>
        </w:tc>
        <w:tc>
          <w:tcPr>
            <w:tcW w:w="4261" w:type="dxa"/>
          </w:tcPr>
          <w:p>
            <w:pPr>
              <w:tabs>
                <w:tab w:val="left" w:pos="360"/>
              </w:tabs>
              <w:spacing w:line="520" w:lineRule="exact"/>
              <w:rPr>
                <w:sz w:val="24"/>
                <w:szCs w:val="24"/>
              </w:rPr>
            </w:pPr>
            <w:r>
              <w:rPr>
                <w:sz w:val="24"/>
                <w:szCs w:val="24"/>
              </w:rPr>
              <w:t xml:space="preserve">委托代理人：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电话：</w:t>
            </w:r>
          </w:p>
        </w:tc>
        <w:tc>
          <w:tcPr>
            <w:tcW w:w="4261" w:type="dxa"/>
          </w:tcPr>
          <w:p>
            <w:pPr>
              <w:tabs>
                <w:tab w:val="left" w:pos="360"/>
              </w:tabs>
              <w:spacing w:line="520" w:lineRule="exact"/>
              <w:rPr>
                <w:sz w:val="24"/>
                <w:szCs w:val="24"/>
              </w:rPr>
            </w:pPr>
            <w:r>
              <w:rPr>
                <w:sz w:val="24"/>
                <w:szCs w:val="24"/>
              </w:rPr>
              <w:t>电话：</w:t>
            </w:r>
          </w:p>
        </w:tc>
      </w:tr>
    </w:tbl>
    <w:p>
      <w:pPr>
        <w:rPr>
          <w:sz w:val="24"/>
          <w:szCs w:val="24"/>
        </w:rPr>
      </w:pPr>
    </w:p>
    <w:p>
      <w:pPr>
        <w:rPr>
          <w:szCs w:val="24"/>
        </w:rPr>
      </w:pPr>
      <w:r>
        <w:rPr>
          <w:sz w:val="24"/>
          <w:szCs w:val="24"/>
        </w:rPr>
        <w:t>时间：20</w:t>
      </w:r>
      <w:r>
        <w:rPr>
          <w:rFonts w:hint="eastAsia"/>
          <w:sz w:val="24"/>
          <w:szCs w:val="24"/>
        </w:rPr>
        <w:t xml:space="preserve">  </w:t>
      </w:r>
      <w:r>
        <w:rPr>
          <w:sz w:val="24"/>
          <w:szCs w:val="24"/>
        </w:rPr>
        <w:t>年  月  日</w:t>
      </w:r>
    </w:p>
    <w:p>
      <w:pPr>
        <w:jc w:val="center"/>
        <w:rPr>
          <w:b/>
          <w:sz w:val="30"/>
          <w:szCs w:val="30"/>
        </w:rPr>
      </w:pPr>
      <w:r>
        <w:rPr>
          <w:b/>
          <w:sz w:val="30"/>
          <w:szCs w:val="30"/>
        </w:rPr>
        <w:br w:type="page"/>
      </w:r>
      <w:r>
        <w:rPr>
          <w:b/>
          <w:sz w:val="30"/>
          <w:szCs w:val="30"/>
        </w:rPr>
        <w:t>合同特殊条款</w:t>
      </w:r>
    </w:p>
    <w:p>
      <w:pPr>
        <w:tabs>
          <w:tab w:val="left" w:pos="360"/>
        </w:tabs>
        <w:spacing w:line="520" w:lineRule="exact"/>
        <w:ind w:firstLine="383" w:firstLineChars="171"/>
        <w:rPr>
          <w:sz w:val="24"/>
          <w:szCs w:val="24"/>
        </w:rPr>
      </w:pPr>
    </w:p>
    <w:p>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pPr>
        <w:autoSpaceDE w:val="0"/>
        <w:autoSpaceDN w:val="0"/>
        <w:adjustRightInd w:val="0"/>
        <w:spacing w:line="360" w:lineRule="auto"/>
        <w:ind w:firstLine="448" w:firstLineChars="200"/>
        <w:rPr>
          <w:sz w:val="24"/>
        </w:rPr>
      </w:pPr>
    </w:p>
    <w:p>
      <w:pPr>
        <w:widowControl/>
        <w:jc w:val="left"/>
        <w:rPr>
          <w:sz w:val="24"/>
        </w:rPr>
      </w:pPr>
      <w:r>
        <w:rPr>
          <w:sz w:val="24"/>
        </w:rPr>
        <w:br w:type="page"/>
      </w:r>
    </w:p>
    <w:p>
      <w:pPr>
        <w:pStyle w:val="16"/>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kern w:val="0"/>
          <w:sz w:val="24"/>
        </w:rPr>
      </w:pPr>
      <w:r>
        <w:rPr>
          <w:b/>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所投包号：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sz w:val="34"/>
          <w:szCs w:val="34"/>
        </w:rPr>
      </w:pPr>
      <w:r>
        <w:rPr>
          <w:rFonts w:hint="eastAsia"/>
          <w:b/>
          <w:sz w:val="34"/>
          <w:szCs w:val="34"/>
        </w:rPr>
        <w:t>投标代表人姓名：</w:t>
      </w: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bCs/>
          <w:sz w:val="24"/>
        </w:rPr>
      </w:pPr>
      <w:r>
        <w:rPr>
          <w:b/>
          <w:sz w:val="34"/>
          <w:szCs w:val="34"/>
        </w:rPr>
        <w:t>投标日期：   年   月   日</w:t>
      </w:r>
    </w:p>
    <w:p>
      <w:pPr>
        <w:widowControl/>
        <w:jc w:val="left"/>
        <w:rPr>
          <w:b/>
          <w:bCs/>
          <w:sz w:val="24"/>
        </w:rPr>
      </w:pPr>
      <w:r>
        <w:rPr>
          <w:b/>
          <w:bCs/>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w:t>
      </w:r>
      <w:r>
        <w:rPr>
          <w:rFonts w:hint="eastAsia"/>
          <w:b/>
          <w:bCs/>
          <w:sz w:val="24"/>
        </w:rPr>
        <w:t>投标人</w:t>
      </w:r>
      <w:r>
        <w:rPr>
          <w:b/>
          <w:bCs/>
          <w:sz w:val="24"/>
        </w:rPr>
        <w:t>自行编制）</w:t>
      </w:r>
    </w:p>
    <w:p>
      <w:pPr>
        <w:widowControl/>
        <w:jc w:val="center"/>
        <w:rPr>
          <w:b/>
          <w:sz w:val="24"/>
        </w:rPr>
      </w:pP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sz w:val="24"/>
        </w:rPr>
      </w:pPr>
      <w:r>
        <w:rPr>
          <w:sz w:val="24"/>
        </w:rPr>
        <w:br w:type="page"/>
      </w:r>
    </w:p>
    <w:p>
      <w:pPr>
        <w:tabs>
          <w:tab w:val="left" w:pos="360"/>
        </w:tabs>
        <w:spacing w:after="285" w:afterLines="100" w:line="360" w:lineRule="auto"/>
        <w:rPr>
          <w:b/>
          <w:sz w:val="24"/>
        </w:rPr>
      </w:pPr>
      <w:r>
        <w:rPr>
          <w:b/>
          <w:sz w:val="24"/>
        </w:rPr>
        <w:t>附件1</w:t>
      </w:r>
    </w:p>
    <w:p>
      <w:pPr>
        <w:autoSpaceDN w:val="0"/>
        <w:spacing w:line="360" w:lineRule="auto"/>
        <w:jc w:val="center"/>
        <w:rPr>
          <w:b/>
          <w:bCs/>
          <w:sz w:val="24"/>
        </w:rPr>
      </w:pPr>
      <w:r>
        <w:rPr>
          <w:b/>
          <w:bCs/>
          <w:sz w:val="24"/>
        </w:rPr>
        <w:t>投标书</w:t>
      </w:r>
    </w:p>
    <w:p>
      <w:pPr>
        <w:spacing w:line="360" w:lineRule="auto"/>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pPr>
        <w:spacing w:line="360" w:lineRule="auto"/>
        <w:ind w:firstLine="448" w:firstLineChars="200"/>
        <w:rPr>
          <w:sz w:val="24"/>
        </w:rPr>
      </w:pPr>
      <w:r>
        <w:rPr>
          <w:sz w:val="24"/>
        </w:rPr>
        <w:t>据此函，签字代表宣布同意如下：</w:t>
      </w:r>
    </w:p>
    <w:p>
      <w:pPr>
        <w:spacing w:line="360" w:lineRule="auto"/>
        <w:ind w:firstLine="448" w:firstLineChars="200"/>
        <w:rPr>
          <w:sz w:val="24"/>
        </w:rPr>
      </w:pPr>
      <w:r>
        <w:rPr>
          <w:sz w:val="24"/>
        </w:rPr>
        <w:t>1. 所附投标报价表中规定的应提供和交付的服务投标总价为：</w:t>
      </w:r>
    </w:p>
    <w:p>
      <w:pPr>
        <w:spacing w:line="360" w:lineRule="auto"/>
        <w:ind w:firstLine="448" w:firstLineChars="200"/>
        <w:rPr>
          <w:sz w:val="24"/>
        </w:rPr>
      </w:pPr>
      <w:r>
        <w:rPr>
          <w:sz w:val="24"/>
        </w:rPr>
        <w:t>第</w:t>
      </w:r>
      <w:r>
        <w:rPr>
          <w:rFonts w:hint="eastAsia"/>
          <w:sz w:val="24"/>
        </w:rPr>
        <w:t xml:space="preserve">   </w:t>
      </w:r>
      <w:r>
        <w:rPr>
          <w:sz w:val="24"/>
        </w:rPr>
        <w:t>包，￥</w:t>
      </w:r>
      <w:r>
        <w:rPr>
          <w:sz w:val="24"/>
          <w:u w:val="single"/>
        </w:rPr>
        <w:t xml:space="preserve">      </w:t>
      </w:r>
      <w:r>
        <w:rPr>
          <w:sz w:val="24"/>
        </w:rPr>
        <w:t>元（人民币），大写</w:t>
      </w:r>
      <w:r>
        <w:rPr>
          <w:sz w:val="24"/>
          <w:u w:val="single"/>
        </w:rPr>
        <w:t xml:space="preserve">                   </w:t>
      </w:r>
      <w:r>
        <w:rPr>
          <w:sz w:val="24"/>
        </w:rPr>
        <w:t>。</w:t>
      </w:r>
    </w:p>
    <w:p>
      <w:pPr>
        <w:spacing w:line="360" w:lineRule="auto"/>
        <w:ind w:firstLine="448" w:firstLineChars="200"/>
        <w:rPr>
          <w:sz w:val="24"/>
        </w:rPr>
      </w:pP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开具发票类型：□增值税专用发票         □增值税普通发票</w:t>
      </w:r>
    </w:p>
    <w:p>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pPr>
        <w:spacing w:line="360" w:lineRule="auto"/>
        <w:ind w:firstLine="448" w:firstLineChars="200"/>
        <w:rPr>
          <w:b/>
          <w:sz w:val="24"/>
        </w:rPr>
      </w:pPr>
      <w:r>
        <w:rPr>
          <w:rFonts w:hint="eastAsia"/>
          <w:b/>
          <w:sz w:val="24"/>
        </w:rPr>
        <w:t>□</w:t>
      </w:r>
      <w:r>
        <w:rPr>
          <w:b/>
          <w:sz w:val="24"/>
        </w:rPr>
        <w:t>上门自取</w:t>
      </w:r>
    </w:p>
    <w:p>
      <w:pPr>
        <w:spacing w:line="360" w:lineRule="auto"/>
        <w:ind w:firstLine="448" w:firstLineChars="200"/>
        <w:rPr>
          <w:sz w:val="24"/>
        </w:rPr>
      </w:pPr>
    </w:p>
    <w:p>
      <w:pPr>
        <w:spacing w:line="360" w:lineRule="auto"/>
        <w:ind w:firstLine="448" w:firstLineChars="200"/>
        <w:rPr>
          <w:b/>
          <w:sz w:val="24"/>
        </w:rPr>
      </w:pPr>
      <w:r>
        <w:rPr>
          <w:rFonts w:hint="eastAsia"/>
          <w:b/>
          <w:sz w:val="24"/>
        </w:rPr>
        <w:t>□</w:t>
      </w:r>
      <w:r>
        <w:rPr>
          <w:b/>
          <w:sz w:val="24"/>
        </w:rPr>
        <w:t>到付邮寄</w:t>
      </w:r>
    </w:p>
    <w:p>
      <w:pPr>
        <w:spacing w:line="360" w:lineRule="auto"/>
        <w:ind w:firstLine="448" w:firstLineChars="200"/>
        <w:rPr>
          <w:sz w:val="24"/>
        </w:rPr>
      </w:pPr>
      <w:r>
        <w:rPr>
          <w:sz w:val="24"/>
        </w:rPr>
        <w:t>邮寄地址</w:t>
      </w:r>
      <w:r>
        <w:rPr>
          <w:rFonts w:hint="eastAsia"/>
          <w:sz w:val="24"/>
        </w:rPr>
        <w:t>、邮编</w:t>
      </w:r>
      <w:r>
        <w:rPr>
          <w:sz w:val="24"/>
        </w:rPr>
        <w:t>：</w:t>
      </w:r>
    </w:p>
    <w:p>
      <w:pPr>
        <w:spacing w:line="360" w:lineRule="auto"/>
        <w:ind w:firstLine="448" w:firstLineChars="200"/>
        <w:rPr>
          <w:sz w:val="24"/>
        </w:rPr>
      </w:pPr>
      <w:r>
        <w:rPr>
          <w:sz w:val="24"/>
        </w:rPr>
        <w:t>邮寄联系人、手机号码：</w:t>
      </w:r>
    </w:p>
    <w:p>
      <w:pPr>
        <w:spacing w:line="360" w:lineRule="auto"/>
        <w:ind w:firstLine="3808" w:firstLineChars="170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60" w:lineRule="exact"/>
        <w:rPr>
          <w:sz w:val="24"/>
        </w:rPr>
      </w:pPr>
    </w:p>
    <w:p>
      <w:pPr>
        <w:widowControl/>
        <w:jc w:val="left"/>
        <w:rPr>
          <w:sz w:val="24"/>
        </w:rPr>
      </w:pPr>
      <w:r>
        <w:rPr>
          <w:sz w:val="24"/>
        </w:rPr>
        <w:br w:type="page"/>
      </w:r>
    </w:p>
    <w:p>
      <w:pPr>
        <w:widowControl/>
        <w:jc w:val="left"/>
        <w:rPr>
          <w:b/>
          <w:sz w:val="24"/>
        </w:rPr>
      </w:pPr>
      <w:r>
        <w:rPr>
          <w:b/>
          <w:sz w:val="24"/>
        </w:rPr>
        <w:t>附件2</w:t>
      </w:r>
    </w:p>
    <w:p>
      <w:pPr>
        <w:autoSpaceDN w:val="0"/>
        <w:spacing w:line="360" w:lineRule="auto"/>
        <w:jc w:val="center"/>
        <w:rPr>
          <w:b/>
          <w:bCs/>
          <w:sz w:val="24"/>
        </w:rPr>
      </w:pPr>
    </w:p>
    <w:p>
      <w:pPr>
        <w:ind w:right="84"/>
        <w:jc w:val="center"/>
        <w:rPr>
          <w:b/>
          <w:sz w:val="24"/>
        </w:rPr>
      </w:pPr>
      <w:r>
        <w:rPr>
          <w:rFonts w:hint="eastAsia"/>
          <w:b/>
          <w:sz w:val="24"/>
        </w:rPr>
        <w:t>供应商资格声明函</w:t>
      </w:r>
    </w:p>
    <w:p>
      <w:pPr>
        <w:spacing w:line="360" w:lineRule="auto"/>
        <w:ind w:firstLine="420"/>
        <w:jc w:val="center"/>
        <w:rPr>
          <w:b/>
          <w:sz w:val="24"/>
        </w:rPr>
      </w:pPr>
    </w:p>
    <w:p>
      <w:pPr>
        <w:spacing w:line="360" w:lineRule="auto"/>
        <w:rPr>
          <w:sz w:val="24"/>
        </w:rPr>
      </w:pPr>
      <w:r>
        <w:rPr>
          <w:rFonts w:hint="eastAsia"/>
          <w:sz w:val="24"/>
        </w:rPr>
        <w:t>天津市政府采购中心：</w:t>
      </w:r>
    </w:p>
    <w:p>
      <w:pPr>
        <w:spacing w:line="360" w:lineRule="auto"/>
        <w:ind w:firstLine="448" w:firstLineChars="200"/>
        <w:rPr>
          <w:sz w:val="24"/>
        </w:rPr>
      </w:pPr>
      <w:r>
        <w:rPr>
          <w:rFonts w:hint="eastAsia"/>
          <w:sz w:val="24"/>
        </w:rPr>
        <w:t>我单位自愿参与本项目的政府采购活动，郑重承诺如下：</w:t>
      </w:r>
    </w:p>
    <w:p>
      <w:pPr>
        <w:spacing w:line="360" w:lineRule="auto"/>
        <w:ind w:firstLine="448" w:firstLineChars="200"/>
        <w:rPr>
          <w:sz w:val="24"/>
        </w:rPr>
      </w:pPr>
      <w:r>
        <w:rPr>
          <w:rFonts w:hint="eastAsia"/>
          <w:sz w:val="24"/>
        </w:rPr>
        <w:t>（一）我单位具有良好的商业信誉和健全的财务会计制度；</w:t>
      </w:r>
    </w:p>
    <w:p>
      <w:pPr>
        <w:spacing w:line="360" w:lineRule="auto"/>
        <w:ind w:firstLine="448" w:firstLineChars="200"/>
        <w:rPr>
          <w:sz w:val="24"/>
        </w:rPr>
      </w:pPr>
      <w:r>
        <w:rPr>
          <w:rFonts w:hint="eastAsia"/>
          <w:sz w:val="24"/>
        </w:rPr>
        <w:t>（二）我单位依法缴纳税收和社会保障资金；</w:t>
      </w:r>
    </w:p>
    <w:p>
      <w:pPr>
        <w:spacing w:line="360" w:lineRule="auto"/>
        <w:ind w:firstLine="448" w:firstLineChars="200"/>
        <w:rPr>
          <w:sz w:val="24"/>
        </w:rPr>
      </w:pPr>
      <w:r>
        <w:rPr>
          <w:rFonts w:hint="eastAsia"/>
          <w:sz w:val="24"/>
        </w:rPr>
        <w:t>（三）我单位具备履行合同所必需的设备和专业技术能力；</w:t>
      </w:r>
    </w:p>
    <w:p>
      <w:pPr>
        <w:spacing w:line="360" w:lineRule="auto"/>
        <w:ind w:firstLine="448" w:firstLineChars="200"/>
        <w:rPr>
          <w:sz w:val="24"/>
        </w:rPr>
      </w:pPr>
      <w:r>
        <w:rPr>
          <w:rFonts w:hint="eastAsia"/>
          <w:sz w:val="24"/>
        </w:rPr>
        <w:t>（四）参加政府采购活动前3年我单位在经营活动中没有重大违法记录；</w:t>
      </w:r>
    </w:p>
    <w:p>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序号</w:t>
            </w:r>
          </w:p>
        </w:tc>
        <w:tc>
          <w:tcPr>
            <w:tcW w:w="2273" w:type="pct"/>
            <w:vAlign w:val="center"/>
          </w:tcPr>
          <w:p>
            <w:pPr>
              <w:jc w:val="center"/>
              <w:rPr>
                <w:szCs w:val="21"/>
              </w:rPr>
            </w:pPr>
            <w:r>
              <w:rPr>
                <w:rFonts w:hint="eastAsia"/>
                <w:szCs w:val="21"/>
              </w:rPr>
              <w:t>单位名称</w:t>
            </w:r>
          </w:p>
        </w:tc>
        <w:tc>
          <w:tcPr>
            <w:tcW w:w="1667" w:type="pct"/>
            <w:vAlign w:val="center"/>
          </w:tcPr>
          <w:p>
            <w:pPr>
              <w:jc w:val="center"/>
              <w:rPr>
                <w:szCs w:val="21"/>
              </w:rPr>
            </w:pPr>
            <w:r>
              <w:rPr>
                <w:rFonts w:hint="eastAsia"/>
                <w:szCs w:val="21"/>
              </w:rPr>
              <w:t>相互关系类型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1</w:t>
            </w:r>
          </w:p>
        </w:tc>
        <w:tc>
          <w:tcPr>
            <w:tcW w:w="2273" w:type="pct"/>
            <w:vAlign w:val="center"/>
          </w:tcPr>
          <w:p>
            <w:pPr>
              <w:jc w:val="center"/>
              <w:rPr>
                <w:szCs w:val="21"/>
              </w:rPr>
            </w:pPr>
          </w:p>
        </w:tc>
        <w:tc>
          <w:tcPr>
            <w:tcW w:w="1667" w:type="pct"/>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2</w:t>
            </w:r>
          </w:p>
        </w:tc>
        <w:tc>
          <w:tcPr>
            <w:tcW w:w="2273" w:type="pct"/>
            <w:vAlign w:val="center"/>
          </w:tcPr>
          <w:p>
            <w:pPr>
              <w:jc w:val="center"/>
              <w:rPr>
                <w:szCs w:val="21"/>
              </w:rPr>
            </w:pPr>
          </w:p>
        </w:tc>
        <w:tc>
          <w:tcPr>
            <w:tcW w:w="1667" w:type="pct"/>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3</w:t>
            </w:r>
          </w:p>
        </w:tc>
        <w:tc>
          <w:tcPr>
            <w:tcW w:w="2273" w:type="pct"/>
            <w:vAlign w:val="center"/>
          </w:tcPr>
          <w:p>
            <w:pPr>
              <w:jc w:val="center"/>
              <w:rPr>
                <w:szCs w:val="21"/>
              </w:rPr>
            </w:pPr>
          </w:p>
        </w:tc>
        <w:tc>
          <w:tcPr>
            <w:tcW w:w="1667" w:type="pct"/>
            <w:vAlign w:val="center"/>
          </w:tcPr>
          <w:p>
            <w:pPr>
              <w:jc w:val="center"/>
              <w:rPr>
                <w:szCs w:val="21"/>
              </w:rPr>
            </w:pPr>
          </w:p>
        </w:tc>
      </w:tr>
    </w:tbl>
    <w:p>
      <w:pPr>
        <w:spacing w:line="360" w:lineRule="auto"/>
        <w:ind w:firstLine="448" w:firstLineChars="200"/>
        <w:rPr>
          <w:sz w:val="24"/>
        </w:rPr>
      </w:pPr>
      <w:r>
        <w:rPr>
          <w:rFonts w:hint="eastAsia"/>
          <w:sz w:val="24"/>
        </w:rPr>
        <w:t>上表未填写的，视为不存在第（六）条所列情形</w:t>
      </w:r>
    </w:p>
    <w:p>
      <w:pPr>
        <w:spacing w:line="360" w:lineRule="auto"/>
        <w:ind w:firstLine="448" w:firstLineChars="200"/>
        <w:rPr>
          <w:sz w:val="24"/>
        </w:rPr>
      </w:pPr>
    </w:p>
    <w:p>
      <w:pPr>
        <w:spacing w:line="360" w:lineRule="auto"/>
        <w:ind w:firstLine="448" w:firstLineChars="200"/>
        <w:rPr>
          <w:sz w:val="24"/>
        </w:rPr>
      </w:pPr>
      <w:r>
        <w:rPr>
          <w:rFonts w:hint="eastAsia"/>
          <w:sz w:val="24"/>
        </w:rPr>
        <w:t>上述声明真实有效，否则我单位承担全部责任和不利后果。</w:t>
      </w:r>
    </w:p>
    <w:p>
      <w:pPr>
        <w:spacing w:line="360" w:lineRule="auto"/>
        <w:ind w:firstLine="448" w:firstLineChars="200"/>
        <w:rPr>
          <w:sz w:val="24"/>
        </w:rPr>
      </w:pPr>
    </w:p>
    <w:p>
      <w:pPr>
        <w:spacing w:line="360" w:lineRule="auto"/>
        <w:ind w:firstLine="224" w:firstLineChars="100"/>
        <w:rPr>
          <w:sz w:val="24"/>
        </w:rPr>
      </w:pPr>
      <w:r>
        <w:rPr>
          <w:sz w:val="24"/>
        </w:rPr>
        <w:t>投标人名称：</w:t>
      </w:r>
    </w:p>
    <w:p>
      <w:pPr>
        <w:spacing w:line="360" w:lineRule="auto"/>
        <w:ind w:firstLine="224" w:firstLineChars="100"/>
        <w:rPr>
          <w:sz w:val="24"/>
        </w:rPr>
      </w:pPr>
    </w:p>
    <w:p>
      <w:pPr>
        <w:spacing w:line="360" w:lineRule="auto"/>
        <w:ind w:firstLine="224" w:firstLineChars="100"/>
        <w:rPr>
          <w:position w:val="-40"/>
          <w:sz w:val="24"/>
        </w:rPr>
      </w:pPr>
      <w:r>
        <w:rPr>
          <w:sz w:val="24"/>
        </w:rPr>
        <w:t xml:space="preserve">日期：  </w:t>
      </w:r>
    </w:p>
    <w:p>
      <w:pPr>
        <w:autoSpaceDN w:val="0"/>
        <w:spacing w:line="360" w:lineRule="auto"/>
        <w:jc w:val="center"/>
        <w:rPr>
          <w:b/>
          <w:bCs/>
          <w:sz w:val="24"/>
        </w:rPr>
      </w:pPr>
    </w:p>
    <w:p>
      <w:pPr>
        <w:widowControl/>
        <w:jc w:val="left"/>
        <w:rPr>
          <w:b/>
          <w:bCs/>
          <w:sz w:val="24"/>
        </w:rPr>
      </w:pPr>
      <w:r>
        <w:rPr>
          <w:b/>
          <w:bCs/>
          <w:sz w:val="24"/>
        </w:rPr>
        <w:br w:type="page"/>
      </w:r>
    </w:p>
    <w:p>
      <w:pPr>
        <w:spacing w:line="460" w:lineRule="exact"/>
        <w:rPr>
          <w:b/>
          <w:sz w:val="24"/>
        </w:rPr>
      </w:pPr>
      <w:r>
        <w:rPr>
          <w:rFonts w:hint="eastAsia"/>
          <w:b/>
          <w:bCs/>
          <w:sz w:val="24"/>
        </w:rPr>
        <w:t>附件2-1：招标文件第一部分供应商资格要求的证件</w:t>
      </w:r>
    </w:p>
    <w:p>
      <w:pPr>
        <w:widowControl/>
        <w:jc w:val="left"/>
        <w:rPr>
          <w:b/>
          <w:bCs/>
          <w:sz w:val="24"/>
        </w:rPr>
      </w:pPr>
      <w:r>
        <w:rPr>
          <w:b/>
          <w:bCs/>
          <w:sz w:val="24"/>
        </w:rPr>
        <w:br w:type="page"/>
      </w:r>
    </w:p>
    <w:p>
      <w:pPr>
        <w:autoSpaceDN w:val="0"/>
        <w:spacing w:line="360" w:lineRule="auto"/>
        <w:rPr>
          <w:b/>
          <w:bCs/>
          <w:sz w:val="24"/>
        </w:rPr>
      </w:pPr>
      <w:r>
        <w:rPr>
          <w:rFonts w:hint="eastAsia"/>
          <w:b/>
          <w:bCs/>
          <w:sz w:val="24"/>
        </w:rPr>
        <w:t>附件3</w:t>
      </w:r>
    </w:p>
    <w:p>
      <w:pPr>
        <w:autoSpaceDN w:val="0"/>
        <w:spacing w:line="360" w:lineRule="auto"/>
        <w:jc w:val="center"/>
        <w:rPr>
          <w:b/>
          <w:bCs/>
          <w:sz w:val="24"/>
        </w:rPr>
      </w:pPr>
    </w:p>
    <w:p>
      <w:pPr>
        <w:autoSpaceDN w:val="0"/>
        <w:spacing w:line="360" w:lineRule="auto"/>
        <w:jc w:val="center"/>
        <w:rPr>
          <w:b/>
          <w:bCs/>
          <w:sz w:val="24"/>
        </w:rPr>
      </w:pPr>
      <w:r>
        <w:rPr>
          <w:b/>
          <w:bCs/>
          <w:sz w:val="24"/>
        </w:rPr>
        <w:t>开标一览表</w:t>
      </w:r>
    </w:p>
    <w:p>
      <w:pPr>
        <w:ind w:right="84"/>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sz w:val="24"/>
              </w:rPr>
            </w:pPr>
            <w:r>
              <w:rPr>
                <w:sz w:val="24"/>
              </w:rPr>
              <w:t>包号</w:t>
            </w:r>
          </w:p>
        </w:tc>
        <w:tc>
          <w:tcPr>
            <w:tcW w:w="1278" w:type="pct"/>
            <w:vAlign w:val="center"/>
          </w:tcPr>
          <w:p>
            <w:pPr>
              <w:spacing w:line="460" w:lineRule="exact"/>
              <w:jc w:val="center"/>
              <w:rPr>
                <w:sz w:val="24"/>
              </w:rPr>
            </w:pPr>
            <w:r>
              <w:rPr>
                <w:sz w:val="24"/>
              </w:rPr>
              <w:t>服务名称</w:t>
            </w:r>
          </w:p>
        </w:tc>
        <w:tc>
          <w:tcPr>
            <w:tcW w:w="806" w:type="pct"/>
            <w:vAlign w:val="center"/>
          </w:tcPr>
          <w:p>
            <w:pPr>
              <w:spacing w:line="460" w:lineRule="exact"/>
              <w:jc w:val="center"/>
              <w:rPr>
                <w:sz w:val="24"/>
              </w:rPr>
            </w:pPr>
            <w:r>
              <w:rPr>
                <w:sz w:val="24"/>
              </w:rPr>
              <w:t>数量</w:t>
            </w:r>
          </w:p>
        </w:tc>
        <w:tc>
          <w:tcPr>
            <w:tcW w:w="1202" w:type="pct"/>
            <w:vAlign w:val="center"/>
          </w:tcPr>
          <w:p>
            <w:pPr>
              <w:spacing w:line="460" w:lineRule="exact"/>
              <w:jc w:val="center"/>
              <w:rPr>
                <w:sz w:val="24"/>
              </w:rPr>
            </w:pPr>
            <w:r>
              <w:rPr>
                <w:sz w:val="24"/>
              </w:rPr>
              <w:t>投标总价</w:t>
            </w:r>
          </w:p>
        </w:tc>
        <w:tc>
          <w:tcPr>
            <w:tcW w:w="984" w:type="pct"/>
            <w:vAlign w:val="center"/>
          </w:tcPr>
          <w:p>
            <w:pPr>
              <w:spacing w:line="46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bl>
    <w:p>
      <w:pPr>
        <w:spacing w:line="360" w:lineRule="auto"/>
        <w:ind w:right="84" w:firstLine="420"/>
        <w:rPr>
          <w:sz w:val="24"/>
        </w:rPr>
      </w:pPr>
    </w:p>
    <w:p>
      <w:pPr>
        <w:spacing w:line="360" w:lineRule="auto"/>
        <w:ind w:right="84" w:firstLine="42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360" w:lineRule="auto"/>
        <w:ind w:right="84" w:firstLine="420"/>
        <w:rPr>
          <w:sz w:val="24"/>
        </w:rPr>
      </w:pPr>
    </w:p>
    <w:p>
      <w:pPr>
        <w:widowControl/>
        <w:jc w:val="left"/>
        <w:rPr>
          <w:sz w:val="24"/>
        </w:rPr>
      </w:pPr>
      <w:r>
        <w:rPr>
          <w:sz w:val="24"/>
        </w:rPr>
        <w:br w:type="page"/>
      </w:r>
    </w:p>
    <w:p>
      <w:pPr>
        <w:tabs>
          <w:tab w:val="left" w:pos="360"/>
        </w:tabs>
        <w:spacing w:line="360" w:lineRule="auto"/>
        <w:rPr>
          <w:b/>
          <w:sz w:val="24"/>
        </w:rPr>
      </w:pPr>
      <w:r>
        <w:rPr>
          <w:b/>
          <w:sz w:val="24"/>
        </w:rPr>
        <w:t>附件</w:t>
      </w:r>
      <w:r>
        <w:rPr>
          <w:rFonts w:hint="eastAsia"/>
          <w:b/>
          <w:sz w:val="24"/>
        </w:rPr>
        <w:t>4</w:t>
      </w:r>
    </w:p>
    <w:p>
      <w:pPr>
        <w:autoSpaceDN w:val="0"/>
        <w:spacing w:line="360" w:lineRule="auto"/>
        <w:jc w:val="center"/>
        <w:rPr>
          <w:b/>
          <w:bCs/>
          <w:sz w:val="24"/>
        </w:rPr>
      </w:pPr>
      <w:r>
        <w:rPr>
          <w:b/>
          <w:bCs/>
          <w:sz w:val="24"/>
        </w:rPr>
        <w:t>开标分项一览表</w:t>
      </w:r>
    </w:p>
    <w:p>
      <w:pPr>
        <w:ind w:right="84"/>
        <w:rPr>
          <w:sz w:val="24"/>
        </w:rPr>
      </w:pP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pPr>
              <w:widowControl/>
              <w:jc w:val="center"/>
              <w:rPr>
                <w:b/>
                <w:bCs/>
                <w:kern w:val="0"/>
                <w:sz w:val="24"/>
                <w:szCs w:val="24"/>
              </w:rPr>
            </w:pPr>
            <w:r>
              <w:rPr>
                <w:b/>
                <w:bCs/>
                <w:kern w:val="0"/>
                <w:sz w:val="24"/>
                <w:szCs w:val="24"/>
              </w:rPr>
              <w:t>项号</w:t>
            </w:r>
          </w:p>
        </w:tc>
        <w:tc>
          <w:tcPr>
            <w:tcW w:w="2349" w:type="dxa"/>
            <w:vAlign w:val="center"/>
          </w:tcPr>
          <w:p>
            <w:pPr>
              <w:widowControl/>
              <w:jc w:val="center"/>
              <w:rPr>
                <w:b/>
                <w:bCs/>
                <w:kern w:val="0"/>
                <w:sz w:val="24"/>
                <w:szCs w:val="24"/>
              </w:rPr>
            </w:pPr>
            <w:r>
              <w:rPr>
                <w:b/>
                <w:bCs/>
                <w:kern w:val="0"/>
                <w:sz w:val="24"/>
                <w:szCs w:val="24"/>
              </w:rPr>
              <w:t>服务名称</w:t>
            </w:r>
          </w:p>
        </w:tc>
        <w:tc>
          <w:tcPr>
            <w:tcW w:w="1701" w:type="dxa"/>
            <w:vAlign w:val="center"/>
          </w:tcPr>
          <w:p>
            <w:pPr>
              <w:widowControl/>
              <w:jc w:val="center"/>
              <w:rPr>
                <w:b/>
                <w:bCs/>
                <w:kern w:val="0"/>
                <w:sz w:val="24"/>
                <w:szCs w:val="24"/>
              </w:rPr>
            </w:pPr>
            <w:r>
              <w:rPr>
                <w:b/>
                <w:bCs/>
                <w:kern w:val="0"/>
                <w:sz w:val="24"/>
                <w:szCs w:val="24"/>
              </w:rPr>
              <w:t>总价</w:t>
            </w:r>
          </w:p>
        </w:tc>
        <w:tc>
          <w:tcPr>
            <w:tcW w:w="2238" w:type="dxa"/>
            <w:vAlign w:val="center"/>
          </w:tcPr>
          <w:p>
            <w:pPr>
              <w:widowControl/>
              <w:jc w:val="center"/>
              <w:rPr>
                <w:b/>
                <w:bCs/>
                <w:kern w:val="0"/>
                <w:sz w:val="24"/>
                <w:szCs w:val="24"/>
              </w:rPr>
            </w:pPr>
            <w:r>
              <w:rPr>
                <w:b/>
                <w:bCs/>
                <w:kern w:val="0"/>
                <w:sz w:val="24"/>
                <w:szCs w:val="24"/>
              </w:rPr>
              <w:t>数量</w:t>
            </w:r>
          </w:p>
        </w:tc>
        <w:tc>
          <w:tcPr>
            <w:tcW w:w="1848" w:type="dxa"/>
            <w:vAlign w:val="center"/>
          </w:tcPr>
          <w:p>
            <w:pPr>
              <w:widowControl/>
              <w:jc w:val="center"/>
              <w:rPr>
                <w:b/>
                <w:bCs/>
                <w:kern w:val="0"/>
                <w:sz w:val="24"/>
                <w:szCs w:val="24"/>
              </w:rPr>
            </w:pPr>
            <w:r>
              <w:rPr>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pPr>
              <w:widowControl/>
              <w:jc w:val="center"/>
              <w:rPr>
                <w:kern w:val="0"/>
                <w:sz w:val="24"/>
                <w:szCs w:val="24"/>
              </w:rPr>
            </w:pPr>
            <w:r>
              <w:rPr>
                <w:kern w:val="0"/>
                <w:sz w:val="24"/>
                <w:szCs w:val="24"/>
              </w:rPr>
              <w:t>1</w:t>
            </w:r>
          </w:p>
        </w:tc>
        <w:tc>
          <w:tcPr>
            <w:tcW w:w="2349" w:type="dxa"/>
            <w:vAlign w:val="center"/>
          </w:tcPr>
          <w:p>
            <w:pPr>
              <w:widowControl/>
              <w:jc w:val="center"/>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sz w:val="24"/>
                <w:szCs w:val="24"/>
              </w:rPr>
            </w:pPr>
            <w:r>
              <w:rPr>
                <w:sz w:val="24"/>
                <w:szCs w:val="24"/>
              </w:rPr>
              <w:t>1项</w:t>
            </w: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014" w:type="dxa"/>
            <w:gridSpan w:val="5"/>
            <w:vAlign w:val="center"/>
          </w:tcPr>
          <w:p>
            <w:pPr>
              <w:widowControl/>
              <w:jc w:val="left"/>
              <w:rPr>
                <w:kern w:val="0"/>
                <w:sz w:val="24"/>
                <w:szCs w:val="24"/>
              </w:rPr>
            </w:pPr>
            <w:r>
              <w:rPr>
                <w:kern w:val="0"/>
                <w:sz w:val="24"/>
                <w:szCs w:val="24"/>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b/>
                <w:sz w:val="24"/>
                <w:szCs w:val="24"/>
              </w:rPr>
            </w:pPr>
            <w:r>
              <w:rPr>
                <w:b/>
                <w:sz w:val="24"/>
                <w:szCs w:val="24"/>
              </w:rPr>
              <w:t>分项名称</w:t>
            </w:r>
          </w:p>
        </w:tc>
        <w:tc>
          <w:tcPr>
            <w:tcW w:w="1701" w:type="dxa"/>
            <w:vAlign w:val="center"/>
          </w:tcPr>
          <w:p>
            <w:pPr>
              <w:widowControl/>
              <w:jc w:val="center"/>
              <w:rPr>
                <w:b/>
                <w:kern w:val="0"/>
                <w:sz w:val="24"/>
                <w:szCs w:val="24"/>
              </w:rPr>
            </w:pPr>
            <w:r>
              <w:rPr>
                <w:b/>
                <w:kern w:val="0"/>
                <w:sz w:val="24"/>
                <w:szCs w:val="24"/>
              </w:rPr>
              <w:t>价格</w:t>
            </w:r>
          </w:p>
        </w:tc>
        <w:tc>
          <w:tcPr>
            <w:tcW w:w="2238" w:type="dxa"/>
            <w:vAlign w:val="center"/>
          </w:tcPr>
          <w:p>
            <w:pPr>
              <w:widowControl/>
              <w:jc w:val="center"/>
              <w:rPr>
                <w:b/>
                <w:kern w:val="0"/>
                <w:sz w:val="24"/>
                <w:szCs w:val="24"/>
              </w:rPr>
            </w:pPr>
            <w:r>
              <w:rPr>
                <w:b/>
                <w:kern w:val="0"/>
                <w:sz w:val="24"/>
                <w:szCs w:val="24"/>
              </w:rPr>
              <w:t>数量</w:t>
            </w:r>
          </w:p>
        </w:tc>
        <w:tc>
          <w:tcPr>
            <w:tcW w:w="1848" w:type="dxa"/>
            <w:vAlign w:val="center"/>
          </w:tcPr>
          <w:p>
            <w:pPr>
              <w:widowControl/>
              <w:jc w:val="center"/>
              <w:rPr>
                <w:b/>
                <w:bCs/>
                <w:kern w:val="0"/>
                <w:sz w:val="24"/>
                <w:szCs w:val="24"/>
              </w:rPr>
            </w:pPr>
            <w:r>
              <w:rPr>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sz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sz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center"/>
              <w:rPr>
                <w:sz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kern w:val="0"/>
                <w:sz w:val="24"/>
                <w:szCs w:val="24"/>
              </w:rPr>
            </w:pPr>
          </w:p>
        </w:tc>
      </w:tr>
    </w:tbl>
    <w:p>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pPr>
        <w:ind w:left="180" w:firstLine="408" w:firstLineChars="200"/>
      </w:pPr>
      <w:r>
        <w:rPr>
          <w:sz w:val="22"/>
          <w:szCs w:val="24"/>
        </w:rPr>
        <w:t>2. 下面应填写分项价格及分项名称（分项名称可根据实际情况增减、修改），分项价格汇总应等于总价。</w:t>
      </w: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widowControl/>
        <w:jc w:val="left"/>
        <w:rPr>
          <w:sz w:val="24"/>
        </w:rPr>
      </w:pPr>
      <w:r>
        <w:rPr>
          <w:sz w:val="24"/>
        </w:rPr>
        <w:br w:type="page"/>
      </w:r>
    </w:p>
    <w:p>
      <w:pPr>
        <w:tabs>
          <w:tab w:val="left" w:pos="360"/>
        </w:tabs>
        <w:spacing w:line="360" w:lineRule="auto"/>
        <w:rPr>
          <w:b/>
          <w:sz w:val="24"/>
        </w:rPr>
      </w:pPr>
      <w:r>
        <w:rPr>
          <w:b/>
          <w:sz w:val="24"/>
        </w:rPr>
        <w:t>附件</w:t>
      </w:r>
      <w:r>
        <w:rPr>
          <w:rFonts w:hint="eastAsia"/>
          <w:b/>
          <w:sz w:val="24"/>
        </w:rPr>
        <w:t>5</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2"/>
        <w:tblW w:w="51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5"/>
        <w:gridCol w:w="2231"/>
        <w:gridCol w:w="2551"/>
        <w:gridCol w:w="1135"/>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974" w:type="pct"/>
            <w:shd w:val="clear" w:color="auto" w:fill="auto"/>
            <w:vAlign w:val="center"/>
          </w:tcPr>
          <w:p>
            <w:pPr>
              <w:widowControl/>
              <w:jc w:val="center"/>
              <w:rPr>
                <w:kern w:val="0"/>
                <w:szCs w:val="21"/>
              </w:rPr>
            </w:pPr>
            <w:r>
              <w:rPr>
                <w:kern w:val="0"/>
                <w:szCs w:val="21"/>
              </w:rPr>
              <w:t>序号</w:t>
            </w:r>
          </w:p>
        </w:tc>
        <w:tc>
          <w:tcPr>
            <w:tcW w:w="1274" w:type="pct"/>
            <w:shd w:val="clear" w:color="auto" w:fill="auto"/>
            <w:vAlign w:val="center"/>
          </w:tcPr>
          <w:p>
            <w:pPr>
              <w:widowControl/>
              <w:jc w:val="center"/>
              <w:rPr>
                <w:kern w:val="0"/>
                <w:szCs w:val="21"/>
              </w:rPr>
            </w:pPr>
            <w:r>
              <w:rPr>
                <w:kern w:val="0"/>
                <w:szCs w:val="21"/>
              </w:rPr>
              <w:t>招标要求</w:t>
            </w:r>
          </w:p>
        </w:tc>
        <w:tc>
          <w:tcPr>
            <w:tcW w:w="1457" w:type="pct"/>
            <w:shd w:val="clear" w:color="auto" w:fill="auto"/>
            <w:vAlign w:val="center"/>
          </w:tcPr>
          <w:p>
            <w:pPr>
              <w:widowControl/>
              <w:jc w:val="center"/>
              <w:rPr>
                <w:kern w:val="0"/>
                <w:szCs w:val="21"/>
              </w:rPr>
            </w:pPr>
            <w:r>
              <w:rPr>
                <w:kern w:val="0"/>
                <w:szCs w:val="21"/>
              </w:rPr>
              <w:t>投标应答</w:t>
            </w:r>
          </w:p>
        </w:tc>
        <w:tc>
          <w:tcPr>
            <w:tcW w:w="648" w:type="pct"/>
            <w:shd w:val="clear" w:color="auto" w:fill="auto"/>
            <w:vAlign w:val="center"/>
          </w:tcPr>
          <w:p>
            <w:pPr>
              <w:widowControl/>
              <w:jc w:val="center"/>
              <w:rPr>
                <w:kern w:val="0"/>
                <w:szCs w:val="21"/>
              </w:rPr>
            </w:pPr>
            <w:r>
              <w:rPr>
                <w:kern w:val="0"/>
                <w:szCs w:val="21"/>
              </w:rPr>
              <w:t>偏离说明</w:t>
            </w:r>
          </w:p>
        </w:tc>
        <w:tc>
          <w:tcPr>
            <w:tcW w:w="647" w:type="pct"/>
            <w:shd w:val="clear" w:color="auto" w:fill="auto"/>
            <w:vAlign w:val="center"/>
          </w:tcPr>
          <w:p>
            <w:pPr>
              <w:widowControl/>
              <w:jc w:val="center"/>
              <w:rPr>
                <w:kern w:val="0"/>
                <w:szCs w:val="21"/>
              </w:rPr>
            </w:pPr>
            <w:r>
              <w:rPr>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shd w:val="clear" w:color="auto" w:fill="auto"/>
            <w:vAlign w:val="center"/>
          </w:tcPr>
          <w:p>
            <w:pPr>
              <w:widowControl/>
              <w:jc w:val="left"/>
              <w:rPr>
                <w:kern w:val="0"/>
                <w:szCs w:val="21"/>
              </w:rPr>
            </w:pPr>
            <w:r>
              <w:rPr>
                <w:kern w:val="0"/>
                <w:szCs w:val="21"/>
              </w:rPr>
              <w:t>（一）报价要求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 w:hRule="atLeast"/>
        </w:trPr>
        <w:tc>
          <w:tcPr>
            <w:tcW w:w="974" w:type="pct"/>
            <w:shd w:val="clear" w:color="auto" w:fill="auto"/>
            <w:vAlign w:val="center"/>
          </w:tcPr>
          <w:p>
            <w:pPr>
              <w:widowControl/>
              <w:jc w:val="left"/>
              <w:rPr>
                <w:kern w:val="0"/>
                <w:szCs w:val="21"/>
              </w:rPr>
            </w:pPr>
            <w:r>
              <w:rPr>
                <w:kern w:val="0"/>
                <w:szCs w:val="21"/>
              </w:rPr>
              <w:t>　</w:t>
            </w:r>
          </w:p>
        </w:tc>
        <w:tc>
          <w:tcPr>
            <w:tcW w:w="1274" w:type="pct"/>
            <w:shd w:val="clear" w:color="auto" w:fill="auto"/>
            <w:vAlign w:val="center"/>
          </w:tcPr>
          <w:p>
            <w:pPr>
              <w:widowControl/>
              <w:jc w:val="left"/>
              <w:rPr>
                <w:kern w:val="0"/>
                <w:szCs w:val="21"/>
              </w:rPr>
            </w:pPr>
            <w:r>
              <w:rPr>
                <w:kern w:val="0"/>
                <w:szCs w:val="21"/>
              </w:rPr>
              <w:t>　</w:t>
            </w:r>
          </w:p>
        </w:tc>
        <w:tc>
          <w:tcPr>
            <w:tcW w:w="1457" w:type="pct"/>
            <w:shd w:val="clear" w:color="auto" w:fill="auto"/>
            <w:vAlign w:val="center"/>
          </w:tcPr>
          <w:p>
            <w:pPr>
              <w:widowControl/>
              <w:jc w:val="left"/>
              <w:rPr>
                <w:kern w:val="0"/>
                <w:szCs w:val="21"/>
              </w:rPr>
            </w:pPr>
            <w:r>
              <w:rPr>
                <w:kern w:val="0"/>
                <w:szCs w:val="21"/>
              </w:rPr>
              <w:t>　</w:t>
            </w:r>
          </w:p>
        </w:tc>
        <w:tc>
          <w:tcPr>
            <w:tcW w:w="648" w:type="pct"/>
            <w:shd w:val="clear" w:color="auto" w:fill="auto"/>
            <w:vAlign w:val="center"/>
          </w:tcPr>
          <w:p>
            <w:pPr>
              <w:widowControl/>
              <w:jc w:val="left"/>
              <w:rPr>
                <w:kern w:val="0"/>
                <w:szCs w:val="21"/>
              </w:rPr>
            </w:pPr>
            <w:r>
              <w:rPr>
                <w:kern w:val="0"/>
                <w:szCs w:val="21"/>
              </w:rPr>
              <w:t>　</w:t>
            </w:r>
          </w:p>
        </w:tc>
        <w:tc>
          <w:tcPr>
            <w:tcW w:w="647" w:type="pct"/>
            <w:shd w:val="clear" w:color="auto" w:fill="auto"/>
            <w:vAlign w:val="center"/>
          </w:tcPr>
          <w:p>
            <w:pPr>
              <w:widowControl/>
              <w:jc w:val="left"/>
              <w:rPr>
                <w:kern w:val="0"/>
                <w:szCs w:val="21"/>
              </w:rPr>
            </w:pPr>
            <w:r>
              <w:rPr>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shd w:val="clear" w:color="auto" w:fill="auto"/>
            <w:vAlign w:val="center"/>
          </w:tcPr>
          <w:p>
            <w:pPr>
              <w:widowControl/>
              <w:jc w:val="left"/>
              <w:rPr>
                <w:kern w:val="0"/>
                <w:szCs w:val="21"/>
              </w:rPr>
            </w:pPr>
            <w:r>
              <w:rPr>
                <w:kern w:val="0"/>
                <w:szCs w:val="21"/>
              </w:rPr>
              <w:t>（</w:t>
            </w:r>
            <w:r>
              <w:rPr>
                <w:rFonts w:hint="eastAsia"/>
                <w:kern w:val="0"/>
                <w:szCs w:val="21"/>
              </w:rPr>
              <w:t>二</w:t>
            </w:r>
            <w:r>
              <w:rPr>
                <w:kern w:val="0"/>
                <w:szCs w:val="21"/>
              </w:rPr>
              <w:t>）时间、地点要求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pct"/>
            <w:shd w:val="clear" w:color="auto" w:fill="auto"/>
            <w:vAlign w:val="center"/>
          </w:tcPr>
          <w:p>
            <w:pPr>
              <w:widowControl/>
              <w:jc w:val="left"/>
              <w:rPr>
                <w:kern w:val="0"/>
                <w:szCs w:val="21"/>
              </w:rPr>
            </w:pPr>
            <w:r>
              <w:rPr>
                <w:kern w:val="0"/>
                <w:szCs w:val="21"/>
              </w:rPr>
              <w:t>　</w:t>
            </w:r>
          </w:p>
        </w:tc>
        <w:tc>
          <w:tcPr>
            <w:tcW w:w="1274" w:type="pct"/>
            <w:shd w:val="clear" w:color="auto" w:fill="auto"/>
            <w:vAlign w:val="center"/>
          </w:tcPr>
          <w:p>
            <w:pPr>
              <w:widowControl/>
              <w:jc w:val="left"/>
              <w:rPr>
                <w:kern w:val="0"/>
                <w:szCs w:val="21"/>
              </w:rPr>
            </w:pPr>
            <w:r>
              <w:rPr>
                <w:kern w:val="0"/>
                <w:szCs w:val="21"/>
              </w:rPr>
              <w:t>　</w:t>
            </w:r>
          </w:p>
        </w:tc>
        <w:tc>
          <w:tcPr>
            <w:tcW w:w="1457" w:type="pct"/>
            <w:shd w:val="clear" w:color="auto" w:fill="auto"/>
            <w:vAlign w:val="center"/>
          </w:tcPr>
          <w:p>
            <w:pPr>
              <w:widowControl/>
              <w:jc w:val="left"/>
              <w:rPr>
                <w:kern w:val="0"/>
                <w:szCs w:val="21"/>
              </w:rPr>
            </w:pPr>
            <w:r>
              <w:rPr>
                <w:kern w:val="0"/>
                <w:szCs w:val="21"/>
              </w:rPr>
              <w:t>　</w:t>
            </w:r>
          </w:p>
        </w:tc>
        <w:tc>
          <w:tcPr>
            <w:tcW w:w="648" w:type="pct"/>
            <w:shd w:val="clear" w:color="auto" w:fill="auto"/>
            <w:vAlign w:val="center"/>
          </w:tcPr>
          <w:p>
            <w:pPr>
              <w:widowControl/>
              <w:jc w:val="left"/>
              <w:rPr>
                <w:kern w:val="0"/>
                <w:szCs w:val="21"/>
              </w:rPr>
            </w:pPr>
            <w:r>
              <w:rPr>
                <w:kern w:val="0"/>
                <w:szCs w:val="21"/>
              </w:rPr>
              <w:t>　</w:t>
            </w:r>
          </w:p>
        </w:tc>
        <w:tc>
          <w:tcPr>
            <w:tcW w:w="647" w:type="pct"/>
            <w:shd w:val="clear" w:color="auto" w:fill="auto"/>
            <w:vAlign w:val="center"/>
          </w:tcPr>
          <w:p>
            <w:pPr>
              <w:widowControl/>
              <w:jc w:val="left"/>
              <w:rPr>
                <w:kern w:val="0"/>
                <w:szCs w:val="21"/>
              </w:rPr>
            </w:pPr>
            <w:r>
              <w:rPr>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shd w:val="clear" w:color="auto" w:fill="auto"/>
            <w:vAlign w:val="center"/>
          </w:tcPr>
          <w:p>
            <w:pPr>
              <w:widowControl/>
              <w:jc w:val="left"/>
              <w:rPr>
                <w:kern w:val="0"/>
                <w:szCs w:val="21"/>
              </w:rPr>
            </w:pPr>
            <w:r>
              <w:rPr>
                <w:kern w:val="0"/>
                <w:szCs w:val="21"/>
              </w:rPr>
              <w:t>（</w:t>
            </w:r>
            <w:r>
              <w:rPr>
                <w:rFonts w:hint="eastAsia"/>
                <w:kern w:val="0"/>
                <w:szCs w:val="21"/>
              </w:rPr>
              <w:t>三</w:t>
            </w:r>
            <w:r>
              <w:rPr>
                <w:kern w:val="0"/>
                <w:szCs w:val="21"/>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pct"/>
            <w:shd w:val="clear" w:color="auto" w:fill="auto"/>
            <w:vAlign w:val="center"/>
          </w:tcPr>
          <w:p>
            <w:pPr>
              <w:widowControl/>
              <w:jc w:val="left"/>
              <w:rPr>
                <w:kern w:val="0"/>
                <w:szCs w:val="21"/>
              </w:rPr>
            </w:pPr>
            <w:r>
              <w:rPr>
                <w:kern w:val="0"/>
                <w:szCs w:val="21"/>
              </w:rPr>
              <w:t>　</w:t>
            </w:r>
          </w:p>
        </w:tc>
        <w:tc>
          <w:tcPr>
            <w:tcW w:w="1274" w:type="pct"/>
            <w:shd w:val="clear" w:color="auto" w:fill="auto"/>
            <w:vAlign w:val="center"/>
          </w:tcPr>
          <w:p>
            <w:pPr>
              <w:widowControl/>
              <w:jc w:val="left"/>
              <w:rPr>
                <w:kern w:val="0"/>
                <w:szCs w:val="21"/>
              </w:rPr>
            </w:pPr>
            <w:r>
              <w:rPr>
                <w:kern w:val="0"/>
                <w:szCs w:val="21"/>
              </w:rPr>
              <w:t>　</w:t>
            </w:r>
          </w:p>
        </w:tc>
        <w:tc>
          <w:tcPr>
            <w:tcW w:w="1457" w:type="pct"/>
            <w:shd w:val="clear" w:color="auto" w:fill="auto"/>
            <w:vAlign w:val="center"/>
          </w:tcPr>
          <w:p>
            <w:pPr>
              <w:widowControl/>
              <w:jc w:val="left"/>
              <w:rPr>
                <w:kern w:val="0"/>
                <w:szCs w:val="21"/>
              </w:rPr>
            </w:pPr>
            <w:r>
              <w:rPr>
                <w:kern w:val="0"/>
                <w:szCs w:val="21"/>
              </w:rPr>
              <w:t>　</w:t>
            </w:r>
          </w:p>
        </w:tc>
        <w:tc>
          <w:tcPr>
            <w:tcW w:w="648" w:type="pct"/>
            <w:shd w:val="clear" w:color="auto" w:fill="auto"/>
            <w:vAlign w:val="center"/>
          </w:tcPr>
          <w:p>
            <w:pPr>
              <w:widowControl/>
              <w:jc w:val="left"/>
              <w:rPr>
                <w:kern w:val="0"/>
                <w:szCs w:val="21"/>
              </w:rPr>
            </w:pPr>
            <w:r>
              <w:rPr>
                <w:kern w:val="0"/>
                <w:szCs w:val="21"/>
              </w:rPr>
              <w:t>　</w:t>
            </w:r>
          </w:p>
        </w:tc>
        <w:tc>
          <w:tcPr>
            <w:tcW w:w="647" w:type="pct"/>
            <w:shd w:val="clear" w:color="auto" w:fill="auto"/>
            <w:vAlign w:val="center"/>
          </w:tcPr>
          <w:p>
            <w:pPr>
              <w:widowControl/>
              <w:jc w:val="left"/>
              <w:rPr>
                <w:kern w:val="0"/>
                <w:szCs w:val="21"/>
              </w:rPr>
            </w:pPr>
            <w:r>
              <w:rPr>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shd w:val="clear" w:color="auto" w:fill="auto"/>
            <w:vAlign w:val="center"/>
          </w:tcPr>
          <w:p>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pct"/>
            <w:shd w:val="clear" w:color="auto" w:fill="auto"/>
            <w:vAlign w:val="center"/>
          </w:tcPr>
          <w:p>
            <w:pPr>
              <w:widowControl/>
              <w:jc w:val="left"/>
              <w:rPr>
                <w:kern w:val="0"/>
                <w:szCs w:val="21"/>
              </w:rPr>
            </w:pPr>
            <w:r>
              <w:rPr>
                <w:kern w:val="0"/>
                <w:szCs w:val="21"/>
              </w:rPr>
              <w:t>　</w:t>
            </w:r>
          </w:p>
        </w:tc>
        <w:tc>
          <w:tcPr>
            <w:tcW w:w="1274" w:type="pct"/>
            <w:shd w:val="clear" w:color="auto" w:fill="auto"/>
            <w:vAlign w:val="center"/>
          </w:tcPr>
          <w:p>
            <w:pPr>
              <w:widowControl/>
              <w:jc w:val="left"/>
              <w:rPr>
                <w:kern w:val="0"/>
                <w:szCs w:val="21"/>
              </w:rPr>
            </w:pPr>
            <w:r>
              <w:rPr>
                <w:kern w:val="0"/>
                <w:szCs w:val="21"/>
              </w:rPr>
              <w:t>　</w:t>
            </w:r>
          </w:p>
        </w:tc>
        <w:tc>
          <w:tcPr>
            <w:tcW w:w="1457" w:type="pct"/>
            <w:shd w:val="clear" w:color="auto" w:fill="auto"/>
            <w:vAlign w:val="center"/>
          </w:tcPr>
          <w:p>
            <w:pPr>
              <w:widowControl/>
              <w:jc w:val="left"/>
              <w:rPr>
                <w:kern w:val="0"/>
                <w:szCs w:val="21"/>
              </w:rPr>
            </w:pPr>
            <w:r>
              <w:rPr>
                <w:kern w:val="0"/>
                <w:szCs w:val="21"/>
              </w:rPr>
              <w:t>　</w:t>
            </w:r>
          </w:p>
        </w:tc>
        <w:tc>
          <w:tcPr>
            <w:tcW w:w="648" w:type="pct"/>
            <w:shd w:val="clear" w:color="auto" w:fill="auto"/>
            <w:vAlign w:val="center"/>
          </w:tcPr>
          <w:p>
            <w:pPr>
              <w:widowControl/>
              <w:jc w:val="left"/>
              <w:rPr>
                <w:kern w:val="0"/>
                <w:szCs w:val="21"/>
              </w:rPr>
            </w:pPr>
            <w:r>
              <w:rPr>
                <w:kern w:val="0"/>
                <w:szCs w:val="21"/>
              </w:rPr>
              <w:t>　</w:t>
            </w:r>
          </w:p>
        </w:tc>
        <w:tc>
          <w:tcPr>
            <w:tcW w:w="647" w:type="pct"/>
            <w:shd w:val="clear" w:color="auto" w:fill="auto"/>
            <w:vAlign w:val="center"/>
          </w:tcPr>
          <w:p>
            <w:pPr>
              <w:widowControl/>
              <w:jc w:val="left"/>
              <w:rPr>
                <w:kern w:val="0"/>
                <w:szCs w:val="21"/>
              </w:rPr>
            </w:pPr>
            <w:r>
              <w:rPr>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shd w:val="clear" w:color="auto" w:fill="auto"/>
            <w:vAlign w:val="center"/>
          </w:tcPr>
          <w:p>
            <w:pPr>
              <w:widowControl/>
              <w:jc w:val="left"/>
              <w:rPr>
                <w:kern w:val="0"/>
                <w:szCs w:val="21"/>
              </w:rPr>
            </w:pPr>
            <w:r>
              <w:rPr>
                <w:rFonts w:hint="eastAsia"/>
                <w:kern w:val="0"/>
                <w:szCs w:val="21"/>
              </w:rPr>
              <w:t>（五）验收方法及标准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pct"/>
            <w:shd w:val="clear" w:color="auto" w:fill="auto"/>
            <w:vAlign w:val="center"/>
          </w:tcPr>
          <w:p>
            <w:pPr>
              <w:widowControl/>
              <w:jc w:val="left"/>
              <w:rPr>
                <w:kern w:val="0"/>
                <w:szCs w:val="21"/>
              </w:rPr>
            </w:pPr>
          </w:p>
        </w:tc>
        <w:tc>
          <w:tcPr>
            <w:tcW w:w="1274" w:type="pct"/>
            <w:shd w:val="clear" w:color="auto" w:fill="auto"/>
            <w:vAlign w:val="center"/>
          </w:tcPr>
          <w:p>
            <w:pPr>
              <w:widowControl/>
              <w:jc w:val="left"/>
              <w:rPr>
                <w:kern w:val="0"/>
                <w:szCs w:val="21"/>
              </w:rPr>
            </w:pPr>
          </w:p>
        </w:tc>
        <w:tc>
          <w:tcPr>
            <w:tcW w:w="1457" w:type="pct"/>
            <w:shd w:val="clear" w:color="auto" w:fill="auto"/>
            <w:vAlign w:val="center"/>
          </w:tcPr>
          <w:p>
            <w:pPr>
              <w:widowControl/>
              <w:jc w:val="left"/>
              <w:rPr>
                <w:kern w:val="0"/>
                <w:szCs w:val="21"/>
              </w:rPr>
            </w:pPr>
          </w:p>
        </w:tc>
        <w:tc>
          <w:tcPr>
            <w:tcW w:w="648" w:type="pct"/>
            <w:shd w:val="clear" w:color="auto" w:fill="auto"/>
            <w:vAlign w:val="center"/>
          </w:tcPr>
          <w:p>
            <w:pPr>
              <w:widowControl/>
              <w:jc w:val="left"/>
              <w:rPr>
                <w:kern w:val="0"/>
                <w:szCs w:val="21"/>
              </w:rPr>
            </w:pPr>
          </w:p>
        </w:tc>
        <w:tc>
          <w:tcPr>
            <w:tcW w:w="647" w:type="pct"/>
            <w:shd w:val="clear" w:color="auto" w:fill="auto"/>
            <w:vAlign w:val="center"/>
          </w:tcPr>
          <w:p>
            <w:pPr>
              <w:widowControl/>
              <w:jc w:val="left"/>
              <w:rPr>
                <w:kern w:val="0"/>
                <w:szCs w:val="21"/>
              </w:rPr>
            </w:pPr>
          </w:p>
        </w:tc>
      </w:tr>
    </w:tbl>
    <w:p>
      <w:pPr>
        <w:spacing w:line="360" w:lineRule="auto"/>
        <w:ind w:firstLine="448" w:firstLineChars="200"/>
        <w:rPr>
          <w:sz w:val="24"/>
        </w:rPr>
      </w:pPr>
      <w:r>
        <w:rPr>
          <w:sz w:val="24"/>
        </w:rPr>
        <w:t>注：</w:t>
      </w:r>
    </w:p>
    <w:p>
      <w:pPr>
        <w:spacing w:line="360" w:lineRule="auto"/>
        <w:ind w:firstLine="448" w:firstLineChars="200"/>
        <w:rPr>
          <w:sz w:val="24"/>
        </w:rPr>
      </w:pPr>
      <w:r>
        <w:rPr>
          <w:rFonts w:hint="eastAsia"/>
          <w:sz w:val="24"/>
        </w:rPr>
        <w:t>1. 此表应按招标文件商务要求中的全部内容逐项进行应答，未应答的，视为不满足招标文件要求。</w:t>
      </w:r>
    </w:p>
    <w:p>
      <w:pPr>
        <w:spacing w:line="360" w:lineRule="auto"/>
        <w:ind w:firstLine="448" w:firstLineChars="200"/>
        <w:rPr>
          <w:sz w:val="24"/>
        </w:rPr>
      </w:pPr>
      <w:r>
        <w:rPr>
          <w:rFonts w:hint="eastAsia"/>
          <w:sz w:val="24"/>
        </w:rPr>
        <w:t>2</w:t>
      </w:r>
      <w:r>
        <w:rPr>
          <w:sz w:val="24"/>
        </w:rPr>
        <w:t>. 不如实填写偏离情况的投标文件将视为虚假材料。</w:t>
      </w:r>
    </w:p>
    <w:p>
      <w:pPr>
        <w:spacing w:line="360" w:lineRule="auto"/>
        <w:ind w:firstLine="448" w:firstLineChars="200"/>
        <w:rPr>
          <w:sz w:val="24"/>
        </w:rPr>
      </w:pPr>
      <w:r>
        <w:rPr>
          <w:rFonts w:hint="eastAsia"/>
          <w:sz w:val="24"/>
        </w:rPr>
        <w:t>3</w:t>
      </w:r>
      <w:r>
        <w:rPr>
          <w:sz w:val="24"/>
        </w:rPr>
        <w:t>. “招标要求”指招标文件中规定的具体要求，“投标应答”指投标文件的具体内容。“偏离说明”指招标要求与投标应答之间的不同之处。</w:t>
      </w:r>
    </w:p>
    <w:p>
      <w:pPr>
        <w:spacing w:line="360" w:lineRule="auto"/>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line="360" w:lineRule="auto"/>
        <w:rPr>
          <w:b/>
          <w:sz w:val="24"/>
        </w:rPr>
      </w:pPr>
      <w:r>
        <w:rPr>
          <w:sz w:val="24"/>
        </w:rPr>
        <w:br w:type="page"/>
      </w:r>
      <w:r>
        <w:rPr>
          <w:b/>
          <w:sz w:val="24"/>
        </w:rPr>
        <w:t>附件</w:t>
      </w:r>
      <w:r>
        <w:rPr>
          <w:rFonts w:hint="eastAsia"/>
          <w:b/>
          <w:sz w:val="24"/>
        </w:rPr>
        <w:t>6</w:t>
      </w:r>
    </w:p>
    <w:p>
      <w:pPr>
        <w:spacing w:line="360" w:lineRule="auto"/>
        <w:jc w:val="center"/>
        <w:rPr>
          <w:b/>
          <w:bCs/>
          <w:sz w:val="24"/>
          <w:szCs w:val="24"/>
        </w:rPr>
      </w:pPr>
      <w:r>
        <w:rPr>
          <w:rFonts w:ascii="宋体" w:hAnsi="宋体"/>
          <w:b/>
          <w:bCs/>
          <w:sz w:val="24"/>
          <w:szCs w:val="24"/>
        </w:rPr>
        <w:t>技术要求偏离应答表</w:t>
      </w: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szCs w:val="24"/>
          <w:u w:val="single"/>
        </w:rPr>
      </w:pPr>
    </w:p>
    <w:p>
      <w:pPr>
        <w:spacing w:line="360" w:lineRule="auto"/>
        <w:ind w:firstLine="448" w:firstLineChars="200"/>
        <w:rPr>
          <w:sz w:val="24"/>
          <w:szCs w:val="24"/>
          <w:u w:val="single"/>
        </w:rPr>
      </w:pPr>
      <w:r>
        <w:rPr>
          <w:rFonts w:hint="eastAsia" w:ascii="宋体" w:hAnsi="宋体"/>
          <w:b/>
          <w:sz w:val="24"/>
          <w:szCs w:val="24"/>
        </w:rPr>
        <w:t>我单位郑重承诺：所提供的服务、人员及设备符合相关强制性规定。验收时采购人有权要求我单位出具所提供的服务、人员及设备符合上述规定的证明文件。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我单位严格遵守与采购人签订的保密协议，对上述开放资料严格保密，经采购人允许合规使用。除下表列出的偏离外，与招标文件技术要求完全一致，并承担相应的法律责任。</w:t>
      </w:r>
    </w:p>
    <w:tbl>
      <w:tblPr>
        <w:tblStyle w:val="22"/>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2743"/>
        <w:gridCol w:w="2835"/>
        <w:gridCol w:w="2071"/>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ascii="宋体" w:hAnsi="宋体"/>
                <w:kern w:val="0"/>
                <w:sz w:val="24"/>
                <w:szCs w:val="24"/>
              </w:rPr>
              <w:t>序号</w:t>
            </w:r>
          </w:p>
        </w:tc>
        <w:tc>
          <w:tcPr>
            <w:tcW w:w="27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hint="eastAsia" w:ascii="宋体" w:hAnsi="宋体"/>
                <w:kern w:val="0"/>
                <w:sz w:val="24"/>
                <w:szCs w:val="24"/>
              </w:rPr>
              <w:t>招标文件</w:t>
            </w:r>
            <w:r>
              <w:rPr>
                <w:rFonts w:ascii="宋体" w:hAnsi="宋体"/>
                <w:kern w:val="0"/>
                <w:sz w:val="24"/>
                <w:szCs w:val="24"/>
              </w:rPr>
              <w:t>要求</w:t>
            </w:r>
          </w:p>
        </w:tc>
        <w:tc>
          <w:tcPr>
            <w:tcW w:w="283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hint="eastAsia" w:ascii="宋体" w:hAnsi="宋体"/>
                <w:kern w:val="0"/>
                <w:sz w:val="24"/>
                <w:szCs w:val="24"/>
              </w:rPr>
              <w:t>投标</w:t>
            </w:r>
            <w:r>
              <w:rPr>
                <w:rFonts w:ascii="宋体" w:hAnsi="宋体"/>
                <w:kern w:val="0"/>
                <w:sz w:val="24"/>
                <w:szCs w:val="24"/>
              </w:rPr>
              <w:t>应答</w:t>
            </w:r>
          </w:p>
        </w:tc>
        <w:tc>
          <w:tcPr>
            <w:tcW w:w="207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ascii="宋体" w:hAnsi="宋体"/>
                <w:kern w:val="0"/>
                <w:sz w:val="24"/>
                <w:szCs w:val="24"/>
              </w:rPr>
              <w:t>偏离说明</w:t>
            </w: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ascii="宋体" w:hAnsi="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283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207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kern w:val="0"/>
                <w:sz w:val="24"/>
                <w:szCs w:val="24"/>
              </w:rPr>
            </w:pPr>
          </w:p>
        </w:tc>
      </w:tr>
    </w:tbl>
    <w:p>
      <w:pPr>
        <w:spacing w:line="360" w:lineRule="auto"/>
        <w:ind w:firstLine="448" w:firstLineChars="200"/>
        <w:rPr>
          <w:sz w:val="24"/>
          <w:szCs w:val="24"/>
        </w:rPr>
      </w:pPr>
      <w:r>
        <w:rPr>
          <w:rFonts w:ascii="宋体" w:hAnsi="宋体"/>
          <w:sz w:val="24"/>
          <w:szCs w:val="24"/>
        </w:rPr>
        <w:t>注：</w:t>
      </w:r>
    </w:p>
    <w:p>
      <w:pPr>
        <w:spacing w:line="360" w:lineRule="auto"/>
        <w:ind w:firstLine="448" w:firstLineChars="200"/>
        <w:rPr>
          <w:sz w:val="24"/>
          <w:szCs w:val="24"/>
        </w:rPr>
      </w:pPr>
      <w:r>
        <w:rPr>
          <w:rFonts w:hint="eastAsia"/>
          <w:sz w:val="24"/>
          <w:szCs w:val="24"/>
        </w:rPr>
        <w:t xml:space="preserve">1. </w:t>
      </w:r>
      <w:r>
        <w:rPr>
          <w:rFonts w:hint="eastAsia" w:ascii="宋体" w:hAnsi="宋体"/>
          <w:sz w:val="24"/>
          <w:szCs w:val="24"/>
        </w:rPr>
        <w:t>此表仅体现与招标文件技术要求存在偏离的部分，无偏离的部分，无需填写。</w:t>
      </w:r>
    </w:p>
    <w:p>
      <w:pPr>
        <w:spacing w:line="360" w:lineRule="auto"/>
        <w:ind w:firstLine="448" w:firstLineChars="200"/>
        <w:rPr>
          <w:rFonts w:ascii="宋体" w:hAnsi="宋体"/>
          <w:sz w:val="24"/>
          <w:szCs w:val="24"/>
        </w:rPr>
      </w:pPr>
      <w:r>
        <w:rPr>
          <w:rFonts w:hint="eastAsia"/>
          <w:sz w:val="24"/>
          <w:szCs w:val="24"/>
        </w:rPr>
        <w:t>2</w:t>
      </w:r>
      <w:r>
        <w:rPr>
          <w:sz w:val="24"/>
          <w:szCs w:val="24"/>
        </w:rPr>
        <w:t xml:space="preserve">. </w:t>
      </w:r>
      <w:r>
        <w:rPr>
          <w:rFonts w:ascii="宋体" w:hAnsi="宋体"/>
          <w:sz w:val="24"/>
          <w:szCs w:val="24"/>
        </w:rPr>
        <w:t>不如实填写偏离情况的</w:t>
      </w:r>
      <w:r>
        <w:rPr>
          <w:rFonts w:hint="eastAsia" w:ascii="宋体" w:hAnsi="宋体"/>
          <w:sz w:val="24"/>
          <w:szCs w:val="24"/>
        </w:rPr>
        <w:t>投标</w:t>
      </w:r>
      <w:r>
        <w:rPr>
          <w:rFonts w:ascii="宋体" w:hAnsi="宋体"/>
          <w:sz w:val="24"/>
          <w:szCs w:val="24"/>
        </w:rPr>
        <w:t>文件将视为虚假材料。</w:t>
      </w:r>
    </w:p>
    <w:p>
      <w:pPr>
        <w:spacing w:line="360" w:lineRule="auto"/>
        <w:ind w:firstLine="448" w:firstLineChars="200"/>
        <w:rPr>
          <w:sz w:val="24"/>
        </w:rPr>
      </w:pPr>
      <w:r>
        <w:rPr>
          <w:rFonts w:hint="eastAsia"/>
          <w:sz w:val="24"/>
          <w:szCs w:val="24"/>
        </w:rPr>
        <w:t>3</w:t>
      </w:r>
      <w:r>
        <w:rPr>
          <w:sz w:val="24"/>
          <w:szCs w:val="24"/>
        </w:rPr>
        <w:t xml:space="preserve">. </w:t>
      </w:r>
      <w:r>
        <w:rPr>
          <w:rFonts w:hint="eastAsia"/>
          <w:sz w:val="24"/>
          <w:szCs w:val="24"/>
        </w:rPr>
        <w:t>“</w:t>
      </w:r>
      <w:r>
        <w:rPr>
          <w:rFonts w:hint="eastAsia" w:ascii="宋体" w:hAnsi="宋体"/>
          <w:sz w:val="24"/>
          <w:szCs w:val="24"/>
        </w:rPr>
        <w:t>招标</w:t>
      </w:r>
      <w:r>
        <w:rPr>
          <w:rFonts w:ascii="宋体" w:hAnsi="宋体"/>
          <w:sz w:val="24"/>
          <w:szCs w:val="24"/>
        </w:rPr>
        <w:t>文件要求</w:t>
      </w:r>
      <w:r>
        <w:rPr>
          <w:rFonts w:hint="eastAsia"/>
          <w:sz w:val="24"/>
          <w:szCs w:val="24"/>
        </w:rPr>
        <w:t>”</w:t>
      </w:r>
      <w:r>
        <w:rPr>
          <w:rFonts w:ascii="宋体" w:hAnsi="宋体"/>
          <w:sz w:val="24"/>
          <w:szCs w:val="24"/>
        </w:rPr>
        <w:t>指</w:t>
      </w:r>
      <w:r>
        <w:rPr>
          <w:rFonts w:hint="eastAsia" w:ascii="宋体" w:hAnsi="宋体"/>
          <w:sz w:val="24"/>
          <w:szCs w:val="24"/>
        </w:rPr>
        <w:t>招标</w:t>
      </w:r>
      <w:r>
        <w:rPr>
          <w:rFonts w:ascii="宋体" w:hAnsi="宋体"/>
          <w:sz w:val="24"/>
          <w:szCs w:val="24"/>
        </w:rPr>
        <w:t>文件中规定的具体要求，“</w:t>
      </w:r>
      <w:r>
        <w:rPr>
          <w:rFonts w:hint="eastAsia" w:ascii="宋体" w:hAnsi="宋体"/>
          <w:sz w:val="24"/>
          <w:szCs w:val="24"/>
        </w:rPr>
        <w:t>投标</w:t>
      </w:r>
      <w:r>
        <w:rPr>
          <w:rFonts w:ascii="宋体" w:hAnsi="宋体"/>
          <w:sz w:val="24"/>
          <w:szCs w:val="24"/>
        </w:rPr>
        <w:t>应答”指投标</w:t>
      </w:r>
      <w:r>
        <w:rPr>
          <w:rFonts w:hint="eastAsia" w:ascii="宋体" w:hAnsi="宋体"/>
          <w:sz w:val="24"/>
          <w:szCs w:val="24"/>
        </w:rPr>
        <w:t>文件</w:t>
      </w:r>
      <w:r>
        <w:rPr>
          <w:rFonts w:ascii="宋体" w:hAnsi="宋体"/>
          <w:sz w:val="24"/>
          <w:szCs w:val="24"/>
        </w:rPr>
        <w:t>的</w:t>
      </w:r>
      <w:r>
        <w:rPr>
          <w:rFonts w:hint="eastAsia" w:ascii="宋体" w:hAnsi="宋体"/>
          <w:sz w:val="24"/>
          <w:szCs w:val="24"/>
        </w:rPr>
        <w:t>具体内容</w:t>
      </w:r>
      <w:r>
        <w:rPr>
          <w:rFonts w:ascii="宋体" w:hAnsi="宋体"/>
          <w:sz w:val="24"/>
          <w:szCs w:val="24"/>
        </w:rPr>
        <w:t>。“偏离说明”指</w:t>
      </w:r>
      <w:r>
        <w:rPr>
          <w:rFonts w:hint="eastAsia" w:ascii="宋体" w:hAnsi="宋体"/>
          <w:sz w:val="24"/>
          <w:szCs w:val="24"/>
        </w:rPr>
        <w:t>招标</w:t>
      </w:r>
      <w:r>
        <w:rPr>
          <w:rFonts w:ascii="宋体" w:hAnsi="宋体"/>
          <w:sz w:val="24"/>
          <w:szCs w:val="24"/>
        </w:rPr>
        <w:t>文件中规定的具体要求与</w:t>
      </w:r>
      <w:r>
        <w:rPr>
          <w:rFonts w:hint="eastAsia" w:ascii="宋体" w:hAnsi="宋体"/>
          <w:sz w:val="24"/>
          <w:szCs w:val="24"/>
        </w:rPr>
        <w:t>投标</w:t>
      </w:r>
      <w:r>
        <w:rPr>
          <w:rFonts w:ascii="宋体" w:hAnsi="宋体"/>
          <w:sz w:val="24"/>
          <w:szCs w:val="24"/>
        </w:rPr>
        <w:t>文件的具体内容的不同之处。</w:t>
      </w:r>
    </w:p>
    <w:p>
      <w:pPr>
        <w:spacing w:line="360" w:lineRule="auto"/>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line="360" w:lineRule="auto"/>
        <w:rPr>
          <w:b/>
          <w:sz w:val="24"/>
        </w:rPr>
      </w:pPr>
      <w:r>
        <w:rPr>
          <w:sz w:val="24"/>
        </w:rPr>
        <w:br w:type="page"/>
      </w:r>
      <w:r>
        <w:rPr>
          <w:b/>
          <w:sz w:val="24"/>
        </w:rPr>
        <w:t>附件</w:t>
      </w:r>
      <w:r>
        <w:rPr>
          <w:rFonts w:hint="eastAsia"/>
          <w:b/>
          <w:sz w:val="24"/>
        </w:rPr>
        <w:t>7</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2"/>
        <w:tblW w:w="8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2628"/>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560" w:lineRule="exact"/>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60" w:lineRule="exact"/>
        <w:rPr>
          <w:sz w:val="24"/>
        </w:rPr>
      </w:pPr>
    </w:p>
    <w:p>
      <w:pPr>
        <w:widowControl/>
        <w:jc w:val="left"/>
        <w:rPr>
          <w:sz w:val="24"/>
        </w:rPr>
      </w:pPr>
      <w:r>
        <w:rPr>
          <w:sz w:val="24"/>
        </w:rPr>
        <w:br w:type="page"/>
      </w:r>
    </w:p>
    <w:p>
      <w:pPr>
        <w:tabs>
          <w:tab w:val="left" w:pos="360"/>
        </w:tabs>
        <w:spacing w:line="360" w:lineRule="auto"/>
        <w:rPr>
          <w:b/>
          <w:sz w:val="24"/>
        </w:rPr>
      </w:pPr>
      <w:r>
        <w:rPr>
          <w:b/>
          <w:sz w:val="24"/>
        </w:rPr>
        <w:t>附件</w:t>
      </w:r>
      <w:r>
        <w:rPr>
          <w:rFonts w:hint="eastAsia"/>
          <w:b/>
          <w:sz w:val="24"/>
        </w:rPr>
        <w:t>8</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pacing w:line="360" w:lineRule="auto"/>
        <w:ind w:firstLine="448" w:firstLineChars="200"/>
        <w:rPr>
          <w:sz w:val="24"/>
          <w:szCs w:val="21"/>
        </w:rPr>
      </w:pPr>
      <w:r>
        <w:rPr>
          <w:sz w:val="24"/>
          <w:szCs w:val="21"/>
        </w:rPr>
        <w:t>本授权书至投标有效期结束前始终有效。</w:t>
      </w:r>
    </w:p>
    <w:p>
      <w:pPr>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480" w:lineRule="auto"/>
        <w:jc w:val="center"/>
        <w:rPr>
          <w:sz w:val="24"/>
        </w:rPr>
      </w:pPr>
      <w:r>
        <w:rPr>
          <w:sz w:val="24"/>
        </w:rPr>
        <w:t xml:space="preserve">     年   月   日 </w:t>
      </w:r>
    </w:p>
    <w:p>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widowControl/>
        <w:jc w:val="left"/>
        <w:rPr>
          <w:sz w:val="24"/>
        </w:rPr>
      </w:pPr>
      <w:r>
        <w:rPr>
          <w:sz w:val="24"/>
        </w:rPr>
        <w:br w:type="page"/>
      </w:r>
    </w:p>
    <w:p>
      <w:pPr>
        <w:autoSpaceDN w:val="0"/>
        <w:spacing w:line="360" w:lineRule="auto"/>
        <w:jc w:val="left"/>
        <w:rPr>
          <w:b/>
          <w:bCs/>
          <w:sz w:val="24"/>
        </w:rPr>
      </w:pPr>
      <w:r>
        <w:rPr>
          <w:b/>
          <w:bCs/>
          <w:sz w:val="24"/>
        </w:rPr>
        <w:t>附件</w:t>
      </w:r>
      <w:r>
        <w:rPr>
          <w:rFonts w:hint="eastAsia"/>
          <w:b/>
          <w:bCs/>
          <w:sz w:val="24"/>
        </w:rPr>
        <w:t>9-1</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u w:val="single"/>
        </w:rPr>
        <w:t>（请填写项目名称）</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rFonts w:hint="eastAsia"/>
          <w:sz w:val="24"/>
          <w:szCs w:val="24"/>
          <w:u w:val="single"/>
        </w:rPr>
        <w:t>软件</w:t>
      </w:r>
      <w:r>
        <w:rPr>
          <w:sz w:val="24"/>
          <w:szCs w:val="24"/>
          <w:u w:val="single"/>
        </w:rPr>
        <w:t xml:space="preserve">和信息技术服务业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left="641"/>
        <w:jc w:val="left"/>
        <w:rPr>
          <w:sz w:val="24"/>
          <w:szCs w:val="24"/>
        </w:rPr>
      </w:pP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firstLine="448" w:firstLineChars="200"/>
        <w:rPr>
          <w:b/>
          <w:sz w:val="24"/>
          <w:szCs w:val="24"/>
        </w:rPr>
      </w:pPr>
      <w:r>
        <w:rPr>
          <w:b/>
          <w:sz w:val="24"/>
          <w:szCs w:val="24"/>
        </w:rPr>
        <w:t>1.标的名称须按照采购文件中明确的标的名称进行填写；所属行业须按照采购文件中明确的所属行业进行填写。</w:t>
      </w:r>
    </w:p>
    <w:p>
      <w:pPr>
        <w:spacing w:line="360" w:lineRule="auto"/>
        <w:ind w:firstLine="448" w:firstLineChars="200"/>
        <w:rPr>
          <w:b/>
          <w:sz w:val="24"/>
          <w:szCs w:val="24"/>
        </w:rPr>
      </w:pPr>
      <w:r>
        <w:rPr>
          <w:b/>
          <w:sz w:val="24"/>
          <w:szCs w:val="24"/>
        </w:rPr>
        <w:t>2.从业人员、营业收入、资产总额填报上一年度数据，无上一年度数据的新成立企业可不填报。</w:t>
      </w:r>
    </w:p>
    <w:p>
      <w:pPr>
        <w:spacing w:line="360" w:lineRule="auto"/>
        <w:ind w:firstLine="448" w:firstLineChars="200"/>
        <w:rPr>
          <w:b/>
          <w:sz w:val="24"/>
          <w:szCs w:val="21"/>
        </w:rPr>
      </w:pPr>
      <w:r>
        <w:rPr>
          <w:b/>
          <w:sz w:val="24"/>
          <w:szCs w:val="21"/>
        </w:rPr>
        <w:t>3.中标（成交）供应商享受中小企业扶持政策的，将随中标（成交）结果同时公告其《中小企业声明函》，接受社会监督。</w:t>
      </w:r>
    </w:p>
    <w:p>
      <w:pPr>
        <w:widowControl/>
        <w:jc w:val="left"/>
        <w:rPr>
          <w:sz w:val="24"/>
        </w:rPr>
      </w:pPr>
      <w:r>
        <w:rPr>
          <w:sz w:val="24"/>
        </w:rPr>
        <w:br w:type="page"/>
      </w:r>
    </w:p>
    <w:p>
      <w:pPr>
        <w:autoSpaceDN w:val="0"/>
        <w:spacing w:line="360" w:lineRule="auto"/>
        <w:rPr>
          <w:b/>
          <w:bCs/>
          <w:sz w:val="24"/>
        </w:rPr>
      </w:pPr>
      <w:bookmarkStart w:id="5" w:name="OLE_LINK14"/>
      <w:bookmarkStart w:id="6" w:name="OLE_LINK13"/>
      <w:r>
        <w:rPr>
          <w:rFonts w:hint="eastAsia"/>
          <w:b/>
          <w:bCs/>
          <w:sz w:val="24"/>
        </w:rPr>
        <w:t>附件9-2</w:t>
      </w:r>
    </w:p>
    <w:bookmarkEnd w:id="5"/>
    <w:bookmarkEnd w:id="6"/>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snapToGrid w:val="0"/>
        <w:spacing w:line="360" w:lineRule="auto"/>
        <w:ind w:firstLine="448" w:firstLineChars="200"/>
        <w:rPr>
          <w:sz w:val="24"/>
          <w:szCs w:val="21"/>
        </w:rPr>
      </w:pPr>
    </w:p>
    <w:p>
      <w:pPr>
        <w:snapToGrid w:val="0"/>
        <w:spacing w:line="360" w:lineRule="auto"/>
        <w:ind w:firstLine="448" w:firstLineChars="200"/>
        <w:jc w:val="left"/>
        <w:rPr>
          <w:sz w:val="24"/>
          <w:szCs w:val="21"/>
        </w:rPr>
      </w:pPr>
    </w:p>
    <w:p>
      <w:pPr>
        <w:spacing w:line="360" w:lineRule="auto"/>
        <w:ind w:right="84" w:firstLine="224" w:firstLineChars="100"/>
        <w:rPr>
          <w:position w:val="-40"/>
          <w:sz w:val="24"/>
        </w:rPr>
      </w:pPr>
    </w:p>
    <w:p>
      <w:pPr>
        <w:tabs>
          <w:tab w:val="left" w:pos="360"/>
        </w:tabs>
        <w:spacing w:line="360" w:lineRule="auto"/>
        <w:rPr>
          <w:b/>
          <w:bCs/>
          <w:sz w:val="24"/>
        </w:rPr>
      </w:pPr>
      <w:r>
        <w:rPr>
          <w:sz w:val="24"/>
        </w:rPr>
        <w:br w:type="page"/>
      </w:r>
      <w:r>
        <w:rPr>
          <w:b/>
          <w:sz w:val="24"/>
        </w:rPr>
        <w:t>附件</w:t>
      </w:r>
      <w:r>
        <w:rPr>
          <w:rFonts w:hint="eastAsia"/>
          <w:b/>
          <w:sz w:val="24"/>
        </w:rPr>
        <w:t>10：</w:t>
      </w:r>
      <w:r>
        <w:rPr>
          <w:b/>
          <w:sz w:val="24"/>
        </w:rPr>
        <w:t>招标文件</w:t>
      </w:r>
      <w:r>
        <w:rPr>
          <w:b/>
          <w:bCs/>
          <w:sz w:val="24"/>
        </w:rPr>
        <w:t>评分因素及评标标准中要求的证明材料扫描件、方案等</w:t>
      </w:r>
    </w:p>
    <w:p>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b/>
      </w:rPr>
      <w:fldChar w:fldCharType="begin"/>
    </w:r>
    <w:r>
      <w:rPr>
        <w:b/>
      </w:rPr>
      <w:instrText xml:space="preserve">PAGE  \* Arabic  \* MERGEFORMAT</w:instrText>
    </w:r>
    <w:r>
      <w:rPr>
        <w:b/>
      </w:rPr>
      <w:fldChar w:fldCharType="separate"/>
    </w:r>
    <w:r>
      <w:rPr>
        <w:b/>
        <w:lang w:val="zh-CN"/>
      </w:rPr>
      <w:t>7</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5FEB"/>
    <w:rsid w:val="00056208"/>
    <w:rsid w:val="0005643C"/>
    <w:rsid w:val="00056EF3"/>
    <w:rsid w:val="000607D4"/>
    <w:rsid w:val="0006104E"/>
    <w:rsid w:val="000637AC"/>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87ACA"/>
    <w:rsid w:val="00090318"/>
    <w:rsid w:val="000903A8"/>
    <w:rsid w:val="00090459"/>
    <w:rsid w:val="00092400"/>
    <w:rsid w:val="00092906"/>
    <w:rsid w:val="0009353B"/>
    <w:rsid w:val="000A2B83"/>
    <w:rsid w:val="000A2FB6"/>
    <w:rsid w:val="000A4A8A"/>
    <w:rsid w:val="000A5651"/>
    <w:rsid w:val="000A5CEA"/>
    <w:rsid w:val="000A62E5"/>
    <w:rsid w:val="000B1CA7"/>
    <w:rsid w:val="000B1F21"/>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03ED"/>
    <w:rsid w:val="000E1224"/>
    <w:rsid w:val="000E1521"/>
    <w:rsid w:val="000E2735"/>
    <w:rsid w:val="000E3215"/>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3D9"/>
    <w:rsid w:val="00121654"/>
    <w:rsid w:val="00121CDE"/>
    <w:rsid w:val="001232CD"/>
    <w:rsid w:val="00123611"/>
    <w:rsid w:val="00123BF8"/>
    <w:rsid w:val="001242F7"/>
    <w:rsid w:val="001256ED"/>
    <w:rsid w:val="0012609D"/>
    <w:rsid w:val="001307AA"/>
    <w:rsid w:val="00130AD2"/>
    <w:rsid w:val="0013288C"/>
    <w:rsid w:val="00136F51"/>
    <w:rsid w:val="00137864"/>
    <w:rsid w:val="001411F4"/>
    <w:rsid w:val="00141664"/>
    <w:rsid w:val="00143B4D"/>
    <w:rsid w:val="0014712D"/>
    <w:rsid w:val="00150DE5"/>
    <w:rsid w:val="00151B51"/>
    <w:rsid w:val="001524A8"/>
    <w:rsid w:val="00153E8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5AC2"/>
    <w:rsid w:val="00177293"/>
    <w:rsid w:val="00181348"/>
    <w:rsid w:val="00181ED5"/>
    <w:rsid w:val="001834DA"/>
    <w:rsid w:val="001837F4"/>
    <w:rsid w:val="00183D76"/>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2BA2"/>
    <w:rsid w:val="001E3387"/>
    <w:rsid w:val="001E3460"/>
    <w:rsid w:val="001E3CB7"/>
    <w:rsid w:val="001F10A7"/>
    <w:rsid w:val="001F1AB4"/>
    <w:rsid w:val="001F2B50"/>
    <w:rsid w:val="001F345B"/>
    <w:rsid w:val="001F4AD6"/>
    <w:rsid w:val="001F65EF"/>
    <w:rsid w:val="001F6DCF"/>
    <w:rsid w:val="0020203B"/>
    <w:rsid w:val="002027E3"/>
    <w:rsid w:val="00206328"/>
    <w:rsid w:val="002066F4"/>
    <w:rsid w:val="0021020C"/>
    <w:rsid w:val="002113A2"/>
    <w:rsid w:val="00212E26"/>
    <w:rsid w:val="00214D65"/>
    <w:rsid w:val="0021638D"/>
    <w:rsid w:val="00220883"/>
    <w:rsid w:val="002263C6"/>
    <w:rsid w:val="00226A28"/>
    <w:rsid w:val="00226A32"/>
    <w:rsid w:val="00227031"/>
    <w:rsid w:val="00230077"/>
    <w:rsid w:val="0023092D"/>
    <w:rsid w:val="002320BD"/>
    <w:rsid w:val="0023232A"/>
    <w:rsid w:val="00233239"/>
    <w:rsid w:val="00234A05"/>
    <w:rsid w:val="00243389"/>
    <w:rsid w:val="00243C5D"/>
    <w:rsid w:val="00243DC1"/>
    <w:rsid w:val="00244482"/>
    <w:rsid w:val="0024688B"/>
    <w:rsid w:val="0024790F"/>
    <w:rsid w:val="00247A26"/>
    <w:rsid w:val="00247B56"/>
    <w:rsid w:val="00250432"/>
    <w:rsid w:val="00250531"/>
    <w:rsid w:val="00250DD8"/>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20F7"/>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463"/>
    <w:rsid w:val="002976B0"/>
    <w:rsid w:val="00297EAE"/>
    <w:rsid w:val="002A4B3C"/>
    <w:rsid w:val="002A5235"/>
    <w:rsid w:val="002A5E55"/>
    <w:rsid w:val="002B24AD"/>
    <w:rsid w:val="002B3BB4"/>
    <w:rsid w:val="002B3BFC"/>
    <w:rsid w:val="002B538F"/>
    <w:rsid w:val="002C696D"/>
    <w:rsid w:val="002C7621"/>
    <w:rsid w:val="002D006F"/>
    <w:rsid w:val="002D09CD"/>
    <w:rsid w:val="002D17E4"/>
    <w:rsid w:val="002D1D64"/>
    <w:rsid w:val="002D42CC"/>
    <w:rsid w:val="002D48F4"/>
    <w:rsid w:val="002D49A4"/>
    <w:rsid w:val="002D5B4E"/>
    <w:rsid w:val="002D6501"/>
    <w:rsid w:val="002D7A78"/>
    <w:rsid w:val="002D7F06"/>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32EC"/>
    <w:rsid w:val="003346D3"/>
    <w:rsid w:val="00335148"/>
    <w:rsid w:val="003353C7"/>
    <w:rsid w:val="00337301"/>
    <w:rsid w:val="00340281"/>
    <w:rsid w:val="00340C35"/>
    <w:rsid w:val="003424AE"/>
    <w:rsid w:val="00343849"/>
    <w:rsid w:val="00343957"/>
    <w:rsid w:val="00343E7C"/>
    <w:rsid w:val="0034565D"/>
    <w:rsid w:val="00346F22"/>
    <w:rsid w:val="003473CD"/>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0D3"/>
    <w:rsid w:val="003937B9"/>
    <w:rsid w:val="00394B36"/>
    <w:rsid w:val="00394FCC"/>
    <w:rsid w:val="00395727"/>
    <w:rsid w:val="0039645C"/>
    <w:rsid w:val="003A4B1D"/>
    <w:rsid w:val="003A4EE6"/>
    <w:rsid w:val="003A55B5"/>
    <w:rsid w:val="003A64CB"/>
    <w:rsid w:val="003A7991"/>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3277"/>
    <w:rsid w:val="00434187"/>
    <w:rsid w:val="00437067"/>
    <w:rsid w:val="004377AC"/>
    <w:rsid w:val="00437DB0"/>
    <w:rsid w:val="004424FE"/>
    <w:rsid w:val="00443C74"/>
    <w:rsid w:val="00444A11"/>
    <w:rsid w:val="00445313"/>
    <w:rsid w:val="00446120"/>
    <w:rsid w:val="00447D32"/>
    <w:rsid w:val="004519C8"/>
    <w:rsid w:val="004540E3"/>
    <w:rsid w:val="00454160"/>
    <w:rsid w:val="004555B4"/>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0268"/>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06CFF"/>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1017"/>
    <w:rsid w:val="005329BE"/>
    <w:rsid w:val="005334B4"/>
    <w:rsid w:val="005349D4"/>
    <w:rsid w:val="00535894"/>
    <w:rsid w:val="00537D63"/>
    <w:rsid w:val="005407BF"/>
    <w:rsid w:val="00541927"/>
    <w:rsid w:val="00542508"/>
    <w:rsid w:val="0054336C"/>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8701B"/>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5D9E"/>
    <w:rsid w:val="005D792B"/>
    <w:rsid w:val="005E05E9"/>
    <w:rsid w:val="005E09A7"/>
    <w:rsid w:val="005E292B"/>
    <w:rsid w:val="005E2966"/>
    <w:rsid w:val="005E6149"/>
    <w:rsid w:val="005E7FF4"/>
    <w:rsid w:val="005F09CC"/>
    <w:rsid w:val="005F15EF"/>
    <w:rsid w:val="005F2890"/>
    <w:rsid w:val="005F297C"/>
    <w:rsid w:val="005F3BAE"/>
    <w:rsid w:val="005F3EB2"/>
    <w:rsid w:val="005F495F"/>
    <w:rsid w:val="005F6E0D"/>
    <w:rsid w:val="006001B2"/>
    <w:rsid w:val="006009CC"/>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7AF1"/>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3543"/>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0DDD"/>
    <w:rsid w:val="006F1700"/>
    <w:rsid w:val="006F239F"/>
    <w:rsid w:val="006F5644"/>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E8D"/>
    <w:rsid w:val="0072660C"/>
    <w:rsid w:val="00727CF8"/>
    <w:rsid w:val="00730404"/>
    <w:rsid w:val="00730D0F"/>
    <w:rsid w:val="00731AB7"/>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0A25"/>
    <w:rsid w:val="007737A3"/>
    <w:rsid w:val="007738A0"/>
    <w:rsid w:val="007739DD"/>
    <w:rsid w:val="0077606A"/>
    <w:rsid w:val="007801CD"/>
    <w:rsid w:val="0078146D"/>
    <w:rsid w:val="00781801"/>
    <w:rsid w:val="0078209B"/>
    <w:rsid w:val="00782A8B"/>
    <w:rsid w:val="00783E3F"/>
    <w:rsid w:val="00784C33"/>
    <w:rsid w:val="00787C14"/>
    <w:rsid w:val="00790453"/>
    <w:rsid w:val="0079363C"/>
    <w:rsid w:val="00793B6E"/>
    <w:rsid w:val="0079785B"/>
    <w:rsid w:val="007A2AF5"/>
    <w:rsid w:val="007A4BB5"/>
    <w:rsid w:val="007A4FB6"/>
    <w:rsid w:val="007A5AEB"/>
    <w:rsid w:val="007A6AA6"/>
    <w:rsid w:val="007A74FE"/>
    <w:rsid w:val="007B1550"/>
    <w:rsid w:val="007B17D6"/>
    <w:rsid w:val="007B1B3A"/>
    <w:rsid w:val="007B1CC3"/>
    <w:rsid w:val="007B4E82"/>
    <w:rsid w:val="007B5D7F"/>
    <w:rsid w:val="007B6992"/>
    <w:rsid w:val="007B7C1E"/>
    <w:rsid w:val="007B7E26"/>
    <w:rsid w:val="007C1D1B"/>
    <w:rsid w:val="007C1F44"/>
    <w:rsid w:val="007C6783"/>
    <w:rsid w:val="007D67E0"/>
    <w:rsid w:val="007D6EC1"/>
    <w:rsid w:val="007D6FD7"/>
    <w:rsid w:val="007D70E9"/>
    <w:rsid w:val="007E1B82"/>
    <w:rsid w:val="007E4CD6"/>
    <w:rsid w:val="007E73D8"/>
    <w:rsid w:val="007F0803"/>
    <w:rsid w:val="007F1D75"/>
    <w:rsid w:val="007F1F0C"/>
    <w:rsid w:val="007F223F"/>
    <w:rsid w:val="007F34C7"/>
    <w:rsid w:val="007F3CD5"/>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3916"/>
    <w:rsid w:val="00814C9A"/>
    <w:rsid w:val="008152F1"/>
    <w:rsid w:val="008178BA"/>
    <w:rsid w:val="00821FCA"/>
    <w:rsid w:val="00822A78"/>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47DBA"/>
    <w:rsid w:val="008527D8"/>
    <w:rsid w:val="00852DD8"/>
    <w:rsid w:val="00852EBB"/>
    <w:rsid w:val="0085585F"/>
    <w:rsid w:val="00855D29"/>
    <w:rsid w:val="00855FFB"/>
    <w:rsid w:val="008563E3"/>
    <w:rsid w:val="00856C7F"/>
    <w:rsid w:val="00857E49"/>
    <w:rsid w:val="0086039E"/>
    <w:rsid w:val="00861293"/>
    <w:rsid w:val="0086630A"/>
    <w:rsid w:val="00870148"/>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3FE9"/>
    <w:rsid w:val="008A57E5"/>
    <w:rsid w:val="008A7D42"/>
    <w:rsid w:val="008B0E8C"/>
    <w:rsid w:val="008B1700"/>
    <w:rsid w:val="008B1F33"/>
    <w:rsid w:val="008B202B"/>
    <w:rsid w:val="008B3001"/>
    <w:rsid w:val="008B3CFE"/>
    <w:rsid w:val="008B54B4"/>
    <w:rsid w:val="008B5DBC"/>
    <w:rsid w:val="008B5F6A"/>
    <w:rsid w:val="008C3676"/>
    <w:rsid w:val="008C3C92"/>
    <w:rsid w:val="008C499C"/>
    <w:rsid w:val="008C4E8A"/>
    <w:rsid w:val="008C6B3D"/>
    <w:rsid w:val="008D0DB5"/>
    <w:rsid w:val="008D2B13"/>
    <w:rsid w:val="008D394D"/>
    <w:rsid w:val="008D4422"/>
    <w:rsid w:val="008D45D9"/>
    <w:rsid w:val="008D640B"/>
    <w:rsid w:val="008E2762"/>
    <w:rsid w:val="008E2AF9"/>
    <w:rsid w:val="008E3B38"/>
    <w:rsid w:val="008E3C04"/>
    <w:rsid w:val="008E56E2"/>
    <w:rsid w:val="008E57F5"/>
    <w:rsid w:val="008E626A"/>
    <w:rsid w:val="008E68B5"/>
    <w:rsid w:val="008F35A8"/>
    <w:rsid w:val="008F4B74"/>
    <w:rsid w:val="0090049C"/>
    <w:rsid w:val="009016E3"/>
    <w:rsid w:val="00902527"/>
    <w:rsid w:val="00902FCD"/>
    <w:rsid w:val="0090408E"/>
    <w:rsid w:val="009059CD"/>
    <w:rsid w:val="00905F5D"/>
    <w:rsid w:val="0090766A"/>
    <w:rsid w:val="009111AD"/>
    <w:rsid w:val="00913750"/>
    <w:rsid w:val="00913F09"/>
    <w:rsid w:val="00917496"/>
    <w:rsid w:val="00920DC3"/>
    <w:rsid w:val="0092151E"/>
    <w:rsid w:val="00924EA4"/>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5669"/>
    <w:rsid w:val="009457BD"/>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2AF2"/>
    <w:rsid w:val="0098433A"/>
    <w:rsid w:val="00984AB0"/>
    <w:rsid w:val="00984F44"/>
    <w:rsid w:val="0098544D"/>
    <w:rsid w:val="009861D9"/>
    <w:rsid w:val="00986FAC"/>
    <w:rsid w:val="00987484"/>
    <w:rsid w:val="009908ED"/>
    <w:rsid w:val="00994363"/>
    <w:rsid w:val="00994D53"/>
    <w:rsid w:val="0099688A"/>
    <w:rsid w:val="0099787F"/>
    <w:rsid w:val="00997F7E"/>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304"/>
    <w:rsid w:val="00A07548"/>
    <w:rsid w:val="00A11FFD"/>
    <w:rsid w:val="00A12473"/>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3D49"/>
    <w:rsid w:val="00A55A0E"/>
    <w:rsid w:val="00A55CB3"/>
    <w:rsid w:val="00A5615D"/>
    <w:rsid w:val="00A57696"/>
    <w:rsid w:val="00A60795"/>
    <w:rsid w:val="00A60AF2"/>
    <w:rsid w:val="00A62455"/>
    <w:rsid w:val="00A63263"/>
    <w:rsid w:val="00A64A0D"/>
    <w:rsid w:val="00A64F8F"/>
    <w:rsid w:val="00A65418"/>
    <w:rsid w:val="00A65AD1"/>
    <w:rsid w:val="00A670F6"/>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6CC6"/>
    <w:rsid w:val="00AC74ED"/>
    <w:rsid w:val="00AC7CD8"/>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5625"/>
    <w:rsid w:val="00B07152"/>
    <w:rsid w:val="00B1328E"/>
    <w:rsid w:val="00B13707"/>
    <w:rsid w:val="00B13CD0"/>
    <w:rsid w:val="00B176AC"/>
    <w:rsid w:val="00B208E4"/>
    <w:rsid w:val="00B2233E"/>
    <w:rsid w:val="00B22E81"/>
    <w:rsid w:val="00B24A31"/>
    <w:rsid w:val="00B25107"/>
    <w:rsid w:val="00B27DE5"/>
    <w:rsid w:val="00B27F01"/>
    <w:rsid w:val="00B31F81"/>
    <w:rsid w:val="00B32A76"/>
    <w:rsid w:val="00B32C88"/>
    <w:rsid w:val="00B331B2"/>
    <w:rsid w:val="00B37FB0"/>
    <w:rsid w:val="00B4237D"/>
    <w:rsid w:val="00B42656"/>
    <w:rsid w:val="00B42879"/>
    <w:rsid w:val="00B42921"/>
    <w:rsid w:val="00B443B4"/>
    <w:rsid w:val="00B45888"/>
    <w:rsid w:val="00B45B15"/>
    <w:rsid w:val="00B45F58"/>
    <w:rsid w:val="00B460B0"/>
    <w:rsid w:val="00B518F1"/>
    <w:rsid w:val="00B51D96"/>
    <w:rsid w:val="00B53BD7"/>
    <w:rsid w:val="00B55825"/>
    <w:rsid w:val="00B558D2"/>
    <w:rsid w:val="00B56096"/>
    <w:rsid w:val="00B601DA"/>
    <w:rsid w:val="00B63A52"/>
    <w:rsid w:val="00B64CBE"/>
    <w:rsid w:val="00B6637D"/>
    <w:rsid w:val="00B666EF"/>
    <w:rsid w:val="00B671A0"/>
    <w:rsid w:val="00B672EC"/>
    <w:rsid w:val="00B67E91"/>
    <w:rsid w:val="00B67FB9"/>
    <w:rsid w:val="00B7128A"/>
    <w:rsid w:val="00B71536"/>
    <w:rsid w:val="00B7176B"/>
    <w:rsid w:val="00B71DF3"/>
    <w:rsid w:val="00B728F9"/>
    <w:rsid w:val="00B743B8"/>
    <w:rsid w:val="00B753EA"/>
    <w:rsid w:val="00B8141F"/>
    <w:rsid w:val="00B824E1"/>
    <w:rsid w:val="00B84566"/>
    <w:rsid w:val="00B84578"/>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C7AE4"/>
    <w:rsid w:val="00BD0EA1"/>
    <w:rsid w:val="00BD11D6"/>
    <w:rsid w:val="00BD183A"/>
    <w:rsid w:val="00BD1859"/>
    <w:rsid w:val="00BD2EB4"/>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15BAE"/>
    <w:rsid w:val="00C21471"/>
    <w:rsid w:val="00C21C0D"/>
    <w:rsid w:val="00C22FC8"/>
    <w:rsid w:val="00C23D41"/>
    <w:rsid w:val="00C24369"/>
    <w:rsid w:val="00C24668"/>
    <w:rsid w:val="00C258AC"/>
    <w:rsid w:val="00C2600B"/>
    <w:rsid w:val="00C26AB0"/>
    <w:rsid w:val="00C27942"/>
    <w:rsid w:val="00C337B7"/>
    <w:rsid w:val="00C352E4"/>
    <w:rsid w:val="00C37976"/>
    <w:rsid w:val="00C37D1F"/>
    <w:rsid w:val="00C42C17"/>
    <w:rsid w:val="00C4539B"/>
    <w:rsid w:val="00C4698B"/>
    <w:rsid w:val="00C476FB"/>
    <w:rsid w:val="00C50F43"/>
    <w:rsid w:val="00C528CC"/>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16E6"/>
    <w:rsid w:val="00C720A2"/>
    <w:rsid w:val="00C7230E"/>
    <w:rsid w:val="00C72A5F"/>
    <w:rsid w:val="00C752C5"/>
    <w:rsid w:val="00C77FFA"/>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05D0"/>
    <w:rsid w:val="00CE143E"/>
    <w:rsid w:val="00CE2088"/>
    <w:rsid w:val="00CE3129"/>
    <w:rsid w:val="00CE48BF"/>
    <w:rsid w:val="00CF0A02"/>
    <w:rsid w:val="00CF1098"/>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3413"/>
    <w:rsid w:val="00D36117"/>
    <w:rsid w:val="00D37D95"/>
    <w:rsid w:val="00D43785"/>
    <w:rsid w:val="00D43D4D"/>
    <w:rsid w:val="00D43DD5"/>
    <w:rsid w:val="00D45DC6"/>
    <w:rsid w:val="00D47E11"/>
    <w:rsid w:val="00D51367"/>
    <w:rsid w:val="00D515B3"/>
    <w:rsid w:val="00D51C7E"/>
    <w:rsid w:val="00D52BE7"/>
    <w:rsid w:val="00D540CF"/>
    <w:rsid w:val="00D54339"/>
    <w:rsid w:val="00D574C6"/>
    <w:rsid w:val="00D57E7B"/>
    <w:rsid w:val="00D616C1"/>
    <w:rsid w:val="00D63879"/>
    <w:rsid w:val="00D65F9B"/>
    <w:rsid w:val="00D660F1"/>
    <w:rsid w:val="00D70418"/>
    <w:rsid w:val="00D70509"/>
    <w:rsid w:val="00D7159C"/>
    <w:rsid w:val="00D73247"/>
    <w:rsid w:val="00D7384F"/>
    <w:rsid w:val="00D74C88"/>
    <w:rsid w:val="00D8166A"/>
    <w:rsid w:val="00D8307B"/>
    <w:rsid w:val="00D8458A"/>
    <w:rsid w:val="00D85E94"/>
    <w:rsid w:val="00D872E5"/>
    <w:rsid w:val="00D873D6"/>
    <w:rsid w:val="00D87A4B"/>
    <w:rsid w:val="00D87A82"/>
    <w:rsid w:val="00D918E0"/>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3685"/>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5C99"/>
    <w:rsid w:val="00E070DF"/>
    <w:rsid w:val="00E07B01"/>
    <w:rsid w:val="00E10441"/>
    <w:rsid w:val="00E12E28"/>
    <w:rsid w:val="00E15291"/>
    <w:rsid w:val="00E152B8"/>
    <w:rsid w:val="00E15D14"/>
    <w:rsid w:val="00E15F07"/>
    <w:rsid w:val="00E17FA9"/>
    <w:rsid w:val="00E20F2B"/>
    <w:rsid w:val="00E227FF"/>
    <w:rsid w:val="00E22993"/>
    <w:rsid w:val="00E2347A"/>
    <w:rsid w:val="00E24C09"/>
    <w:rsid w:val="00E26969"/>
    <w:rsid w:val="00E269BA"/>
    <w:rsid w:val="00E3028F"/>
    <w:rsid w:val="00E3103F"/>
    <w:rsid w:val="00E3184A"/>
    <w:rsid w:val="00E3293C"/>
    <w:rsid w:val="00E337A0"/>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0C36"/>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970FB"/>
    <w:rsid w:val="00EA3643"/>
    <w:rsid w:val="00EA3BA2"/>
    <w:rsid w:val="00EA48B8"/>
    <w:rsid w:val="00EA6EC8"/>
    <w:rsid w:val="00EA77A7"/>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27CC"/>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87E"/>
    <w:rsid w:val="00F04FF1"/>
    <w:rsid w:val="00F06646"/>
    <w:rsid w:val="00F0691A"/>
    <w:rsid w:val="00F07FF9"/>
    <w:rsid w:val="00F14FBA"/>
    <w:rsid w:val="00F1570A"/>
    <w:rsid w:val="00F167C1"/>
    <w:rsid w:val="00F1693F"/>
    <w:rsid w:val="00F20A4A"/>
    <w:rsid w:val="00F217C8"/>
    <w:rsid w:val="00F22341"/>
    <w:rsid w:val="00F22DB2"/>
    <w:rsid w:val="00F238DF"/>
    <w:rsid w:val="00F23FA0"/>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87409"/>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1FE9"/>
    <w:rsid w:val="00FD2929"/>
    <w:rsid w:val="00FD3118"/>
    <w:rsid w:val="00FD4590"/>
    <w:rsid w:val="00FD4948"/>
    <w:rsid w:val="00FD4F8F"/>
    <w:rsid w:val="00FD5956"/>
    <w:rsid w:val="00FD796D"/>
    <w:rsid w:val="00FD7DDF"/>
    <w:rsid w:val="00FE2105"/>
    <w:rsid w:val="00FE251C"/>
    <w:rsid w:val="00FE3329"/>
    <w:rsid w:val="00FE3B15"/>
    <w:rsid w:val="00FE4A64"/>
    <w:rsid w:val="00FE573C"/>
    <w:rsid w:val="00FE5F20"/>
    <w:rsid w:val="00FE65E8"/>
    <w:rsid w:val="00FE6937"/>
    <w:rsid w:val="00FF536E"/>
    <w:rsid w:val="00FF5536"/>
    <w:rsid w:val="00FF5906"/>
    <w:rsid w:val="00FF5A35"/>
    <w:rsid w:val="3F583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uiPriority w:val="99"/>
    <w:rPr>
      <w:rFonts w:ascii="Times New Roman" w:hAnsi="Times New Roman" w:eastAsia="宋体" w:cs="Times New Roman"/>
      <w:szCs w:val="20"/>
    </w:rPr>
  </w:style>
  <w:style w:type="character" w:customStyle="1" w:styleId="51">
    <w:name w:val="批注主题 Char"/>
    <w:basedOn w:val="50"/>
    <w:link w:val="21"/>
    <w:semiHidden/>
    <w:uiPriority w:val="99"/>
    <w:rPr>
      <w:rFonts w:ascii="Times New Roman" w:hAnsi="Times New Roman" w:eastAsia="宋体" w:cs="Times New Roman"/>
      <w:b/>
      <w:bCs/>
      <w:szCs w:val="20"/>
    </w:rPr>
  </w:style>
  <w:style w:type="character" w:customStyle="1" w:styleId="52">
    <w:name w:val="批注框文本 Char"/>
    <w:basedOn w:val="24"/>
    <w:link w:val="13"/>
    <w:semiHidden/>
    <w:uiPriority w:val="99"/>
    <w:rPr>
      <w:rFonts w:ascii="Times New Roman" w:hAnsi="Times New Roman" w:eastAsia="宋体" w:cs="Times New Roman"/>
      <w:sz w:val="18"/>
      <w:szCs w:val="18"/>
    </w:rPr>
  </w:style>
  <w:style w:type="character" w:customStyle="1" w:styleId="53">
    <w:name w:val="正文文本 Char"/>
    <w:basedOn w:val="24"/>
    <w:link w:val="6"/>
    <w:semiHidden/>
    <w:uiPriority w:val="99"/>
    <w:rPr>
      <w:rFonts w:ascii="Times New Roman" w:hAnsi="Times New Roman" w:eastAsia="宋体" w:cs="Times New Roman"/>
      <w:szCs w:val="20"/>
    </w:rPr>
  </w:style>
  <w:style w:type="paragraph" w:customStyle="1" w:styleId="54">
    <w:name w:val="16"/>
    <w:basedOn w:val="1"/>
    <w:uiPriority w:val="0"/>
    <w:pPr>
      <w:widowControl/>
      <w:jc w:val="left"/>
    </w:pPr>
    <w:rPr>
      <w:rFonts w:eastAsiaTheme="minorEastAsia"/>
      <w:kern w:val="0"/>
      <w:sz w:val="24"/>
      <w:szCs w:val="24"/>
      <w:lang w:eastAsia="en-US"/>
    </w:rPr>
  </w:style>
  <w:style w:type="table" w:customStyle="1" w:styleId="55">
    <w:name w:val="17"/>
    <w:basedOn w:val="22"/>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347DB-9ECC-4E51-97E0-EF5411B2A402}">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74</Pages>
  <Words>5891</Words>
  <Characters>33580</Characters>
  <Lines>279</Lines>
  <Paragraphs>78</Paragraphs>
  <TotalTime>37</TotalTime>
  <ScaleCrop>false</ScaleCrop>
  <LinksUpToDate>false</LinksUpToDate>
  <CharactersWithSpaces>39393</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2026-01-23T00:58:00Z</dcterms:created>
  <dc:creator>未定义</dc:creator>
  <cp:lastModifiedBy>Administrator</cp:lastModifiedBy>
  <dcterms:modified xsi:type="dcterms:W3CDTF">2026-02-13T08:10:52Z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