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296545</wp:posOffset>
                </wp:positionV>
                <wp:extent cx="719455"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3.35pt;height:0pt;width:56.65pt;z-index:251659264;mso-width-relative:page;mso-height-relative:page;" filled="f" stroked="t" coordsize="21600,21600" o:gfxdata="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wE16nW&#10;AAAACAEAAA8AAAAAAAAAAQAgAAAAIgAAAGRycy9kb3ducmV2LnhtbFBLAQIUABQAAAAIAIdO4kDU&#10;QJh56QEAAKs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 xml:space="preserve">  国家税务总局天津市河西区税务局12366纳税缴费服务热线</w:t>
      </w:r>
    </w:p>
    <w:p>
      <w:pPr>
        <w:ind w:right="105"/>
        <w:jc w:val="right"/>
        <w:rPr>
          <w:rFonts w:eastAsia="黑体"/>
          <w:b/>
          <w:spacing w:val="40"/>
          <w:w w:val="66"/>
          <w:sz w:val="60"/>
          <w:szCs w:val="60"/>
        </w:rPr>
      </w:pPr>
      <w:r>
        <w:rPr>
          <w:rFonts w:hint="eastAsia" w:eastAsia="黑体"/>
          <w:b/>
          <w:spacing w:val="40"/>
          <w:w w:val="66"/>
          <w:sz w:val="60"/>
          <w:szCs w:val="60"/>
        </w:rPr>
        <w:t>远程座席咨询服务</w:t>
      </w:r>
      <w:r>
        <w:rPr>
          <w:rFonts w:eastAsia="黑体"/>
          <w:b/>
          <w:spacing w:val="40"/>
          <w:w w:val="66"/>
          <w:sz w:val="60"/>
          <w:szCs w:val="60"/>
        </w:rPr>
        <w:t>项目</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（项目编号：TGPC-202</w:t>
      </w:r>
      <w:r>
        <w:rPr>
          <w:rFonts w:hint="eastAsia" w:eastAsia="黑体"/>
          <w:spacing w:val="40"/>
          <w:w w:val="66"/>
          <w:sz w:val="32"/>
          <w:szCs w:val="32"/>
        </w:rPr>
        <w:t>6</w:t>
      </w:r>
      <w:r>
        <w:rPr>
          <w:rFonts w:eastAsia="黑体"/>
          <w:spacing w:val="40"/>
          <w:w w:val="66"/>
          <w:sz w:val="32"/>
          <w:szCs w:val="32"/>
        </w:rPr>
        <w:t>-</w:t>
      </w:r>
      <w:r>
        <w:rPr>
          <w:rFonts w:hint="eastAsia" w:eastAsia="黑体"/>
          <w:spacing w:val="40"/>
          <w:w w:val="66"/>
          <w:sz w:val="32"/>
          <w:szCs w:val="32"/>
        </w:rPr>
        <w:t>D</w:t>
      </w:r>
      <w:r>
        <w:rPr>
          <w:rFonts w:eastAsia="黑体"/>
          <w:spacing w:val="40"/>
          <w:w w:val="66"/>
          <w:sz w:val="32"/>
          <w:szCs w:val="32"/>
        </w:rPr>
        <w:t>-0</w:t>
      </w:r>
      <w:r>
        <w:rPr>
          <w:rFonts w:hint="eastAsia" w:eastAsia="黑体"/>
          <w:spacing w:val="40"/>
          <w:w w:val="66"/>
          <w:sz w:val="32"/>
          <w:szCs w:val="32"/>
        </w:rPr>
        <w:t>055</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rPr>
        <w:t>3</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招标项目需求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rPr>
      </w:pPr>
      <w:r>
        <w:rPr>
          <w:rFonts w:ascii="Times New Roman" w:hAnsi="Times New Roman"/>
        </w:rPr>
        <w:t>第一部分  投标邀请函</w:t>
      </w:r>
      <w:bookmarkEnd w:id="0"/>
    </w:p>
    <w:p>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国家税务总局天津市税务局</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国家税务总局天津市河西区税务局12366纳税缴费服务热线远程座席咨询服务项目</w:t>
      </w:r>
      <w:r>
        <w:rPr>
          <w:rFonts w:ascii="Times New Roman" w:hAnsi="Times New Roman" w:cs="Times New Roman" w:eastAsiaTheme="minorEastAsia"/>
          <w:color w:val="auto"/>
          <w:szCs w:val="32"/>
        </w:rPr>
        <w:t>实施政府采购。现欢迎合格的供应商参加投标。</w:t>
      </w:r>
    </w:p>
    <w:p>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cs="Times New Roman" w:eastAsiaTheme="minorEastAsia"/>
          <w:color w:val="auto"/>
          <w:szCs w:val="32"/>
        </w:rPr>
        <w:t>国家税务总局天津市河西区税务局12366纳税缴费服务热线远程座席咨询服务项目</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w:t>
      </w:r>
      <w:r>
        <w:rPr>
          <w:rFonts w:hint="eastAsia" w:ascii="Times New Roman" w:hAnsi="Times New Roman" w:eastAsia="宋体" w:cs="Times New Roman"/>
          <w:color w:val="auto"/>
        </w:rPr>
        <w:t>6</w:t>
      </w:r>
      <w:r>
        <w:rPr>
          <w:rFonts w:ascii="Times New Roman" w:hAnsi="Times New Roman" w:eastAsia="宋体" w:cs="Times New Roman"/>
          <w:color w:val="auto"/>
        </w:rPr>
        <w:t>-</w:t>
      </w:r>
      <w:r>
        <w:rPr>
          <w:rFonts w:hint="eastAsia" w:ascii="Times New Roman" w:hAnsi="Times New Roman" w:eastAsia="宋体" w:cs="Times New Roman"/>
          <w:color w:val="auto"/>
        </w:rPr>
        <w:t>D</w:t>
      </w:r>
      <w:r>
        <w:rPr>
          <w:rFonts w:ascii="Times New Roman" w:hAnsi="Times New Roman" w:eastAsia="宋体" w:cs="Times New Roman"/>
          <w:color w:val="auto"/>
        </w:rPr>
        <w:t>-0</w:t>
      </w:r>
      <w:r>
        <w:rPr>
          <w:rFonts w:hint="eastAsia" w:ascii="Times New Roman" w:hAnsi="Times New Roman" w:eastAsia="宋体" w:cs="Times New Roman"/>
          <w:color w:val="auto"/>
        </w:rPr>
        <w:t>055</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（五）本项目不接受联合体参与。不接受联合体参与的，若有供应商组成联合体参与，视为无效投标。</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（六）本文件售价：免费。</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23"/>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5"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包号</w:t>
            </w:r>
          </w:p>
        </w:tc>
        <w:tc>
          <w:tcPr>
            <w:tcW w:w="1385"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包名称</w:t>
            </w:r>
          </w:p>
        </w:tc>
        <w:tc>
          <w:tcPr>
            <w:tcW w:w="1815"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包预算</w:t>
            </w:r>
          </w:p>
        </w:tc>
        <w:tc>
          <w:tcPr>
            <w:tcW w:w="1947"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包最高限价</w:t>
            </w:r>
          </w:p>
        </w:tc>
        <w:tc>
          <w:tcPr>
            <w:tcW w:w="1735"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合同履行期限</w:t>
            </w:r>
          </w:p>
        </w:tc>
        <w:tc>
          <w:tcPr>
            <w:tcW w:w="1389"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1385"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天津市河西区税务局12366纳税缴费服务热线远程座席咨询服务</w:t>
            </w:r>
          </w:p>
        </w:tc>
        <w:tc>
          <w:tcPr>
            <w:tcW w:w="1815"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rPr>
              <w:t>2674646.87</w:t>
            </w:r>
            <w:r>
              <w:rPr>
                <w:rFonts w:hint="eastAsia" w:ascii="Times New Roman" w:hAnsi="Times New Roman" w:eastAsia="宋体" w:cs="Times New Roman"/>
                <w:color w:val="auto"/>
                <w:sz w:val="21"/>
                <w:szCs w:val="21"/>
              </w:rPr>
              <w:t>元</w:t>
            </w:r>
          </w:p>
        </w:tc>
        <w:tc>
          <w:tcPr>
            <w:tcW w:w="1947"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rPr>
              <w:t>2674646.87</w:t>
            </w:r>
            <w:r>
              <w:rPr>
                <w:rFonts w:hint="eastAsia" w:ascii="Times New Roman" w:hAnsi="Times New Roman" w:eastAsia="宋体" w:cs="Times New Roman"/>
                <w:color w:val="auto"/>
                <w:sz w:val="21"/>
                <w:szCs w:val="21"/>
              </w:rPr>
              <w:t>元</w:t>
            </w:r>
          </w:p>
        </w:tc>
        <w:tc>
          <w:tcPr>
            <w:tcW w:w="1735"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自合同规定的服务起始之日起1年</w:t>
            </w:r>
          </w:p>
        </w:tc>
        <w:tc>
          <w:tcPr>
            <w:tcW w:w="1389" w:type="dxa"/>
            <w:vAlign w:val="center"/>
          </w:tcPr>
          <w:p>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软件和信息技术服务业</w:t>
            </w:r>
          </w:p>
        </w:tc>
      </w:tr>
    </w:tbl>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、供应商资格要求（实质性要求）</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cs="Times New Roman" w:eastAsiaTheme="minorEastAsia"/>
          <w:color w:val="auto"/>
        </w:rPr>
        <w:t>（二）本项目专门面向中小企业采购，提供《中小企业声明函》。</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pPr>
        <w:pStyle w:val="29"/>
        <w:spacing w:line="360" w:lineRule="auto"/>
        <w:ind w:firstLine="448" w:firstLineChars="200"/>
        <w:rPr>
          <w:rFonts w:ascii="Times New Roman" w:hAnsi="Times New Roman" w:eastAsia="宋体" w:cs="Times New Roman"/>
          <w:color w:val="auto"/>
        </w:rPr>
      </w:pPr>
      <w:bookmarkStart w:id="1" w:name="OLE_LINK3"/>
      <w:bookmarkStart w:id="2" w:name="OLE_LINK4"/>
      <w:r>
        <w:rPr>
          <w:rFonts w:ascii="Times New Roman" w:hAnsi="Times New Roman" w:eastAsia="宋体" w:cs="Times New Roman"/>
          <w:color w:val="auto"/>
        </w:rPr>
        <w:t>（一）</w:t>
      </w:r>
      <w:r>
        <w:rPr>
          <w:rFonts w:hint="eastAsia" w:ascii="Times New Roman" w:hAnsi="Times New Roman" w:eastAsia="宋体" w:cs="Times New Roman"/>
          <w:color w:val="auto"/>
        </w:rPr>
        <w:t>本项目专门面向中小企业采购</w:t>
      </w:r>
      <w:r>
        <w:rPr>
          <w:rFonts w:ascii="Times New Roman" w:hAnsi="Times New Roman" w:eastAsia="宋体" w:cs="Times New Roman"/>
          <w:color w:val="auto"/>
        </w:rPr>
        <w:t>。</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（六）</w:t>
      </w:r>
      <w:bookmarkStart w:id="3" w:name="OLE_LINK1"/>
      <w:bookmarkStart w:id="4" w:name="OLE_LINK2"/>
      <w:r>
        <w:rPr>
          <w:rFonts w:hint="eastAsia" w:ascii="Times New Roman" w:hAnsi="Times New Roman" w:eastAsia="宋体"/>
          <w:color w:val="auto"/>
        </w:rPr>
        <w:t>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对</w:t>
      </w:r>
      <w:r>
        <w:rPr>
          <w:rFonts w:ascii="Times New Roman" w:hAnsi="Times New Roman" w:eastAsia="宋体"/>
          <w:color w:val="auto"/>
        </w:rPr>
        <w:t>政府采购节能、环境标志品目清单</w:t>
      </w:r>
      <w:r>
        <w:rPr>
          <w:rFonts w:hint="eastAsia" w:ascii="Times New Roman" w:hAnsi="Times New Roman" w:eastAsia="宋体"/>
          <w:color w:val="auto"/>
        </w:rPr>
        <w:t>内的产品实施优先采购和强制采购的评标方法。</w:t>
      </w:r>
      <w:bookmarkEnd w:id="3"/>
      <w:bookmarkEnd w:id="4"/>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olor w:val="auto"/>
        </w:rPr>
        <w:t>（七）根据《关于推动解决政府采购</w:t>
      </w:r>
      <w:r>
        <w:rPr>
          <w:rFonts w:hint="eastAsia" w:ascii="Times New Roman" w:hAnsi="Times New Roman" w:eastAsia="宋体" w:cs="Times New Roman"/>
          <w:color w:val="auto"/>
        </w:rPr>
        <w:t>异常低价问题的通知》（财库〔2026〕2号）的要求，当供应商报价出现以下情形之一时，评标委员会应当启动对该供应商的异常低价审查程序：</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（一）参与本项目的时间要求</w:t>
      </w:r>
    </w:p>
    <w:tbl>
      <w:tblPr>
        <w:tblStyle w:val="23"/>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2141"/>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序号</w:t>
            </w:r>
          </w:p>
        </w:tc>
        <w:tc>
          <w:tcPr>
            <w:tcW w:w="194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步骤名称</w:t>
            </w:r>
          </w:p>
        </w:tc>
        <w:tc>
          <w:tcPr>
            <w:tcW w:w="189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开始时间</w:t>
            </w:r>
          </w:p>
        </w:tc>
        <w:tc>
          <w:tcPr>
            <w:tcW w:w="214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截止时间</w:t>
            </w:r>
          </w:p>
        </w:tc>
        <w:tc>
          <w:tcPr>
            <w:tcW w:w="2590"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194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获取招标文件</w:t>
            </w:r>
          </w:p>
        </w:tc>
        <w:tc>
          <w:tcPr>
            <w:tcW w:w="1891" w:type="dxa"/>
            <w:vAlign w:val="center"/>
          </w:tcPr>
          <w:p>
            <w:pPr>
              <w:pStyle w:val="29"/>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6</w:t>
            </w:r>
            <w:r>
              <w:rPr>
                <w:rFonts w:ascii="Times New Roman" w:hAnsi="Times New Roman" w:eastAsia="宋体" w:cs="Times New Roman"/>
                <w:color w:val="auto"/>
                <w:sz w:val="21"/>
                <w:szCs w:val="21"/>
              </w:rPr>
              <w:t>日</w:t>
            </w:r>
          </w:p>
        </w:tc>
        <w:tc>
          <w:tcPr>
            <w:tcW w:w="2141" w:type="dxa"/>
            <w:vAlign w:val="center"/>
          </w:tcPr>
          <w:p>
            <w:pPr>
              <w:pStyle w:val="29"/>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13</w:t>
            </w:r>
            <w:r>
              <w:rPr>
                <w:rFonts w:ascii="Times New Roman" w:hAnsi="Times New Roman" w:eastAsia="宋体" w:cs="Times New Roman"/>
                <w:color w:val="auto"/>
                <w:sz w:val="21"/>
                <w:szCs w:val="21"/>
              </w:rPr>
              <w:t>日</w:t>
            </w:r>
          </w:p>
        </w:tc>
        <w:tc>
          <w:tcPr>
            <w:tcW w:w="2590" w:type="dxa"/>
            <w:vAlign w:val="center"/>
          </w:tcPr>
          <w:p>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pPr>
              <w:pStyle w:val="29"/>
              <w:snapToGrid w:val="0"/>
              <w:jc w:val="both"/>
              <w:rPr>
                <w:rFonts w:ascii="Times New Roman" w:hAnsi="Times New Roman" w:eastAsia="宋体"/>
                <w:color w:val="auto"/>
                <w:sz w:val="21"/>
                <w:szCs w:val="21"/>
              </w:rPr>
            </w:pPr>
            <w:r>
              <w:rPr>
                <w:rFonts w:hint="eastAsia" w:ascii="Times New Roman" w:hAnsi="Times New Roman" w:eastAsia="宋体" w:cs="Times New Roman"/>
                <w:color w:val="auto"/>
                <w:sz w:val="21"/>
                <w:szCs w:val="21"/>
              </w:rPr>
              <w:t>未按时获取招标文件的，不能参与本项目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p>
        </w:tc>
        <w:tc>
          <w:tcPr>
            <w:tcW w:w="194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网上应答（上传电子投标文件）</w:t>
            </w:r>
          </w:p>
        </w:tc>
        <w:tc>
          <w:tcPr>
            <w:tcW w:w="189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2026年3月6日9:00</w:t>
            </w:r>
          </w:p>
        </w:tc>
        <w:tc>
          <w:tcPr>
            <w:tcW w:w="214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2026年3月27日8:30</w:t>
            </w:r>
          </w:p>
        </w:tc>
        <w:tc>
          <w:tcPr>
            <w:tcW w:w="2590" w:type="dxa"/>
            <w:vAlign w:val="center"/>
          </w:tcPr>
          <w:p>
            <w:pPr>
              <w:pStyle w:val="29"/>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未按时完成网上应答或未按时上传电子投标文件的，视为无效投标。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p>
        </w:tc>
        <w:tc>
          <w:tcPr>
            <w:tcW w:w="194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开标解密</w:t>
            </w:r>
          </w:p>
        </w:tc>
        <w:tc>
          <w:tcPr>
            <w:tcW w:w="189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2026年3月27日8:30</w:t>
            </w:r>
          </w:p>
        </w:tc>
        <w:tc>
          <w:tcPr>
            <w:tcW w:w="214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2026年3月27日9:30</w:t>
            </w:r>
          </w:p>
        </w:tc>
        <w:tc>
          <w:tcPr>
            <w:tcW w:w="2590" w:type="dxa"/>
            <w:vAlign w:val="center"/>
          </w:tcPr>
          <w:p>
            <w:pPr>
              <w:pStyle w:val="29"/>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未按时完成开标解密的，视为无效投标。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4</w:t>
            </w:r>
          </w:p>
        </w:tc>
        <w:tc>
          <w:tcPr>
            <w:tcW w:w="1941" w:type="dxa"/>
            <w:vAlign w:val="center"/>
          </w:tcPr>
          <w:p>
            <w:pPr>
              <w:pStyle w:val="29"/>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网上开标公示</w:t>
            </w:r>
          </w:p>
        </w:tc>
        <w:tc>
          <w:tcPr>
            <w:tcW w:w="189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2026年3月27日9:30</w:t>
            </w:r>
          </w:p>
        </w:tc>
        <w:tc>
          <w:tcPr>
            <w:tcW w:w="2141" w:type="dxa"/>
            <w:vAlign w:val="center"/>
          </w:tcPr>
          <w:p>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2026年3月27日12:00</w:t>
            </w:r>
          </w:p>
        </w:tc>
        <w:tc>
          <w:tcPr>
            <w:tcW w:w="2590" w:type="dxa"/>
            <w:vAlign w:val="center"/>
          </w:tcPr>
          <w:p>
            <w:pPr>
              <w:pStyle w:val="29"/>
              <w:snapToGrid w:val="0"/>
              <w:jc w:val="both"/>
              <w:rPr>
                <w:rFonts w:ascii="Times New Roman" w:hAnsi="Times New Roman" w:eastAsia="宋体"/>
                <w:color w:val="auto"/>
                <w:sz w:val="21"/>
                <w:szCs w:val="21"/>
              </w:rPr>
            </w:pPr>
          </w:p>
        </w:tc>
      </w:tr>
    </w:tbl>
    <w:p>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（二）参与本项目的方式要求</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pPr>
        <w:pStyle w:val="29"/>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pPr>
        <w:pStyle w:val="29"/>
        <w:spacing w:line="360" w:lineRule="auto"/>
        <w:ind w:firstLine="448" w:firstLineChars="200"/>
        <w:jc w:val="both"/>
        <w:rPr>
          <w:rFonts w:ascii="Times New Roman" w:hAnsi="Times New Roman" w:eastAsia="宋体" w:cs="Times New Roman"/>
          <w:color w:val="auto"/>
        </w:rPr>
      </w:pPr>
      <w:bookmarkStart w:id="5" w:name="_Toc412903615"/>
      <w:r>
        <w:rPr>
          <w:rFonts w:hint="eastAsia" w:ascii="Times New Roman" w:hAnsi="Times New Roman" w:eastAsia="宋体" w:cs="Times New Roman"/>
          <w:color w:val="auto"/>
        </w:rPr>
        <w:t>六、现场考察、标前答疑会</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本项目不组织现场考察</w:t>
      </w:r>
      <w:r>
        <w:rPr>
          <w:rFonts w:ascii="Times New Roman" w:hAnsi="Times New Roman" w:eastAsia="宋体" w:cs="Times New Roman"/>
          <w:color w:val="auto"/>
        </w:rPr>
        <w:t>。</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本项目不组织标前答疑会</w:t>
      </w:r>
      <w:r>
        <w:rPr>
          <w:rFonts w:ascii="Times New Roman" w:hAnsi="Times New Roman" w:eastAsia="宋体" w:cs="Times New Roman"/>
          <w:color w:val="auto"/>
        </w:rPr>
        <w:t>。</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联系人：范志刚</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8217</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国家税务总局天津市河西区税务局</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天津市河西区广东路65号  </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徐希</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（四）采购人联系电话：022-83452873</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联系部门：国家税务总局天津市河西区税务局</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联系地址：天津市河西区广东路65号</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人：徐希</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联系方式：022-83452873</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pPr>
              <w:tabs>
                <w:tab w:val="left" w:pos="750"/>
                <w:tab w:val="left" w:pos="840"/>
              </w:tabs>
              <w:adjustRightInd w:val="0"/>
              <w:snapToGrid w:val="0"/>
              <w:jc w:val="center"/>
              <w:rPr>
                <w:sz w:val="24"/>
              </w:rPr>
            </w:pPr>
            <w:r>
              <w:rPr>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100以下</w:t>
            </w:r>
          </w:p>
        </w:tc>
        <w:tc>
          <w:tcPr>
            <w:tcW w:w="3657" w:type="dxa"/>
            <w:vAlign w:val="center"/>
          </w:tcPr>
          <w:p>
            <w:pPr>
              <w:tabs>
                <w:tab w:val="left" w:pos="750"/>
                <w:tab w:val="left" w:pos="840"/>
              </w:tabs>
              <w:adjustRightInd w:val="0"/>
              <w:snapToGrid w:val="0"/>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100-500</w:t>
            </w:r>
          </w:p>
        </w:tc>
        <w:tc>
          <w:tcPr>
            <w:tcW w:w="3657" w:type="dxa"/>
            <w:vAlign w:val="center"/>
          </w:tcPr>
          <w:p>
            <w:pPr>
              <w:tabs>
                <w:tab w:val="left" w:pos="750"/>
                <w:tab w:val="left" w:pos="840"/>
              </w:tabs>
              <w:adjustRightInd w:val="0"/>
              <w:snapToGrid w:val="0"/>
              <w:jc w:val="center"/>
              <w:rPr>
                <w:sz w:val="24"/>
              </w:rPr>
            </w:pPr>
            <w:r>
              <w:rPr>
                <w:rFonts w:hint="eastAsia"/>
                <w:sz w:val="24"/>
              </w:rPr>
              <w:t>0.8</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500-1000</w:t>
            </w:r>
          </w:p>
        </w:tc>
        <w:tc>
          <w:tcPr>
            <w:tcW w:w="3657" w:type="dxa"/>
            <w:vAlign w:val="center"/>
          </w:tcPr>
          <w:p>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pPr>
              <w:tabs>
                <w:tab w:val="left" w:pos="750"/>
                <w:tab w:val="left" w:pos="840"/>
              </w:tabs>
              <w:adjustRightInd w:val="0"/>
              <w:snapToGrid w:val="0"/>
              <w:jc w:val="center"/>
              <w:rPr>
                <w:sz w:val="24"/>
              </w:rPr>
            </w:pPr>
            <w:r>
              <w:rPr>
                <w:rFonts w:hint="eastAsia"/>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5000-10000</w:t>
            </w:r>
          </w:p>
        </w:tc>
        <w:tc>
          <w:tcPr>
            <w:tcW w:w="3657" w:type="dxa"/>
            <w:vAlign w:val="center"/>
          </w:tcPr>
          <w:p>
            <w:pPr>
              <w:tabs>
                <w:tab w:val="left" w:pos="750"/>
                <w:tab w:val="left" w:pos="840"/>
              </w:tabs>
              <w:adjustRightInd w:val="0"/>
              <w:snapToGrid w:val="0"/>
              <w:jc w:val="center"/>
              <w:rPr>
                <w:sz w:val="24"/>
              </w:rPr>
            </w:pPr>
            <w:r>
              <w:rPr>
                <w:rFonts w:hint="eastAsia"/>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10000-100000</w:t>
            </w:r>
          </w:p>
        </w:tc>
        <w:tc>
          <w:tcPr>
            <w:tcW w:w="3657" w:type="dxa"/>
            <w:vAlign w:val="center"/>
          </w:tcPr>
          <w:p>
            <w:pPr>
              <w:tabs>
                <w:tab w:val="left" w:pos="750"/>
                <w:tab w:val="left" w:pos="840"/>
              </w:tabs>
              <w:adjustRightInd w:val="0"/>
              <w:snapToGrid w:val="0"/>
              <w:jc w:val="center"/>
              <w:rPr>
                <w:sz w:val="24"/>
              </w:rPr>
            </w:pPr>
            <w:r>
              <w:rPr>
                <w:rFonts w:hint="eastAsia"/>
                <w:sz w:val="24"/>
              </w:rPr>
              <w:t>0.05%</w:t>
            </w:r>
          </w:p>
        </w:tc>
      </w:tr>
    </w:tbl>
    <w:p>
      <w:pPr>
        <w:tabs>
          <w:tab w:val="left" w:pos="700"/>
        </w:tabs>
        <w:autoSpaceDE w:val="0"/>
        <w:autoSpaceDN w:val="0"/>
        <w:adjustRightInd w:val="0"/>
        <w:spacing w:line="360" w:lineRule="auto"/>
        <w:ind w:firstLine="448"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r>
        <w:rPr>
          <w:sz w:val="24"/>
          <w:lang w:val="zh-CN"/>
        </w:rPr>
        <w:t>其中中标金额以《中标通知书》为准。</w:t>
      </w:r>
    </w:p>
    <w:p>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pPr>
        <w:pStyle w:val="29"/>
        <w:spacing w:line="360" w:lineRule="auto"/>
        <w:jc w:val="both"/>
        <w:rPr>
          <w:rFonts w:ascii="Times New Roman" w:hAnsi="Times New Roman" w:eastAsia="宋体" w:cs="Times New Roman"/>
          <w:color w:val="auto"/>
        </w:rPr>
      </w:pPr>
    </w:p>
    <w:p>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rPr>
        <w:t>3</w:t>
      </w:r>
      <w:r>
        <w:rPr>
          <w:rFonts w:ascii="Times New Roman" w:hAnsi="Times New Roman" w:eastAsia="宋体" w:cs="Times New Roman"/>
          <w:color w:val="auto"/>
        </w:rPr>
        <w:t>月</w:t>
      </w:r>
      <w:r>
        <w:rPr>
          <w:rFonts w:hint="eastAsia" w:ascii="Times New Roman" w:hAnsi="Times New Roman" w:eastAsia="宋体" w:cs="Times New Roman"/>
          <w:color w:val="auto"/>
        </w:rPr>
        <w:t>6</w:t>
      </w:r>
      <w:r>
        <w:rPr>
          <w:rFonts w:ascii="Times New Roman" w:hAnsi="Times New Roman" w:eastAsia="宋体" w:cs="Times New Roman"/>
          <w:color w:val="auto"/>
        </w:rPr>
        <w:t>日</w:t>
      </w:r>
    </w:p>
    <w:p>
      <w:pPr>
        <w:pStyle w:val="29"/>
        <w:spacing w:line="360" w:lineRule="auto"/>
        <w:ind w:right="892"/>
        <w:rPr>
          <w:rFonts w:ascii="Times New Roman" w:hAnsi="Times New Roman" w:eastAsia="宋体" w:cs="Times New Roman"/>
          <w:color w:val="auto"/>
        </w:rPr>
      </w:pPr>
    </w:p>
    <w:p>
      <w:pPr>
        <w:widowControl/>
        <w:jc w:val="left"/>
        <w:rPr>
          <w:kern w:val="0"/>
          <w:sz w:val="24"/>
          <w:szCs w:val="24"/>
        </w:rPr>
      </w:pPr>
    </w:p>
    <w:p>
      <w:pPr>
        <w:widowControl/>
        <w:jc w:val="left"/>
        <w:rPr>
          <w:b/>
          <w:bCs/>
          <w:kern w:val="28"/>
          <w:sz w:val="32"/>
          <w:szCs w:val="32"/>
          <w:lang w:val="zh-CN" w:eastAsia="zh-CN"/>
        </w:rPr>
      </w:pPr>
      <w:r>
        <w:br w:type="page"/>
      </w:r>
    </w:p>
    <w:p>
      <w:pPr>
        <w:pStyle w:val="16"/>
        <w:rPr>
          <w:rFonts w:ascii="Times New Roman" w:hAnsi="Times New Roman"/>
          <w:lang w:eastAsia="zh-CN"/>
        </w:rPr>
      </w:pPr>
      <w:r>
        <w:rPr>
          <w:rFonts w:ascii="Times New Roman" w:hAnsi="Times New Roman"/>
        </w:rPr>
        <w:t>第</w:t>
      </w:r>
      <w:r>
        <w:rPr>
          <w:rFonts w:ascii="Times New Roman" w:hAnsi="Times New Roman"/>
          <w:lang w:eastAsia="zh-CN"/>
        </w:rPr>
        <w:t>二</w:t>
      </w:r>
      <w:r>
        <w:rPr>
          <w:rFonts w:ascii="Times New Roman" w:hAnsi="Times New Roman"/>
        </w:rPr>
        <w:t>部分  招标项目</w:t>
      </w:r>
      <w:bookmarkEnd w:id="5"/>
      <w:r>
        <w:rPr>
          <w:rFonts w:ascii="Times New Roman" w:hAnsi="Times New Roman"/>
        </w:rPr>
        <w:t>需求</w:t>
      </w:r>
    </w:p>
    <w:p>
      <w:pPr>
        <w:autoSpaceDE w:val="0"/>
        <w:autoSpaceDN w:val="0"/>
        <w:adjustRightInd w:val="0"/>
        <w:spacing w:line="360" w:lineRule="auto"/>
        <w:ind w:firstLine="448" w:firstLineChars="200"/>
        <w:rPr>
          <w:sz w:val="24"/>
        </w:rPr>
      </w:pPr>
      <w:r>
        <w:rPr>
          <w:rFonts w:hint="eastAsia"/>
          <w:sz w:val="24"/>
        </w:rPr>
        <w:t>加注“★”号条款为不允许偏离的实质性要求，经评标委员会判定任意一条加注“★”号的条款出现偏离，视为无效投标。</w:t>
      </w:r>
    </w:p>
    <w:p>
      <w:pPr>
        <w:widowControl/>
        <w:ind w:firstLine="448" w:firstLineChars="200"/>
        <w:jc w:val="left"/>
        <w:rPr>
          <w:sz w:val="24"/>
        </w:rPr>
      </w:pPr>
      <w:r>
        <w:rPr>
          <w:rFonts w:hint="eastAsia"/>
          <w:sz w:val="24"/>
        </w:rPr>
        <w:t>一、项目背景</w:t>
      </w:r>
    </w:p>
    <w:p>
      <w:pPr>
        <w:widowControl/>
        <w:ind w:firstLine="448" w:firstLineChars="200"/>
        <w:jc w:val="left"/>
        <w:rPr>
          <w:sz w:val="24"/>
        </w:rPr>
      </w:pPr>
      <w:r>
        <w:rPr>
          <w:rFonts w:hint="eastAsia"/>
          <w:sz w:val="24"/>
        </w:rPr>
        <w:t>国家税务总局天津市河西区税务局为构建天津税务系统“一键接入、市区联动、规范统一”的12366税费咨询服务体系，协同服务新模式，持续推进办税缴费服务提质增效，提升纳税人缴费人（以下简称“纳税人”）满意度和获得感。随着新兴产业的发展，企业对于纳税服务、政策辅导的需求日益增长。为进一步强化运行管理，提升服务质效，结合12366热线转型升级工作目标，充分发挥第三方服务单位运营管理经验，巩固现有工作成效，持续创新服务方式，全方位、多渠道为纳税人缴费人提供更加精细化、个性化的服务，优化税收营商环境，国家税务总局天津市河西区税务局通过政府采购方式采购12366热线及其他咨询服务。</w:t>
      </w:r>
    </w:p>
    <w:p>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二、技术要求</w:t>
      </w:r>
    </w:p>
    <w:p>
      <w:pPr>
        <w:spacing w:line="360" w:lineRule="auto"/>
        <w:ind w:firstLine="448" w:firstLineChars="20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（二）具体要求</w:t>
      </w:r>
    </w:p>
    <w:p>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详见项目需求书。</w:t>
      </w:r>
    </w:p>
    <w:p>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三</w:t>
      </w:r>
      <w:r>
        <w:rPr>
          <w:sz w:val="24"/>
          <w:szCs w:val="24"/>
        </w:rPr>
        <w:t>、商务要求</w:t>
      </w:r>
    </w:p>
    <w:p>
      <w:pPr>
        <w:autoSpaceDE w:val="0"/>
        <w:autoSpaceDN w:val="0"/>
        <w:adjustRightInd w:val="0"/>
        <w:spacing w:line="360" w:lineRule="auto"/>
        <w:ind w:firstLine="448" w:firstLineChars="200"/>
        <w:rPr>
          <w:sz w:val="24"/>
        </w:rPr>
      </w:pPr>
      <w:r>
        <w:rPr>
          <w:sz w:val="24"/>
        </w:rPr>
        <w:t>（一）报价要求</w:t>
      </w:r>
    </w:p>
    <w:p>
      <w:pPr>
        <w:autoSpaceDE w:val="0"/>
        <w:autoSpaceDN w:val="0"/>
        <w:adjustRightInd w:val="0"/>
        <w:spacing w:line="360" w:lineRule="auto"/>
        <w:ind w:firstLine="448" w:firstLineChars="200"/>
        <w:rPr>
          <w:sz w:val="24"/>
        </w:rPr>
      </w:pPr>
      <w:r>
        <w:rPr>
          <w:sz w:val="24"/>
        </w:rPr>
        <w:t>1. 投标报价以人民币填列。</w:t>
      </w:r>
    </w:p>
    <w:p>
      <w:pPr>
        <w:autoSpaceDE w:val="0"/>
        <w:autoSpaceDN w:val="0"/>
        <w:adjustRightInd w:val="0"/>
        <w:spacing w:line="360" w:lineRule="auto"/>
        <w:ind w:firstLine="448" w:firstLineChars="200"/>
        <w:rPr>
          <w:sz w:val="24"/>
        </w:rPr>
      </w:pPr>
      <w:r>
        <w:rPr>
          <w:sz w:val="24"/>
        </w:rPr>
        <w:t>2. 投标人的报价应包括：人员费用、服务费用等为完成招标文件规定的一切工作所需的全部费用。投标人所报价格应为最终优惠价格。</w:t>
      </w:r>
    </w:p>
    <w:p>
      <w:pPr>
        <w:autoSpaceDE w:val="0"/>
        <w:autoSpaceDN w:val="0"/>
        <w:adjustRightInd w:val="0"/>
        <w:spacing w:line="360" w:lineRule="auto"/>
        <w:ind w:firstLine="448" w:firstLineChars="200"/>
        <w:rPr>
          <w:kern w:val="0"/>
          <w:sz w:val="24"/>
          <w:szCs w:val="24"/>
        </w:rPr>
      </w:pPr>
      <w:r>
        <w:rPr>
          <w:rFonts w:hint="eastAsia"/>
          <w:kern w:val="0"/>
          <w:sz w:val="24"/>
          <w:szCs w:val="24"/>
        </w:rPr>
        <w:t xml:space="preserve">3. </w:t>
      </w:r>
      <w:r>
        <w:rPr>
          <w:sz w:val="24"/>
        </w:rPr>
        <w:t>验收相关费用由投标人负责。</w:t>
      </w:r>
    </w:p>
    <w:p>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pPr>
        <w:autoSpaceDE w:val="0"/>
        <w:autoSpaceDN w:val="0"/>
        <w:adjustRightInd w:val="0"/>
        <w:spacing w:line="360" w:lineRule="auto"/>
        <w:ind w:firstLine="448" w:firstLineChars="200"/>
        <w:rPr>
          <w:sz w:val="24"/>
        </w:rPr>
      </w:pPr>
      <w:r>
        <w:rPr>
          <w:sz w:val="24"/>
        </w:rPr>
        <w:t>1. 时间要求：</w:t>
      </w:r>
      <w:r>
        <w:rPr>
          <w:rFonts w:hint="eastAsia"/>
          <w:sz w:val="24"/>
        </w:rPr>
        <w:t>自合同规定的服务起始之日起1年，签订合同之日起7日内服务开启</w:t>
      </w:r>
      <w:r>
        <w:rPr>
          <w:sz w:val="24"/>
        </w:rPr>
        <w:t>（特殊情况以合同为准）。</w:t>
      </w:r>
    </w:p>
    <w:p>
      <w:pPr>
        <w:autoSpaceDE w:val="0"/>
        <w:autoSpaceDN w:val="0"/>
        <w:adjustRightInd w:val="0"/>
        <w:spacing w:line="360" w:lineRule="auto"/>
        <w:ind w:firstLine="448" w:firstLineChars="200"/>
        <w:rPr>
          <w:sz w:val="24"/>
        </w:rPr>
      </w:pPr>
      <w:r>
        <w:rPr>
          <w:sz w:val="24"/>
        </w:rPr>
        <w:t>2. 服务地点：</w:t>
      </w:r>
      <w:r>
        <w:rPr>
          <w:rFonts w:hint="eastAsia"/>
          <w:sz w:val="24"/>
        </w:rPr>
        <w:t>天津市河西区广东路65号</w:t>
      </w:r>
      <w:r>
        <w:rPr>
          <w:sz w:val="24"/>
        </w:rPr>
        <w:t>（特殊情况以合同为准）。</w:t>
      </w:r>
    </w:p>
    <w:p>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pPr>
        <w:autoSpaceDE w:val="0"/>
        <w:autoSpaceDN w:val="0"/>
        <w:adjustRightInd w:val="0"/>
        <w:spacing w:line="360" w:lineRule="auto"/>
        <w:ind w:firstLine="448" w:firstLineChars="200"/>
        <w:rPr>
          <w:sz w:val="24"/>
        </w:rPr>
      </w:pPr>
      <w:r>
        <w:rPr>
          <w:rFonts w:hint="eastAsia"/>
          <w:sz w:val="24"/>
        </w:rPr>
        <w:t>采购人按月完成服务质量验收，根据阶段性验收结果按月支付服务费。中标供应商向采购人提供正式发票，采购人在收到发票后10个工作日内支付服务费</w:t>
      </w:r>
      <w:r>
        <w:rPr>
          <w:sz w:val="24"/>
        </w:rPr>
        <w:t>（特殊情况以合同为准）。</w:t>
      </w:r>
    </w:p>
    <w:p>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pPr>
        <w:autoSpaceDE w:val="0"/>
        <w:autoSpaceDN w:val="0"/>
        <w:adjustRightInd w:val="0"/>
        <w:spacing w:line="360" w:lineRule="auto"/>
        <w:ind w:firstLine="448" w:firstLineChars="200"/>
        <w:rPr>
          <w:sz w:val="24"/>
        </w:rPr>
      </w:pPr>
      <w:r>
        <w:rPr>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pPr>
        <w:autoSpaceDE w:val="0"/>
        <w:autoSpaceDN w:val="0"/>
        <w:adjustRightInd w:val="0"/>
        <w:spacing w:line="360" w:lineRule="auto"/>
        <w:ind w:firstLine="448" w:firstLineChars="200"/>
        <w:rPr>
          <w:sz w:val="24"/>
        </w:rPr>
      </w:pPr>
      <w:r>
        <w:rPr>
          <w:rFonts w:hint="eastAsia"/>
          <w:sz w:val="24"/>
        </w:rPr>
        <w:t>中标供应商应依据合同约定按时按质提供服务，每月服务期满后，采购人进行服务质量验收。严格按照法律法规和采购合同按月进行验收。确保验收工作在法律框架内进行，遵守国家和地方有关政府采购、合同管理等方面的法规政策。遵循公平、公正、公开的原则。验收过程应保持客观、中立，不受任何外部因素干扰，确保验收结果真实反映供应商的履约情况。</w:t>
      </w:r>
    </w:p>
    <w:p>
      <w:pPr>
        <w:autoSpaceDE w:val="0"/>
        <w:autoSpaceDN w:val="0"/>
        <w:adjustRightInd w:val="0"/>
        <w:spacing w:line="360" w:lineRule="auto"/>
        <w:ind w:firstLine="448" w:firstLineChars="200"/>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sz w:val="24"/>
        </w:rPr>
      </w:pPr>
      <w:r>
        <w:rPr>
          <w:rFonts w:hint="eastAsia"/>
          <w:sz w:val="24"/>
        </w:rPr>
        <w:t>（六）合同签订单位、付款单位、验收单位：</w:t>
      </w:r>
      <w:r>
        <w:rPr>
          <w:rFonts w:hint="eastAsia"/>
          <w:b/>
          <w:sz w:val="24"/>
        </w:rPr>
        <w:t>国家税务总局天津市河西区税务局</w:t>
      </w:r>
    </w:p>
    <w:p>
      <w:pPr>
        <w:spacing w:line="360" w:lineRule="auto"/>
        <w:ind w:firstLine="448" w:firstLineChars="200"/>
        <w:outlineLvl w:val="0"/>
        <w:rPr>
          <w:sz w:val="24"/>
        </w:rPr>
      </w:pPr>
      <w:r>
        <w:rPr>
          <w:sz w:val="24"/>
        </w:rPr>
        <w:t>四、评分因素及评标标准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rPr>
              <w:t>2</w:t>
            </w:r>
            <w:r>
              <w:rPr>
                <w:color w:val="000000"/>
                <w:kern w:val="0"/>
                <w:sz w:val="24"/>
                <w:szCs w:val="24"/>
              </w:rPr>
              <w:t>0分）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pPr>
              <w:widowControl/>
              <w:adjustRightInd w:val="0"/>
              <w:snapToGrid w:val="0"/>
              <w:rPr>
                <w:kern w:val="0"/>
                <w:sz w:val="24"/>
                <w:szCs w:val="24"/>
              </w:rPr>
            </w:pPr>
            <w:r>
              <w:rPr>
                <w:kern w:val="0"/>
                <w:sz w:val="24"/>
                <w:szCs w:val="24"/>
              </w:rPr>
              <w:t>（2）投标报价得分=（评标基准价/投标报价）×20</w:t>
            </w:r>
          </w:p>
          <w:p>
            <w:pPr>
              <w:widowControl/>
              <w:adjustRightInd w:val="0"/>
              <w:snapToGrid w:val="0"/>
              <w:rPr>
                <w:kern w:val="0"/>
                <w:sz w:val="24"/>
                <w:szCs w:val="24"/>
              </w:rPr>
            </w:pPr>
            <w:r>
              <w:rPr>
                <w:kern w:val="0"/>
                <w:sz w:val="24"/>
                <w:szCs w:val="24"/>
              </w:rPr>
              <w:t>注：满足本文件要求且投标报价最低的投标报价为评标基准价。</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rPr>
              <w:t>48</w:t>
            </w:r>
            <w:r>
              <w:rPr>
                <w:color w:val="000000"/>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投标人曾独立承担的电话热线咨询服务业绩</w:t>
            </w:r>
            <w:r>
              <w:rPr>
                <w:kern w:val="0"/>
                <w:sz w:val="24"/>
                <w:szCs w:val="24"/>
              </w:rPr>
              <w:t>，提供的证明材料均不得遮挡涂黑，否则不予认定加分。</w:t>
            </w:r>
          </w:p>
          <w:p>
            <w:pPr>
              <w:widowControl/>
              <w:adjustRightInd w:val="0"/>
              <w:snapToGrid w:val="0"/>
              <w:rPr>
                <w:kern w:val="0"/>
                <w:sz w:val="24"/>
                <w:szCs w:val="24"/>
              </w:rPr>
            </w:pPr>
            <w:r>
              <w:rPr>
                <w:rFonts w:hint="eastAsia"/>
                <w:kern w:val="0"/>
                <w:sz w:val="24"/>
                <w:szCs w:val="24"/>
              </w:rPr>
              <w:t>A</w:t>
            </w:r>
            <w:r>
              <w:rPr>
                <w:kern w:val="0"/>
                <w:sz w:val="24"/>
                <w:szCs w:val="24"/>
              </w:rPr>
              <w:t>. 合同</w:t>
            </w:r>
            <w:r>
              <w:rPr>
                <w:rFonts w:hint="eastAsia"/>
                <w:kern w:val="0"/>
                <w:sz w:val="24"/>
                <w:szCs w:val="24"/>
              </w:rPr>
              <w:t>原件</w:t>
            </w:r>
            <w:r>
              <w:rPr>
                <w:kern w:val="0"/>
                <w:sz w:val="24"/>
                <w:szCs w:val="24"/>
              </w:rPr>
              <w:t>扫描件。包括买卖双方名称及盖章、服务内容</w:t>
            </w:r>
            <w:r>
              <w:rPr>
                <w:rFonts w:hint="eastAsia"/>
                <w:bCs/>
                <w:sz w:val="24"/>
              </w:rPr>
              <w:t>、合同签订日期（应为2022年1月1日或以后）</w:t>
            </w:r>
            <w:r>
              <w:rPr>
                <w:kern w:val="0"/>
                <w:sz w:val="24"/>
                <w:szCs w:val="24"/>
              </w:rPr>
              <w:t>。</w:t>
            </w:r>
          </w:p>
          <w:p>
            <w:pPr>
              <w:widowControl/>
              <w:adjustRightInd w:val="0"/>
              <w:snapToGrid w:val="0"/>
              <w:rPr>
                <w:kern w:val="0"/>
                <w:sz w:val="24"/>
                <w:szCs w:val="24"/>
              </w:rPr>
            </w:pPr>
            <w:r>
              <w:rPr>
                <w:kern w:val="0"/>
                <w:sz w:val="24"/>
                <w:szCs w:val="24"/>
              </w:rPr>
              <w:t>B.</w:t>
            </w:r>
            <w:r>
              <w:rPr>
                <w:rFonts w:hint="eastAsia"/>
                <w:kern w:val="0"/>
                <w:sz w:val="24"/>
                <w:szCs w:val="24"/>
              </w:rPr>
              <w:t xml:space="preserve"> 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pPr>
              <w:widowControl/>
              <w:adjustRightInd w:val="0"/>
              <w:snapToGrid w:val="0"/>
              <w:rPr>
                <w:kern w:val="0"/>
                <w:sz w:val="24"/>
                <w:szCs w:val="24"/>
              </w:rPr>
            </w:pPr>
            <w:r>
              <w:rPr>
                <w:kern w:val="0"/>
                <w:sz w:val="24"/>
                <w:szCs w:val="24"/>
              </w:rPr>
              <w:t>每个</w:t>
            </w:r>
            <w:r>
              <w:rPr>
                <w:rFonts w:hint="eastAsia"/>
                <w:kern w:val="0"/>
                <w:sz w:val="24"/>
                <w:szCs w:val="24"/>
              </w:rPr>
              <w:t>业绩2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pPr>
              <w:widowControl/>
              <w:adjustRightInd w:val="0"/>
              <w:snapToGrid w:val="0"/>
              <w:jc w:val="center"/>
              <w:rPr>
                <w:kern w:val="0"/>
                <w:sz w:val="24"/>
                <w:szCs w:val="24"/>
              </w:rPr>
            </w:pPr>
            <w:r>
              <w:rPr>
                <w:rFonts w:hint="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pPr>
              <w:widowControl/>
              <w:adjustRightInd w:val="0"/>
              <w:snapToGrid w:val="0"/>
              <w:rPr>
                <w:kern w:val="0"/>
                <w:sz w:val="24"/>
                <w:szCs w:val="24"/>
              </w:rPr>
            </w:pPr>
            <w:r>
              <w:rPr>
                <w:kern w:val="0"/>
                <w:sz w:val="24"/>
                <w:szCs w:val="24"/>
              </w:rPr>
              <w:t>投标人具备质量管理体系认证、环境管理体系认证、职业健康安全管理体系认证，提供证书扫描件</w:t>
            </w:r>
          </w:p>
          <w:p>
            <w:pPr>
              <w:widowControl/>
              <w:adjustRightInd w:val="0"/>
              <w:snapToGrid w:val="0"/>
              <w:rPr>
                <w:kern w:val="0"/>
                <w:sz w:val="24"/>
                <w:szCs w:val="24"/>
              </w:rPr>
            </w:pPr>
            <w:r>
              <w:rPr>
                <w:kern w:val="0"/>
                <w:sz w:val="24"/>
                <w:szCs w:val="24"/>
              </w:rPr>
              <w:t>1个证书扫描件1分，最高3分。</w:t>
            </w:r>
          </w:p>
        </w:tc>
        <w:tc>
          <w:tcPr>
            <w:tcW w:w="1143" w:type="dxa"/>
            <w:shd w:val="clear" w:color="auto" w:fill="auto"/>
            <w:vAlign w:val="center"/>
          </w:tcPr>
          <w:p>
            <w:pPr>
              <w:widowControl/>
              <w:adjustRightInd w:val="0"/>
              <w:snapToGrid w:val="0"/>
              <w:jc w:val="center"/>
              <w:rPr>
                <w:kern w:val="0"/>
                <w:sz w:val="24"/>
                <w:szCs w:val="24"/>
              </w:rPr>
            </w:pPr>
            <w:r>
              <w:rPr>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pPr>
              <w:widowControl/>
              <w:adjustRightInd w:val="0"/>
              <w:snapToGrid w:val="0"/>
              <w:jc w:val="center"/>
              <w:rPr>
                <w:kern w:val="0"/>
                <w:sz w:val="24"/>
                <w:szCs w:val="24"/>
              </w:rPr>
            </w:pPr>
            <w:r>
              <w:rPr>
                <w:rFonts w:hint="eastAsia"/>
                <w:sz w:val="24"/>
              </w:rPr>
              <w:t>投入</w:t>
            </w:r>
            <w:r>
              <w:rPr>
                <w:sz w:val="24"/>
              </w:rPr>
              <w:t>人员评价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投入的</w:t>
            </w:r>
            <w:r>
              <w:rPr>
                <w:rFonts w:hint="eastAsia"/>
                <w:sz w:val="24"/>
              </w:rPr>
              <w:t>项目</w:t>
            </w:r>
            <w:r>
              <w:rPr>
                <w:sz w:val="24"/>
              </w:rPr>
              <w:t>人员</w:t>
            </w:r>
            <w:r>
              <w:rPr>
                <w:rFonts w:hint="eastAsia"/>
                <w:kern w:val="0"/>
                <w:sz w:val="24"/>
                <w:szCs w:val="24"/>
              </w:rPr>
              <w:t>为投标单位正式员工，提供姓名、开标日前三个月中任意一个月的由投标单位为投入项目人员缴纳社会保险证明扫描件，否则不予认定加分。</w:t>
            </w:r>
          </w:p>
          <w:p>
            <w:pPr>
              <w:widowControl/>
              <w:adjustRightInd w:val="0"/>
              <w:snapToGrid w:val="0"/>
              <w:rPr>
                <w:kern w:val="0"/>
                <w:sz w:val="24"/>
                <w:szCs w:val="24"/>
              </w:rPr>
            </w:pPr>
            <w:r>
              <w:rPr>
                <w:rFonts w:hint="eastAsia"/>
                <w:kern w:val="0"/>
                <w:sz w:val="24"/>
                <w:szCs w:val="24"/>
              </w:rPr>
              <w:t>（1）按上述要求提供的社保缴费证明的</w:t>
            </w:r>
            <w:r>
              <w:rPr>
                <w:rFonts w:hint="eastAsia"/>
                <w:sz w:val="24"/>
              </w:rPr>
              <w:t>项目</w:t>
            </w:r>
            <w:r>
              <w:rPr>
                <w:rFonts w:hint="eastAsia"/>
                <w:kern w:val="0"/>
                <w:sz w:val="24"/>
                <w:szCs w:val="24"/>
              </w:rPr>
              <w:t>人员数量≥20人的：3分，其他0分；</w:t>
            </w:r>
          </w:p>
          <w:p>
            <w:pPr>
              <w:widowControl/>
              <w:adjustRightInd w:val="0"/>
              <w:snapToGrid w:val="0"/>
              <w:rPr>
                <w:kern w:val="0"/>
                <w:sz w:val="24"/>
                <w:szCs w:val="24"/>
              </w:rPr>
            </w:pPr>
            <w:r>
              <w:rPr>
                <w:rFonts w:hint="eastAsia"/>
                <w:kern w:val="0"/>
                <w:sz w:val="24"/>
                <w:szCs w:val="24"/>
              </w:rPr>
              <w:t>（2）在满足（1）的基础上，第（1）项人员中具备由国家统一组织考试并颁发的会计、税务类相关证书或考试合格证明，</w:t>
            </w:r>
            <w:r>
              <w:rPr>
                <w:rFonts w:hint="eastAsia"/>
                <w:b/>
                <w:kern w:val="0"/>
                <w:sz w:val="24"/>
                <w:szCs w:val="24"/>
              </w:rPr>
              <w:t>及</w:t>
            </w:r>
            <w:r>
              <w:rPr>
                <w:rFonts w:hint="eastAsia"/>
                <w:kern w:val="0"/>
                <w:sz w:val="24"/>
                <w:szCs w:val="24"/>
              </w:rPr>
              <w:t>会计、税务类电话热线工作经验，提供证书或证明扫描件及加盖投标单位公章的人员工作简历扫描件，每个满足以上要求的人员得0.5分，最多10分；</w:t>
            </w:r>
          </w:p>
          <w:p>
            <w:pPr>
              <w:widowControl/>
              <w:adjustRightInd w:val="0"/>
              <w:snapToGrid w:val="0"/>
              <w:rPr>
                <w:kern w:val="0"/>
                <w:sz w:val="24"/>
                <w:szCs w:val="24"/>
              </w:rPr>
            </w:pPr>
            <w:r>
              <w:rPr>
                <w:rFonts w:hint="eastAsia"/>
                <w:kern w:val="0"/>
                <w:sz w:val="24"/>
                <w:szCs w:val="24"/>
              </w:rPr>
              <w:t>（3）在满足（1）的基础上，第（1）项人员（不包括组长）中具备财会、税收等财税经济类专业大专（或以上）学历或具有一年或以上相关财税工作经验，提供毕业证书扫描件或加盖投标单位公章的人员工作简历扫描件，每个满足以上要求的人员得1分，最多15分。</w:t>
            </w:r>
          </w:p>
          <w:p>
            <w:pPr>
              <w:widowControl/>
              <w:adjustRightInd w:val="0"/>
              <w:snapToGrid w:val="0"/>
              <w:rPr>
                <w:kern w:val="0"/>
                <w:sz w:val="24"/>
                <w:szCs w:val="24"/>
              </w:rPr>
            </w:pPr>
            <w:r>
              <w:rPr>
                <w:rFonts w:hint="eastAsia"/>
                <w:kern w:val="0"/>
                <w:sz w:val="24"/>
                <w:szCs w:val="24"/>
              </w:rPr>
              <w:t>（4）在满足（1）的基础上，第（1）项人员中的组长具备财会、税收等财税经济类专业本科（或以上）学历或具有三年或以上相关财税工作经验，提供毕业证书扫描件或加盖投标单位公章的人员工作简历扫描件，每个满足以上要求的人员得1分，最多2分。</w:t>
            </w:r>
          </w:p>
          <w:p>
            <w:pPr>
              <w:widowControl/>
              <w:adjustRightInd w:val="0"/>
              <w:snapToGrid w:val="0"/>
              <w:rPr>
                <w:kern w:val="0"/>
                <w:sz w:val="24"/>
                <w:szCs w:val="24"/>
              </w:rPr>
            </w:pPr>
            <w:r>
              <w:rPr>
                <w:rFonts w:hint="eastAsia"/>
                <w:kern w:val="0"/>
                <w:sz w:val="24"/>
                <w:szCs w:val="24"/>
              </w:rPr>
              <w:t>注：（3）与（4）之间人员不得兼任。</w:t>
            </w:r>
          </w:p>
        </w:tc>
        <w:tc>
          <w:tcPr>
            <w:tcW w:w="1143" w:type="dxa"/>
            <w:shd w:val="clear" w:color="auto" w:fill="auto"/>
            <w:vAlign w:val="center"/>
          </w:tcPr>
          <w:p>
            <w:pPr>
              <w:widowControl/>
              <w:adjustRightInd w:val="0"/>
              <w:snapToGrid w:val="0"/>
              <w:jc w:val="center"/>
              <w:rPr>
                <w:kern w:val="0"/>
                <w:sz w:val="24"/>
                <w:szCs w:val="24"/>
              </w:rPr>
            </w:pPr>
            <w:r>
              <w:rPr>
                <w:rFonts w:hint="eastAsia"/>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pPr>
              <w:widowControl/>
              <w:adjustRightInd w:val="0"/>
              <w:snapToGrid w:val="0"/>
              <w:jc w:val="center"/>
              <w:rPr>
                <w:sz w:val="24"/>
              </w:rPr>
            </w:pPr>
            <w:r>
              <w:rPr>
                <w:rFonts w:hint="eastAsia"/>
                <w:sz w:val="24"/>
              </w:rPr>
              <w:t>投标人承诺评价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承诺完全满足招标文件“报价要求”、“时间地点要求”、“付款方式要求”和技术要求中非“★”号要求的：5分，其他0分。</w:t>
            </w:r>
          </w:p>
        </w:tc>
        <w:tc>
          <w:tcPr>
            <w:tcW w:w="1143" w:type="dxa"/>
            <w:shd w:val="clear" w:color="auto" w:fill="auto"/>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pPr>
              <w:widowControl/>
              <w:adjustRightInd w:val="0"/>
              <w:snapToGrid w:val="0"/>
              <w:jc w:val="center"/>
              <w:rPr>
                <w:kern w:val="0"/>
                <w:sz w:val="24"/>
                <w:szCs w:val="24"/>
              </w:rPr>
            </w:pPr>
            <w:r>
              <w:rPr>
                <w:kern w:val="0"/>
                <w:sz w:val="24"/>
                <w:szCs w:val="24"/>
              </w:rPr>
              <w:t>第三部分 主观分（</w:t>
            </w:r>
            <w:r>
              <w:rPr>
                <w:rFonts w:hint="eastAsia"/>
                <w:kern w:val="0"/>
                <w:sz w:val="24"/>
                <w:szCs w:val="24"/>
              </w:rPr>
              <w:t>32</w:t>
            </w:r>
            <w:r>
              <w:rPr>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rFonts w:hint="eastAsia"/>
                <w:sz w:val="24"/>
              </w:rPr>
              <w:t>整体运行方案评价</w:t>
            </w:r>
          </w:p>
        </w:tc>
        <w:tc>
          <w:tcPr>
            <w:tcW w:w="7311" w:type="dxa"/>
            <w:shd w:val="clear" w:color="auto" w:fill="auto"/>
            <w:vAlign w:val="center"/>
          </w:tcPr>
          <w:p>
            <w:pPr>
              <w:widowControl/>
              <w:adjustRightInd w:val="0"/>
              <w:snapToGrid w:val="0"/>
              <w:rPr>
                <w:sz w:val="24"/>
              </w:rPr>
            </w:pPr>
            <w:r>
              <w:rPr>
                <w:rFonts w:hint="eastAsia"/>
                <w:sz w:val="24"/>
              </w:rPr>
              <w:t>至少包含针对本项目的人员管理、现场管理、业务管理等方面的整体运行方案。</w:t>
            </w:r>
          </w:p>
          <w:p>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pPr>
              <w:widowControl/>
              <w:adjustRightInd w:val="0"/>
              <w:snapToGrid w:val="0"/>
              <w:jc w:val="center"/>
              <w:rPr>
                <w:kern w:val="0"/>
                <w:sz w:val="24"/>
                <w:szCs w:val="24"/>
              </w:rPr>
            </w:pPr>
            <w:r>
              <w:rPr>
                <w:rFonts w:hint="eastAsia"/>
                <w:sz w:val="24"/>
              </w:rPr>
              <w:t>项目需求理解程度评价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至少包含投标人对本服务项目任务及需求的理解、用户现状分析、实施要求等方面的内容。</w:t>
            </w:r>
          </w:p>
          <w:p>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pPr>
              <w:widowControl/>
              <w:adjustRightInd w:val="0"/>
              <w:snapToGrid w:val="0"/>
              <w:jc w:val="center"/>
              <w:rPr>
                <w:kern w:val="0"/>
                <w:sz w:val="24"/>
                <w:szCs w:val="24"/>
              </w:rPr>
            </w:pPr>
            <w:r>
              <w:rPr>
                <w:sz w:val="24"/>
              </w:rPr>
              <w:t>保密管理方案评价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从用户角度出发，至少包含有针对性地的信息安全管理制度、信息保密措施等方面的内容。</w:t>
            </w:r>
          </w:p>
          <w:p>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1处瑕疵减2分，最低0分。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pPr>
              <w:widowControl/>
              <w:adjustRightInd w:val="0"/>
              <w:snapToGrid w:val="0"/>
              <w:jc w:val="center"/>
              <w:rPr>
                <w:kern w:val="0"/>
                <w:sz w:val="24"/>
                <w:szCs w:val="24"/>
              </w:rPr>
            </w:pPr>
            <w:r>
              <w:rPr>
                <w:rFonts w:hint="eastAsia"/>
                <w:sz w:val="24"/>
              </w:rPr>
              <w:t>培训</w:t>
            </w:r>
            <w:r>
              <w:rPr>
                <w:sz w:val="24"/>
              </w:rPr>
              <w:t>方案评价</w:t>
            </w:r>
          </w:p>
        </w:tc>
        <w:tc>
          <w:tcPr>
            <w:tcW w:w="7311" w:type="dxa"/>
            <w:shd w:val="clear" w:color="auto" w:fill="auto"/>
            <w:vAlign w:val="center"/>
          </w:tcPr>
          <w:p>
            <w:pPr>
              <w:widowControl/>
              <w:adjustRightInd w:val="0"/>
              <w:snapToGrid w:val="0"/>
              <w:rPr>
                <w:sz w:val="24"/>
              </w:rPr>
            </w:pPr>
            <w:r>
              <w:rPr>
                <w:rFonts w:hint="eastAsia"/>
                <w:sz w:val="24"/>
              </w:rPr>
              <w:t>至少包含针对本项目服务人员的培训计划、培训资料、培训师资、培训方式等方面的内容。</w:t>
            </w:r>
          </w:p>
          <w:p>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pPr>
              <w:widowControl/>
              <w:adjustRightInd w:val="0"/>
              <w:snapToGrid w:val="0"/>
              <w:jc w:val="center"/>
              <w:rPr>
                <w:sz w:val="24"/>
              </w:rPr>
            </w:pPr>
            <w:r>
              <w:rPr>
                <w:rFonts w:hint="eastAsia"/>
                <w:sz w:val="24"/>
              </w:rPr>
              <w:t>应急处理方案评价</w:t>
            </w:r>
          </w:p>
        </w:tc>
        <w:tc>
          <w:tcPr>
            <w:tcW w:w="7311" w:type="dxa"/>
            <w:shd w:val="clear" w:color="auto" w:fill="auto"/>
            <w:vAlign w:val="center"/>
          </w:tcPr>
          <w:p>
            <w:pPr>
              <w:widowControl/>
              <w:adjustRightInd w:val="0"/>
              <w:snapToGrid w:val="0"/>
              <w:rPr>
                <w:kern w:val="0"/>
                <w:sz w:val="24"/>
                <w:szCs w:val="24"/>
              </w:rPr>
            </w:pPr>
            <w:r>
              <w:rPr>
                <w:rFonts w:hint="eastAsia"/>
                <w:sz w:val="24"/>
              </w:rPr>
              <w:t>至少包含针对本项目实施过程中可能出现的系统故障、话务服务激增、人员流失等方面的突发情况，建立突发事件、应急事件处理制度。</w:t>
            </w:r>
          </w:p>
          <w:p>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100</w:t>
            </w:r>
          </w:p>
        </w:tc>
      </w:tr>
    </w:tbl>
    <w:p>
      <w:pPr>
        <w:spacing w:line="360" w:lineRule="auto"/>
        <w:ind w:firstLine="448" w:firstLineChars="200"/>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pPr>
        <w:widowControl/>
        <w:jc w:val="left"/>
        <w:rPr>
          <w:sz w:val="24"/>
        </w:rPr>
      </w:pPr>
      <w:r>
        <w:rPr>
          <w:sz w:val="24"/>
        </w:rPr>
        <w:br w:type="page"/>
      </w:r>
    </w:p>
    <w:p>
      <w:pPr>
        <w:spacing w:line="360" w:lineRule="auto"/>
        <w:ind w:firstLine="448" w:firstLineChars="200"/>
        <w:jc w:val="center"/>
        <w:outlineLvl w:val="0"/>
        <w:rPr>
          <w:b/>
          <w:sz w:val="24"/>
        </w:rPr>
      </w:pPr>
      <w:r>
        <w:rPr>
          <w:rFonts w:hint="eastAsia"/>
          <w:b/>
          <w:sz w:val="24"/>
        </w:rPr>
        <w:t>项目需求书</w:t>
      </w:r>
    </w:p>
    <w:p>
      <w:pPr>
        <w:widowControl/>
        <w:ind w:firstLine="448" w:firstLineChars="200"/>
        <w:jc w:val="left"/>
        <w:rPr>
          <w:sz w:val="24"/>
        </w:rPr>
      </w:pPr>
      <w:r>
        <w:rPr>
          <w:rFonts w:hint="eastAsia"/>
          <w:sz w:val="24"/>
        </w:rPr>
        <w:t>一、项目内容</w:t>
      </w:r>
    </w:p>
    <w:p>
      <w:pPr>
        <w:widowControl/>
        <w:ind w:firstLine="448" w:firstLineChars="200"/>
        <w:jc w:val="left"/>
        <w:rPr>
          <w:sz w:val="24"/>
        </w:rPr>
      </w:pPr>
      <w:r>
        <w:rPr>
          <w:rFonts w:hint="eastAsia"/>
          <w:sz w:val="24"/>
        </w:rPr>
        <w:t>1.1.1项目建设思路</w:t>
      </w:r>
    </w:p>
    <w:p>
      <w:pPr>
        <w:widowControl/>
        <w:ind w:firstLine="448" w:firstLineChars="200"/>
        <w:jc w:val="left"/>
        <w:rPr>
          <w:sz w:val="24"/>
        </w:rPr>
      </w:pPr>
      <w:r>
        <w:rPr>
          <w:rFonts w:hint="eastAsia"/>
          <w:sz w:val="24"/>
        </w:rPr>
        <w:t>本项目以建设全市一流的12366热线为目标，为纳税人缴费人提供专业化、规范化、标准化服务，持续提升纳税人缴费人的满意度和获得感。12366热线主要功能为：税费咨询、涉税（费）查询、纳税缴费程序咨询辅导、征纳互动服务、意见建议受理、税费政策宣传、满意度回访、需求收集、数据分析应用等。按照国家税务总局天津市税务局对12366热线咨询服务的要求，须提供工作日人工座席服务。人工座席负责提供征纳互动服务，以接听、回拨等方式受理纳税人缴费人的电话咨询、意见建议，对“好差评”结果为不满意的电话进行回访。</w:t>
      </w:r>
    </w:p>
    <w:p>
      <w:pPr>
        <w:widowControl/>
        <w:ind w:firstLine="448" w:firstLineChars="200"/>
        <w:jc w:val="left"/>
        <w:rPr>
          <w:sz w:val="24"/>
        </w:rPr>
      </w:pPr>
      <w:r>
        <w:rPr>
          <w:rFonts w:hint="eastAsia"/>
          <w:sz w:val="24"/>
        </w:rPr>
        <w:t>1.1.2采购内容</w:t>
      </w:r>
    </w:p>
    <w:p>
      <w:pPr>
        <w:widowControl/>
        <w:ind w:firstLine="448" w:firstLineChars="200"/>
        <w:jc w:val="left"/>
        <w:rPr>
          <w:sz w:val="24"/>
        </w:rPr>
      </w:pPr>
      <w:r>
        <w:rPr>
          <w:rFonts w:hint="eastAsia"/>
          <w:sz w:val="24"/>
        </w:rPr>
        <w:t>本项目采购内容为12366热线咨询服务，国家税务总局天津市河西区税务局提供办公场地、人员工位及相关办公设备，中标供应商提供服务人员及接听设备。本项目需要服务人员20人，中标供应商按照国家税务总局天津市河西区税务局要求培训、管理服务人员，配合国家税务总局天津市河西区税务局对12366热线的日常管理工作，共同落实服务规范和绩效管理办法等制度体系。</w:t>
      </w:r>
    </w:p>
    <w:p>
      <w:pPr>
        <w:widowControl/>
        <w:ind w:firstLine="448" w:firstLineChars="200"/>
        <w:jc w:val="left"/>
        <w:rPr>
          <w:sz w:val="24"/>
        </w:rPr>
      </w:pPr>
      <w:r>
        <w:rPr>
          <w:rFonts w:hint="eastAsia"/>
          <w:sz w:val="24"/>
        </w:rPr>
        <w:t>二、项目需求</w:t>
      </w:r>
    </w:p>
    <w:p>
      <w:pPr>
        <w:widowControl/>
        <w:ind w:firstLine="448" w:firstLineChars="200"/>
        <w:jc w:val="left"/>
        <w:rPr>
          <w:sz w:val="24"/>
        </w:rPr>
      </w:pPr>
      <w:r>
        <w:rPr>
          <w:rFonts w:hint="eastAsia"/>
          <w:sz w:val="24"/>
        </w:rPr>
        <w:t>2.1总体要求</w:t>
      </w:r>
    </w:p>
    <w:p>
      <w:pPr>
        <w:widowControl/>
        <w:ind w:firstLine="448" w:firstLineChars="200"/>
        <w:jc w:val="left"/>
        <w:rPr>
          <w:sz w:val="24"/>
        </w:rPr>
      </w:pPr>
      <w:r>
        <w:rPr>
          <w:rFonts w:hint="eastAsia"/>
          <w:sz w:val="24"/>
        </w:rPr>
        <w:t>为构建天津税务系统“一键接入、市区联动、规范统一”的12366税费咨询服务体系，协同服务新模式，持续推进办税缴费服务提质增效，提升纳税人缴费人满意度和获得感。面向纳税人缴费人提供工作日人工座席服务，服务内容包括税费咨询、涉税费查询、纳税缴费程序咨询辅导、征纳互动服务、意见建议受理、税费政策宣传、满意度回访、需求收集、数据分析应用等。</w:t>
      </w:r>
    </w:p>
    <w:p>
      <w:pPr>
        <w:widowControl/>
        <w:ind w:firstLine="448" w:firstLineChars="200"/>
        <w:jc w:val="left"/>
        <w:rPr>
          <w:sz w:val="24"/>
        </w:rPr>
      </w:pPr>
      <w:r>
        <w:rPr>
          <w:rFonts w:hint="eastAsia"/>
          <w:sz w:val="24"/>
        </w:rPr>
        <w:t>2.2服务内容和要求</w:t>
      </w:r>
    </w:p>
    <w:p>
      <w:pPr>
        <w:widowControl/>
        <w:ind w:firstLine="448" w:firstLineChars="200"/>
        <w:jc w:val="left"/>
        <w:rPr>
          <w:sz w:val="24"/>
        </w:rPr>
      </w:pPr>
      <w:r>
        <w:rPr>
          <w:rFonts w:hint="eastAsia"/>
          <w:sz w:val="24"/>
        </w:rPr>
        <w:t>2.2.1技术和服务客观指标</w:t>
      </w:r>
    </w:p>
    <w:p>
      <w:pPr>
        <w:widowControl/>
        <w:ind w:firstLine="448" w:firstLineChars="200"/>
        <w:jc w:val="left"/>
        <w:rPr>
          <w:sz w:val="24"/>
        </w:rPr>
      </w:pPr>
      <w:r>
        <w:rPr>
          <w:rFonts w:hint="eastAsia"/>
          <w:sz w:val="24"/>
        </w:rPr>
        <w:t>2.2.1.1服务</w:t>
      </w:r>
    </w:p>
    <w:tbl>
      <w:tblPr>
        <w:tblStyle w:val="22"/>
        <w:tblW w:w="5697" w:type="pct"/>
        <w:jc w:val="center"/>
        <w:tblLayout w:type="autofit"/>
        <w:tblCellMar>
          <w:top w:w="15" w:type="dxa"/>
          <w:left w:w="15" w:type="dxa"/>
          <w:bottom w:w="15" w:type="dxa"/>
          <w:right w:w="15" w:type="dxa"/>
        </w:tblCellMar>
      </w:tblPr>
      <w:tblGrid>
        <w:gridCol w:w="1030"/>
        <w:gridCol w:w="1701"/>
        <w:gridCol w:w="1560"/>
        <w:gridCol w:w="5230"/>
      </w:tblGrid>
      <w:tr>
        <w:tblPrEx>
          <w:tblCellMar>
            <w:top w:w="15" w:type="dxa"/>
            <w:left w:w="15" w:type="dxa"/>
            <w:bottom w:w="15" w:type="dxa"/>
            <w:right w:w="15" w:type="dxa"/>
          </w:tblCellMar>
        </w:tblPrEx>
        <w:trPr>
          <w:jc w:val="center"/>
        </w:trPr>
        <w:tc>
          <w:tcPr>
            <w:tcW w:w="541" w:type="pct"/>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pPr>
              <w:jc w:val="center"/>
              <w:rPr>
                <w:rFonts w:cs="仿宋_GB2312" w:asciiTheme="minorEastAsia" w:hAnsiTheme="minorEastAsia" w:eastAsiaTheme="minorEastAsia"/>
                <w:b/>
                <w:bCs/>
                <w:sz w:val="24"/>
                <w:szCs w:val="24"/>
              </w:rPr>
            </w:pPr>
            <w:r>
              <w:rPr>
                <w:rFonts w:cs="仿宋_GB2312" w:asciiTheme="minorEastAsia" w:hAnsiTheme="minorEastAsia" w:eastAsiaTheme="minorEastAsia"/>
                <w:b/>
                <w:bCs/>
                <w:sz w:val="24"/>
                <w:szCs w:val="24"/>
              </w:rPr>
              <w:t>序号</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pPr>
              <w:jc w:val="center"/>
              <w:rPr>
                <w:rFonts w:cs="仿宋_GB2312" w:asciiTheme="minorEastAsia" w:hAnsiTheme="minorEastAsia" w:eastAsiaTheme="minorEastAsia"/>
                <w:b/>
                <w:bCs/>
                <w:sz w:val="24"/>
                <w:szCs w:val="24"/>
              </w:rPr>
            </w:pPr>
            <w:r>
              <w:rPr>
                <w:rFonts w:cs="仿宋_GB2312" w:asciiTheme="minorEastAsia" w:hAnsiTheme="minorEastAsia" w:eastAsiaTheme="minorEastAsia"/>
                <w:b/>
                <w:bCs/>
                <w:sz w:val="24"/>
                <w:szCs w:val="24"/>
              </w:rPr>
              <w:t>指标种类</w:t>
            </w:r>
          </w:p>
        </w:tc>
        <w:tc>
          <w:tcPr>
            <w:tcW w:w="819" w:type="pct"/>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pPr>
              <w:jc w:val="center"/>
              <w:rPr>
                <w:rFonts w:cs="仿宋_GB2312" w:asciiTheme="minorEastAsia" w:hAnsiTheme="minorEastAsia" w:eastAsiaTheme="minorEastAsia"/>
                <w:b/>
                <w:bCs/>
                <w:sz w:val="24"/>
                <w:szCs w:val="24"/>
              </w:rPr>
            </w:pPr>
            <w:r>
              <w:rPr>
                <w:rFonts w:cs="仿宋_GB2312" w:asciiTheme="minorEastAsia" w:hAnsiTheme="minorEastAsia" w:eastAsiaTheme="minorEastAsia"/>
                <w:b/>
                <w:bCs/>
                <w:sz w:val="24"/>
                <w:szCs w:val="24"/>
              </w:rPr>
              <w:t>指标名称</w:t>
            </w:r>
          </w:p>
        </w:tc>
        <w:tc>
          <w:tcPr>
            <w:tcW w:w="2746" w:type="pct"/>
            <w:tcBorders>
              <w:top w:val="single" w:color="000000" w:sz="6" w:space="0"/>
              <w:left w:val="single" w:color="000000" w:sz="6" w:space="0"/>
              <w:bottom w:val="single" w:color="000000" w:sz="6" w:space="0"/>
              <w:right w:val="single" w:color="000000" w:sz="6" w:space="0"/>
            </w:tcBorders>
            <w:shd w:val="clear" w:color="auto" w:fill="auto"/>
            <w:tcMar>
              <w:top w:w="22" w:type="dxa"/>
              <w:left w:w="22" w:type="dxa"/>
              <w:bottom w:w="22" w:type="dxa"/>
              <w:right w:w="22" w:type="dxa"/>
            </w:tcMar>
            <w:vAlign w:val="center"/>
          </w:tcPr>
          <w:p>
            <w:pPr>
              <w:jc w:val="center"/>
              <w:rPr>
                <w:rFonts w:cs="仿宋_GB2312" w:asciiTheme="minorEastAsia" w:hAnsiTheme="minorEastAsia" w:eastAsiaTheme="minorEastAsia"/>
                <w:b/>
                <w:bCs/>
                <w:sz w:val="24"/>
                <w:szCs w:val="24"/>
              </w:rPr>
            </w:pPr>
            <w:r>
              <w:rPr>
                <w:rFonts w:cs="仿宋_GB2312" w:asciiTheme="minorEastAsia" w:hAnsiTheme="minorEastAsia" w:eastAsiaTheme="minorEastAsia"/>
                <w:b/>
                <w:bCs/>
                <w:sz w:val="24"/>
                <w:szCs w:val="24"/>
              </w:rPr>
              <w:t>指标内容</w:t>
            </w:r>
          </w:p>
        </w:tc>
      </w:tr>
      <w:tr>
        <w:tblPrEx>
          <w:tblCellMar>
            <w:top w:w="15" w:type="dxa"/>
            <w:left w:w="15" w:type="dxa"/>
            <w:bottom w:w="15" w:type="dxa"/>
            <w:right w:w="15" w:type="dxa"/>
          </w:tblCellMar>
        </w:tblPrEx>
        <w:trPr>
          <w:jc w:val="center"/>
        </w:trPr>
        <w:tc>
          <w:tcPr>
            <w:tcW w:w="54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p>
        </w:tc>
        <w:tc>
          <w:tcPr>
            <w:tcW w:w="893"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12366热线解答</w:t>
            </w:r>
          </w:p>
        </w:tc>
        <w:tc>
          <w:tcPr>
            <w:tcW w:w="81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热线电话服务</w:t>
            </w:r>
          </w:p>
        </w:tc>
        <w:tc>
          <w:tcPr>
            <w:tcW w:w="274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主要包括解答纳税人缴费人向12366纳税缴费服务热线提出的税收法律、办税流程、涉税费系统操作、税费信息查询等各类税费业务咨询。其中问题解答涉及税费政策、服务期内纳税人缴费人与税务局交互而使用的各类系统，系统包括但不限于全国统一规范电子税务局（天津）、自然人电子税务局、增值税发票综合服务平台、国家税务总局电子发票服务平台、单位社保费管理客户端等系统以及服务期内新增的各类系统。</w:t>
            </w:r>
          </w:p>
        </w:tc>
      </w:tr>
      <w:tr>
        <w:tblPrEx>
          <w:tblCellMar>
            <w:top w:w="15" w:type="dxa"/>
            <w:left w:w="15" w:type="dxa"/>
            <w:bottom w:w="15" w:type="dxa"/>
            <w:right w:w="15" w:type="dxa"/>
          </w:tblCellMar>
        </w:tblPrEx>
        <w:trPr>
          <w:jc w:val="center"/>
        </w:trPr>
        <w:tc>
          <w:tcPr>
            <w:tcW w:w="54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p>
        </w:tc>
        <w:tc>
          <w:tcPr>
            <w:tcW w:w="893"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12366热线解答</w:t>
            </w:r>
          </w:p>
        </w:tc>
        <w:tc>
          <w:tcPr>
            <w:tcW w:w="81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电话回呼</w:t>
            </w:r>
          </w:p>
        </w:tc>
        <w:tc>
          <w:tcPr>
            <w:tcW w:w="274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通过人工主动呼出的方式向纳税人缴费人提供涉税费咨询服务。电话回呼包括留言回呼、纠错回呼、承诺回呼、遇忙（呼损）回呼等。</w:t>
            </w:r>
          </w:p>
        </w:tc>
      </w:tr>
      <w:tr>
        <w:tblPrEx>
          <w:tblCellMar>
            <w:top w:w="15" w:type="dxa"/>
            <w:left w:w="15" w:type="dxa"/>
            <w:bottom w:w="15" w:type="dxa"/>
            <w:right w:w="15" w:type="dxa"/>
          </w:tblCellMar>
        </w:tblPrEx>
        <w:trPr>
          <w:jc w:val="center"/>
        </w:trPr>
        <w:tc>
          <w:tcPr>
            <w:tcW w:w="54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p>
        </w:tc>
        <w:tc>
          <w:tcPr>
            <w:tcW w:w="893"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线上纳税服务</w:t>
            </w:r>
          </w:p>
        </w:tc>
        <w:tc>
          <w:tcPr>
            <w:tcW w:w="81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征纳互动服务</w:t>
            </w:r>
          </w:p>
        </w:tc>
        <w:tc>
          <w:tcPr>
            <w:tcW w:w="274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通过征纳互动受理纳税人缴费人咨询，对通过12366热线发起咨询的符合条件的纳税人，根据业务需要为其提供反向拉起服务，提升咨询效率。</w:t>
            </w:r>
          </w:p>
        </w:tc>
      </w:tr>
      <w:tr>
        <w:tblPrEx>
          <w:tblCellMar>
            <w:top w:w="15" w:type="dxa"/>
            <w:left w:w="15" w:type="dxa"/>
            <w:bottom w:w="15" w:type="dxa"/>
            <w:right w:w="15" w:type="dxa"/>
          </w:tblCellMar>
        </w:tblPrEx>
        <w:trPr>
          <w:jc w:val="center"/>
        </w:trPr>
        <w:tc>
          <w:tcPr>
            <w:tcW w:w="54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★4</w:t>
            </w:r>
          </w:p>
        </w:tc>
        <w:tc>
          <w:tcPr>
            <w:tcW w:w="893"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线上纳税服务</w:t>
            </w:r>
          </w:p>
        </w:tc>
        <w:tc>
          <w:tcPr>
            <w:tcW w:w="81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后台支撑服务</w:t>
            </w:r>
          </w:p>
        </w:tc>
        <w:tc>
          <w:tcPr>
            <w:tcW w:w="274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主要解决热线人员无法及时回复或解决的问题，包括但不限于疑难问题的解答、业务工单等。</w:t>
            </w:r>
          </w:p>
        </w:tc>
      </w:tr>
      <w:tr>
        <w:tblPrEx>
          <w:tblCellMar>
            <w:top w:w="15" w:type="dxa"/>
            <w:left w:w="15" w:type="dxa"/>
            <w:bottom w:w="15" w:type="dxa"/>
            <w:right w:w="15" w:type="dxa"/>
          </w:tblCellMar>
        </w:tblPrEx>
        <w:trPr>
          <w:jc w:val="center"/>
        </w:trPr>
        <w:tc>
          <w:tcPr>
            <w:tcW w:w="54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★5</w:t>
            </w:r>
          </w:p>
        </w:tc>
        <w:tc>
          <w:tcPr>
            <w:tcW w:w="893"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线上纳税服务</w:t>
            </w:r>
          </w:p>
        </w:tc>
        <w:tc>
          <w:tcPr>
            <w:tcW w:w="81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宣传培训服务</w:t>
            </w:r>
          </w:p>
        </w:tc>
        <w:tc>
          <w:tcPr>
            <w:tcW w:w="274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包括相关涉税涉费热点问题的整理、编辑以及配合宣传和发布服务。</w:t>
            </w:r>
          </w:p>
        </w:tc>
      </w:tr>
      <w:tr>
        <w:tblPrEx>
          <w:tblCellMar>
            <w:top w:w="15" w:type="dxa"/>
            <w:left w:w="15" w:type="dxa"/>
            <w:bottom w:w="15" w:type="dxa"/>
            <w:right w:w="15" w:type="dxa"/>
          </w:tblCellMar>
        </w:tblPrEx>
        <w:trPr>
          <w:jc w:val="center"/>
        </w:trPr>
        <w:tc>
          <w:tcPr>
            <w:tcW w:w="54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★6</w:t>
            </w:r>
          </w:p>
        </w:tc>
        <w:tc>
          <w:tcPr>
            <w:tcW w:w="893"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线上纳税服务</w:t>
            </w:r>
          </w:p>
        </w:tc>
        <w:tc>
          <w:tcPr>
            <w:tcW w:w="81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需求采集服务</w:t>
            </w:r>
          </w:p>
        </w:tc>
        <w:tc>
          <w:tcPr>
            <w:tcW w:w="274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作为税务局和纳税人缴费人之间的沟通桥梁，了解纳税人缴费人的实际需求，利用服务纳税人缴费人时获得的需求信息和数据，定期提供需求报告，为税务局提高纳税服务水平提供决策依据。</w:t>
            </w:r>
          </w:p>
        </w:tc>
      </w:tr>
    </w:tbl>
    <w:p>
      <w:pPr>
        <w:widowControl/>
        <w:ind w:firstLine="448" w:firstLineChars="200"/>
        <w:jc w:val="left"/>
        <w:rPr>
          <w:sz w:val="24"/>
        </w:rPr>
      </w:pPr>
    </w:p>
    <w:p>
      <w:pPr>
        <w:widowControl/>
        <w:ind w:firstLine="448" w:firstLineChars="200"/>
        <w:jc w:val="left"/>
        <w:rPr>
          <w:sz w:val="24"/>
        </w:rPr>
      </w:pPr>
      <w:r>
        <w:rPr>
          <w:rFonts w:hint="eastAsia"/>
          <w:sz w:val="24"/>
        </w:rPr>
        <w:t>3、人员要求</w:t>
      </w:r>
    </w:p>
    <w:p>
      <w:pPr>
        <w:widowControl/>
        <w:ind w:firstLine="448" w:firstLineChars="200"/>
        <w:jc w:val="left"/>
        <w:rPr>
          <w:sz w:val="24"/>
        </w:rPr>
      </w:pPr>
      <w:r>
        <w:rPr>
          <w:rFonts w:hint="eastAsia"/>
          <w:sz w:val="24"/>
        </w:rPr>
        <w:t>3.1总体要求</w:t>
      </w:r>
    </w:p>
    <w:p>
      <w:pPr>
        <w:widowControl/>
        <w:ind w:firstLine="448" w:firstLineChars="200"/>
        <w:jc w:val="left"/>
        <w:rPr>
          <w:sz w:val="24"/>
        </w:rPr>
      </w:pPr>
      <w:r>
        <w:rPr>
          <w:rFonts w:hint="eastAsia"/>
          <w:sz w:val="24"/>
        </w:rPr>
        <w:t>一是提供丰富的行业经验和专业的服务团队，能够更好地理解和掌握税务相关知识，为纳税人提供准确、专业的解答和服务；二是需要具有完善的质量管理体系和服务标准，能够确保服务的稳定性和可靠性；三是需按照采购方要求培训、管理座席人员，配合区局完成各项服务内容，完善服务规范，落实关于12366热线绩效管理要求。</w:t>
      </w:r>
    </w:p>
    <w:p>
      <w:pPr>
        <w:widowControl/>
        <w:ind w:firstLine="448" w:firstLineChars="200"/>
        <w:jc w:val="left"/>
        <w:rPr>
          <w:sz w:val="24"/>
        </w:rPr>
      </w:pPr>
      <w:r>
        <w:rPr>
          <w:rFonts w:hint="eastAsia"/>
          <w:sz w:val="24"/>
        </w:rPr>
        <w:t>提供热线咨询服务人员20人，指定其中2人为组长。组长负责管理调配热线人员的现场工作、人员考勤及工作纪律管控；负责解决座席人员求助问题、各类疑难问题和工单处理，汇总每日接听情况，分享每日接听问询或疑难问题的解决方案。处理热线满意度回访及工单等工作，确保团队整体工作的顺利完成；其他18名12366热线咨询服务人员负责通过12366热线电话向纳税人解答关于税收法律、行政法规、纳税程序以及社会保险费和税务机关管辖的非税收入征管有关问题等。</w:t>
      </w:r>
    </w:p>
    <w:p>
      <w:pPr>
        <w:widowControl/>
        <w:ind w:firstLine="448" w:firstLineChars="200"/>
        <w:jc w:val="left"/>
        <w:rPr>
          <w:sz w:val="24"/>
        </w:rPr>
      </w:pPr>
      <w:r>
        <w:rPr>
          <w:rFonts w:hint="eastAsia"/>
          <w:sz w:val="24"/>
        </w:rPr>
        <w:t>中标供应商提供的服务人员需要符合以下条件：</w:t>
      </w:r>
    </w:p>
    <w:p>
      <w:pPr>
        <w:widowControl/>
        <w:ind w:firstLine="448" w:firstLineChars="200"/>
        <w:jc w:val="left"/>
        <w:rPr>
          <w:sz w:val="24"/>
        </w:rPr>
      </w:pPr>
      <w:r>
        <w:rPr>
          <w:rFonts w:hint="eastAsia"/>
          <w:sz w:val="24"/>
        </w:rPr>
        <w:t>1.能熟练运用电脑办公软件，汉字录入速度不低于80字/分钟；</w:t>
      </w:r>
    </w:p>
    <w:p>
      <w:pPr>
        <w:widowControl/>
        <w:ind w:firstLine="448" w:firstLineChars="200"/>
        <w:jc w:val="left"/>
        <w:rPr>
          <w:sz w:val="24"/>
        </w:rPr>
      </w:pPr>
      <w:r>
        <w:rPr>
          <w:rFonts w:hint="eastAsia"/>
          <w:sz w:val="24"/>
        </w:rPr>
        <w:t>2.具有一定的税收基本业务知识，具备会计、税务类电话热线工作经验，其中财会、税收等财税经济类专业大专（或以上）学历或具有一年（或以上）相关财税工作经验的人员，不得少于15人；其中组长具备财会、税收等财税经济类专业大学本科（或以上）学历或具备三年（或以上）相关财税工作经验。</w:t>
      </w:r>
    </w:p>
    <w:p>
      <w:pPr>
        <w:widowControl/>
        <w:ind w:firstLine="448" w:firstLineChars="200"/>
        <w:jc w:val="left"/>
        <w:rPr>
          <w:sz w:val="24"/>
        </w:rPr>
      </w:pPr>
      <w:r>
        <w:rPr>
          <w:rFonts w:hint="eastAsia"/>
          <w:sz w:val="24"/>
        </w:rPr>
        <w:t>3.普通话发音基本标准，语调自然，表达流畅，具备较强的服务意识和良好的语言表达能力、沟通能力、记忆能力、心理承受能力和学习能力；</w:t>
      </w:r>
    </w:p>
    <w:p>
      <w:pPr>
        <w:widowControl/>
        <w:ind w:firstLine="448" w:firstLineChars="200"/>
        <w:jc w:val="left"/>
        <w:rPr>
          <w:sz w:val="24"/>
        </w:rPr>
      </w:pPr>
      <w:r>
        <w:rPr>
          <w:rFonts w:hint="eastAsia"/>
          <w:sz w:val="24"/>
        </w:rPr>
        <w:t>4.身体健康；</w:t>
      </w:r>
    </w:p>
    <w:p>
      <w:pPr>
        <w:widowControl/>
        <w:ind w:firstLine="448" w:firstLineChars="200"/>
        <w:jc w:val="left"/>
        <w:rPr>
          <w:sz w:val="24"/>
        </w:rPr>
      </w:pPr>
      <w:r>
        <w:rPr>
          <w:rFonts w:hint="eastAsia"/>
          <w:sz w:val="24"/>
        </w:rPr>
        <w:t>5.12366热线人员上岗前由中标方组织培训，经考核通过后方能上岗；</w:t>
      </w:r>
    </w:p>
    <w:p>
      <w:pPr>
        <w:widowControl/>
        <w:ind w:firstLine="448" w:firstLineChars="200"/>
        <w:jc w:val="left"/>
        <w:rPr>
          <w:sz w:val="24"/>
        </w:rPr>
      </w:pPr>
      <w:r>
        <w:rPr>
          <w:rFonts w:hint="eastAsia"/>
          <w:sz w:val="24"/>
        </w:rPr>
        <w:t>6.符合采购方要求及日常管理工作规范。</w:t>
      </w:r>
    </w:p>
    <w:p>
      <w:pPr>
        <w:widowControl/>
        <w:ind w:firstLine="448" w:firstLineChars="200"/>
        <w:jc w:val="left"/>
        <w:rPr>
          <w:sz w:val="24"/>
        </w:rPr>
      </w:pPr>
      <w:r>
        <w:rPr>
          <w:rFonts w:hint="eastAsia"/>
          <w:sz w:val="24"/>
        </w:rPr>
        <w:t>四、管理实施要求</w:t>
      </w:r>
    </w:p>
    <w:p>
      <w:pPr>
        <w:widowControl/>
        <w:ind w:firstLine="448" w:firstLineChars="200"/>
        <w:jc w:val="left"/>
        <w:rPr>
          <w:sz w:val="24"/>
        </w:rPr>
      </w:pPr>
      <w:r>
        <w:rPr>
          <w:rFonts w:hint="eastAsia"/>
          <w:sz w:val="24"/>
        </w:rPr>
        <w:t>（一）实施要求</w:t>
      </w:r>
    </w:p>
    <w:p>
      <w:pPr>
        <w:widowControl/>
        <w:ind w:firstLine="448" w:firstLineChars="200"/>
        <w:jc w:val="left"/>
        <w:rPr>
          <w:sz w:val="24"/>
        </w:rPr>
      </w:pPr>
      <w:r>
        <w:rPr>
          <w:rFonts w:hint="eastAsia"/>
          <w:sz w:val="24"/>
        </w:rPr>
        <w:t>1.中标方应提供所有座席人员的身份信息资料。</w:t>
      </w:r>
    </w:p>
    <w:p>
      <w:pPr>
        <w:widowControl/>
        <w:ind w:firstLine="448" w:firstLineChars="200"/>
        <w:jc w:val="left"/>
        <w:rPr>
          <w:sz w:val="24"/>
        </w:rPr>
      </w:pPr>
      <w:r>
        <w:rPr>
          <w:rFonts w:hint="eastAsia"/>
          <w:sz w:val="24"/>
        </w:rPr>
        <w:t>2. 服务期内发生各种事故：包括安全、交通、防火和劳资纠纷等事件均由中标方承担相应责任。</w:t>
      </w:r>
    </w:p>
    <w:p>
      <w:pPr>
        <w:widowControl/>
        <w:ind w:firstLine="448" w:firstLineChars="200"/>
        <w:jc w:val="left"/>
        <w:rPr>
          <w:sz w:val="24"/>
        </w:rPr>
      </w:pPr>
      <w:r>
        <w:rPr>
          <w:rFonts w:hint="eastAsia"/>
          <w:sz w:val="24"/>
        </w:rPr>
        <w:t>3.中标方需确保所提供服务的工作时长，工作期间不得擅离职守，注重仪容仪表、工作态度，保证为纳税人提供准确、快捷的纳税服务。</w:t>
      </w:r>
    </w:p>
    <w:p>
      <w:pPr>
        <w:widowControl/>
        <w:ind w:firstLine="448" w:firstLineChars="200"/>
        <w:jc w:val="left"/>
        <w:rPr>
          <w:sz w:val="24"/>
        </w:rPr>
      </w:pPr>
      <w:r>
        <w:rPr>
          <w:rFonts w:hint="eastAsia"/>
          <w:sz w:val="24"/>
        </w:rPr>
        <w:t>4.中标方需确保提供座席服务过程中遵守采购方各项廉洁纪律，做到认真履行工作职责，谨言慎行，坚决不做损害纳税人利益和损害税务机关形象的事情。</w:t>
      </w:r>
    </w:p>
    <w:p>
      <w:pPr>
        <w:widowControl/>
        <w:ind w:firstLine="448" w:firstLineChars="200"/>
        <w:jc w:val="left"/>
        <w:rPr>
          <w:sz w:val="24"/>
        </w:rPr>
      </w:pPr>
      <w:r>
        <w:rPr>
          <w:rFonts w:hint="eastAsia"/>
          <w:sz w:val="24"/>
        </w:rPr>
        <w:t>5.如采购方对中标方提供的人员出现3次不服从管理、违反采购方制定的相关规章制度，采购方可以要求更换，中标方必须及时且无条件的为采购方更换合格的人员。</w:t>
      </w:r>
    </w:p>
    <w:p>
      <w:pPr>
        <w:widowControl/>
        <w:ind w:firstLine="448" w:firstLineChars="200"/>
        <w:jc w:val="left"/>
        <w:rPr>
          <w:sz w:val="24"/>
        </w:rPr>
      </w:pPr>
      <w:r>
        <w:rPr>
          <w:rFonts w:hint="eastAsia"/>
          <w:sz w:val="24"/>
        </w:rPr>
        <w:t>6.服务期内，采购方按月度对中标方的工作质量、履约情况、工作配合度等进行综合评价，评价合格则继续履行服务合同。如项目服务未达到要求，则采购方上报监管部门终止服务合同。</w:t>
      </w:r>
    </w:p>
    <w:p>
      <w:pPr>
        <w:widowControl/>
        <w:ind w:firstLine="448" w:firstLineChars="200"/>
        <w:jc w:val="left"/>
        <w:rPr>
          <w:sz w:val="24"/>
        </w:rPr>
      </w:pPr>
      <w:r>
        <w:rPr>
          <w:rFonts w:hint="eastAsia"/>
          <w:sz w:val="24"/>
        </w:rPr>
        <w:t>7.对服务人员的撤换或辞退等须经采购方同意认可。</w:t>
      </w:r>
    </w:p>
    <w:p>
      <w:pPr>
        <w:widowControl/>
        <w:ind w:firstLine="448" w:firstLineChars="200"/>
        <w:jc w:val="left"/>
        <w:rPr>
          <w:sz w:val="24"/>
        </w:rPr>
      </w:pPr>
      <w:r>
        <w:rPr>
          <w:rFonts w:hint="eastAsia"/>
          <w:sz w:val="24"/>
        </w:rPr>
        <w:t xml:space="preserve">（二）应急服务要求 </w:t>
      </w:r>
    </w:p>
    <w:p>
      <w:pPr>
        <w:widowControl/>
        <w:ind w:firstLine="448" w:firstLineChars="200"/>
        <w:jc w:val="left"/>
        <w:rPr>
          <w:sz w:val="24"/>
        </w:rPr>
      </w:pPr>
      <w:r>
        <w:rPr>
          <w:rFonts w:hint="eastAsia"/>
          <w:sz w:val="24"/>
        </w:rPr>
        <w:t>要求中标方必须建立和完善突发事件的应急预案和处理机制，防患于未然。当出现不可预知的紧急情况时，保证服务正常开展。</w:t>
      </w:r>
    </w:p>
    <w:p>
      <w:pPr>
        <w:widowControl/>
        <w:ind w:firstLine="448" w:firstLineChars="200"/>
        <w:jc w:val="left"/>
        <w:rPr>
          <w:sz w:val="24"/>
        </w:rPr>
      </w:pPr>
      <w:r>
        <w:rPr>
          <w:rFonts w:hint="eastAsia"/>
          <w:sz w:val="24"/>
        </w:rPr>
        <w:t>（三）人员保密要求</w:t>
      </w:r>
    </w:p>
    <w:p>
      <w:pPr>
        <w:widowControl/>
        <w:ind w:firstLine="448" w:firstLineChars="200"/>
        <w:jc w:val="left"/>
        <w:rPr>
          <w:sz w:val="24"/>
        </w:rPr>
      </w:pPr>
      <w:r>
        <w:rPr>
          <w:rFonts w:hint="eastAsia"/>
          <w:sz w:val="24"/>
        </w:rPr>
        <w:t>1.中标方签订合同前必须按照国家相关保密规定和采购方签订《保密协议》，对违反《保密协议》相关内容规定的，采购方有权追究其法律责任。所有服务人员必须严格遵守国家、地方、行业相关保密管理政策规定。</w:t>
      </w:r>
    </w:p>
    <w:p>
      <w:pPr>
        <w:widowControl/>
        <w:ind w:firstLine="448" w:firstLineChars="200"/>
        <w:jc w:val="left"/>
        <w:rPr>
          <w:sz w:val="24"/>
        </w:rPr>
      </w:pPr>
      <w:r>
        <w:rPr>
          <w:rFonts w:hint="eastAsia"/>
          <w:sz w:val="24"/>
        </w:rPr>
        <w:t>2.中标方录用前必须对所录用人员进行政治审查，签订保密协议书，组织岗前保密培训；制定人员保密工作制度，建立信息档案，定期开展保密教育。服务人员对陌生人员或社会媒体询问采购方内部情况和政务事项时，严禁擅自接受询问。务必做到不该看的不看，不该问的不问，不该说的不说，不该动的不动。每名员工不得向外界透露采购人内部情况及工作相关信息。成交供应商应与曾服务此项目的解聘、辞职人员签订离岗保密承诺书，并对其离岗后提出保密要求。如有违反，采购方有权向中标方追究法律责任。中标方应保证加强教育管理，禁止各岗位服务人员随意发表、交流、讨论、传播采购方内部人员信息或工作事项，如有违反，严肃处理。</w:t>
      </w:r>
    </w:p>
    <w:p>
      <w:pPr>
        <w:widowControl/>
        <w:ind w:firstLine="448" w:firstLineChars="200"/>
        <w:jc w:val="left"/>
        <w:rPr>
          <w:sz w:val="24"/>
        </w:rPr>
      </w:pPr>
      <w:r>
        <w:rPr>
          <w:rFonts w:hint="eastAsia"/>
          <w:sz w:val="24"/>
        </w:rPr>
        <w:t>（四）人员稳定性要求</w:t>
      </w:r>
    </w:p>
    <w:p>
      <w:pPr>
        <w:widowControl/>
        <w:ind w:firstLine="448" w:firstLineChars="200"/>
        <w:jc w:val="left"/>
        <w:rPr>
          <w:sz w:val="24"/>
        </w:rPr>
      </w:pPr>
      <w:r>
        <w:rPr>
          <w:rFonts w:hint="eastAsia"/>
          <w:sz w:val="24"/>
        </w:rPr>
        <w:t>在服务期间，未经采购方同意，中标方不得随意更换座席人员。座席人员因为请假、调走、辞职或被中标方辞退等原因导致座席人员不足时，需及时安排替接人员以满足区局接听需求。服务人员因为调走、辞职或被中标方辞退等原因导致服务人员不足时，需在三天内补充，缺席人数不能同时超过2人，中标方在3天内未能及时补齐符合完成项目需求的服务人员，每月不得超过2次，否则视为中标方违约，采购方有权终止合同。如采购方因服务内容变化造成服务人员减少，采购方应与中标供应商协商，按照实际工作人员支付相关费用。</w:t>
      </w:r>
    </w:p>
    <w:p>
      <w:pPr>
        <w:widowControl/>
        <w:ind w:firstLine="448" w:firstLineChars="200"/>
        <w:jc w:val="left"/>
        <w:rPr>
          <w:sz w:val="24"/>
        </w:rPr>
      </w:pPr>
      <w:r>
        <w:rPr>
          <w:rFonts w:hint="eastAsia"/>
          <w:sz w:val="24"/>
        </w:rPr>
        <w:t>（五）保密要求</w:t>
      </w:r>
    </w:p>
    <w:p>
      <w:pPr>
        <w:widowControl/>
        <w:ind w:firstLine="448" w:firstLineChars="200"/>
        <w:jc w:val="left"/>
        <w:rPr>
          <w:sz w:val="24"/>
        </w:rPr>
      </w:pPr>
      <w:r>
        <w:rPr>
          <w:rFonts w:hint="eastAsia"/>
          <w:sz w:val="24"/>
        </w:rPr>
        <w:t>中标方签订合同前必须按照国家相关保密规定和采购方签订《保密协议》，采购方及纳税人缴费人信息资料及有关文件信息，均不得泄露或不正当地使用，采购方已公开的除外。对违反《保密协议》相关内容规定的，采购方有权追究其法律责任。</w:t>
      </w:r>
    </w:p>
    <w:p>
      <w:pPr>
        <w:widowControl/>
        <w:ind w:firstLine="448" w:firstLineChars="200"/>
        <w:jc w:val="left"/>
        <w:rPr>
          <w:sz w:val="24"/>
        </w:rPr>
      </w:pPr>
      <w:r>
        <w:rPr>
          <w:rFonts w:hint="eastAsia"/>
          <w:sz w:val="24"/>
        </w:rPr>
        <w:t>（六）进驻和接管要求</w:t>
      </w:r>
    </w:p>
    <w:p>
      <w:pPr>
        <w:widowControl/>
        <w:ind w:firstLine="448" w:firstLineChars="200"/>
        <w:jc w:val="left"/>
        <w:rPr>
          <w:sz w:val="24"/>
        </w:rPr>
      </w:pPr>
      <w:r>
        <w:rPr>
          <w:rFonts w:hint="eastAsia"/>
          <w:sz w:val="24"/>
        </w:rPr>
        <w:t>按规定时间进场服务（特殊情况以合同为准）。为保证本项目日常工作稳定有序持续进行，要求中标方以科学严谨的态度制定完善的进驻、接管方案，确保按时顺利交接，平稳过渡。中标方需承诺：在规定时间内配齐所需人员，并保证按照项目需求中要求配备全体服务人员并按时进场服务。进驻、接管保留相关记录。</w:t>
      </w:r>
    </w:p>
    <w:p>
      <w:pPr>
        <w:widowControl/>
        <w:ind w:firstLine="448" w:firstLineChars="200"/>
        <w:jc w:val="left"/>
        <w:rPr>
          <w:sz w:val="24"/>
        </w:rPr>
      </w:pPr>
      <w:r>
        <w:rPr>
          <w:rFonts w:hint="eastAsia"/>
          <w:sz w:val="24"/>
        </w:rPr>
        <w:t>（七）费用分割</w:t>
      </w:r>
    </w:p>
    <w:p>
      <w:pPr>
        <w:widowControl/>
        <w:ind w:firstLine="448" w:firstLineChars="200"/>
        <w:jc w:val="left"/>
        <w:rPr>
          <w:sz w:val="24"/>
        </w:rPr>
      </w:pPr>
      <w:r>
        <w:rPr>
          <w:rFonts w:hint="eastAsia"/>
          <w:sz w:val="24"/>
        </w:rPr>
        <w:t>1.如因中标方引起的劳资纠纷问题，影响正常工作的，采购方有权另行聘请人员确保正常工作，所产生的费用由中标方承担，采购方不承担所产生的任何费用。</w:t>
      </w:r>
    </w:p>
    <w:p>
      <w:pPr>
        <w:widowControl/>
        <w:ind w:firstLine="448" w:firstLineChars="200"/>
        <w:jc w:val="left"/>
        <w:rPr>
          <w:sz w:val="24"/>
        </w:rPr>
      </w:pPr>
      <w:r>
        <w:rPr>
          <w:rFonts w:hint="eastAsia"/>
          <w:sz w:val="24"/>
        </w:rPr>
        <w:t>2.中标方在合同生效前对全部座席人员完成岗前培训，保障本项目在合同生效后顺利开展。培训实施后，对参加培训的座席人员进行考核，要求事先编制详细的考核计划和考核标准，考核通过后方可正式上岗。</w:t>
      </w:r>
    </w:p>
    <w:p>
      <w:pPr>
        <w:widowControl/>
        <w:ind w:firstLine="448" w:firstLineChars="200"/>
        <w:jc w:val="left"/>
        <w:rPr>
          <w:sz w:val="24"/>
        </w:rPr>
      </w:pPr>
      <w:r>
        <w:rPr>
          <w:rFonts w:hint="eastAsia"/>
          <w:sz w:val="24"/>
        </w:rPr>
        <w:t>3.本项目开展工作所需的场地、办公家具、软硬件设备、水电费用、网络费用等由采购人承担。</w:t>
      </w:r>
    </w:p>
    <w:p>
      <w:pPr>
        <w:widowControl/>
        <w:ind w:firstLine="448" w:firstLineChars="200"/>
        <w:jc w:val="left"/>
        <w:rPr>
          <w:sz w:val="24"/>
        </w:rPr>
      </w:pPr>
      <w:r>
        <w:rPr>
          <w:rFonts w:hint="eastAsia"/>
          <w:sz w:val="24"/>
        </w:rPr>
        <w:t>4.项目座席人员工装费用、20套接听设备(能进行网络连接和IP地址配置的IP话机)由中标供应商承担</w:t>
      </w:r>
    </w:p>
    <w:p>
      <w:pPr>
        <w:widowControl/>
        <w:ind w:firstLine="448" w:firstLineChars="200"/>
        <w:jc w:val="left"/>
        <w:rPr>
          <w:sz w:val="24"/>
        </w:rPr>
      </w:pPr>
      <w:r>
        <w:rPr>
          <w:rFonts w:hint="eastAsia"/>
          <w:sz w:val="24"/>
        </w:rPr>
        <w:t>5.所有人员统一着装并佩戴工牌，要求干净整洁，服装费用（含工牌制作费用）由中标供应商承担。</w:t>
      </w:r>
    </w:p>
    <w:p>
      <w:pPr>
        <w:widowControl/>
        <w:ind w:firstLine="448" w:firstLineChars="200"/>
        <w:jc w:val="left"/>
        <w:rPr>
          <w:sz w:val="24"/>
        </w:rPr>
      </w:pPr>
      <w:r>
        <w:rPr>
          <w:rFonts w:hint="eastAsia"/>
          <w:sz w:val="24"/>
        </w:rPr>
        <w:t>6.服务人员自愿在采购人食堂用早午餐，费用按采购人要求缴纳。</w:t>
      </w:r>
    </w:p>
    <w:p>
      <w:pPr>
        <w:widowControl/>
        <w:ind w:firstLine="448" w:firstLineChars="200"/>
        <w:jc w:val="left"/>
        <w:rPr>
          <w:sz w:val="24"/>
        </w:rPr>
      </w:pPr>
      <w:r>
        <w:rPr>
          <w:rFonts w:hint="eastAsia"/>
          <w:sz w:val="24"/>
        </w:rPr>
        <w:t>（八）履约责任</w:t>
      </w:r>
    </w:p>
    <w:p>
      <w:pPr>
        <w:widowControl/>
        <w:ind w:firstLine="448" w:firstLineChars="200"/>
        <w:jc w:val="left"/>
        <w:rPr>
          <w:sz w:val="24"/>
        </w:rPr>
      </w:pPr>
      <w:r>
        <w:rPr>
          <w:rFonts w:hint="eastAsia"/>
          <w:sz w:val="24"/>
        </w:rPr>
        <w:t>1.中标供应商在服务过程中应满足本需求书提出的运行质量标准，若出现重大失误或重大事故并给国家税务总局天津市河西区税务局造成损失，国家税务总局天津市河西区税务局有权终止合同，停止付款并要求中标供应商赔偿实际造成的损失。</w:t>
      </w:r>
    </w:p>
    <w:p>
      <w:pPr>
        <w:widowControl/>
        <w:ind w:firstLine="448" w:firstLineChars="200"/>
        <w:jc w:val="left"/>
        <w:rPr>
          <w:sz w:val="24"/>
        </w:rPr>
      </w:pPr>
      <w:r>
        <w:rPr>
          <w:rFonts w:hint="eastAsia"/>
          <w:sz w:val="24"/>
        </w:rPr>
        <w:t>2.</w:t>
      </w:r>
      <w:r>
        <w:rPr>
          <w:rFonts w:hint="eastAsia"/>
        </w:rPr>
        <w:t xml:space="preserve"> </w:t>
      </w:r>
      <w:r>
        <w:rPr>
          <w:rFonts w:hint="eastAsia"/>
          <w:sz w:val="24"/>
        </w:rPr>
        <w:t>中标供应商每月度服务质效考核验收未达到规定标准的，国家税务总局天津市河西区税务局按照不合格内容逐项扣减供应商月度服务费的1%-5%。出现以下情形，国家税务总局天津市河西区税务局开展考核验收时可提高服务费扣减比例。每月度内，因中标供应商服务质效不足，导致国家税务总局天津市河西区税务局当月内被上级部门提醒、通报，或对国家税务总局天津市河西区税务局整体工作产生其他不利影响时，国家税务总局天津市河西区税务局可按照不合格内容逐项扣减供应商月度服务费的5%-10%。。</w:t>
      </w:r>
    </w:p>
    <w:p>
      <w:pPr>
        <w:widowControl/>
        <w:ind w:firstLine="448" w:firstLineChars="200"/>
        <w:jc w:val="left"/>
        <w:rPr>
          <w:sz w:val="24"/>
        </w:rPr>
      </w:pPr>
      <w:r>
        <w:rPr>
          <w:rFonts w:hint="eastAsia"/>
          <w:sz w:val="24"/>
        </w:rPr>
        <w:t>3.中标供应商每月度评价满意率低于要求的，国家税务总局天津市河西区税务局按照供应商月度服务费的1%-5%进行扣减。</w:t>
      </w:r>
    </w:p>
    <w:p>
      <w:pPr>
        <w:widowControl/>
        <w:ind w:firstLine="448" w:firstLineChars="200"/>
        <w:jc w:val="left"/>
        <w:rPr>
          <w:sz w:val="24"/>
        </w:rPr>
      </w:pPr>
      <w:r>
        <w:rPr>
          <w:rFonts w:hint="eastAsia"/>
          <w:sz w:val="24"/>
        </w:rPr>
        <w:t>4.中标供应商每月度被投诉数量超过来电总量的万分之一，经国家税务总局天津市河西区税务局调查属实且认为投诉合理则按照供应商月度服务费的1%-5%进行扣减。</w:t>
      </w:r>
    </w:p>
    <w:p>
      <w:pPr>
        <w:widowControl/>
        <w:ind w:firstLine="448" w:firstLineChars="200"/>
        <w:jc w:val="left"/>
        <w:rPr>
          <w:sz w:val="24"/>
        </w:rPr>
      </w:pPr>
      <w:r>
        <w:rPr>
          <w:rFonts w:hint="eastAsia"/>
          <w:sz w:val="24"/>
        </w:rPr>
        <w:t>5.中标供应商存在运行管理不到位、服务不规范、未按照要求履行工作职责情形，国家税务总局天津市河西区税务局按照供应商月度服务费的1%-5%进行扣减。因上述原因导致国家税务总局天津市河西区税务局被通报批评或产生其他负面影响的，国家税务总局天津市河西区税务局可提高扣减比例，按照供应商月度服务费的5%-10%进行扣减。</w:t>
      </w:r>
    </w:p>
    <w:p>
      <w:pPr>
        <w:widowControl/>
        <w:ind w:firstLine="448" w:firstLineChars="200"/>
        <w:jc w:val="left"/>
        <w:rPr>
          <w:sz w:val="24"/>
        </w:rPr>
      </w:pPr>
      <w:r>
        <w:rPr>
          <w:rFonts w:hint="eastAsia"/>
          <w:sz w:val="24"/>
        </w:rPr>
        <w:t>6.未经采购方同意，中标方不得将承包项目发包或转包，否则，视为中标方违约，采购方有权解除服务合同。</w:t>
      </w:r>
    </w:p>
    <w:p>
      <w:pPr>
        <w:widowControl/>
        <w:ind w:firstLine="448" w:firstLineChars="200"/>
        <w:jc w:val="left"/>
        <w:rPr>
          <w:sz w:val="24"/>
        </w:rPr>
      </w:pPr>
      <w:r>
        <w:rPr>
          <w:rFonts w:hint="eastAsia"/>
          <w:sz w:val="24"/>
        </w:rPr>
        <w:t>7.若中标方在1年内违反其服务承诺或以下情况三次或以上，则视为中标方违约，采购方有权拒绝支付本期项目服务费，并终止合同。</w:t>
      </w:r>
    </w:p>
    <w:p>
      <w:pPr>
        <w:widowControl/>
        <w:ind w:firstLine="448" w:firstLineChars="200"/>
        <w:jc w:val="left"/>
        <w:rPr>
          <w:sz w:val="24"/>
        </w:rPr>
      </w:pPr>
      <w:r>
        <w:rPr>
          <w:rFonts w:hint="eastAsia"/>
          <w:sz w:val="24"/>
        </w:rPr>
        <w:t>（1）非税务机关责任，导致服务出现质量问题。</w:t>
      </w:r>
    </w:p>
    <w:p>
      <w:pPr>
        <w:widowControl/>
        <w:ind w:firstLine="448" w:firstLineChars="200"/>
        <w:jc w:val="left"/>
        <w:rPr>
          <w:sz w:val="24"/>
        </w:rPr>
      </w:pPr>
      <w:r>
        <w:rPr>
          <w:rFonts w:hint="eastAsia"/>
          <w:sz w:val="24"/>
        </w:rPr>
        <w:t>（2）没有按照采购方要求对服务人员进行管理、培训、调配。</w:t>
      </w:r>
    </w:p>
    <w:p>
      <w:pPr>
        <w:widowControl/>
        <w:ind w:firstLine="448" w:firstLineChars="200"/>
        <w:jc w:val="left"/>
        <w:rPr>
          <w:sz w:val="24"/>
        </w:rPr>
      </w:pPr>
      <w:r>
        <w:rPr>
          <w:rFonts w:hint="eastAsia"/>
          <w:sz w:val="24"/>
        </w:rPr>
        <w:t>五、风险管控要求</w:t>
      </w:r>
    </w:p>
    <w:p>
      <w:pPr>
        <w:widowControl/>
        <w:ind w:firstLine="448" w:firstLineChars="200"/>
        <w:jc w:val="left"/>
        <w:rPr>
          <w:sz w:val="24"/>
        </w:rPr>
      </w:pPr>
      <w:r>
        <w:rPr>
          <w:rFonts w:hint="eastAsia"/>
          <w:sz w:val="24"/>
        </w:rPr>
        <w:t>在合同中明确双方的权利和义务、服务内容、服务标准、费用支付、违约责任等重要条款，避免合同纠纷。合同条款应具有可操作性和可执行性，确保双方能够按照合同约定履行各自的职责，双方定期对合同所约定的服务内容进行检查和评估，及时发现和解决相关问题。合同履行期间，若一方因国家政策调整或因不可抗力等因素不能履行的，应及时通知对方，并协商变更或解除合同，遭受不可抗力的一方无需承担违约责任。发生紧急情况和突发事件时，采取应急措施，最大限度减少各方损失。</w:t>
      </w:r>
    </w:p>
    <w:p>
      <w:pPr>
        <w:widowControl/>
        <w:ind w:firstLine="448" w:firstLineChars="200"/>
        <w:jc w:val="left"/>
        <w:rPr>
          <w:sz w:val="24"/>
        </w:rPr>
      </w:pPr>
      <w:r>
        <w:rPr>
          <w:rFonts w:hint="eastAsia"/>
          <w:sz w:val="24"/>
        </w:rPr>
        <w:t>六、其他要求</w:t>
      </w:r>
    </w:p>
    <w:p>
      <w:pPr>
        <w:widowControl/>
        <w:ind w:firstLine="448" w:firstLineChars="200"/>
        <w:jc w:val="left"/>
        <w:rPr>
          <w:sz w:val="24"/>
        </w:rPr>
      </w:pPr>
      <w:r>
        <w:rPr>
          <w:rFonts w:hint="eastAsia"/>
          <w:sz w:val="24"/>
        </w:rPr>
        <w:t>7.1保密要求</w:t>
      </w:r>
    </w:p>
    <w:p>
      <w:pPr>
        <w:widowControl/>
        <w:ind w:firstLine="448" w:firstLineChars="200"/>
        <w:jc w:val="left"/>
        <w:rPr>
          <w:sz w:val="24"/>
        </w:rPr>
      </w:pPr>
      <w:r>
        <w:rPr>
          <w:rFonts w:hint="eastAsia"/>
          <w:sz w:val="24"/>
        </w:rPr>
        <w:t>1.中标方签订合同前必须按照国家相关保密规定和采购方签订《保密协议》，对违反《保密协议》相关内容规定的，采购方有权追究其法律责任。所有服务人员必须严格遵守国家、地方、行业相关保密管理政策规定。</w:t>
      </w:r>
    </w:p>
    <w:p>
      <w:pPr>
        <w:spacing w:line="360" w:lineRule="auto"/>
        <w:ind w:firstLine="448" w:firstLineChars="200"/>
        <w:jc w:val="center"/>
        <w:outlineLvl w:val="0"/>
        <w:rPr>
          <w:b/>
          <w:sz w:val="24"/>
        </w:rPr>
      </w:pPr>
      <w:r>
        <w:rPr>
          <w:rFonts w:hint="eastAsia"/>
          <w:sz w:val="24"/>
        </w:rPr>
        <w:t>2.中标方录用服务人员前必须对所录用人员进行政治审查，签订保密协议书，组织岗前保密培训；制定人员保密工作制度，建立信息档案，定期开展保密教育。服务人员对陌生人员或社会媒体询问采购方内部情况和政务事项时，严禁擅自接受询问。务必做到不该看的不看，不该问的不问，不该说的不说，不该动的不动。每名员工不得向外界透露采购人内部情况及工作相关信息。成交供应商应与曾服务此项目的解聘、辞职人员签订离岗保密承诺书，并对其离岗后提出保密要求。如有违反，采购方有权向中标方追究法律责任。中标方应保证加强教育管理，禁止各岗位服务人员随意发表、交流、讨论、传播采购方内部人员信息或工作事项，如有违反，严肃处理。</w:t>
      </w:r>
    </w:p>
    <w:p>
      <w:pPr>
        <w:spacing w:line="360" w:lineRule="auto"/>
        <w:ind w:firstLine="448" w:firstLineChars="200"/>
        <w:jc w:val="center"/>
        <w:outlineLvl w:val="0"/>
        <w:rPr>
          <w:b/>
          <w:sz w:val="24"/>
        </w:rPr>
      </w:pPr>
    </w:p>
    <w:p>
      <w:pPr>
        <w:spacing w:line="360" w:lineRule="auto"/>
        <w:ind w:firstLine="448" w:firstLineChars="200"/>
        <w:jc w:val="center"/>
        <w:outlineLvl w:val="0"/>
        <w:rPr>
          <w:b/>
          <w:sz w:val="24"/>
        </w:rPr>
      </w:pPr>
    </w:p>
    <w:p>
      <w:pPr>
        <w:spacing w:line="360" w:lineRule="auto"/>
        <w:ind w:firstLine="448" w:firstLineChars="200"/>
        <w:jc w:val="center"/>
        <w:outlineLvl w:val="0"/>
        <w:rPr>
          <w:b/>
          <w:sz w:val="24"/>
        </w:rPr>
      </w:pPr>
    </w:p>
    <w:p>
      <w:pPr>
        <w:spacing w:line="360" w:lineRule="auto"/>
        <w:ind w:firstLine="448" w:firstLineChars="200"/>
        <w:jc w:val="center"/>
        <w:outlineLvl w:val="0"/>
        <w:rPr>
          <w:b/>
          <w:sz w:val="24"/>
        </w:rPr>
      </w:pPr>
    </w:p>
    <w:p>
      <w:pPr>
        <w:spacing w:line="360" w:lineRule="auto"/>
        <w:jc w:val="center"/>
        <w:rPr>
          <w:sz w:val="24"/>
        </w:rPr>
      </w:pPr>
      <w:r>
        <w:rPr>
          <w:sz w:val="24"/>
          <w:u w:val="single"/>
        </w:rPr>
        <w:br w:type="page"/>
      </w:r>
    </w:p>
    <w:p>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29"/>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9"/>
        <w:spacing w:line="360" w:lineRule="auto"/>
        <w:ind w:firstLine="448" w:firstLineChars="200"/>
        <w:jc w:val="both"/>
        <w:rPr>
          <w:rFonts w:ascii="Times New Roman" w:hAnsi="Times New Roman" w:eastAsia="宋体" w:cs="Times New Roman"/>
          <w:color w:val="auto"/>
        </w:rPr>
      </w:pPr>
      <w:bookmarkStart w:id="6" w:name="OLE_LINK5"/>
      <w:bookmarkStart w:id="7"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系统软件、通用软件必须是具有在中国境内的合法使用权或版权的正版软件，涉及第三方提出侵权或知识产权的起诉及支付版税等费用由投标人承担所有责任及费用。</w:t>
      </w:r>
    </w:p>
    <w:p>
      <w:pPr>
        <w:pStyle w:val="29"/>
        <w:spacing w:line="360" w:lineRule="auto"/>
        <w:ind w:firstLine="448" w:firstLineChars="200"/>
        <w:jc w:val="both"/>
        <w:rPr>
          <w:rFonts w:ascii="Times New Roman" w:hAnsi="Times New Roman" w:eastAsia="宋体" w:cs="Times New Roman"/>
          <w:color w:val="auto"/>
        </w:rPr>
      </w:pPr>
    </w:p>
    <w:bookmarkEnd w:id="6"/>
    <w:bookmarkEnd w:id="7"/>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采购人、采购代理机构在答疑会或现场考察中口头介绍的情况，除经“天津市政府采购网”、“天津市政府采购中心网”以更正公告的形式发布外，不构成对招标文件的修改，不作为投标人编制投标文件的依据。</w:t>
      </w: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29"/>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pPr>
        <w:pStyle w:val="29"/>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pPr>
        <w:pStyle w:val="29"/>
        <w:spacing w:line="360" w:lineRule="auto"/>
        <w:ind w:firstLine="448" w:firstLineChars="200"/>
        <w:jc w:val="both"/>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pPr>
        <w:pStyle w:val="29"/>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pPr>
        <w:pStyle w:val="29"/>
        <w:spacing w:line="360" w:lineRule="auto"/>
        <w:ind w:firstLine="448" w:firstLineChars="200"/>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pStyle w:val="29"/>
        <w:spacing w:line="360" w:lineRule="auto"/>
        <w:ind w:firstLine="448" w:firstLineChars="200"/>
        <w:jc w:val="both"/>
        <w:rPr>
          <w:rFonts w:ascii="Times New Roman" w:hAnsi="Times New Roman" w:eastAsia="宋体" w:cs="Times New Roman"/>
          <w:color w:val="auto"/>
        </w:rPr>
      </w:pPr>
    </w:p>
    <w:p>
      <w:pPr>
        <w:widowControl/>
        <w:jc w:val="left"/>
        <w:rPr>
          <w:b/>
          <w:bCs/>
          <w:kern w:val="28"/>
          <w:sz w:val="32"/>
          <w:szCs w:val="32"/>
          <w:lang w:val="zh-CN" w:eastAsia="zh-CN"/>
        </w:rPr>
      </w:pPr>
      <w:r>
        <w:br w:type="page"/>
      </w:r>
    </w:p>
    <w:p>
      <w:pPr>
        <w:pStyle w:val="16"/>
        <w:rPr>
          <w:rFonts w:ascii="Times New Roman" w:hAnsi="Times New Roman"/>
        </w:rPr>
      </w:pPr>
      <w:r>
        <w:rPr>
          <w:rFonts w:ascii="Times New Roman" w:hAnsi="Times New Roman"/>
        </w:rPr>
        <w:t>第四部分  合同条款</w:t>
      </w:r>
    </w:p>
    <w:p>
      <w:pPr>
        <w:tabs>
          <w:tab w:val="left" w:pos="412"/>
          <w:tab w:val="left" w:pos="618"/>
        </w:tabs>
        <w:spacing w:line="520" w:lineRule="exact"/>
        <w:jc w:val="center"/>
        <w:rPr>
          <w:b/>
          <w:sz w:val="30"/>
          <w:szCs w:val="30"/>
        </w:rPr>
      </w:pPr>
      <w:r>
        <w:rPr>
          <w:b/>
          <w:sz w:val="30"/>
          <w:szCs w:val="30"/>
        </w:rPr>
        <w:t>合同一般条款</w:t>
      </w:r>
    </w:p>
    <w:p>
      <w:pPr>
        <w:tabs>
          <w:tab w:val="left" w:pos="0"/>
          <w:tab w:val="left" w:pos="315"/>
        </w:tabs>
        <w:spacing w:line="520" w:lineRule="exact"/>
        <w:ind w:firstLine="480"/>
        <w:rPr>
          <w:sz w:val="24"/>
          <w:szCs w:val="24"/>
        </w:rPr>
      </w:pPr>
      <w:r>
        <w:rPr>
          <w:sz w:val="24"/>
          <w:szCs w:val="24"/>
        </w:rPr>
        <w:t xml:space="preserve">需方：  </w:t>
      </w:r>
    </w:p>
    <w:p>
      <w:pPr>
        <w:tabs>
          <w:tab w:val="left" w:pos="0"/>
          <w:tab w:val="left" w:pos="315"/>
        </w:tabs>
        <w:spacing w:line="520" w:lineRule="exact"/>
        <w:ind w:firstLine="480"/>
        <w:rPr>
          <w:sz w:val="24"/>
          <w:szCs w:val="24"/>
        </w:rPr>
      </w:pPr>
      <w:r>
        <w:rPr>
          <w:sz w:val="24"/>
          <w:szCs w:val="24"/>
        </w:rPr>
        <w:t xml:space="preserve">供方： </w:t>
      </w:r>
    </w:p>
    <w:p>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招标</w:t>
      </w:r>
      <w:r>
        <w:rPr>
          <w:sz w:val="24"/>
          <w:szCs w:val="24"/>
        </w:rPr>
        <w:t>文件的要求，并经双方协商一致，达成  合同：</w:t>
      </w:r>
    </w:p>
    <w:p>
      <w:pPr>
        <w:pStyle w:val="34"/>
        <w:numPr>
          <w:ilvl w:val="0"/>
          <w:numId w:val="2"/>
        </w:numPr>
        <w:spacing w:line="480" w:lineRule="exact"/>
        <w:ind w:firstLineChars="0"/>
        <w:rPr>
          <w:sz w:val="24"/>
          <w:szCs w:val="24"/>
        </w:rPr>
      </w:pPr>
      <w:r>
        <w:rPr>
          <w:rFonts w:hint="eastAsia"/>
          <w:sz w:val="24"/>
          <w:szCs w:val="24"/>
        </w:rPr>
        <w:t>本合同为中小企业预留合同</w:t>
      </w:r>
    </w:p>
    <w:p>
      <w:pPr>
        <w:pStyle w:val="34"/>
        <w:numPr>
          <w:ilvl w:val="0"/>
          <w:numId w:val="2"/>
        </w:numPr>
        <w:spacing w:line="480" w:lineRule="exact"/>
        <w:ind w:firstLineChars="0"/>
        <w:rPr>
          <w:sz w:val="24"/>
          <w:szCs w:val="24"/>
        </w:rPr>
      </w:pPr>
      <w:r>
        <w:rPr>
          <w:rFonts w:hint="eastAsia"/>
          <w:sz w:val="24"/>
          <w:szCs w:val="24"/>
        </w:rPr>
        <w:t>本合同非中小企业预留合同</w:t>
      </w:r>
    </w:p>
    <w:p>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48" w:firstLineChars="200"/>
        <w:rPr>
          <w:sz w:val="24"/>
          <w:szCs w:val="24"/>
        </w:rPr>
      </w:pPr>
      <w:r>
        <w:rPr>
          <w:sz w:val="24"/>
          <w:szCs w:val="24"/>
        </w:rPr>
        <w:t>一、采购内容：  （详见附件）</w:t>
      </w:r>
    </w:p>
    <w:p>
      <w:pPr>
        <w:tabs>
          <w:tab w:val="left" w:pos="1133"/>
        </w:tabs>
        <w:spacing w:line="520" w:lineRule="exact"/>
        <w:ind w:firstLine="448" w:firstLineChars="200"/>
        <w:rPr>
          <w:sz w:val="24"/>
          <w:szCs w:val="24"/>
        </w:rPr>
      </w:pPr>
      <w:r>
        <w:rPr>
          <w:sz w:val="24"/>
          <w:szCs w:val="24"/>
        </w:rPr>
        <w:t xml:space="preserve">    合同总价款：人民币  元</w:t>
      </w:r>
    </w:p>
    <w:p>
      <w:pPr>
        <w:tabs>
          <w:tab w:val="left" w:pos="1133"/>
        </w:tabs>
        <w:spacing w:line="520" w:lineRule="exact"/>
        <w:ind w:firstLine="448" w:firstLineChars="200"/>
        <w:rPr>
          <w:sz w:val="24"/>
          <w:szCs w:val="24"/>
        </w:rPr>
      </w:pPr>
      <w:r>
        <w:rPr>
          <w:sz w:val="24"/>
          <w:szCs w:val="24"/>
        </w:rPr>
        <w:t xml:space="preserve">    大写：人民币  元整</w:t>
      </w:r>
    </w:p>
    <w:p>
      <w:pPr>
        <w:tabs>
          <w:tab w:val="left" w:pos="360"/>
        </w:tabs>
        <w:spacing w:line="520" w:lineRule="exact"/>
        <w:ind w:firstLine="448" w:firstLineChars="200"/>
        <w:rPr>
          <w:sz w:val="24"/>
          <w:szCs w:val="24"/>
        </w:rPr>
      </w:pPr>
      <w:r>
        <w:rPr>
          <w:sz w:val="24"/>
          <w:szCs w:val="24"/>
        </w:rPr>
        <w:t>二、质量要求及对质量负责条件和期限：见附件。</w:t>
      </w:r>
    </w:p>
    <w:p>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pPr>
        <w:tabs>
          <w:tab w:val="left" w:pos="360"/>
        </w:tabs>
        <w:spacing w:line="520" w:lineRule="exact"/>
        <w:ind w:firstLine="448" w:firstLineChars="200"/>
        <w:rPr>
          <w:sz w:val="24"/>
          <w:szCs w:val="24"/>
        </w:rPr>
      </w:pPr>
      <w:r>
        <w:rPr>
          <w:sz w:val="24"/>
          <w:szCs w:val="24"/>
        </w:rPr>
        <w:t>四、</w:t>
      </w:r>
      <w:r>
        <w:rPr>
          <w:rFonts w:hint="eastAsia"/>
          <w:sz w:val="24"/>
          <w:szCs w:val="24"/>
        </w:rPr>
        <w:t>服务</w:t>
      </w:r>
      <w:r>
        <w:rPr>
          <w:sz w:val="24"/>
          <w:szCs w:val="24"/>
        </w:rPr>
        <w:t>时间、地点、方式：见附件。</w:t>
      </w:r>
    </w:p>
    <w:p>
      <w:pPr>
        <w:tabs>
          <w:tab w:val="left" w:pos="360"/>
        </w:tabs>
        <w:spacing w:line="520" w:lineRule="exact"/>
        <w:ind w:firstLine="448"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pPr>
        <w:tabs>
          <w:tab w:val="left" w:pos="360"/>
          <w:tab w:val="left" w:pos="721"/>
        </w:tabs>
        <w:spacing w:line="520" w:lineRule="exact"/>
        <w:rPr>
          <w:sz w:val="24"/>
          <w:szCs w:val="24"/>
        </w:rPr>
      </w:pPr>
      <w:r>
        <w:rPr>
          <w:sz w:val="24"/>
          <w:szCs w:val="24"/>
        </w:rPr>
        <w:t xml:space="preserve">    六、验收工作由需方负责对合同进行验收。</w:t>
      </w:r>
    </w:p>
    <w:p>
      <w:pPr>
        <w:tabs>
          <w:tab w:val="left" w:pos="360"/>
        </w:tabs>
        <w:spacing w:line="520" w:lineRule="exact"/>
        <w:rPr>
          <w:sz w:val="24"/>
          <w:szCs w:val="24"/>
        </w:rPr>
      </w:pPr>
      <w:r>
        <w:rPr>
          <w:sz w:val="24"/>
          <w:szCs w:val="24"/>
        </w:rPr>
        <w:t xml:space="preserve">    七、货款支付方式：见附件。</w:t>
      </w:r>
    </w:p>
    <w:p>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rFonts w:hint="eastAsia"/>
          <w:sz w:val="24"/>
          <w:szCs w:val="24"/>
        </w:rPr>
        <w:t xml:space="preserve">账 </w:t>
      </w:r>
      <w:r>
        <w:rPr>
          <w:sz w:val="24"/>
          <w:szCs w:val="24"/>
        </w:rPr>
        <w:t xml:space="preserve">       号：</w:t>
      </w:r>
      <w:r>
        <w:rPr>
          <w:sz w:val="24"/>
          <w:szCs w:val="24"/>
          <w:u w:val="single"/>
        </w:rPr>
        <w:t xml:space="preserve">                                                   </w:t>
      </w:r>
      <w:r>
        <w:rPr>
          <w:szCs w:val="24"/>
        </w:rPr>
        <w:t>。</w:t>
      </w:r>
    </w:p>
    <w:p>
      <w:pPr>
        <w:pStyle w:val="12"/>
        <w:spacing w:line="520" w:lineRule="exact"/>
        <w:ind w:left="-97" w:leftChars="-50" w:firstLine="448" w:firstLineChars="200"/>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pPr>
        <w:tabs>
          <w:tab w:val="left" w:pos="0"/>
          <w:tab w:val="left" w:pos="315"/>
        </w:tabs>
        <w:spacing w:line="520" w:lineRule="exact"/>
        <w:ind w:firstLine="448"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22"/>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供方（公章）： </w:t>
            </w:r>
          </w:p>
        </w:tc>
        <w:tc>
          <w:tcPr>
            <w:tcW w:w="4261" w:type="dxa"/>
          </w:tcPr>
          <w:p>
            <w:pPr>
              <w:tabs>
                <w:tab w:val="left" w:pos="0"/>
                <w:tab w:val="left" w:pos="315"/>
              </w:tabs>
              <w:spacing w:line="520" w:lineRule="exact"/>
              <w:rPr>
                <w:sz w:val="24"/>
                <w:szCs w:val="24"/>
              </w:rPr>
            </w:pPr>
            <w:r>
              <w:rPr>
                <w:sz w:val="24"/>
                <w:szCs w:val="24"/>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地址：  </w:t>
            </w:r>
          </w:p>
        </w:tc>
        <w:tc>
          <w:tcPr>
            <w:tcW w:w="4261" w:type="dxa"/>
          </w:tcPr>
          <w:p>
            <w:pPr>
              <w:tabs>
                <w:tab w:val="left" w:pos="0"/>
                <w:tab w:val="left" w:pos="315"/>
              </w:tabs>
              <w:spacing w:line="520" w:lineRule="exact"/>
              <w:rPr>
                <w:sz w:val="24"/>
                <w:szCs w:val="24"/>
              </w:rPr>
            </w:pPr>
            <w:r>
              <w:rPr>
                <w:sz w:val="24"/>
                <w:szCs w:val="24"/>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法定代表人： </w:t>
            </w:r>
          </w:p>
        </w:tc>
        <w:tc>
          <w:tcPr>
            <w:tcW w:w="4261" w:type="dxa"/>
          </w:tcPr>
          <w:p>
            <w:pPr>
              <w:tabs>
                <w:tab w:val="left" w:pos="360"/>
              </w:tabs>
              <w:spacing w:line="520" w:lineRule="exact"/>
              <w:rPr>
                <w:sz w:val="24"/>
                <w:szCs w:val="24"/>
              </w:rPr>
            </w:pPr>
            <w:r>
              <w:rPr>
                <w:sz w:val="24"/>
                <w:szCs w:val="24"/>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委托代理人： </w:t>
            </w:r>
          </w:p>
        </w:tc>
        <w:tc>
          <w:tcPr>
            <w:tcW w:w="4261" w:type="dxa"/>
          </w:tcPr>
          <w:p>
            <w:pPr>
              <w:tabs>
                <w:tab w:val="left" w:pos="360"/>
              </w:tabs>
              <w:spacing w:line="520" w:lineRule="exact"/>
              <w:rPr>
                <w:sz w:val="24"/>
                <w:szCs w:val="24"/>
              </w:rPr>
            </w:pPr>
            <w:r>
              <w:rPr>
                <w:sz w:val="24"/>
                <w:szCs w:val="24"/>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电话：</w:t>
            </w:r>
          </w:p>
        </w:tc>
        <w:tc>
          <w:tcPr>
            <w:tcW w:w="4261" w:type="dxa"/>
          </w:tcPr>
          <w:p>
            <w:pPr>
              <w:tabs>
                <w:tab w:val="left" w:pos="360"/>
              </w:tabs>
              <w:spacing w:line="520" w:lineRule="exact"/>
              <w:rPr>
                <w:sz w:val="24"/>
                <w:szCs w:val="24"/>
              </w:rPr>
            </w:pPr>
            <w:r>
              <w:rPr>
                <w:sz w:val="24"/>
                <w:szCs w:val="24"/>
              </w:rPr>
              <w:t>电话：</w:t>
            </w:r>
          </w:p>
        </w:tc>
      </w:tr>
    </w:tbl>
    <w:p>
      <w:pPr>
        <w:rPr>
          <w:sz w:val="24"/>
          <w:szCs w:val="24"/>
        </w:rPr>
      </w:pPr>
    </w:p>
    <w:p>
      <w:pPr>
        <w:rPr>
          <w:szCs w:val="24"/>
        </w:rPr>
      </w:pPr>
      <w:r>
        <w:rPr>
          <w:sz w:val="24"/>
          <w:szCs w:val="24"/>
        </w:rPr>
        <w:t>时间：20</w:t>
      </w:r>
      <w:r>
        <w:rPr>
          <w:rFonts w:hint="eastAsia"/>
          <w:sz w:val="24"/>
          <w:szCs w:val="24"/>
        </w:rPr>
        <w:t xml:space="preserve">  </w:t>
      </w:r>
      <w:r>
        <w:rPr>
          <w:sz w:val="24"/>
          <w:szCs w:val="24"/>
        </w:rPr>
        <w:t>年  月  日</w:t>
      </w:r>
    </w:p>
    <w:p>
      <w:pPr>
        <w:jc w:val="center"/>
        <w:rPr>
          <w:b/>
          <w:sz w:val="30"/>
          <w:szCs w:val="30"/>
        </w:rPr>
      </w:pPr>
      <w:r>
        <w:rPr>
          <w:b/>
          <w:sz w:val="30"/>
          <w:szCs w:val="30"/>
        </w:rPr>
        <w:br w:type="page"/>
      </w:r>
      <w:r>
        <w:rPr>
          <w:b/>
          <w:sz w:val="30"/>
          <w:szCs w:val="30"/>
        </w:rPr>
        <w:t>合同特殊条款</w:t>
      </w:r>
    </w:p>
    <w:p>
      <w:pPr>
        <w:tabs>
          <w:tab w:val="left" w:pos="360"/>
        </w:tabs>
        <w:spacing w:line="520" w:lineRule="exact"/>
        <w:ind w:firstLine="383" w:firstLineChars="171"/>
        <w:rPr>
          <w:color w:val="000000"/>
          <w:sz w:val="24"/>
          <w:szCs w:val="24"/>
        </w:rPr>
      </w:pPr>
    </w:p>
    <w:p>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pPr>
        <w:autoSpaceDE w:val="0"/>
        <w:autoSpaceDN w:val="0"/>
        <w:adjustRightInd w:val="0"/>
        <w:spacing w:line="360" w:lineRule="auto"/>
        <w:ind w:firstLine="448" w:firstLineChars="200"/>
        <w:rPr>
          <w:sz w:val="24"/>
        </w:rPr>
      </w:pPr>
    </w:p>
    <w:p>
      <w:pPr>
        <w:widowControl/>
        <w:jc w:val="left"/>
        <w:rPr>
          <w:sz w:val="24"/>
        </w:rPr>
      </w:pPr>
      <w:r>
        <w:rPr>
          <w:sz w:val="24"/>
        </w:rPr>
        <w:br w:type="page"/>
      </w:r>
    </w:p>
    <w:p>
      <w:pPr>
        <w:pStyle w:val="16"/>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所投包号：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sz w:val="34"/>
          <w:szCs w:val="34"/>
        </w:rPr>
      </w:pPr>
      <w:r>
        <w:rPr>
          <w:rFonts w:hint="eastAsia"/>
          <w:b/>
          <w:sz w:val="34"/>
          <w:szCs w:val="34"/>
        </w:rPr>
        <w:t>投标代表人姓名：</w:t>
      </w: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bCs/>
          <w:sz w:val="24"/>
        </w:rPr>
      </w:pPr>
      <w:r>
        <w:rPr>
          <w:b/>
          <w:sz w:val="34"/>
          <w:szCs w:val="34"/>
        </w:rPr>
        <w:t>投标日期：   年   月   日</w:t>
      </w:r>
    </w:p>
    <w:p>
      <w:pPr>
        <w:widowControl/>
        <w:jc w:val="left"/>
        <w:rPr>
          <w:b/>
          <w:bCs/>
          <w:sz w:val="24"/>
        </w:rPr>
      </w:pPr>
      <w:r>
        <w:rPr>
          <w:b/>
          <w:bCs/>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w:t>
      </w:r>
      <w:r>
        <w:rPr>
          <w:rFonts w:hint="eastAsia"/>
          <w:b/>
          <w:bCs/>
          <w:sz w:val="24"/>
        </w:rPr>
        <w:t>投标人</w:t>
      </w:r>
      <w:r>
        <w:rPr>
          <w:b/>
          <w:bCs/>
          <w:sz w:val="24"/>
        </w:rPr>
        <w:t>自行编制）</w:t>
      </w:r>
    </w:p>
    <w:p>
      <w:pPr>
        <w:widowControl/>
        <w:jc w:val="center"/>
        <w:rPr>
          <w:b/>
          <w:sz w:val="24"/>
        </w:rPr>
      </w:pP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sz w:val="24"/>
        </w:rPr>
      </w:pPr>
      <w:r>
        <w:rPr>
          <w:sz w:val="24"/>
        </w:rPr>
        <w:br w:type="page"/>
      </w:r>
    </w:p>
    <w:p>
      <w:pPr>
        <w:tabs>
          <w:tab w:val="left" w:pos="360"/>
        </w:tabs>
        <w:spacing w:after="285" w:afterLines="100" w:line="360" w:lineRule="auto"/>
        <w:rPr>
          <w:b/>
          <w:sz w:val="24"/>
        </w:rPr>
      </w:pPr>
      <w:r>
        <w:rPr>
          <w:b/>
          <w:sz w:val="24"/>
        </w:rPr>
        <w:t>附件1</w:t>
      </w:r>
    </w:p>
    <w:p>
      <w:pPr>
        <w:autoSpaceDN w:val="0"/>
        <w:spacing w:line="360" w:lineRule="auto"/>
        <w:jc w:val="center"/>
        <w:rPr>
          <w:b/>
          <w:bCs/>
          <w:sz w:val="24"/>
        </w:rPr>
      </w:pPr>
      <w:r>
        <w:rPr>
          <w:b/>
          <w:bCs/>
          <w:sz w:val="24"/>
        </w:rPr>
        <w:t>投标书</w:t>
      </w:r>
    </w:p>
    <w:p>
      <w:pPr>
        <w:spacing w:line="360" w:lineRule="auto"/>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pPr>
        <w:spacing w:line="360" w:lineRule="auto"/>
        <w:ind w:firstLine="448" w:firstLineChars="200"/>
        <w:rPr>
          <w:sz w:val="24"/>
        </w:rPr>
      </w:pPr>
      <w:r>
        <w:rPr>
          <w:sz w:val="24"/>
        </w:rPr>
        <w:t>据此函，签字代表宣布同意如下：</w:t>
      </w:r>
    </w:p>
    <w:p>
      <w:pPr>
        <w:spacing w:line="360" w:lineRule="auto"/>
        <w:ind w:firstLine="448" w:firstLineChars="200"/>
        <w:rPr>
          <w:sz w:val="24"/>
        </w:rPr>
      </w:pPr>
      <w:r>
        <w:rPr>
          <w:sz w:val="24"/>
        </w:rPr>
        <w:t>1. 所附投标报价表中规定的应提供和交付的服务投标总价为：</w:t>
      </w:r>
    </w:p>
    <w:p>
      <w:pPr>
        <w:spacing w:line="360" w:lineRule="auto"/>
        <w:ind w:firstLine="448" w:firstLineChars="200"/>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pPr>
        <w:spacing w:line="360" w:lineRule="auto"/>
        <w:ind w:firstLine="448" w:firstLineChars="200"/>
        <w:rPr>
          <w:sz w:val="24"/>
        </w:rPr>
      </w:pP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开具发票类型：□增值税专用发票         □增值税普通发票</w:t>
      </w:r>
    </w:p>
    <w:p>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48" w:firstLineChars="200"/>
        <w:rPr>
          <w:b/>
          <w:sz w:val="24"/>
        </w:rPr>
      </w:pPr>
      <w:r>
        <w:rPr>
          <w:rFonts w:hint="eastAsia"/>
          <w:b/>
          <w:sz w:val="24"/>
        </w:rPr>
        <w:t>□</w:t>
      </w:r>
      <w:r>
        <w:rPr>
          <w:b/>
          <w:sz w:val="24"/>
        </w:rPr>
        <w:t>上门自取</w:t>
      </w:r>
    </w:p>
    <w:p>
      <w:pPr>
        <w:spacing w:line="360" w:lineRule="auto"/>
        <w:ind w:firstLine="448" w:firstLineChars="200"/>
        <w:rPr>
          <w:sz w:val="24"/>
        </w:rPr>
      </w:pPr>
    </w:p>
    <w:p>
      <w:pPr>
        <w:spacing w:line="360" w:lineRule="auto"/>
        <w:ind w:firstLine="448" w:firstLineChars="200"/>
        <w:rPr>
          <w:b/>
          <w:sz w:val="24"/>
        </w:rPr>
      </w:pPr>
      <w:r>
        <w:rPr>
          <w:rFonts w:hint="eastAsia"/>
          <w:b/>
          <w:sz w:val="24"/>
        </w:rPr>
        <w:t>□</w:t>
      </w:r>
      <w:r>
        <w:rPr>
          <w:b/>
          <w:sz w:val="24"/>
        </w:rPr>
        <w:t>到付邮寄</w:t>
      </w:r>
    </w:p>
    <w:p>
      <w:pPr>
        <w:spacing w:line="360" w:lineRule="auto"/>
        <w:ind w:firstLine="448" w:firstLineChars="200"/>
        <w:rPr>
          <w:sz w:val="24"/>
        </w:rPr>
      </w:pPr>
      <w:r>
        <w:rPr>
          <w:sz w:val="24"/>
        </w:rPr>
        <w:t>邮寄地址</w:t>
      </w:r>
      <w:r>
        <w:rPr>
          <w:rFonts w:hint="eastAsia"/>
          <w:sz w:val="24"/>
        </w:rPr>
        <w:t>、邮编</w:t>
      </w:r>
      <w:r>
        <w:rPr>
          <w:sz w:val="24"/>
        </w:rPr>
        <w:t>：</w:t>
      </w:r>
    </w:p>
    <w:p>
      <w:pPr>
        <w:spacing w:line="360" w:lineRule="auto"/>
        <w:ind w:firstLine="448" w:firstLineChars="200"/>
        <w:rPr>
          <w:sz w:val="24"/>
        </w:rPr>
      </w:pPr>
      <w:r>
        <w:rPr>
          <w:sz w:val="24"/>
        </w:rPr>
        <w:t>邮寄联系人、手机号码：</w:t>
      </w:r>
    </w:p>
    <w:p>
      <w:pPr>
        <w:spacing w:line="360" w:lineRule="auto"/>
        <w:ind w:firstLine="3808" w:firstLineChars="1700"/>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widowControl/>
        <w:jc w:val="left"/>
        <w:rPr>
          <w:b/>
          <w:sz w:val="24"/>
        </w:rPr>
      </w:pPr>
      <w:r>
        <w:rPr>
          <w:b/>
          <w:sz w:val="24"/>
        </w:rPr>
        <w:t>附件2</w:t>
      </w:r>
    </w:p>
    <w:p>
      <w:pPr>
        <w:autoSpaceDN w:val="0"/>
        <w:spacing w:line="360" w:lineRule="auto"/>
        <w:jc w:val="center"/>
        <w:rPr>
          <w:b/>
          <w:bCs/>
          <w:sz w:val="24"/>
        </w:rPr>
      </w:pPr>
    </w:p>
    <w:p>
      <w:pPr>
        <w:ind w:right="84"/>
        <w:jc w:val="center"/>
        <w:rPr>
          <w:b/>
          <w:sz w:val="24"/>
        </w:rPr>
      </w:pPr>
      <w:r>
        <w:rPr>
          <w:rFonts w:hint="eastAsia"/>
          <w:b/>
          <w:sz w:val="24"/>
        </w:rPr>
        <w:t>供应商资格声明函</w:t>
      </w:r>
    </w:p>
    <w:p>
      <w:pPr>
        <w:spacing w:line="360" w:lineRule="auto"/>
        <w:ind w:firstLine="420"/>
        <w:jc w:val="center"/>
        <w:rPr>
          <w:b/>
          <w:sz w:val="24"/>
        </w:rPr>
      </w:pPr>
    </w:p>
    <w:p>
      <w:pPr>
        <w:spacing w:line="360" w:lineRule="auto"/>
        <w:rPr>
          <w:sz w:val="24"/>
        </w:rPr>
      </w:pPr>
      <w:r>
        <w:rPr>
          <w:rFonts w:hint="eastAsia"/>
          <w:sz w:val="24"/>
        </w:rPr>
        <w:t>天津市政府采购中心：</w:t>
      </w:r>
    </w:p>
    <w:p>
      <w:pPr>
        <w:spacing w:line="360" w:lineRule="auto"/>
        <w:ind w:firstLine="448" w:firstLineChars="200"/>
        <w:rPr>
          <w:sz w:val="24"/>
        </w:rPr>
      </w:pPr>
      <w:r>
        <w:rPr>
          <w:rFonts w:hint="eastAsia"/>
          <w:sz w:val="24"/>
        </w:rPr>
        <w:t>我单位自愿参与本项目的政府采购活动，郑重承诺如下：</w:t>
      </w:r>
    </w:p>
    <w:p>
      <w:pPr>
        <w:spacing w:line="360" w:lineRule="auto"/>
        <w:ind w:firstLine="448" w:firstLineChars="200"/>
        <w:rPr>
          <w:sz w:val="24"/>
        </w:rPr>
      </w:pPr>
      <w:r>
        <w:rPr>
          <w:rFonts w:hint="eastAsia"/>
          <w:sz w:val="24"/>
        </w:rPr>
        <w:t>（一）我单位具有良好的商业信誉和健全的财务会计制度；</w:t>
      </w:r>
    </w:p>
    <w:p>
      <w:pPr>
        <w:spacing w:line="360" w:lineRule="auto"/>
        <w:ind w:firstLine="448" w:firstLineChars="200"/>
        <w:rPr>
          <w:sz w:val="24"/>
        </w:rPr>
      </w:pPr>
      <w:r>
        <w:rPr>
          <w:rFonts w:hint="eastAsia"/>
          <w:sz w:val="24"/>
        </w:rPr>
        <w:t>（二）我单位依法缴纳税收和社会保障资金；</w:t>
      </w:r>
    </w:p>
    <w:p>
      <w:pPr>
        <w:spacing w:line="360" w:lineRule="auto"/>
        <w:ind w:firstLine="448" w:firstLineChars="200"/>
        <w:rPr>
          <w:sz w:val="24"/>
        </w:rPr>
      </w:pPr>
      <w:r>
        <w:rPr>
          <w:rFonts w:hint="eastAsia"/>
          <w:sz w:val="24"/>
        </w:rPr>
        <w:t>（三）我单位具备履行合同所必需的设备和专业技术能力；</w:t>
      </w:r>
    </w:p>
    <w:p>
      <w:pPr>
        <w:spacing w:line="360" w:lineRule="auto"/>
        <w:ind w:firstLine="448" w:firstLineChars="200"/>
        <w:rPr>
          <w:sz w:val="24"/>
        </w:rPr>
      </w:pPr>
      <w:r>
        <w:rPr>
          <w:rFonts w:hint="eastAsia"/>
          <w:sz w:val="24"/>
        </w:rPr>
        <w:t>（四）参加政府采购活动前3年我单位在经营活动中没有重大违法记录；</w:t>
      </w:r>
    </w:p>
    <w:p>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jc w:val="center"/>
              <w:rPr>
                <w:szCs w:val="21"/>
              </w:rPr>
            </w:pPr>
            <w:r>
              <w:rPr>
                <w:rFonts w:hint="eastAsia"/>
                <w:szCs w:val="21"/>
              </w:rPr>
              <w:t>序号</w:t>
            </w:r>
          </w:p>
        </w:tc>
        <w:tc>
          <w:tcPr>
            <w:tcW w:w="2273" w:type="pct"/>
            <w:vAlign w:val="center"/>
          </w:tcPr>
          <w:p>
            <w:pPr>
              <w:jc w:val="center"/>
              <w:rPr>
                <w:szCs w:val="21"/>
              </w:rPr>
            </w:pPr>
            <w:r>
              <w:rPr>
                <w:rFonts w:hint="eastAsia"/>
                <w:szCs w:val="21"/>
              </w:rPr>
              <w:t>单位名称</w:t>
            </w:r>
          </w:p>
        </w:tc>
        <w:tc>
          <w:tcPr>
            <w:tcW w:w="1667" w:type="pct"/>
            <w:vAlign w:val="center"/>
          </w:tcPr>
          <w:p>
            <w:pPr>
              <w:jc w:val="center"/>
              <w:rPr>
                <w:szCs w:val="21"/>
              </w:rPr>
            </w:pPr>
            <w:r>
              <w:rPr>
                <w:rFonts w:hint="eastAsia"/>
                <w:szCs w:val="21"/>
              </w:rPr>
              <w:t>相互关系类型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jc w:val="center"/>
              <w:rPr>
                <w:szCs w:val="21"/>
              </w:rPr>
            </w:pPr>
            <w:r>
              <w:rPr>
                <w:rFonts w:hint="eastAsia"/>
                <w:szCs w:val="21"/>
              </w:rPr>
              <w:t>1</w:t>
            </w:r>
          </w:p>
        </w:tc>
        <w:tc>
          <w:tcPr>
            <w:tcW w:w="2273" w:type="pct"/>
            <w:vAlign w:val="center"/>
          </w:tcPr>
          <w:p>
            <w:pPr>
              <w:jc w:val="center"/>
              <w:rPr>
                <w:szCs w:val="21"/>
              </w:rPr>
            </w:pPr>
          </w:p>
        </w:tc>
        <w:tc>
          <w:tcPr>
            <w:tcW w:w="1667"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jc w:val="center"/>
              <w:rPr>
                <w:szCs w:val="21"/>
              </w:rPr>
            </w:pPr>
            <w:r>
              <w:rPr>
                <w:rFonts w:hint="eastAsia"/>
                <w:szCs w:val="21"/>
              </w:rPr>
              <w:t>2</w:t>
            </w:r>
          </w:p>
        </w:tc>
        <w:tc>
          <w:tcPr>
            <w:tcW w:w="2273" w:type="pct"/>
            <w:vAlign w:val="center"/>
          </w:tcPr>
          <w:p>
            <w:pPr>
              <w:jc w:val="center"/>
              <w:rPr>
                <w:szCs w:val="21"/>
              </w:rPr>
            </w:pPr>
          </w:p>
        </w:tc>
        <w:tc>
          <w:tcPr>
            <w:tcW w:w="1667"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jc w:val="center"/>
              <w:rPr>
                <w:szCs w:val="21"/>
              </w:rPr>
            </w:pPr>
            <w:r>
              <w:rPr>
                <w:rFonts w:hint="eastAsia"/>
                <w:szCs w:val="21"/>
              </w:rPr>
              <w:t>3</w:t>
            </w:r>
          </w:p>
        </w:tc>
        <w:tc>
          <w:tcPr>
            <w:tcW w:w="2273" w:type="pct"/>
            <w:vAlign w:val="center"/>
          </w:tcPr>
          <w:p>
            <w:pPr>
              <w:jc w:val="center"/>
              <w:rPr>
                <w:szCs w:val="21"/>
              </w:rPr>
            </w:pPr>
          </w:p>
        </w:tc>
        <w:tc>
          <w:tcPr>
            <w:tcW w:w="1667" w:type="pct"/>
            <w:vAlign w:val="center"/>
          </w:tcPr>
          <w:p>
            <w:pPr>
              <w:jc w:val="center"/>
              <w:rPr>
                <w:szCs w:val="21"/>
              </w:rPr>
            </w:pPr>
          </w:p>
        </w:tc>
      </w:tr>
    </w:tbl>
    <w:p>
      <w:pPr>
        <w:spacing w:line="360" w:lineRule="auto"/>
        <w:ind w:firstLine="448" w:firstLineChars="200"/>
        <w:rPr>
          <w:sz w:val="24"/>
        </w:rPr>
      </w:pPr>
      <w:r>
        <w:rPr>
          <w:rFonts w:hint="eastAsia"/>
          <w:sz w:val="24"/>
        </w:rPr>
        <w:t>上表未填写的，视为不存在第（六）条所列情形</w:t>
      </w:r>
    </w:p>
    <w:p>
      <w:pPr>
        <w:spacing w:line="360" w:lineRule="auto"/>
        <w:ind w:firstLine="448" w:firstLineChars="200"/>
        <w:rPr>
          <w:sz w:val="24"/>
        </w:rPr>
      </w:pPr>
    </w:p>
    <w:p>
      <w:pPr>
        <w:spacing w:line="360" w:lineRule="auto"/>
        <w:ind w:firstLine="448" w:firstLineChars="200"/>
        <w:rPr>
          <w:sz w:val="24"/>
        </w:rPr>
      </w:pPr>
      <w:r>
        <w:rPr>
          <w:rFonts w:hint="eastAsia"/>
          <w:sz w:val="24"/>
        </w:rPr>
        <w:t>上述声明真实有效，否则我单位承担全部责任和不利后果。</w:t>
      </w:r>
    </w:p>
    <w:p>
      <w:pPr>
        <w:spacing w:line="360" w:lineRule="auto"/>
        <w:ind w:firstLine="448" w:firstLineChars="200"/>
        <w:rPr>
          <w:sz w:val="24"/>
        </w:rPr>
      </w:pPr>
    </w:p>
    <w:p>
      <w:pPr>
        <w:spacing w:line="360" w:lineRule="auto"/>
        <w:ind w:firstLine="224" w:firstLineChars="100"/>
        <w:rPr>
          <w:sz w:val="24"/>
        </w:rPr>
      </w:pPr>
      <w:r>
        <w:rPr>
          <w:sz w:val="24"/>
        </w:rPr>
        <w:t>投标人名称：</w:t>
      </w:r>
    </w:p>
    <w:p>
      <w:pPr>
        <w:spacing w:line="360" w:lineRule="auto"/>
        <w:ind w:firstLine="224" w:firstLineChars="100"/>
        <w:rPr>
          <w:sz w:val="24"/>
        </w:rPr>
      </w:pPr>
    </w:p>
    <w:p>
      <w:pPr>
        <w:spacing w:line="360" w:lineRule="auto"/>
        <w:ind w:firstLine="224" w:firstLineChars="100"/>
        <w:rPr>
          <w:position w:val="-40"/>
          <w:sz w:val="24"/>
        </w:rPr>
      </w:pPr>
      <w:r>
        <w:rPr>
          <w:sz w:val="24"/>
        </w:rPr>
        <w:t xml:space="preserve">日期：  </w:t>
      </w:r>
    </w:p>
    <w:p>
      <w:pPr>
        <w:autoSpaceDN w:val="0"/>
        <w:spacing w:line="360" w:lineRule="auto"/>
        <w:jc w:val="center"/>
        <w:rPr>
          <w:b/>
          <w:bCs/>
          <w:sz w:val="24"/>
        </w:rPr>
      </w:pPr>
    </w:p>
    <w:p>
      <w:pPr>
        <w:widowControl/>
        <w:jc w:val="left"/>
        <w:rPr>
          <w:b/>
          <w:bCs/>
          <w:sz w:val="24"/>
        </w:rPr>
      </w:pPr>
      <w:r>
        <w:rPr>
          <w:b/>
          <w:bCs/>
          <w:sz w:val="24"/>
        </w:rPr>
        <w:br w:type="page"/>
      </w:r>
    </w:p>
    <w:p>
      <w:pPr>
        <w:spacing w:line="460" w:lineRule="exact"/>
        <w:rPr>
          <w:b/>
          <w:sz w:val="24"/>
        </w:rPr>
      </w:pPr>
      <w:r>
        <w:rPr>
          <w:rFonts w:hint="eastAsia"/>
          <w:b/>
          <w:bCs/>
          <w:sz w:val="24"/>
        </w:rPr>
        <w:t>附件2-1：招标文件第一部分供应商资格要求的证件</w:t>
      </w:r>
    </w:p>
    <w:p>
      <w:pPr>
        <w:widowControl/>
        <w:jc w:val="left"/>
        <w:rPr>
          <w:b/>
          <w:bCs/>
          <w:sz w:val="24"/>
        </w:rPr>
      </w:pPr>
      <w:r>
        <w:rPr>
          <w:b/>
          <w:bCs/>
          <w:sz w:val="24"/>
        </w:rPr>
        <w:br w:type="page"/>
      </w:r>
    </w:p>
    <w:p>
      <w:pPr>
        <w:autoSpaceDN w:val="0"/>
        <w:spacing w:line="360" w:lineRule="auto"/>
        <w:rPr>
          <w:b/>
          <w:bCs/>
          <w:sz w:val="24"/>
        </w:rPr>
      </w:pPr>
      <w:r>
        <w:rPr>
          <w:rFonts w:hint="eastAsia"/>
          <w:b/>
          <w:bCs/>
          <w:sz w:val="24"/>
        </w:rPr>
        <w:t>附件3</w:t>
      </w:r>
    </w:p>
    <w:p>
      <w:pPr>
        <w:autoSpaceDN w:val="0"/>
        <w:spacing w:line="360" w:lineRule="auto"/>
        <w:jc w:val="center"/>
        <w:rPr>
          <w:b/>
          <w:bCs/>
          <w:sz w:val="24"/>
        </w:rPr>
      </w:pPr>
    </w:p>
    <w:p>
      <w:pPr>
        <w:autoSpaceDN w:val="0"/>
        <w:spacing w:line="360" w:lineRule="auto"/>
        <w:jc w:val="center"/>
        <w:rPr>
          <w:b/>
          <w:bCs/>
          <w:sz w:val="24"/>
        </w:rPr>
      </w:pPr>
      <w:r>
        <w:rPr>
          <w:b/>
          <w:bCs/>
          <w:sz w:val="24"/>
        </w:rPr>
        <w:t>开标一览表</w:t>
      </w:r>
    </w:p>
    <w:p>
      <w:pPr>
        <w:ind w:right="84"/>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rPr>
            </w:pPr>
            <w:r>
              <w:rPr>
                <w:sz w:val="24"/>
              </w:rPr>
              <w:t>包号</w:t>
            </w:r>
          </w:p>
        </w:tc>
        <w:tc>
          <w:tcPr>
            <w:tcW w:w="1278" w:type="pct"/>
            <w:vAlign w:val="center"/>
          </w:tcPr>
          <w:p>
            <w:pPr>
              <w:spacing w:line="460" w:lineRule="exact"/>
              <w:jc w:val="center"/>
              <w:rPr>
                <w:sz w:val="24"/>
              </w:rPr>
            </w:pPr>
            <w:r>
              <w:rPr>
                <w:sz w:val="24"/>
              </w:rPr>
              <w:t>服务名称</w:t>
            </w:r>
          </w:p>
        </w:tc>
        <w:tc>
          <w:tcPr>
            <w:tcW w:w="806" w:type="pct"/>
            <w:vAlign w:val="center"/>
          </w:tcPr>
          <w:p>
            <w:pPr>
              <w:spacing w:line="460" w:lineRule="exact"/>
              <w:jc w:val="center"/>
              <w:rPr>
                <w:sz w:val="24"/>
              </w:rPr>
            </w:pPr>
            <w:r>
              <w:rPr>
                <w:sz w:val="24"/>
              </w:rPr>
              <w:t>数量</w:t>
            </w:r>
          </w:p>
        </w:tc>
        <w:tc>
          <w:tcPr>
            <w:tcW w:w="1202" w:type="pct"/>
            <w:vAlign w:val="center"/>
          </w:tcPr>
          <w:p>
            <w:pPr>
              <w:spacing w:line="460" w:lineRule="exact"/>
              <w:jc w:val="center"/>
              <w:rPr>
                <w:sz w:val="24"/>
              </w:rPr>
            </w:pPr>
            <w:r>
              <w:rPr>
                <w:sz w:val="24"/>
              </w:rPr>
              <w:t>投标总价</w:t>
            </w:r>
          </w:p>
        </w:tc>
        <w:tc>
          <w:tcPr>
            <w:tcW w:w="984"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bl>
    <w:p>
      <w:pPr>
        <w:spacing w:line="360" w:lineRule="auto"/>
        <w:ind w:right="84" w:firstLine="420"/>
        <w:rPr>
          <w:sz w:val="24"/>
        </w:rPr>
      </w:pPr>
    </w:p>
    <w:p>
      <w:pPr>
        <w:spacing w:line="360" w:lineRule="auto"/>
        <w:ind w:right="84" w:firstLine="420"/>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right="84" w:firstLine="420"/>
        <w:rPr>
          <w:sz w:val="24"/>
        </w:rPr>
      </w:pPr>
    </w:p>
    <w:p>
      <w:pPr>
        <w:widowControl/>
        <w:jc w:val="left"/>
        <w:rPr>
          <w:sz w:val="24"/>
        </w:rPr>
      </w:pPr>
      <w:r>
        <w:rPr>
          <w:sz w:val="24"/>
        </w:rPr>
        <w:br w:type="page"/>
      </w:r>
    </w:p>
    <w:p>
      <w:pPr>
        <w:tabs>
          <w:tab w:val="left" w:pos="360"/>
        </w:tabs>
        <w:spacing w:line="360" w:lineRule="auto"/>
        <w:rPr>
          <w:b/>
          <w:sz w:val="24"/>
        </w:rPr>
      </w:pPr>
      <w:r>
        <w:rPr>
          <w:b/>
          <w:sz w:val="24"/>
        </w:rPr>
        <w:t>附件</w:t>
      </w:r>
      <w:r>
        <w:rPr>
          <w:rFonts w:hint="eastAsia"/>
          <w:b/>
          <w:sz w:val="24"/>
        </w:rPr>
        <w:t>4</w:t>
      </w:r>
    </w:p>
    <w:p>
      <w:pPr>
        <w:autoSpaceDN w:val="0"/>
        <w:spacing w:line="360" w:lineRule="auto"/>
        <w:jc w:val="center"/>
        <w:rPr>
          <w:b/>
          <w:bCs/>
          <w:sz w:val="24"/>
        </w:rPr>
      </w:pPr>
      <w:r>
        <w:rPr>
          <w:b/>
          <w:bCs/>
          <w:sz w:val="24"/>
        </w:rPr>
        <w:t>开标分项一览表</w:t>
      </w:r>
    </w:p>
    <w:p>
      <w:pPr>
        <w:ind w:right="84"/>
        <w:rPr>
          <w:sz w:val="24"/>
        </w:rPr>
      </w:pP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kern w:val="0"/>
                <w:sz w:val="24"/>
                <w:szCs w:val="24"/>
              </w:rPr>
            </w:pPr>
            <w:r>
              <w:rPr>
                <w:b/>
                <w:bCs/>
                <w:kern w:val="0"/>
                <w:sz w:val="24"/>
                <w:szCs w:val="24"/>
              </w:rPr>
              <w:t>项号</w:t>
            </w:r>
          </w:p>
        </w:tc>
        <w:tc>
          <w:tcPr>
            <w:tcW w:w="2349" w:type="dxa"/>
            <w:vAlign w:val="center"/>
          </w:tcPr>
          <w:p>
            <w:pPr>
              <w:widowControl/>
              <w:jc w:val="center"/>
              <w:rPr>
                <w:b/>
                <w:bCs/>
                <w:kern w:val="0"/>
                <w:sz w:val="24"/>
                <w:szCs w:val="24"/>
              </w:rPr>
            </w:pPr>
            <w:r>
              <w:rPr>
                <w:b/>
                <w:bCs/>
                <w:kern w:val="0"/>
                <w:sz w:val="24"/>
                <w:szCs w:val="24"/>
              </w:rPr>
              <w:t>服务名称</w:t>
            </w:r>
          </w:p>
        </w:tc>
        <w:tc>
          <w:tcPr>
            <w:tcW w:w="1701" w:type="dxa"/>
            <w:vAlign w:val="center"/>
          </w:tcPr>
          <w:p>
            <w:pPr>
              <w:widowControl/>
              <w:jc w:val="center"/>
              <w:rPr>
                <w:b/>
                <w:bCs/>
                <w:kern w:val="0"/>
                <w:sz w:val="24"/>
                <w:szCs w:val="24"/>
              </w:rPr>
            </w:pPr>
            <w:r>
              <w:rPr>
                <w:b/>
                <w:bCs/>
                <w:kern w:val="0"/>
                <w:sz w:val="24"/>
                <w:szCs w:val="24"/>
              </w:rPr>
              <w:t>总价</w:t>
            </w:r>
          </w:p>
        </w:tc>
        <w:tc>
          <w:tcPr>
            <w:tcW w:w="2238" w:type="dxa"/>
            <w:vAlign w:val="center"/>
          </w:tcPr>
          <w:p>
            <w:pPr>
              <w:widowControl/>
              <w:jc w:val="center"/>
              <w:rPr>
                <w:b/>
                <w:bCs/>
                <w:kern w:val="0"/>
                <w:sz w:val="24"/>
                <w:szCs w:val="24"/>
              </w:rPr>
            </w:pPr>
            <w:r>
              <w:rPr>
                <w:b/>
                <w:bCs/>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kern w:val="0"/>
                <w:sz w:val="24"/>
                <w:szCs w:val="24"/>
              </w:rPr>
            </w:pPr>
            <w:r>
              <w:rPr>
                <w:kern w:val="0"/>
                <w:sz w:val="24"/>
                <w:szCs w:val="24"/>
              </w:rPr>
              <w:t>1</w:t>
            </w:r>
          </w:p>
        </w:tc>
        <w:tc>
          <w:tcPr>
            <w:tcW w:w="2349" w:type="dxa"/>
            <w:vAlign w:val="center"/>
          </w:tcPr>
          <w:p>
            <w:pPr>
              <w:widowControl/>
              <w:jc w:val="center"/>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sz w:val="24"/>
                <w:szCs w:val="24"/>
              </w:rPr>
            </w:pPr>
            <w:r>
              <w:rPr>
                <w:sz w:val="24"/>
                <w:szCs w:val="24"/>
              </w:rPr>
              <w:t>1项</w:t>
            </w: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pPr>
              <w:widowControl/>
              <w:jc w:val="left"/>
              <w:rPr>
                <w:kern w:val="0"/>
                <w:sz w:val="24"/>
                <w:szCs w:val="24"/>
              </w:rPr>
            </w:pPr>
            <w:r>
              <w:rPr>
                <w:kern w:val="0"/>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b/>
                <w:sz w:val="24"/>
                <w:szCs w:val="24"/>
              </w:rPr>
            </w:pPr>
            <w:r>
              <w:rPr>
                <w:b/>
                <w:sz w:val="24"/>
                <w:szCs w:val="24"/>
              </w:rPr>
              <w:t>分项名称</w:t>
            </w:r>
          </w:p>
        </w:tc>
        <w:tc>
          <w:tcPr>
            <w:tcW w:w="1701" w:type="dxa"/>
            <w:vAlign w:val="center"/>
          </w:tcPr>
          <w:p>
            <w:pPr>
              <w:widowControl/>
              <w:jc w:val="center"/>
              <w:rPr>
                <w:b/>
                <w:kern w:val="0"/>
                <w:sz w:val="24"/>
                <w:szCs w:val="24"/>
              </w:rPr>
            </w:pPr>
            <w:r>
              <w:rPr>
                <w:b/>
                <w:kern w:val="0"/>
                <w:sz w:val="24"/>
                <w:szCs w:val="24"/>
              </w:rPr>
              <w:t>价格</w:t>
            </w:r>
          </w:p>
        </w:tc>
        <w:tc>
          <w:tcPr>
            <w:tcW w:w="2238" w:type="dxa"/>
            <w:vAlign w:val="center"/>
          </w:tcPr>
          <w:p>
            <w:pPr>
              <w:widowControl/>
              <w:jc w:val="center"/>
              <w:rPr>
                <w:b/>
                <w:kern w:val="0"/>
                <w:sz w:val="24"/>
                <w:szCs w:val="24"/>
              </w:rPr>
            </w:pPr>
            <w:r>
              <w:rPr>
                <w:b/>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center"/>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bl>
    <w:p>
      <w:pPr>
        <w:ind w:left="180"/>
        <w:rPr>
          <w:sz w:val="22"/>
          <w:szCs w:val="24"/>
        </w:rPr>
      </w:pPr>
      <w:r>
        <w:rPr>
          <w:sz w:val="22"/>
          <w:szCs w:val="24"/>
        </w:rPr>
        <w:t>注：1. 本表第一行填写本项目投标总价，须与附件</w:t>
      </w:r>
      <w:r>
        <w:rPr>
          <w:rFonts w:hint="eastAsia"/>
          <w:sz w:val="22"/>
          <w:szCs w:val="24"/>
        </w:rPr>
        <w:t>3</w:t>
      </w:r>
      <w:r>
        <w:rPr>
          <w:sz w:val="22"/>
          <w:szCs w:val="24"/>
        </w:rPr>
        <w:t>中投标总价保持一致。</w:t>
      </w:r>
    </w:p>
    <w:p>
      <w:pPr>
        <w:ind w:left="180" w:firstLine="408" w:firstLineChars="200"/>
      </w:pPr>
      <w:r>
        <w:rPr>
          <w:sz w:val="22"/>
          <w:szCs w:val="24"/>
        </w:rPr>
        <w:t>2. 下面应填写分项价格及分项名称（分项名称可根据实际情况增减、修改），分项价格汇总应等于总价。</w:t>
      </w: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sz w:val="24"/>
        </w:rPr>
      </w:pPr>
      <w:r>
        <w:rPr>
          <w:sz w:val="24"/>
        </w:rPr>
        <w:br w:type="page"/>
      </w:r>
    </w:p>
    <w:p>
      <w:pPr>
        <w:tabs>
          <w:tab w:val="left" w:pos="360"/>
        </w:tabs>
        <w:spacing w:line="360" w:lineRule="auto"/>
        <w:rPr>
          <w:b/>
          <w:sz w:val="24"/>
        </w:rPr>
      </w:pPr>
      <w:r>
        <w:rPr>
          <w:b/>
          <w:sz w:val="24"/>
        </w:rPr>
        <w:t>附件</w:t>
      </w:r>
      <w:r>
        <w:rPr>
          <w:rFonts w:hint="eastAsia"/>
          <w:b/>
          <w:sz w:val="24"/>
        </w:rPr>
        <w:t>5</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231"/>
        <w:gridCol w:w="2551"/>
        <w:gridCol w:w="1135"/>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4" w:type="pct"/>
            <w:shd w:val="clear" w:color="auto" w:fill="auto"/>
            <w:vAlign w:val="center"/>
          </w:tcPr>
          <w:p>
            <w:pPr>
              <w:widowControl/>
              <w:jc w:val="center"/>
              <w:rPr>
                <w:color w:val="000000"/>
                <w:kern w:val="0"/>
                <w:szCs w:val="21"/>
              </w:rPr>
            </w:pPr>
            <w:r>
              <w:rPr>
                <w:color w:val="000000"/>
                <w:kern w:val="0"/>
                <w:szCs w:val="21"/>
              </w:rPr>
              <w:t>序号</w:t>
            </w:r>
          </w:p>
        </w:tc>
        <w:tc>
          <w:tcPr>
            <w:tcW w:w="1274" w:type="pct"/>
            <w:shd w:val="clear" w:color="auto" w:fill="auto"/>
            <w:vAlign w:val="center"/>
          </w:tcPr>
          <w:p>
            <w:pPr>
              <w:widowControl/>
              <w:jc w:val="center"/>
              <w:rPr>
                <w:color w:val="000000"/>
                <w:kern w:val="0"/>
                <w:szCs w:val="21"/>
              </w:rPr>
            </w:pPr>
            <w:r>
              <w:rPr>
                <w:color w:val="000000"/>
                <w:kern w:val="0"/>
                <w:szCs w:val="21"/>
              </w:rPr>
              <w:t>招标要求</w:t>
            </w:r>
          </w:p>
        </w:tc>
        <w:tc>
          <w:tcPr>
            <w:tcW w:w="1457" w:type="pct"/>
            <w:shd w:val="clear" w:color="auto" w:fill="auto"/>
            <w:vAlign w:val="center"/>
          </w:tcPr>
          <w:p>
            <w:pPr>
              <w:widowControl/>
              <w:jc w:val="center"/>
              <w:rPr>
                <w:color w:val="000000"/>
                <w:kern w:val="0"/>
                <w:szCs w:val="21"/>
              </w:rPr>
            </w:pPr>
            <w:r>
              <w:rPr>
                <w:color w:val="000000"/>
                <w:kern w:val="0"/>
                <w:szCs w:val="21"/>
              </w:rPr>
              <w:t>投标应答</w:t>
            </w:r>
          </w:p>
        </w:tc>
        <w:tc>
          <w:tcPr>
            <w:tcW w:w="648" w:type="pct"/>
            <w:shd w:val="clear" w:color="auto" w:fill="auto"/>
            <w:vAlign w:val="center"/>
          </w:tcPr>
          <w:p>
            <w:pPr>
              <w:widowControl/>
              <w:jc w:val="center"/>
              <w:rPr>
                <w:color w:val="000000"/>
                <w:kern w:val="0"/>
                <w:szCs w:val="21"/>
              </w:rPr>
            </w:pPr>
            <w:r>
              <w:rPr>
                <w:color w:val="000000"/>
                <w:kern w:val="0"/>
                <w:szCs w:val="21"/>
              </w:rPr>
              <w:t>偏离说明</w:t>
            </w:r>
          </w:p>
        </w:tc>
        <w:tc>
          <w:tcPr>
            <w:tcW w:w="647" w:type="pct"/>
            <w:shd w:val="clear" w:color="auto" w:fill="auto"/>
            <w:vAlign w:val="center"/>
          </w:tcPr>
          <w:p>
            <w:pPr>
              <w:widowControl/>
              <w:jc w:val="center"/>
              <w:rPr>
                <w:color w:val="000000"/>
                <w:kern w:val="0"/>
                <w:szCs w:val="21"/>
              </w:rPr>
            </w:pPr>
            <w:r>
              <w:rPr>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pPr>
              <w:widowControl/>
              <w:jc w:val="left"/>
              <w:rPr>
                <w:color w:val="000000"/>
                <w:kern w:val="0"/>
                <w:szCs w:val="21"/>
              </w:rPr>
            </w:pPr>
            <w:r>
              <w:rPr>
                <w:color w:val="000000"/>
                <w:kern w:val="0"/>
                <w:szCs w:val="21"/>
              </w:rPr>
              <w:t>（一）报价要求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4" w:type="pct"/>
            <w:shd w:val="clear" w:color="auto" w:fill="auto"/>
            <w:vAlign w:val="center"/>
          </w:tcPr>
          <w:p>
            <w:pPr>
              <w:widowControl/>
              <w:jc w:val="left"/>
              <w:rPr>
                <w:color w:val="000000"/>
                <w:kern w:val="0"/>
                <w:szCs w:val="21"/>
              </w:rPr>
            </w:pPr>
            <w:r>
              <w:rPr>
                <w:color w:val="000000"/>
                <w:kern w:val="0"/>
                <w:szCs w:val="21"/>
              </w:rPr>
              <w:t>　</w:t>
            </w:r>
          </w:p>
        </w:tc>
        <w:tc>
          <w:tcPr>
            <w:tcW w:w="1274" w:type="pct"/>
            <w:shd w:val="clear" w:color="auto" w:fill="auto"/>
            <w:vAlign w:val="center"/>
          </w:tcPr>
          <w:p>
            <w:pPr>
              <w:widowControl/>
              <w:jc w:val="left"/>
              <w:rPr>
                <w:color w:val="000000"/>
                <w:kern w:val="0"/>
                <w:szCs w:val="21"/>
              </w:rPr>
            </w:pPr>
            <w:r>
              <w:rPr>
                <w:color w:val="000000"/>
                <w:kern w:val="0"/>
                <w:szCs w:val="21"/>
              </w:rPr>
              <w:t>　</w:t>
            </w:r>
          </w:p>
        </w:tc>
        <w:tc>
          <w:tcPr>
            <w:tcW w:w="1457" w:type="pct"/>
            <w:shd w:val="clear" w:color="auto" w:fill="auto"/>
            <w:vAlign w:val="center"/>
          </w:tcPr>
          <w:p>
            <w:pPr>
              <w:widowControl/>
              <w:jc w:val="left"/>
              <w:rPr>
                <w:color w:val="000000"/>
                <w:kern w:val="0"/>
                <w:szCs w:val="21"/>
              </w:rPr>
            </w:pPr>
            <w:r>
              <w:rPr>
                <w:color w:val="000000"/>
                <w:kern w:val="0"/>
                <w:szCs w:val="21"/>
              </w:rPr>
              <w:t>　</w:t>
            </w:r>
          </w:p>
        </w:tc>
        <w:tc>
          <w:tcPr>
            <w:tcW w:w="648" w:type="pct"/>
            <w:shd w:val="clear" w:color="auto" w:fill="auto"/>
            <w:vAlign w:val="center"/>
          </w:tcPr>
          <w:p>
            <w:pPr>
              <w:widowControl/>
              <w:jc w:val="left"/>
              <w:rPr>
                <w:color w:val="000000"/>
                <w:kern w:val="0"/>
                <w:szCs w:val="21"/>
              </w:rPr>
            </w:pPr>
            <w:r>
              <w:rPr>
                <w:color w:val="000000"/>
                <w:kern w:val="0"/>
                <w:szCs w:val="21"/>
              </w:rPr>
              <w:t>　</w:t>
            </w:r>
          </w:p>
        </w:tc>
        <w:tc>
          <w:tcPr>
            <w:tcW w:w="647" w:type="pct"/>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pPr>
              <w:widowControl/>
              <w:jc w:val="left"/>
              <w:rPr>
                <w:color w:val="000000"/>
                <w:kern w:val="0"/>
                <w:szCs w:val="21"/>
              </w:rPr>
            </w:pPr>
            <w:r>
              <w:rPr>
                <w:color w:val="000000"/>
                <w:kern w:val="0"/>
                <w:szCs w:val="21"/>
              </w:rPr>
              <w:t>　</w:t>
            </w:r>
          </w:p>
        </w:tc>
        <w:tc>
          <w:tcPr>
            <w:tcW w:w="1274" w:type="pct"/>
            <w:shd w:val="clear" w:color="auto" w:fill="auto"/>
            <w:vAlign w:val="center"/>
          </w:tcPr>
          <w:p>
            <w:pPr>
              <w:widowControl/>
              <w:jc w:val="left"/>
              <w:rPr>
                <w:color w:val="000000"/>
                <w:kern w:val="0"/>
                <w:szCs w:val="21"/>
              </w:rPr>
            </w:pPr>
            <w:r>
              <w:rPr>
                <w:color w:val="000000"/>
                <w:kern w:val="0"/>
                <w:szCs w:val="21"/>
              </w:rPr>
              <w:t>　</w:t>
            </w:r>
          </w:p>
        </w:tc>
        <w:tc>
          <w:tcPr>
            <w:tcW w:w="1457" w:type="pct"/>
            <w:shd w:val="clear" w:color="auto" w:fill="auto"/>
            <w:vAlign w:val="center"/>
          </w:tcPr>
          <w:p>
            <w:pPr>
              <w:widowControl/>
              <w:jc w:val="left"/>
              <w:rPr>
                <w:color w:val="000000"/>
                <w:kern w:val="0"/>
                <w:szCs w:val="21"/>
              </w:rPr>
            </w:pPr>
            <w:r>
              <w:rPr>
                <w:color w:val="000000"/>
                <w:kern w:val="0"/>
                <w:szCs w:val="21"/>
              </w:rPr>
              <w:t>　</w:t>
            </w:r>
          </w:p>
        </w:tc>
        <w:tc>
          <w:tcPr>
            <w:tcW w:w="648" w:type="pct"/>
            <w:shd w:val="clear" w:color="auto" w:fill="auto"/>
            <w:vAlign w:val="center"/>
          </w:tcPr>
          <w:p>
            <w:pPr>
              <w:widowControl/>
              <w:jc w:val="left"/>
              <w:rPr>
                <w:color w:val="000000"/>
                <w:kern w:val="0"/>
                <w:szCs w:val="21"/>
              </w:rPr>
            </w:pPr>
            <w:r>
              <w:rPr>
                <w:color w:val="000000"/>
                <w:kern w:val="0"/>
                <w:szCs w:val="21"/>
              </w:rPr>
              <w:t>　</w:t>
            </w:r>
          </w:p>
        </w:tc>
        <w:tc>
          <w:tcPr>
            <w:tcW w:w="647" w:type="pct"/>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pPr>
              <w:widowControl/>
              <w:jc w:val="left"/>
              <w:rPr>
                <w:color w:val="000000"/>
                <w:kern w:val="0"/>
                <w:szCs w:val="21"/>
              </w:rPr>
            </w:pPr>
            <w:r>
              <w:rPr>
                <w:color w:val="000000"/>
                <w:kern w:val="0"/>
                <w:szCs w:val="21"/>
              </w:rPr>
              <w:t>　</w:t>
            </w:r>
          </w:p>
        </w:tc>
        <w:tc>
          <w:tcPr>
            <w:tcW w:w="1274" w:type="pct"/>
            <w:shd w:val="clear" w:color="auto" w:fill="auto"/>
            <w:vAlign w:val="center"/>
          </w:tcPr>
          <w:p>
            <w:pPr>
              <w:widowControl/>
              <w:jc w:val="left"/>
              <w:rPr>
                <w:color w:val="000000"/>
                <w:kern w:val="0"/>
                <w:szCs w:val="21"/>
              </w:rPr>
            </w:pPr>
            <w:r>
              <w:rPr>
                <w:color w:val="000000"/>
                <w:kern w:val="0"/>
                <w:szCs w:val="21"/>
              </w:rPr>
              <w:t>　</w:t>
            </w:r>
          </w:p>
        </w:tc>
        <w:tc>
          <w:tcPr>
            <w:tcW w:w="1457" w:type="pct"/>
            <w:shd w:val="clear" w:color="auto" w:fill="auto"/>
            <w:vAlign w:val="center"/>
          </w:tcPr>
          <w:p>
            <w:pPr>
              <w:widowControl/>
              <w:jc w:val="left"/>
              <w:rPr>
                <w:color w:val="000000"/>
                <w:kern w:val="0"/>
                <w:szCs w:val="21"/>
              </w:rPr>
            </w:pPr>
            <w:r>
              <w:rPr>
                <w:color w:val="000000"/>
                <w:kern w:val="0"/>
                <w:szCs w:val="21"/>
              </w:rPr>
              <w:t>　</w:t>
            </w:r>
          </w:p>
        </w:tc>
        <w:tc>
          <w:tcPr>
            <w:tcW w:w="648" w:type="pct"/>
            <w:shd w:val="clear" w:color="auto" w:fill="auto"/>
            <w:vAlign w:val="center"/>
          </w:tcPr>
          <w:p>
            <w:pPr>
              <w:widowControl/>
              <w:jc w:val="left"/>
              <w:rPr>
                <w:color w:val="000000"/>
                <w:kern w:val="0"/>
                <w:szCs w:val="21"/>
              </w:rPr>
            </w:pPr>
            <w:r>
              <w:rPr>
                <w:color w:val="000000"/>
                <w:kern w:val="0"/>
                <w:szCs w:val="21"/>
              </w:rPr>
              <w:t>　</w:t>
            </w:r>
          </w:p>
        </w:tc>
        <w:tc>
          <w:tcPr>
            <w:tcW w:w="647" w:type="pct"/>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pPr>
              <w:widowControl/>
              <w:jc w:val="left"/>
              <w:rPr>
                <w:color w:val="000000"/>
                <w:kern w:val="0"/>
                <w:szCs w:val="21"/>
              </w:rPr>
            </w:pPr>
            <w:r>
              <w:rPr>
                <w:color w:val="000000"/>
                <w:kern w:val="0"/>
                <w:szCs w:val="21"/>
              </w:rPr>
              <w:t>　</w:t>
            </w:r>
          </w:p>
        </w:tc>
        <w:tc>
          <w:tcPr>
            <w:tcW w:w="1274" w:type="pct"/>
            <w:shd w:val="clear" w:color="auto" w:fill="auto"/>
            <w:vAlign w:val="center"/>
          </w:tcPr>
          <w:p>
            <w:pPr>
              <w:widowControl/>
              <w:jc w:val="left"/>
              <w:rPr>
                <w:color w:val="000000"/>
                <w:kern w:val="0"/>
                <w:szCs w:val="21"/>
              </w:rPr>
            </w:pPr>
            <w:r>
              <w:rPr>
                <w:color w:val="000000"/>
                <w:kern w:val="0"/>
                <w:szCs w:val="21"/>
              </w:rPr>
              <w:t>　</w:t>
            </w:r>
          </w:p>
        </w:tc>
        <w:tc>
          <w:tcPr>
            <w:tcW w:w="1457" w:type="pct"/>
            <w:shd w:val="clear" w:color="auto" w:fill="auto"/>
            <w:vAlign w:val="center"/>
          </w:tcPr>
          <w:p>
            <w:pPr>
              <w:widowControl/>
              <w:jc w:val="left"/>
              <w:rPr>
                <w:color w:val="000000"/>
                <w:kern w:val="0"/>
                <w:szCs w:val="21"/>
              </w:rPr>
            </w:pPr>
            <w:r>
              <w:rPr>
                <w:color w:val="000000"/>
                <w:kern w:val="0"/>
                <w:szCs w:val="21"/>
              </w:rPr>
              <w:t>　</w:t>
            </w:r>
          </w:p>
        </w:tc>
        <w:tc>
          <w:tcPr>
            <w:tcW w:w="648" w:type="pct"/>
            <w:shd w:val="clear" w:color="auto" w:fill="auto"/>
            <w:vAlign w:val="center"/>
          </w:tcPr>
          <w:p>
            <w:pPr>
              <w:widowControl/>
              <w:jc w:val="left"/>
              <w:rPr>
                <w:color w:val="000000"/>
                <w:kern w:val="0"/>
                <w:szCs w:val="21"/>
              </w:rPr>
            </w:pPr>
            <w:r>
              <w:rPr>
                <w:color w:val="000000"/>
                <w:kern w:val="0"/>
                <w:szCs w:val="21"/>
              </w:rPr>
              <w:t>　</w:t>
            </w:r>
          </w:p>
        </w:tc>
        <w:tc>
          <w:tcPr>
            <w:tcW w:w="647" w:type="pct"/>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pPr>
              <w:widowControl/>
              <w:jc w:val="left"/>
              <w:rPr>
                <w:color w:val="000000"/>
                <w:kern w:val="0"/>
                <w:szCs w:val="21"/>
              </w:rPr>
            </w:pPr>
            <w:r>
              <w:rPr>
                <w:rFonts w:hint="eastAsia"/>
                <w:color w:val="000000"/>
                <w:kern w:val="0"/>
                <w:szCs w:val="21"/>
              </w:rPr>
              <w:t>（五）验收方法及标准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pPr>
              <w:widowControl/>
              <w:jc w:val="left"/>
              <w:rPr>
                <w:color w:val="000000"/>
                <w:kern w:val="0"/>
                <w:szCs w:val="21"/>
              </w:rPr>
            </w:pPr>
          </w:p>
        </w:tc>
        <w:tc>
          <w:tcPr>
            <w:tcW w:w="1274" w:type="pct"/>
            <w:shd w:val="clear" w:color="auto" w:fill="auto"/>
            <w:vAlign w:val="center"/>
          </w:tcPr>
          <w:p>
            <w:pPr>
              <w:widowControl/>
              <w:jc w:val="left"/>
              <w:rPr>
                <w:color w:val="000000"/>
                <w:kern w:val="0"/>
                <w:szCs w:val="21"/>
              </w:rPr>
            </w:pPr>
          </w:p>
        </w:tc>
        <w:tc>
          <w:tcPr>
            <w:tcW w:w="1457" w:type="pct"/>
            <w:shd w:val="clear" w:color="auto" w:fill="auto"/>
            <w:vAlign w:val="center"/>
          </w:tcPr>
          <w:p>
            <w:pPr>
              <w:widowControl/>
              <w:jc w:val="left"/>
              <w:rPr>
                <w:color w:val="000000"/>
                <w:kern w:val="0"/>
                <w:szCs w:val="21"/>
              </w:rPr>
            </w:pPr>
          </w:p>
        </w:tc>
        <w:tc>
          <w:tcPr>
            <w:tcW w:w="648" w:type="pct"/>
            <w:shd w:val="clear" w:color="auto" w:fill="auto"/>
            <w:vAlign w:val="center"/>
          </w:tcPr>
          <w:p>
            <w:pPr>
              <w:widowControl/>
              <w:jc w:val="left"/>
              <w:rPr>
                <w:color w:val="000000"/>
                <w:kern w:val="0"/>
                <w:szCs w:val="21"/>
              </w:rPr>
            </w:pPr>
          </w:p>
        </w:tc>
        <w:tc>
          <w:tcPr>
            <w:tcW w:w="647" w:type="pct"/>
            <w:shd w:val="clear" w:color="auto" w:fill="auto"/>
            <w:vAlign w:val="center"/>
          </w:tcPr>
          <w:p>
            <w:pPr>
              <w:widowControl/>
              <w:jc w:val="left"/>
              <w:rPr>
                <w:color w:val="000000"/>
                <w:kern w:val="0"/>
                <w:szCs w:val="21"/>
              </w:rPr>
            </w:pPr>
          </w:p>
        </w:tc>
      </w:tr>
    </w:tbl>
    <w:p>
      <w:pPr>
        <w:spacing w:line="360" w:lineRule="auto"/>
        <w:ind w:firstLine="448" w:firstLineChars="200"/>
        <w:rPr>
          <w:sz w:val="24"/>
        </w:rPr>
      </w:pPr>
      <w:r>
        <w:rPr>
          <w:sz w:val="24"/>
        </w:rPr>
        <w:t>注：</w:t>
      </w:r>
    </w:p>
    <w:p>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pPr>
        <w:spacing w:line="360" w:lineRule="auto"/>
        <w:ind w:firstLine="448" w:firstLineChars="200"/>
        <w:rPr>
          <w:sz w:val="24"/>
        </w:rPr>
      </w:pPr>
      <w:r>
        <w:rPr>
          <w:rFonts w:hint="eastAsia"/>
          <w:sz w:val="24"/>
        </w:rPr>
        <w:t>2</w:t>
      </w:r>
      <w:r>
        <w:rPr>
          <w:sz w:val="24"/>
        </w:rPr>
        <w:t>. 不如实填写偏离情况的投标文件将视为虚假材料。</w:t>
      </w:r>
    </w:p>
    <w:p>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pPr>
        <w:spacing w:line="360" w:lineRule="auto"/>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line="360" w:lineRule="auto"/>
        <w:rPr>
          <w:b/>
          <w:sz w:val="24"/>
        </w:rPr>
      </w:pPr>
      <w:r>
        <w:rPr>
          <w:sz w:val="24"/>
        </w:rPr>
        <w:br w:type="page"/>
      </w:r>
      <w:r>
        <w:rPr>
          <w:b/>
          <w:sz w:val="24"/>
        </w:rPr>
        <w:t>附件</w:t>
      </w:r>
      <w:r>
        <w:rPr>
          <w:rFonts w:hint="eastAsia"/>
          <w:b/>
          <w:sz w:val="24"/>
        </w:rPr>
        <w:t>6</w:t>
      </w:r>
    </w:p>
    <w:p>
      <w:pPr>
        <w:spacing w:line="360" w:lineRule="auto"/>
        <w:jc w:val="center"/>
        <w:rPr>
          <w:b/>
          <w:bCs/>
          <w:sz w:val="24"/>
          <w:szCs w:val="24"/>
        </w:rPr>
      </w:pPr>
      <w:r>
        <w:rPr>
          <w:rFonts w:ascii="宋体" w:hAnsi="宋体"/>
          <w:b/>
          <w:bCs/>
          <w:sz w:val="24"/>
          <w:szCs w:val="24"/>
        </w:rPr>
        <w:t>技术要求偏离应答表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szCs w:val="24"/>
          <w:u w:val="single"/>
        </w:rPr>
      </w:pPr>
    </w:p>
    <w:p>
      <w:pPr>
        <w:spacing w:line="360" w:lineRule="auto"/>
        <w:ind w:firstLine="448"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除下表列出的偏离外，与招标文件技术要求完全一致，并承担相应的法律责任。</w:t>
      </w:r>
    </w:p>
    <w:tbl>
      <w:tblPr>
        <w:tblStyle w:val="22"/>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bl>
    <w:p>
      <w:pPr>
        <w:spacing w:line="360" w:lineRule="auto"/>
        <w:ind w:firstLine="448" w:firstLineChars="200"/>
        <w:rPr>
          <w:sz w:val="24"/>
          <w:szCs w:val="24"/>
        </w:rPr>
      </w:pPr>
      <w:r>
        <w:rPr>
          <w:rFonts w:ascii="宋体" w:hAnsi="宋体"/>
          <w:sz w:val="24"/>
          <w:szCs w:val="24"/>
        </w:rPr>
        <w:t>注：</w:t>
      </w:r>
    </w:p>
    <w:p>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pPr>
        <w:spacing w:line="360" w:lineRule="auto"/>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line="360" w:lineRule="auto"/>
        <w:rPr>
          <w:b/>
          <w:sz w:val="24"/>
        </w:rPr>
      </w:pPr>
      <w:r>
        <w:rPr>
          <w:sz w:val="24"/>
        </w:rPr>
        <w:br w:type="page"/>
      </w:r>
      <w:r>
        <w:rPr>
          <w:b/>
          <w:sz w:val="24"/>
        </w:rPr>
        <w:t>附件</w:t>
      </w:r>
      <w:r>
        <w:rPr>
          <w:rFonts w:hint="eastAsia"/>
          <w:b/>
          <w:sz w:val="24"/>
        </w:rPr>
        <w:t>7</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560" w:lineRule="exact"/>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tabs>
          <w:tab w:val="left" w:pos="360"/>
        </w:tabs>
        <w:spacing w:line="360" w:lineRule="auto"/>
        <w:rPr>
          <w:b/>
          <w:sz w:val="24"/>
        </w:rPr>
      </w:pPr>
      <w:r>
        <w:rPr>
          <w:b/>
          <w:sz w:val="24"/>
        </w:rPr>
        <w:t>附件</w:t>
      </w:r>
      <w:r>
        <w:rPr>
          <w:rFonts w:hint="eastAsia"/>
          <w:b/>
          <w:sz w:val="24"/>
        </w:rPr>
        <w:t>8</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pacing w:line="360" w:lineRule="auto"/>
        <w:ind w:firstLine="448" w:firstLineChars="200"/>
        <w:rPr>
          <w:sz w:val="24"/>
          <w:szCs w:val="21"/>
        </w:rPr>
      </w:pPr>
      <w:r>
        <w:rPr>
          <w:sz w:val="24"/>
          <w:szCs w:val="21"/>
        </w:rPr>
        <w:t>本授权书至投标有效期结束前始终有效。</w:t>
      </w:r>
    </w:p>
    <w:p>
      <w:pPr>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480" w:lineRule="auto"/>
        <w:jc w:val="center"/>
        <w:rPr>
          <w:sz w:val="24"/>
        </w:rPr>
      </w:pPr>
      <w:r>
        <w:rPr>
          <w:sz w:val="24"/>
        </w:rPr>
        <w:t xml:space="preserve">     年   月   日 </w:t>
      </w:r>
    </w:p>
    <w:p>
      <w:pPr>
        <w:spacing w:line="360" w:lineRule="auto"/>
        <w:ind w:firstLine="4704" w:firstLineChars="2100"/>
        <w:rPr>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widowControl/>
        <w:jc w:val="left"/>
        <w:rPr>
          <w:sz w:val="24"/>
        </w:rPr>
      </w:pPr>
      <w:r>
        <w:rPr>
          <w:sz w:val="24"/>
        </w:rPr>
        <w:br w:type="page"/>
      </w:r>
    </w:p>
    <w:p>
      <w:pPr>
        <w:autoSpaceDN w:val="0"/>
        <w:spacing w:line="360" w:lineRule="auto"/>
        <w:jc w:val="left"/>
        <w:rPr>
          <w:b/>
          <w:bCs/>
          <w:sz w:val="24"/>
        </w:rPr>
      </w:pPr>
      <w:r>
        <w:rPr>
          <w:b/>
          <w:bCs/>
          <w:sz w:val="24"/>
        </w:rPr>
        <w:t>附件</w:t>
      </w:r>
      <w:r>
        <w:rPr>
          <w:rFonts w:hint="eastAsia"/>
          <w:b/>
          <w:bCs/>
          <w:sz w:val="24"/>
        </w:rPr>
        <w:t>9-1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rFonts w:hint="eastAsia"/>
          <w:sz w:val="24"/>
          <w:szCs w:val="24"/>
          <w:u w:val="single"/>
        </w:rPr>
        <w:t>软件和信息技术服务业</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firstLine="448" w:firstLineChars="200"/>
        <w:rPr>
          <w:b/>
          <w:sz w:val="24"/>
          <w:szCs w:val="24"/>
        </w:rPr>
      </w:pPr>
      <w:r>
        <w:rPr>
          <w:b/>
          <w:sz w:val="24"/>
          <w:szCs w:val="24"/>
        </w:rPr>
        <w:t>1.标的名称须按照采购文件中明确的标的名称进行填写；所属行业须按照采购文件中明确的所属行业进行填写。</w:t>
      </w:r>
    </w:p>
    <w:p>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pPr>
        <w:widowControl/>
        <w:jc w:val="left"/>
        <w:rPr>
          <w:sz w:val="24"/>
        </w:rPr>
      </w:pPr>
      <w:r>
        <w:rPr>
          <w:sz w:val="24"/>
        </w:rPr>
        <w:br w:type="page"/>
      </w:r>
    </w:p>
    <w:p>
      <w:pPr>
        <w:autoSpaceDN w:val="0"/>
        <w:spacing w:line="360" w:lineRule="auto"/>
        <w:rPr>
          <w:b/>
          <w:bCs/>
          <w:sz w:val="24"/>
        </w:rPr>
      </w:pPr>
      <w:bookmarkStart w:id="8" w:name="OLE_LINK14"/>
      <w:bookmarkStart w:id="9" w:name="OLE_LINK13"/>
      <w:r>
        <w:rPr>
          <w:rFonts w:hint="eastAsia"/>
          <w:b/>
          <w:bCs/>
          <w:sz w:val="24"/>
        </w:rPr>
        <w:t>附件9-2</w:t>
      </w:r>
    </w:p>
    <w:bookmarkEnd w:id="8"/>
    <w:bookmarkEnd w:id="9"/>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snapToGrid w:val="0"/>
        <w:spacing w:line="360" w:lineRule="auto"/>
        <w:ind w:firstLine="448" w:firstLineChars="200"/>
        <w:rPr>
          <w:color w:val="FF0000"/>
          <w:sz w:val="24"/>
          <w:szCs w:val="21"/>
        </w:rPr>
      </w:pPr>
    </w:p>
    <w:p>
      <w:pPr>
        <w:snapToGrid w:val="0"/>
        <w:spacing w:line="360" w:lineRule="auto"/>
        <w:ind w:firstLine="448" w:firstLineChars="200"/>
        <w:jc w:val="left"/>
        <w:rPr>
          <w:sz w:val="24"/>
          <w:szCs w:val="21"/>
        </w:rPr>
      </w:pPr>
    </w:p>
    <w:p>
      <w:pPr>
        <w:spacing w:line="360" w:lineRule="auto"/>
        <w:ind w:right="84" w:firstLine="224" w:firstLineChars="100"/>
        <w:rPr>
          <w:position w:val="-40"/>
          <w:sz w:val="24"/>
        </w:rPr>
      </w:pPr>
    </w:p>
    <w:p>
      <w:pPr>
        <w:tabs>
          <w:tab w:val="left" w:pos="360"/>
        </w:tabs>
        <w:spacing w:line="360" w:lineRule="auto"/>
        <w:rPr>
          <w:b/>
          <w:sz w:val="24"/>
        </w:rPr>
      </w:pPr>
      <w:r>
        <w:rPr>
          <w:sz w:val="24"/>
        </w:rPr>
        <w:br w:type="page"/>
      </w:r>
      <w:r>
        <w:rPr>
          <w:b/>
          <w:sz w:val="24"/>
        </w:rPr>
        <w:t>附件</w:t>
      </w:r>
      <w:r>
        <w:rPr>
          <w:rFonts w:hint="eastAsia"/>
          <w:b/>
          <w:sz w:val="24"/>
        </w:rPr>
        <w:t>10</w:t>
      </w:r>
    </w:p>
    <w:p>
      <w:pPr>
        <w:autoSpaceDN w:val="0"/>
        <w:spacing w:line="360" w:lineRule="auto"/>
        <w:jc w:val="center"/>
        <w:rPr>
          <w:b/>
          <w:bCs/>
          <w:sz w:val="24"/>
        </w:rPr>
      </w:pPr>
      <w:r>
        <w:rPr>
          <w:b/>
          <w:bCs/>
          <w:sz w:val="24"/>
        </w:rPr>
        <w:t>政府采购政策情况表</w:t>
      </w:r>
    </w:p>
    <w:p>
      <w:pPr>
        <w:spacing w:line="460" w:lineRule="exact"/>
        <w:jc w:val="center"/>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firstLine="6944" w:firstLineChars="3100"/>
        <w:rPr>
          <w:sz w:val="24"/>
        </w:rPr>
      </w:pPr>
    </w:p>
    <w:p>
      <w:pPr>
        <w:spacing w:line="460" w:lineRule="exact"/>
        <w:rPr>
          <w:sz w:val="24"/>
        </w:rPr>
      </w:pPr>
      <w:r>
        <w:rPr>
          <w:sz w:val="24"/>
        </w:rPr>
        <w:t>填报要求：</w:t>
      </w:r>
    </w:p>
    <w:p>
      <w:pPr>
        <w:spacing w:line="460" w:lineRule="exact"/>
        <w:rPr>
          <w:sz w:val="24"/>
        </w:rPr>
      </w:pPr>
      <w:r>
        <w:rPr>
          <w:sz w:val="24"/>
        </w:rPr>
        <w:t>1.本表的产品名称、品牌型号、金额应与《开标分项一览表》一致。</w:t>
      </w:r>
    </w:p>
    <w:p>
      <w:pPr>
        <w:spacing w:line="460" w:lineRule="exact"/>
        <w:rPr>
          <w:sz w:val="24"/>
        </w:rPr>
      </w:pPr>
      <w:r>
        <w:rPr>
          <w:sz w:val="24"/>
        </w:rPr>
        <w:t>2.“制造商企业类型”栏填写内容为“微型”、“小型”、“监狱企业”或“残疾人福利性单位”。</w:t>
      </w:r>
    </w:p>
    <w:p>
      <w:pPr>
        <w:spacing w:line="460" w:lineRule="exact"/>
        <w:rPr>
          <w:sz w:val="24"/>
        </w:rPr>
      </w:pPr>
      <w:r>
        <w:rPr>
          <w:sz w:val="24"/>
        </w:rPr>
        <w:t>3. 环境标志产品是指财政部、生态环境部发布现行的《环境标志产品政府采购品目清单》中的产品；节能产品是指财政部和国家发展</w:t>
      </w:r>
      <w:r>
        <w:rPr>
          <w:rFonts w:hint="eastAsia"/>
          <w:sz w:val="24"/>
          <w:lang w:eastAsia="zh-CN"/>
        </w:rPr>
        <w:t>和</w:t>
      </w:r>
      <w:bookmarkStart w:id="10" w:name="_GoBack"/>
      <w:bookmarkEnd w:id="10"/>
      <w:r>
        <w:rPr>
          <w:sz w:val="24"/>
        </w:rPr>
        <w:t>改革委员会公布现行的《节能产品政府采购品目清单》中的产品。提供相关产品认证证书。</w:t>
      </w:r>
    </w:p>
    <w:p>
      <w:pPr>
        <w:spacing w:line="460" w:lineRule="exact"/>
        <w:rPr>
          <w:sz w:val="24"/>
        </w:rPr>
      </w:pPr>
      <w:r>
        <w:rPr>
          <w:sz w:val="24"/>
        </w:rPr>
        <w:t>4. 请投标人正确填写本表，所填内容将作为评审的依据。其内容或数据应与对应的证明资料相符，如果填写不完整或有误，不再享受上述政策优惠。</w:t>
      </w:r>
    </w:p>
    <w:p>
      <w:pPr>
        <w:spacing w:line="460" w:lineRule="exact"/>
        <w:ind w:firstLine="6720" w:firstLineChars="3000"/>
        <w:rPr>
          <w:sz w:val="24"/>
        </w:rPr>
      </w:pPr>
      <w:r>
        <w:rPr>
          <w:sz w:val="24"/>
        </w:rPr>
        <w:t>单位：元</w:t>
      </w:r>
    </w:p>
    <w:tbl>
      <w:tblPr>
        <w:tblStyle w:val="22"/>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2"/>
        <w:gridCol w:w="1565"/>
        <w:gridCol w:w="1352"/>
        <w:gridCol w:w="1622"/>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pPr>
              <w:pStyle w:val="42"/>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pPr>
              <w:pStyle w:val="42"/>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pPr>
              <w:pStyle w:val="42"/>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pPr>
              <w:pStyle w:val="42"/>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pPr>
              <w:pStyle w:val="42"/>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pPr>
              <w:pStyle w:val="42"/>
              <w:tabs>
                <w:tab w:val="left" w:pos="1260"/>
              </w:tabs>
              <w:adjustRightInd w:val="0"/>
              <w:snapToGrid w:val="0"/>
              <w:jc w:val="center"/>
              <w:rPr>
                <w:szCs w:val="21"/>
                <w:lang w:val="en-GB"/>
              </w:rPr>
            </w:pPr>
            <w:r>
              <w:rPr>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vAlign w:val="center"/>
          </w:tcPr>
          <w:p>
            <w:pPr>
              <w:pStyle w:val="42"/>
              <w:tabs>
                <w:tab w:val="left" w:pos="1260"/>
              </w:tabs>
              <w:adjustRightInd w:val="0"/>
              <w:snapToGrid w:val="0"/>
              <w:jc w:val="center"/>
              <w:rPr>
                <w:szCs w:val="21"/>
                <w:lang w:val="en-GB"/>
              </w:rPr>
            </w:pP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vAlign w:val="center"/>
          </w:tcPr>
          <w:p>
            <w:pPr>
              <w:pStyle w:val="42"/>
              <w:tabs>
                <w:tab w:val="left" w:pos="1260"/>
              </w:tabs>
              <w:adjustRightInd w:val="0"/>
              <w:snapToGrid w:val="0"/>
              <w:jc w:val="center"/>
              <w:rPr>
                <w:szCs w:val="21"/>
                <w:lang w:val="en-GB"/>
              </w:rPr>
            </w:pP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3581" w:type="pct"/>
            <w:gridSpan w:val="4"/>
            <w:shd w:val="clear" w:color="auto" w:fill="auto"/>
            <w:vAlign w:val="center"/>
          </w:tcPr>
          <w:p>
            <w:pPr>
              <w:pStyle w:val="42"/>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pPr>
              <w:pStyle w:val="42"/>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3581" w:type="pct"/>
            <w:gridSpan w:val="4"/>
            <w:shd w:val="clear" w:color="auto" w:fill="auto"/>
            <w:vAlign w:val="center"/>
          </w:tcPr>
          <w:p>
            <w:pPr>
              <w:pStyle w:val="42"/>
              <w:tabs>
                <w:tab w:val="left" w:pos="1260"/>
              </w:tabs>
              <w:adjustRightInd w:val="0"/>
              <w:snapToGrid w:val="0"/>
              <w:jc w:val="center"/>
              <w:rPr>
                <w:szCs w:val="21"/>
                <w:lang w:val="en-GB"/>
              </w:rPr>
            </w:pPr>
            <w:r>
              <w:rPr>
                <w:szCs w:val="21"/>
                <w:lang w:val="en-GB"/>
              </w:rPr>
              <w:t>比重（环境标志产品金额/所投包投标总价）*100%</w:t>
            </w:r>
          </w:p>
        </w:tc>
        <w:tc>
          <w:tcPr>
            <w:tcW w:w="863" w:type="pct"/>
            <w:shd w:val="clear" w:color="auto" w:fill="auto"/>
            <w:vAlign w:val="center"/>
          </w:tcPr>
          <w:p>
            <w:pPr>
              <w:pStyle w:val="42"/>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4444" w:type="pct"/>
            <w:gridSpan w:val="5"/>
            <w:shd w:val="clear" w:color="auto" w:fill="auto"/>
            <w:vAlign w:val="center"/>
          </w:tcPr>
          <w:p>
            <w:pPr>
              <w:pStyle w:val="42"/>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2"/>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pPr>
              <w:pStyle w:val="42"/>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pPr>
              <w:pStyle w:val="42"/>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pPr>
              <w:pStyle w:val="42"/>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pPr>
              <w:pStyle w:val="42"/>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pPr>
              <w:pStyle w:val="42"/>
              <w:tabs>
                <w:tab w:val="left" w:pos="1260"/>
              </w:tabs>
              <w:adjustRightInd w:val="0"/>
              <w:snapToGrid w:val="0"/>
              <w:jc w:val="center"/>
              <w:rPr>
                <w:szCs w:val="21"/>
                <w:lang w:val="en-GB"/>
              </w:rPr>
            </w:pPr>
            <w:r>
              <w:rPr>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vAlign w:val="center"/>
          </w:tcPr>
          <w:p>
            <w:pPr>
              <w:pStyle w:val="42"/>
              <w:tabs>
                <w:tab w:val="left" w:pos="1260"/>
              </w:tabs>
              <w:adjustRightInd w:val="0"/>
              <w:snapToGrid w:val="0"/>
              <w:jc w:val="center"/>
              <w:rPr>
                <w:szCs w:val="21"/>
                <w:lang w:val="en-GB"/>
              </w:rPr>
            </w:pP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vAlign w:val="center"/>
          </w:tcPr>
          <w:p>
            <w:pPr>
              <w:pStyle w:val="42"/>
              <w:tabs>
                <w:tab w:val="left" w:pos="1260"/>
              </w:tabs>
              <w:adjustRightInd w:val="0"/>
              <w:snapToGrid w:val="0"/>
              <w:jc w:val="center"/>
              <w:rPr>
                <w:szCs w:val="21"/>
                <w:lang w:val="en-GB"/>
              </w:rPr>
            </w:pP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3581" w:type="pct"/>
            <w:gridSpan w:val="4"/>
            <w:shd w:val="clear" w:color="auto" w:fill="auto"/>
            <w:vAlign w:val="center"/>
          </w:tcPr>
          <w:p>
            <w:pPr>
              <w:pStyle w:val="42"/>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pPr>
              <w:pStyle w:val="42"/>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3581" w:type="pct"/>
            <w:gridSpan w:val="4"/>
            <w:shd w:val="clear" w:color="auto" w:fill="auto"/>
            <w:vAlign w:val="center"/>
          </w:tcPr>
          <w:p>
            <w:pPr>
              <w:pStyle w:val="42"/>
              <w:tabs>
                <w:tab w:val="left" w:pos="1260"/>
              </w:tabs>
              <w:adjustRightInd w:val="0"/>
              <w:snapToGrid w:val="0"/>
              <w:jc w:val="center"/>
              <w:rPr>
                <w:szCs w:val="21"/>
                <w:lang w:val="en-GB"/>
              </w:rPr>
            </w:pPr>
            <w:r>
              <w:rPr>
                <w:szCs w:val="21"/>
                <w:lang w:val="en-GB"/>
              </w:rPr>
              <w:t>比重（节能产品金额/投标所投包总价）*100%</w:t>
            </w:r>
          </w:p>
        </w:tc>
        <w:tc>
          <w:tcPr>
            <w:tcW w:w="863" w:type="pct"/>
            <w:shd w:val="clear" w:color="auto" w:fill="auto"/>
            <w:vAlign w:val="center"/>
          </w:tcPr>
          <w:p>
            <w:pPr>
              <w:pStyle w:val="42"/>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4444" w:type="pct"/>
            <w:gridSpan w:val="5"/>
            <w:shd w:val="clear" w:color="auto" w:fill="auto"/>
            <w:vAlign w:val="center"/>
          </w:tcPr>
          <w:p>
            <w:pPr>
              <w:pStyle w:val="42"/>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2"/>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pPr>
              <w:pStyle w:val="42"/>
              <w:tabs>
                <w:tab w:val="left" w:pos="1260"/>
              </w:tabs>
              <w:adjustRightInd w:val="0"/>
              <w:snapToGrid w:val="0"/>
              <w:rPr>
                <w:b/>
                <w:szCs w:val="21"/>
              </w:rPr>
            </w:pPr>
            <w:r>
              <w:rPr>
                <w:b/>
                <w:szCs w:val="21"/>
              </w:rPr>
              <w:t>1.所投货物中有大型企业制造的，不享受中小企业扶持政策，无需填写以下内容</w:t>
            </w:r>
          </w:p>
          <w:p>
            <w:pPr>
              <w:pStyle w:val="42"/>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pPr>
              <w:pStyle w:val="42"/>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pPr>
              <w:pStyle w:val="42"/>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pPr>
              <w:pStyle w:val="42"/>
              <w:tabs>
                <w:tab w:val="left" w:pos="1260"/>
              </w:tabs>
              <w:adjustRightInd w:val="0"/>
              <w:snapToGrid w:val="0"/>
              <w:jc w:val="center"/>
              <w:rPr>
                <w:szCs w:val="21"/>
                <w:lang w:val="en-GB"/>
              </w:rPr>
            </w:pPr>
            <w:r>
              <w:rPr>
                <w:szCs w:val="21"/>
                <w:lang w:val="en-GB"/>
              </w:rPr>
              <w:t>制造商</w:t>
            </w:r>
          </w:p>
          <w:p>
            <w:pPr>
              <w:pStyle w:val="42"/>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pPr>
              <w:pStyle w:val="42"/>
              <w:tabs>
                <w:tab w:val="left" w:pos="1260"/>
              </w:tabs>
              <w:adjustRightInd w:val="0"/>
              <w:snapToGrid w:val="0"/>
              <w:jc w:val="center"/>
              <w:rPr>
                <w:szCs w:val="21"/>
                <w:lang w:val="en-GB"/>
              </w:rPr>
            </w:pPr>
            <w:r>
              <w:rPr>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tcPr>
          <w:p>
            <w:pPr>
              <w:adjustRightInd w:val="0"/>
              <w:snapToGrid w:val="0"/>
              <w:rPr>
                <w:szCs w:val="21"/>
              </w:rPr>
            </w:pPr>
            <w:r>
              <w:rPr>
                <w:szCs w:val="21"/>
                <w:lang w:val="en-GB"/>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tcPr>
          <w:p>
            <w:pPr>
              <w:adjustRightInd w:val="0"/>
              <w:snapToGrid w:val="0"/>
              <w:rPr>
                <w:szCs w:val="21"/>
              </w:rPr>
            </w:pPr>
            <w:r>
              <w:rPr>
                <w:szCs w:val="21"/>
                <w:lang w:val="en-GB"/>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tcPr>
          <w:p>
            <w:pPr>
              <w:adjustRightInd w:val="0"/>
              <w:snapToGrid w:val="0"/>
              <w:rPr>
                <w:szCs w:val="21"/>
              </w:rPr>
            </w:pPr>
            <w:r>
              <w:rPr>
                <w:szCs w:val="21"/>
                <w:lang w:val="en-GB"/>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tcPr>
          <w:p>
            <w:pPr>
              <w:adjustRightInd w:val="0"/>
              <w:snapToGrid w:val="0"/>
              <w:rPr>
                <w:szCs w:val="21"/>
              </w:rPr>
            </w:pPr>
            <w:r>
              <w:rPr>
                <w:szCs w:val="21"/>
                <w:lang w:val="en-GB"/>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vAlign w:val="center"/>
          </w:tcPr>
          <w:p>
            <w:pPr>
              <w:pStyle w:val="42"/>
              <w:tabs>
                <w:tab w:val="left" w:pos="1260"/>
              </w:tabs>
              <w:adjustRightInd w:val="0"/>
              <w:snapToGrid w:val="0"/>
              <w:jc w:val="center"/>
              <w:rPr>
                <w:szCs w:val="21"/>
                <w:lang w:val="en-GB"/>
              </w:rPr>
            </w:pP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886" w:type="pct"/>
            <w:shd w:val="clear" w:color="auto" w:fill="auto"/>
            <w:vAlign w:val="center"/>
          </w:tcPr>
          <w:p>
            <w:pPr>
              <w:pStyle w:val="42"/>
              <w:tabs>
                <w:tab w:val="left" w:pos="1260"/>
              </w:tabs>
              <w:adjustRightInd w:val="0"/>
              <w:snapToGrid w:val="0"/>
              <w:jc w:val="center"/>
              <w:rPr>
                <w:szCs w:val="21"/>
                <w:lang w:val="en-GB"/>
              </w:rPr>
            </w:pPr>
          </w:p>
        </w:tc>
        <w:tc>
          <w:tcPr>
            <w:tcW w:w="929" w:type="pct"/>
            <w:shd w:val="clear" w:color="auto" w:fill="auto"/>
            <w:vAlign w:val="center"/>
          </w:tcPr>
          <w:p>
            <w:pPr>
              <w:pStyle w:val="42"/>
              <w:tabs>
                <w:tab w:val="left" w:pos="1260"/>
              </w:tabs>
              <w:adjustRightInd w:val="0"/>
              <w:snapToGrid w:val="0"/>
              <w:jc w:val="center"/>
              <w:rPr>
                <w:szCs w:val="21"/>
                <w:lang w:val="en-GB"/>
              </w:rPr>
            </w:pPr>
          </w:p>
        </w:tc>
        <w:tc>
          <w:tcPr>
            <w:tcW w:w="803" w:type="pct"/>
            <w:shd w:val="clear" w:color="auto" w:fill="auto"/>
            <w:vAlign w:val="center"/>
          </w:tcPr>
          <w:p>
            <w:pPr>
              <w:pStyle w:val="42"/>
              <w:tabs>
                <w:tab w:val="left" w:pos="1260"/>
              </w:tabs>
              <w:adjustRightInd w:val="0"/>
              <w:snapToGrid w:val="0"/>
              <w:jc w:val="center"/>
              <w:rPr>
                <w:szCs w:val="21"/>
                <w:lang w:val="en-GB"/>
              </w:rPr>
            </w:pPr>
          </w:p>
        </w:tc>
        <w:tc>
          <w:tcPr>
            <w:tcW w:w="963" w:type="pct"/>
            <w:shd w:val="clear" w:color="auto" w:fill="auto"/>
            <w:vAlign w:val="center"/>
          </w:tcPr>
          <w:p>
            <w:pPr>
              <w:pStyle w:val="42"/>
              <w:tabs>
                <w:tab w:val="left" w:pos="1260"/>
              </w:tabs>
              <w:adjustRightInd w:val="0"/>
              <w:snapToGrid w:val="0"/>
              <w:jc w:val="center"/>
              <w:rPr>
                <w:szCs w:val="21"/>
                <w:lang w:val="en-GB"/>
              </w:rPr>
            </w:pPr>
          </w:p>
        </w:tc>
        <w:tc>
          <w:tcPr>
            <w:tcW w:w="863" w:type="pct"/>
            <w:shd w:val="clear" w:color="auto" w:fill="auto"/>
            <w:vAlign w:val="center"/>
          </w:tcPr>
          <w:p>
            <w:pPr>
              <w:pStyle w:val="42"/>
              <w:tabs>
                <w:tab w:val="left" w:pos="1260"/>
              </w:tabs>
              <w:adjustRightInd w:val="0"/>
              <w:snapToGrid w:val="0"/>
              <w:jc w:val="center"/>
              <w:rPr>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3581" w:type="pct"/>
            <w:gridSpan w:val="4"/>
            <w:shd w:val="clear" w:color="auto" w:fill="auto"/>
            <w:vAlign w:val="center"/>
          </w:tcPr>
          <w:p>
            <w:pPr>
              <w:pStyle w:val="42"/>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pPr>
              <w:pStyle w:val="42"/>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pPr>
              <w:pStyle w:val="42"/>
              <w:tabs>
                <w:tab w:val="left" w:pos="1260"/>
              </w:tabs>
              <w:adjustRightInd w:val="0"/>
              <w:snapToGrid w:val="0"/>
              <w:jc w:val="center"/>
              <w:rPr>
                <w:szCs w:val="21"/>
                <w:lang w:val="en-GB"/>
              </w:rPr>
            </w:pPr>
          </w:p>
        </w:tc>
        <w:tc>
          <w:tcPr>
            <w:tcW w:w="3581" w:type="pct"/>
            <w:gridSpan w:val="4"/>
            <w:shd w:val="clear" w:color="auto" w:fill="auto"/>
            <w:vAlign w:val="center"/>
          </w:tcPr>
          <w:p>
            <w:pPr>
              <w:pStyle w:val="42"/>
              <w:tabs>
                <w:tab w:val="left" w:pos="1260"/>
              </w:tabs>
              <w:adjustRightInd w:val="0"/>
              <w:snapToGrid w:val="0"/>
              <w:jc w:val="center"/>
              <w:rPr>
                <w:szCs w:val="21"/>
                <w:lang w:val="en-GB"/>
              </w:rPr>
            </w:pPr>
            <w:r>
              <w:rPr>
                <w:szCs w:val="21"/>
                <w:lang w:val="en-GB"/>
              </w:rPr>
              <w:t>比重（小微企业（含监狱企业、残疾人福利性单位）制造的货物金额/所投包投标总价）*100%</w:t>
            </w:r>
          </w:p>
        </w:tc>
        <w:tc>
          <w:tcPr>
            <w:tcW w:w="863" w:type="pct"/>
            <w:shd w:val="clear" w:color="auto" w:fill="auto"/>
            <w:vAlign w:val="center"/>
          </w:tcPr>
          <w:p>
            <w:pPr>
              <w:pStyle w:val="42"/>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pPr>
              <w:pStyle w:val="42"/>
              <w:tabs>
                <w:tab w:val="left" w:pos="1260"/>
              </w:tabs>
              <w:adjustRightInd w:val="0"/>
              <w:snapToGrid w:val="0"/>
              <w:rPr>
                <w:szCs w:val="21"/>
              </w:rPr>
            </w:pPr>
            <w:r>
              <w:rPr>
                <w:szCs w:val="21"/>
              </w:rPr>
              <w:t>如属于中小企业，须提供《中小企业声明函》。</w:t>
            </w:r>
          </w:p>
          <w:p>
            <w:pPr>
              <w:pStyle w:val="42"/>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pPr>
              <w:pStyle w:val="42"/>
              <w:tabs>
                <w:tab w:val="left" w:pos="1260"/>
              </w:tabs>
              <w:adjustRightInd w:val="0"/>
              <w:snapToGrid w:val="0"/>
              <w:rPr>
                <w:szCs w:val="21"/>
              </w:rPr>
            </w:pPr>
            <w:r>
              <w:rPr>
                <w:szCs w:val="21"/>
              </w:rPr>
              <w:t>如属于监狱企业，须提供由省级以上监狱管理局、戒毒管理局(含新疆生产建设兵团)出具的属于监狱企业的证明文件。</w:t>
            </w:r>
          </w:p>
          <w:p>
            <w:pPr>
              <w:pStyle w:val="42"/>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pPr>
              <w:pStyle w:val="42"/>
              <w:tabs>
                <w:tab w:val="left" w:pos="1260"/>
              </w:tabs>
              <w:adjustRightInd w:val="0"/>
              <w:snapToGrid w:val="0"/>
              <w:rPr>
                <w:szCs w:val="21"/>
              </w:rPr>
            </w:pPr>
            <w:r>
              <w:rPr>
                <w:szCs w:val="21"/>
              </w:rPr>
              <w:t>如属于残疾人福利性单位，须提供《残疾人福利性单位声明函》。</w:t>
            </w:r>
          </w:p>
          <w:p>
            <w:pPr>
              <w:pStyle w:val="42"/>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pPr>
              <w:pStyle w:val="42"/>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pPr>
              <w:pStyle w:val="42"/>
              <w:tabs>
                <w:tab w:val="left" w:pos="1260"/>
              </w:tabs>
              <w:adjustRightInd w:val="0"/>
              <w:snapToGrid w:val="0"/>
              <w:rPr>
                <w:szCs w:val="21"/>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pPr>
        <w:spacing w:line="360" w:lineRule="auto"/>
        <w:ind w:firstLine="448" w:firstLineChars="200"/>
        <w:outlineLvl w:val="0"/>
        <w:rPr>
          <w:sz w:val="24"/>
        </w:rPr>
      </w:pPr>
    </w:p>
    <w:p>
      <w:pPr>
        <w:spacing w:line="360" w:lineRule="auto"/>
        <w:ind w:firstLine="3808" w:firstLineChars="1700"/>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560" w:lineRule="exact"/>
        <w:jc w:val="center"/>
        <w:rPr>
          <w:sz w:val="24"/>
        </w:rPr>
      </w:pPr>
      <w:r>
        <w:rPr>
          <w:sz w:val="24"/>
        </w:rPr>
        <w:br w:type="page"/>
      </w:r>
    </w:p>
    <w:p>
      <w:pPr>
        <w:snapToGrid w:val="0"/>
        <w:spacing w:line="360" w:lineRule="auto"/>
        <w:rPr>
          <w:b/>
          <w:bCs/>
          <w:sz w:val="24"/>
        </w:rPr>
      </w:pPr>
      <w:r>
        <w:rPr>
          <w:b/>
          <w:sz w:val="24"/>
          <w:szCs w:val="21"/>
        </w:rPr>
        <w:t>附件1</w:t>
      </w:r>
      <w:r>
        <w:rPr>
          <w:rFonts w:hint="eastAsia"/>
          <w:b/>
          <w:sz w:val="24"/>
          <w:szCs w:val="21"/>
        </w:rPr>
        <w:t>1</w:t>
      </w:r>
      <w:r>
        <w:rPr>
          <w:b/>
          <w:sz w:val="24"/>
          <w:szCs w:val="21"/>
        </w:rPr>
        <w:t>：</w:t>
      </w:r>
      <w:r>
        <w:rPr>
          <w:b/>
          <w:sz w:val="24"/>
        </w:rPr>
        <w:t>招标文件</w:t>
      </w:r>
      <w:r>
        <w:rPr>
          <w:b/>
          <w:bCs/>
          <w:sz w:val="24"/>
        </w:rPr>
        <w:t>评分因素及评标标准中要求的证明材料扫描件、方案等</w:t>
      </w:r>
    </w:p>
    <w:p>
      <w:pPr>
        <w:snapToGrid w:val="0"/>
        <w:spacing w:line="360" w:lineRule="auto"/>
        <w:rPr>
          <w:b/>
          <w:sz w:val="24"/>
          <w:szCs w:val="21"/>
        </w:rPr>
      </w:pPr>
      <w:r>
        <w:rPr>
          <w:b/>
          <w:bCs/>
          <w:sz w:val="24"/>
        </w:rPr>
        <w:t>附件1</w:t>
      </w:r>
      <w:r>
        <w:rPr>
          <w:rFonts w:hint="eastAsia"/>
          <w:b/>
          <w:bCs/>
          <w:sz w:val="24"/>
        </w:rPr>
        <w:t>2</w:t>
      </w:r>
      <w:r>
        <w:rPr>
          <w:b/>
          <w:bCs/>
          <w:sz w:val="24"/>
        </w:rPr>
        <w:t>：</w:t>
      </w:r>
      <w:r>
        <w:rPr>
          <w:b/>
          <w:sz w:val="24"/>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10</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071E"/>
    <w:rsid w:val="000518D4"/>
    <w:rsid w:val="000520AC"/>
    <w:rsid w:val="00053294"/>
    <w:rsid w:val="00055FEB"/>
    <w:rsid w:val="00056208"/>
    <w:rsid w:val="0005643C"/>
    <w:rsid w:val="00056EF3"/>
    <w:rsid w:val="000607D4"/>
    <w:rsid w:val="0006104E"/>
    <w:rsid w:val="00065BDD"/>
    <w:rsid w:val="00066920"/>
    <w:rsid w:val="00067B4D"/>
    <w:rsid w:val="00067C9A"/>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2FCE"/>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57B85"/>
    <w:rsid w:val="00161A5D"/>
    <w:rsid w:val="00161E8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3D5"/>
    <w:rsid w:val="001C0E64"/>
    <w:rsid w:val="001C1981"/>
    <w:rsid w:val="001C4A2D"/>
    <w:rsid w:val="001C50CC"/>
    <w:rsid w:val="001C6F32"/>
    <w:rsid w:val="001C7F50"/>
    <w:rsid w:val="001D0EB0"/>
    <w:rsid w:val="001D1850"/>
    <w:rsid w:val="001D249B"/>
    <w:rsid w:val="001D4FB9"/>
    <w:rsid w:val="001D619B"/>
    <w:rsid w:val="001E205B"/>
    <w:rsid w:val="001E2BA2"/>
    <w:rsid w:val="001E3387"/>
    <w:rsid w:val="001E3CB7"/>
    <w:rsid w:val="001F036B"/>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0FA"/>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13D0"/>
    <w:rsid w:val="002A23F3"/>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00"/>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4460"/>
    <w:rsid w:val="0036751A"/>
    <w:rsid w:val="00367868"/>
    <w:rsid w:val="0037009C"/>
    <w:rsid w:val="0037085F"/>
    <w:rsid w:val="00373C07"/>
    <w:rsid w:val="003742C6"/>
    <w:rsid w:val="00374D2C"/>
    <w:rsid w:val="00377781"/>
    <w:rsid w:val="00380006"/>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19F8"/>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072"/>
    <w:rsid w:val="00463D4B"/>
    <w:rsid w:val="00467902"/>
    <w:rsid w:val="00467BBC"/>
    <w:rsid w:val="0047030D"/>
    <w:rsid w:val="00470CBB"/>
    <w:rsid w:val="00471BA8"/>
    <w:rsid w:val="00472C82"/>
    <w:rsid w:val="004739E8"/>
    <w:rsid w:val="00473D87"/>
    <w:rsid w:val="004740E4"/>
    <w:rsid w:val="00477597"/>
    <w:rsid w:val="00477E16"/>
    <w:rsid w:val="00480BCD"/>
    <w:rsid w:val="00480CF1"/>
    <w:rsid w:val="00481F1E"/>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13B7"/>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2A14"/>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1B44"/>
    <w:rsid w:val="006437B9"/>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871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1233"/>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152"/>
    <w:rsid w:val="007532A0"/>
    <w:rsid w:val="00755358"/>
    <w:rsid w:val="007558DB"/>
    <w:rsid w:val="00755AB9"/>
    <w:rsid w:val="00756414"/>
    <w:rsid w:val="00757FB9"/>
    <w:rsid w:val="00760746"/>
    <w:rsid w:val="00764A75"/>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6047"/>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BA3"/>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E7F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3F9C"/>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1EB2"/>
    <w:rsid w:val="00A2223B"/>
    <w:rsid w:val="00A251A6"/>
    <w:rsid w:val="00A252F0"/>
    <w:rsid w:val="00A25A4B"/>
    <w:rsid w:val="00A264A9"/>
    <w:rsid w:val="00A26C90"/>
    <w:rsid w:val="00A270E7"/>
    <w:rsid w:val="00A27606"/>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27E9"/>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B7982"/>
    <w:rsid w:val="00AC04F7"/>
    <w:rsid w:val="00AC0B2F"/>
    <w:rsid w:val="00AC1B14"/>
    <w:rsid w:val="00AC22A6"/>
    <w:rsid w:val="00AC6628"/>
    <w:rsid w:val="00AC664D"/>
    <w:rsid w:val="00AC6CC6"/>
    <w:rsid w:val="00AC74ED"/>
    <w:rsid w:val="00AC7CD8"/>
    <w:rsid w:val="00AD10DB"/>
    <w:rsid w:val="00AD1D28"/>
    <w:rsid w:val="00AD3464"/>
    <w:rsid w:val="00AD4123"/>
    <w:rsid w:val="00AD422E"/>
    <w:rsid w:val="00AE15EA"/>
    <w:rsid w:val="00AE1773"/>
    <w:rsid w:val="00AE22D8"/>
    <w:rsid w:val="00AE2ECF"/>
    <w:rsid w:val="00AE4505"/>
    <w:rsid w:val="00AE509D"/>
    <w:rsid w:val="00AE5C1F"/>
    <w:rsid w:val="00AE7B06"/>
    <w:rsid w:val="00AF0698"/>
    <w:rsid w:val="00AF06D9"/>
    <w:rsid w:val="00AF3689"/>
    <w:rsid w:val="00AF3DA6"/>
    <w:rsid w:val="00AF4C34"/>
    <w:rsid w:val="00AF50C2"/>
    <w:rsid w:val="00B00486"/>
    <w:rsid w:val="00B012DE"/>
    <w:rsid w:val="00B029FD"/>
    <w:rsid w:val="00B03A0E"/>
    <w:rsid w:val="00B03D2C"/>
    <w:rsid w:val="00B05458"/>
    <w:rsid w:val="00B07152"/>
    <w:rsid w:val="00B1328E"/>
    <w:rsid w:val="00B13707"/>
    <w:rsid w:val="00B13CD0"/>
    <w:rsid w:val="00B176AC"/>
    <w:rsid w:val="00B208E4"/>
    <w:rsid w:val="00B2233E"/>
    <w:rsid w:val="00B24A31"/>
    <w:rsid w:val="00B25107"/>
    <w:rsid w:val="00B2556C"/>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47767"/>
    <w:rsid w:val="00B518F1"/>
    <w:rsid w:val="00B51D96"/>
    <w:rsid w:val="00B52DE7"/>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1C0C"/>
    <w:rsid w:val="00BD2EB4"/>
    <w:rsid w:val="00BD3CB4"/>
    <w:rsid w:val="00BD5490"/>
    <w:rsid w:val="00BD5A2E"/>
    <w:rsid w:val="00BD751A"/>
    <w:rsid w:val="00BE17A8"/>
    <w:rsid w:val="00BE20B2"/>
    <w:rsid w:val="00BE342B"/>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6A"/>
    <w:rsid w:val="00C52EC6"/>
    <w:rsid w:val="00C53639"/>
    <w:rsid w:val="00C55371"/>
    <w:rsid w:val="00C553EC"/>
    <w:rsid w:val="00C555A4"/>
    <w:rsid w:val="00C55AB7"/>
    <w:rsid w:val="00C55ACC"/>
    <w:rsid w:val="00C569EE"/>
    <w:rsid w:val="00C6143B"/>
    <w:rsid w:val="00C628E8"/>
    <w:rsid w:val="00C6329B"/>
    <w:rsid w:val="00C637D6"/>
    <w:rsid w:val="00C6657F"/>
    <w:rsid w:val="00C67013"/>
    <w:rsid w:val="00C6748E"/>
    <w:rsid w:val="00C70482"/>
    <w:rsid w:val="00C71CCE"/>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590B"/>
    <w:rsid w:val="00CB70B6"/>
    <w:rsid w:val="00CC1D1F"/>
    <w:rsid w:val="00CC2060"/>
    <w:rsid w:val="00CC3889"/>
    <w:rsid w:val="00CC3D49"/>
    <w:rsid w:val="00CC6B8A"/>
    <w:rsid w:val="00CC7400"/>
    <w:rsid w:val="00CC741C"/>
    <w:rsid w:val="00CC749E"/>
    <w:rsid w:val="00CC7E7C"/>
    <w:rsid w:val="00CC7FCE"/>
    <w:rsid w:val="00CD0B61"/>
    <w:rsid w:val="00CD214D"/>
    <w:rsid w:val="00CD27D3"/>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85F"/>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522A"/>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671E3"/>
    <w:rsid w:val="00D70418"/>
    <w:rsid w:val="00D70509"/>
    <w:rsid w:val="00D7159C"/>
    <w:rsid w:val="00D73247"/>
    <w:rsid w:val="00D7384F"/>
    <w:rsid w:val="00D74C88"/>
    <w:rsid w:val="00D814A5"/>
    <w:rsid w:val="00D8166A"/>
    <w:rsid w:val="00D8307B"/>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099"/>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90D"/>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4D5E"/>
    <w:rsid w:val="00E85C37"/>
    <w:rsid w:val="00E902A9"/>
    <w:rsid w:val="00E91379"/>
    <w:rsid w:val="00E91683"/>
    <w:rsid w:val="00E92A1C"/>
    <w:rsid w:val="00E92C60"/>
    <w:rsid w:val="00E940DA"/>
    <w:rsid w:val="00E94513"/>
    <w:rsid w:val="00E95526"/>
    <w:rsid w:val="00EA3643"/>
    <w:rsid w:val="00EA3BA2"/>
    <w:rsid w:val="00EA48B8"/>
    <w:rsid w:val="00EA6EC8"/>
    <w:rsid w:val="00EB009C"/>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EF7CE5"/>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113E"/>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16C7"/>
    <w:rsid w:val="00FE2105"/>
    <w:rsid w:val="00FE251C"/>
    <w:rsid w:val="00FE3329"/>
    <w:rsid w:val="00FE3B15"/>
    <w:rsid w:val="00FE4A64"/>
    <w:rsid w:val="00FE573C"/>
    <w:rsid w:val="00FE5F20"/>
    <w:rsid w:val="00FE65E8"/>
    <w:rsid w:val="00FF536E"/>
    <w:rsid w:val="00FF5536"/>
    <w:rsid w:val="00FF5906"/>
    <w:rsid w:val="00FF5A35"/>
    <w:rsid w:val="1235602F"/>
    <w:rsid w:val="6FFA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semiHidden/>
    <w:unhideWhenUsed/>
    <w:qFormat/>
    <w:uiPriority w:val="99"/>
    <w:pPr>
      <w:jc w:val="left"/>
    </w:pPr>
  </w:style>
  <w:style w:type="paragraph" w:styleId="6">
    <w:name w:val="Body Text"/>
    <w:basedOn w:val="1"/>
    <w:link w:val="53"/>
    <w:semiHidden/>
    <w:unhideWhenUsed/>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uiPriority w:val="0"/>
    <w:pPr>
      <w:adjustRightInd w:val="0"/>
      <w:spacing w:line="360" w:lineRule="atLeast"/>
      <w:textAlignment w:val="baseline"/>
    </w:pPr>
    <w:rPr>
      <w:sz w:val="32"/>
    </w:rPr>
  </w:style>
  <w:style w:type="paragraph" w:styleId="12">
    <w:name w:val="Body Text Indent 2"/>
    <w:basedOn w:val="1"/>
    <w:link w:val="35"/>
    <w:semiHidden/>
    <w:unhideWhenUsed/>
    <w:uiPriority w:val="99"/>
    <w:pPr>
      <w:spacing w:after="120" w:line="480" w:lineRule="auto"/>
      <w:ind w:left="420" w:leftChars="200"/>
    </w:pPr>
  </w:style>
  <w:style w:type="paragraph" w:styleId="13">
    <w:name w:val="Balloon Text"/>
    <w:basedOn w:val="1"/>
    <w:link w:val="52"/>
    <w:semiHidden/>
    <w:unhideWhenUsed/>
    <w:uiPriority w:val="99"/>
    <w:rPr>
      <w:sz w:val="18"/>
      <w:szCs w:val="18"/>
    </w:rPr>
  </w:style>
  <w:style w:type="paragraph" w:styleId="14">
    <w:name w:val="footer"/>
    <w:basedOn w:val="1"/>
    <w:link w:val="32"/>
    <w:unhideWhenUsed/>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uiPriority w:val="99"/>
    <w:pPr>
      <w:spacing w:after="120"/>
      <w:ind w:left="420" w:leftChars="200"/>
    </w:pPr>
    <w:rPr>
      <w:sz w:val="16"/>
      <w:szCs w:val="16"/>
    </w:rPr>
  </w:style>
  <w:style w:type="paragraph" w:styleId="19">
    <w:name w:val="Body Text 2"/>
    <w:basedOn w:val="1"/>
    <w:link w:val="37"/>
    <w:semiHidden/>
    <w:unhideWhenUsed/>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semiHidden/>
    <w:unhideWhenUsed/>
    <w:qFormat/>
    <w:uiPriority w:val="99"/>
    <w:rPr>
      <w:b/>
      <w:bCs/>
    </w:rPr>
  </w:style>
  <w:style w:type="table" w:styleId="23">
    <w:name w:val="Table Grid"/>
    <w:basedOn w:val="2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uiPriority w:val="99"/>
    <w:rPr>
      <w:color w:val="0000FF" w:themeColor="hyperlink"/>
      <w:u w:val="single"/>
      <w14:textFill>
        <w14:solidFill>
          <w14:schemeClr w14:val="hlink"/>
        </w14:solidFill>
      </w14:textFill>
    </w:rPr>
  </w:style>
  <w:style w:type="character" w:styleId="27">
    <w:name w:val="annotation reference"/>
    <w:basedOn w:val="24"/>
    <w:semiHidden/>
    <w:unhideWhenUsed/>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uiPriority w:val="11"/>
    <w:rPr>
      <w:rFonts w:ascii="Cambria" w:hAnsi="Cambria" w:eastAsia="宋体" w:cs="Times New Roman"/>
      <w:b/>
      <w:bCs/>
      <w:kern w:val="28"/>
      <w:sz w:val="32"/>
      <w:szCs w:val="32"/>
      <w:lang w:val="zh-CN" w:eastAsia="zh-CN"/>
    </w:rPr>
  </w:style>
  <w:style w:type="character" w:customStyle="1" w:styleId="31">
    <w:name w:val="页眉 Char"/>
    <w:basedOn w:val="24"/>
    <w:link w:val="15"/>
    <w:uiPriority w:val="99"/>
    <w:rPr>
      <w:rFonts w:ascii="Times New Roman" w:hAnsi="Times New Roman" w:eastAsia="宋体" w:cs="Times New Roman"/>
      <w:sz w:val="18"/>
      <w:szCs w:val="18"/>
    </w:rPr>
  </w:style>
  <w:style w:type="character" w:customStyle="1" w:styleId="32">
    <w:name w:val="页脚 Char"/>
    <w:basedOn w:val="24"/>
    <w:link w:val="14"/>
    <w:uiPriority w:val="99"/>
    <w:rPr>
      <w:rFonts w:ascii="Times New Roman" w:hAnsi="Times New Roman" w:eastAsia="宋体" w:cs="Times New Roman"/>
      <w:sz w:val="18"/>
      <w:szCs w:val="18"/>
    </w:rPr>
  </w:style>
  <w:style w:type="character" w:customStyle="1" w:styleId="33">
    <w:name w:val="日期 Char"/>
    <w:basedOn w:val="24"/>
    <w:link w:val="11"/>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uiPriority w:val="99"/>
    <w:rPr>
      <w:rFonts w:ascii="Times New Roman" w:hAnsi="Times New Roman" w:eastAsia="宋体" w:cs="Times New Roman"/>
      <w:szCs w:val="20"/>
    </w:rPr>
  </w:style>
  <w:style w:type="character" w:customStyle="1" w:styleId="36">
    <w:name w:val="标题 3 Char"/>
    <w:basedOn w:val="24"/>
    <w:link w:val="2"/>
    <w:uiPriority w:val="0"/>
    <w:rPr>
      <w:rFonts w:ascii="Times New Roman" w:hAnsi="Times New Roman" w:eastAsia="宋体" w:cs="Times New Roman"/>
      <w:b/>
      <w:bCs/>
      <w:sz w:val="32"/>
      <w:szCs w:val="32"/>
    </w:rPr>
  </w:style>
  <w:style w:type="character" w:customStyle="1" w:styleId="37">
    <w:name w:val="正文文本 2 Char"/>
    <w:basedOn w:val="24"/>
    <w:link w:val="19"/>
    <w:semiHidden/>
    <w:uiPriority w:val="99"/>
    <w:rPr>
      <w:rFonts w:ascii="Times New Roman" w:hAnsi="Times New Roman" w:eastAsia="宋体" w:cs="Times New Roman"/>
      <w:szCs w:val="20"/>
    </w:rPr>
  </w:style>
  <w:style w:type="paragraph" w:customStyle="1" w:styleId="38">
    <w:name w:val="Char"/>
    <w:basedOn w:val="1"/>
    <w:uiPriority w:val="0"/>
    <w:pPr>
      <w:tabs>
        <w:tab w:val="left" w:pos="360"/>
      </w:tabs>
    </w:pPr>
    <w:rPr>
      <w:sz w:val="24"/>
      <w:szCs w:val="24"/>
    </w:rPr>
  </w:style>
  <w:style w:type="character" w:customStyle="1" w:styleId="39">
    <w:name w:val="纯文本 Char"/>
    <w:basedOn w:val="24"/>
    <w:semiHidden/>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uiPriority w:val="0"/>
    <w:pPr>
      <w:tabs>
        <w:tab w:val="left" w:pos="360"/>
      </w:tabs>
    </w:pPr>
    <w:rPr>
      <w:sz w:val="24"/>
      <w:szCs w:val="24"/>
    </w:rPr>
  </w:style>
  <w:style w:type="paragraph" w:customStyle="1" w:styleId="47">
    <w:name w:val="列出段落1"/>
    <w:basedOn w:val="1"/>
    <w:semiHidden/>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uiPriority w:val="34"/>
    <w:rPr>
      <w:rFonts w:ascii="Times New Roman" w:hAnsi="Times New Roman" w:eastAsia="宋体" w:cs="Times New Roman"/>
      <w:szCs w:val="20"/>
    </w:rPr>
  </w:style>
  <w:style w:type="character" w:customStyle="1" w:styleId="50">
    <w:name w:val="批注文字 Char"/>
    <w:basedOn w:val="24"/>
    <w:link w:val="5"/>
    <w:semiHidden/>
    <w:qFormat/>
    <w:uiPriority w:val="99"/>
    <w:rPr>
      <w:rFonts w:ascii="Times New Roman" w:hAnsi="Times New Roman" w:eastAsia="宋体" w:cs="Times New Roman"/>
      <w:szCs w:val="20"/>
    </w:rPr>
  </w:style>
  <w:style w:type="character" w:customStyle="1" w:styleId="51">
    <w:name w:val="批注主题 Char"/>
    <w:basedOn w:val="50"/>
    <w:link w:val="21"/>
    <w:semiHidden/>
    <w:uiPriority w:val="99"/>
    <w:rPr>
      <w:rFonts w:ascii="Times New Roman" w:hAnsi="Times New Roman" w:eastAsia="宋体" w:cs="Times New Roman"/>
      <w:b/>
      <w:bCs/>
      <w:szCs w:val="20"/>
    </w:rPr>
  </w:style>
  <w:style w:type="character" w:customStyle="1" w:styleId="52">
    <w:name w:val="批注框文本 Char"/>
    <w:basedOn w:val="24"/>
    <w:link w:val="13"/>
    <w:semiHidden/>
    <w:uiPriority w:val="99"/>
    <w:rPr>
      <w:rFonts w:ascii="Times New Roman" w:hAnsi="Times New Roman" w:eastAsia="宋体" w:cs="Times New Roman"/>
      <w:sz w:val="18"/>
      <w:szCs w:val="18"/>
    </w:rPr>
  </w:style>
  <w:style w:type="character" w:customStyle="1" w:styleId="53">
    <w:name w:val="正文文本 Char"/>
    <w:basedOn w:val="24"/>
    <w:link w:val="6"/>
    <w:semiHidden/>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EB08D-7F47-4079-8CCA-AD886F3A0E6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63</Pages>
  <Words>4895</Words>
  <Characters>27904</Characters>
  <Lines>232</Lines>
  <Paragraphs>65</Paragraphs>
  <TotalTime>392</TotalTime>
  <ScaleCrop>false</ScaleCrop>
  <LinksUpToDate>false</LinksUpToDate>
  <CharactersWithSpaces>32734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2025-01-23T03:21:00Z</dcterms:created>
  <dc:creator>未定义</dc:creator>
  <cp:lastModifiedBy>Administrator</cp:lastModifiedBy>
  <dcterms:modified xsi:type="dcterms:W3CDTF">2026-03-12T01:47:33Z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