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272415</wp:posOffset>
                </wp:positionV>
                <wp:extent cx="719455"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1.45pt;height:0pt;width:56.65pt;z-index:251659264;mso-width-relative:page;mso-height-relative:page;" filled="f" stroked="t" coordsize="21600,21600" o:gfxdata="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nqFTdUA&#10;AAAIAQAADwAAAAAAAAABACAAAAAiAAAAZHJzL2Rvd25yZXYueG1sUEsBAhQAFAAAAAgAh07iQNRA&#10;mHnpAQAAqwMAAA4AAAAAAAAAAQAgAAAAJAEAAGRycy9lMm9Eb2MueG1sUEsFBgAAAAAGAAYAWQEA&#10;AH8FA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国家税务总局天津市北辰区税务局12366纳税缴费服务热线远程</w:t>
      </w:r>
    </w:p>
    <w:p>
      <w:pPr>
        <w:ind w:right="105"/>
        <w:jc w:val="right"/>
        <w:rPr>
          <w:rFonts w:eastAsia="黑体"/>
          <w:b/>
          <w:spacing w:val="40"/>
          <w:w w:val="66"/>
          <w:sz w:val="60"/>
          <w:szCs w:val="60"/>
        </w:rPr>
      </w:pPr>
      <w:r>
        <w:rPr>
          <w:rFonts w:hint="eastAsia" w:eastAsia="黑体"/>
          <w:b/>
          <w:spacing w:val="40"/>
          <w:w w:val="66"/>
          <w:sz w:val="60"/>
          <w:szCs w:val="60"/>
        </w:rPr>
        <w:t>座席咨询服务</w:t>
      </w:r>
      <w:r>
        <w:rPr>
          <w:rFonts w:eastAsia="黑体"/>
          <w:b/>
          <w:spacing w:val="40"/>
          <w:w w:val="66"/>
          <w:sz w:val="60"/>
          <w:szCs w:val="60"/>
        </w:rPr>
        <w:t>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w:t>
      </w:r>
      <w:r>
        <w:rPr>
          <w:rFonts w:hint="eastAsia" w:eastAsia="黑体"/>
          <w:spacing w:val="40"/>
          <w:w w:val="66"/>
          <w:sz w:val="32"/>
          <w:szCs w:val="32"/>
        </w:rPr>
        <w:t>0059</w:t>
      </w:r>
      <w:r>
        <w:rPr>
          <w:rFonts w:eastAsia="黑体"/>
          <w:spacing w:val="40"/>
          <w:w w:val="66"/>
          <w:sz w:val="32"/>
          <w:szCs w:val="32"/>
        </w:rPr>
        <w:t>）</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3</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9"/>
        <w:rPr>
          <w:rFonts w:ascii="Times New Roman" w:hAnsi="Times New Roman"/>
        </w:rPr>
      </w:pPr>
      <w:r>
        <w:rPr>
          <w:rFonts w:ascii="Times New Roman" w:hAnsi="Times New Roman"/>
        </w:rPr>
        <w:t>第一部分  投标邀请函</w:t>
      </w:r>
      <w:bookmarkEnd w:id="0"/>
    </w:p>
    <w:p>
      <w:pPr>
        <w:pStyle w:val="32"/>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国家税务总局天津市北辰区税务局委托，天津市政府采购中心对国家税务总局天津市北辰区税务局12366纳税缴费服务热线远程座席咨询服务项目实施政府采购。现欢迎合格的供应商参加投标。</w:t>
      </w:r>
    </w:p>
    <w:p>
      <w:pPr>
        <w:pStyle w:val="32"/>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国家税务总局天津市北辰区税务局12366纳税缴费服务热线远程座席咨询服务项目</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059</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6"/>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1922"/>
        <w:gridCol w:w="1559"/>
        <w:gridCol w:w="1666"/>
        <w:gridCol w:w="1735"/>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922"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559"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666"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922" w:type="dxa"/>
            <w:vAlign w:val="center"/>
          </w:tcPr>
          <w:p>
            <w:pPr>
              <w:pStyle w:val="32"/>
              <w:snapToGrid w:val="0"/>
              <w:jc w:val="center"/>
              <w:rPr>
                <w:rFonts w:ascii="Times New Roman" w:hAnsi="Times New Roman" w:eastAsia="宋体" w:cs="Times New Roman"/>
                <w:color w:val="auto"/>
                <w:sz w:val="21"/>
                <w:szCs w:val="21"/>
              </w:rPr>
            </w:pPr>
            <w:r>
              <w:rPr>
                <w:rFonts w:hint="eastAsia" w:ascii="Times New Roman" w:hAnsi="Times New Roman" w:cs="Times New Roman" w:eastAsiaTheme="minorEastAsia"/>
                <w:color w:val="auto"/>
                <w:szCs w:val="32"/>
              </w:rPr>
              <w:t>国家税务总局天津市北辰区税务局12366纳税缴费服务热线远程座席咨询服务项目</w:t>
            </w:r>
          </w:p>
        </w:tc>
        <w:tc>
          <w:tcPr>
            <w:tcW w:w="1559" w:type="dxa"/>
            <w:vAlign w:val="center"/>
          </w:tcPr>
          <w:p>
            <w:pPr>
              <w:pStyle w:val="32"/>
              <w:snapToGrid w:val="0"/>
              <w:jc w:val="center"/>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2356781.65</w:t>
            </w:r>
            <w:r>
              <w:rPr>
                <w:rFonts w:hint="eastAsia" w:ascii="Times New Roman" w:hAnsi="Times New Roman" w:cs="Times New Roman" w:eastAsiaTheme="minorEastAsia"/>
                <w:color w:val="auto"/>
                <w:szCs w:val="32"/>
              </w:rPr>
              <w:t>元</w:t>
            </w:r>
          </w:p>
        </w:tc>
        <w:tc>
          <w:tcPr>
            <w:tcW w:w="1666" w:type="dxa"/>
            <w:vAlign w:val="center"/>
          </w:tcPr>
          <w:p>
            <w:pPr>
              <w:pStyle w:val="32"/>
              <w:snapToGrid w:val="0"/>
              <w:jc w:val="center"/>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2356781.65</w:t>
            </w:r>
            <w:r>
              <w:rPr>
                <w:rFonts w:hint="eastAsia" w:ascii="Times New Roman" w:hAnsi="Times New Roman" w:cs="Times New Roman" w:eastAsiaTheme="minorEastAsia"/>
                <w:color w:val="auto"/>
                <w:szCs w:val="32"/>
              </w:rPr>
              <w:t>元</w:t>
            </w:r>
          </w:p>
        </w:tc>
        <w:tc>
          <w:tcPr>
            <w:tcW w:w="1735" w:type="dxa"/>
            <w:vAlign w:val="center"/>
          </w:tcPr>
          <w:p>
            <w:pPr>
              <w:pStyle w:val="32"/>
              <w:snapToGrid w:val="0"/>
              <w:jc w:val="center"/>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合同规定的服务起始之日起一年</w:t>
            </w:r>
          </w:p>
        </w:tc>
        <w:tc>
          <w:tcPr>
            <w:tcW w:w="1389" w:type="dxa"/>
            <w:vAlign w:val="center"/>
          </w:tcPr>
          <w:p>
            <w:pPr>
              <w:pStyle w:val="32"/>
              <w:snapToGrid w:val="0"/>
              <w:jc w:val="center"/>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软件和信息技术服务业</w:t>
            </w:r>
          </w:p>
        </w:tc>
      </w:tr>
    </w:tbl>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（二）本项目专门面向中小企业采购，提供《中小企业声明函》。</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四、项目需要落实的政府采购政策</w:t>
      </w:r>
    </w:p>
    <w:p>
      <w:pPr>
        <w:pStyle w:val="32"/>
        <w:spacing w:line="360" w:lineRule="auto"/>
        <w:ind w:firstLine="448" w:firstLineChars="200"/>
        <w:rPr>
          <w:rFonts w:ascii="Times New Roman" w:hAnsi="Times New Roman" w:eastAsia="宋体" w:cs="Times New Roman"/>
          <w:color w:val="auto"/>
        </w:rPr>
      </w:pPr>
      <w:bookmarkStart w:id="1" w:name="OLE_LINK4"/>
      <w:bookmarkStart w:id="2" w:name="OLE_LINK3"/>
      <w:r>
        <w:rPr>
          <w:rFonts w:hint="eastAsia" w:ascii="Times New Roman" w:hAnsi="Times New Roman" w:eastAsia="宋体" w:cs="Times New Roman"/>
          <w:color w:val="auto"/>
        </w:rPr>
        <w:t>（一）本项目专门面向中小企业采购。</w:t>
      </w:r>
    </w:p>
    <w:p>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bookmarkStart w:id="3" w:name="OLE_LINK1"/>
      <w:bookmarkStart w:id="4" w:name="OLE_LINK2"/>
      <w:r>
        <w:rPr>
          <w:rFonts w:hint="eastAsia" w:ascii="Times New Roman" w:hAnsi="Times New Roman" w:eastAsia="宋体"/>
          <w:color w:val="auto"/>
        </w:rPr>
        <w:t>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w:t>
      </w:r>
      <w:r>
        <w:rPr>
          <w:rFonts w:hint="eastAsia" w:ascii="Times New Roman" w:hAnsi="Times New Roman" w:eastAsia="宋体" w:cs="Times New Roman"/>
          <w:color w:val="auto"/>
        </w:rPr>
        <w:t>先采购和强制采购的评标方法。</w:t>
      </w:r>
      <w:bookmarkEnd w:id="3"/>
      <w:bookmarkEnd w:id="4"/>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（七）根据《关于推动解决政府采购异常低价问题的通知》（财库〔2026〕2号）的要求，当供应商报价出现以下情形之一时，评标委员会应当启动对该供应商的异常低价审查程序：</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900"/>
        <w:gridCol w:w="1843"/>
        <w:gridCol w:w="1980"/>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0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43"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98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0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43" w:type="dxa"/>
            <w:vAlign w:val="center"/>
          </w:tcPr>
          <w:p>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10</w:t>
            </w:r>
            <w:r>
              <w:rPr>
                <w:rFonts w:ascii="Times New Roman" w:hAnsi="Times New Roman" w:eastAsia="宋体" w:cs="Times New Roman"/>
                <w:color w:val="auto"/>
                <w:sz w:val="21"/>
                <w:szCs w:val="21"/>
              </w:rPr>
              <w:t>日</w:t>
            </w:r>
          </w:p>
        </w:tc>
        <w:tc>
          <w:tcPr>
            <w:tcW w:w="1980" w:type="dxa"/>
            <w:vAlign w:val="center"/>
          </w:tcPr>
          <w:p>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17</w:t>
            </w:r>
            <w:r>
              <w:rPr>
                <w:rFonts w:ascii="Times New Roman" w:hAnsi="Times New Roman" w:eastAsia="宋体" w:cs="Times New Roman"/>
                <w:color w:val="auto"/>
                <w:sz w:val="21"/>
                <w:szCs w:val="21"/>
              </w:rPr>
              <w:t>日</w:t>
            </w:r>
          </w:p>
        </w:tc>
        <w:tc>
          <w:tcPr>
            <w:tcW w:w="2632" w:type="dxa"/>
            <w:vAlign w:val="center"/>
          </w:tcPr>
          <w:p>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32"/>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0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43"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2026年3月10日9:00</w:t>
            </w:r>
          </w:p>
        </w:tc>
        <w:tc>
          <w:tcPr>
            <w:tcW w:w="198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2026年3月31日8:30</w:t>
            </w:r>
          </w:p>
        </w:tc>
        <w:tc>
          <w:tcPr>
            <w:tcW w:w="2632" w:type="dxa"/>
            <w:vAlign w:val="center"/>
          </w:tcPr>
          <w:p>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0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43"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2026年3月31日8:30</w:t>
            </w:r>
          </w:p>
        </w:tc>
        <w:tc>
          <w:tcPr>
            <w:tcW w:w="198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2026年3月31日9:30</w:t>
            </w:r>
          </w:p>
        </w:tc>
        <w:tc>
          <w:tcPr>
            <w:tcW w:w="2632" w:type="dxa"/>
            <w:vAlign w:val="center"/>
          </w:tcPr>
          <w:p>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00" w:type="dxa"/>
            <w:vAlign w:val="center"/>
          </w:tcPr>
          <w:p>
            <w:pPr>
              <w:pStyle w:val="32"/>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43"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2026年3月31日9:30</w:t>
            </w:r>
          </w:p>
        </w:tc>
        <w:tc>
          <w:tcPr>
            <w:tcW w:w="1980" w:type="dxa"/>
            <w:vAlign w:val="center"/>
          </w:tcPr>
          <w:p>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2026年3月31日12:00</w:t>
            </w:r>
          </w:p>
        </w:tc>
        <w:tc>
          <w:tcPr>
            <w:tcW w:w="2632" w:type="dxa"/>
            <w:vAlign w:val="center"/>
          </w:tcPr>
          <w:p>
            <w:pPr>
              <w:pStyle w:val="32"/>
              <w:snapToGrid w:val="0"/>
              <w:jc w:val="both"/>
              <w:rPr>
                <w:rFonts w:ascii="Times New Roman" w:hAnsi="Times New Roman" w:eastAsia="宋体"/>
                <w:color w:val="auto"/>
                <w:sz w:val="21"/>
                <w:szCs w:val="21"/>
              </w:rPr>
            </w:pPr>
          </w:p>
        </w:tc>
      </w:tr>
    </w:tbl>
    <w:p>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ascii="Times New Roman" w:hAnsi="Times New Roman" w:eastAsia="宋体" w:cs="Times New Roman"/>
        </w:rPr>
        <w:t>http://tjgpc.zwfwb.tj.gov.cn</w:t>
      </w:r>
      <w:r>
        <w:rPr>
          <w:rStyle w:val="29"/>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32"/>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32"/>
        <w:spacing w:line="360" w:lineRule="auto"/>
        <w:ind w:firstLine="448" w:firstLineChars="200"/>
        <w:jc w:val="both"/>
        <w:rPr>
          <w:rFonts w:ascii="Times New Roman" w:hAnsi="Times New Roman" w:eastAsia="宋体" w:cs="Times New Roman"/>
          <w:color w:val="auto"/>
        </w:rPr>
      </w:pPr>
      <w:bookmarkStart w:id="5" w:name="_Toc412903615"/>
      <w:r>
        <w:rPr>
          <w:rFonts w:hint="eastAsia" w:ascii="Times New Roman" w:hAnsi="Times New Roman" w:eastAsia="宋体" w:cs="Times New Roman"/>
          <w:color w:val="auto"/>
        </w:rPr>
        <w:t>六、现场考察、标前答疑会</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联系人：范志刚</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8217</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（一）采购人名称：国家税务总局天津市北辰区税务局</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（二）采购人地址：天津市北辰区北辰大厦A座1楼   </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（三）采购人联系人：袁堃</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（四）采购人联系电话：022- 58833567-8011</w:t>
      </w:r>
      <w:r>
        <w:rPr>
          <w:rFonts w:ascii="Times New Roman" w:hAnsi="Times New Roman" w:eastAsia="宋体" w:cs="Times New Roman"/>
          <w:color w:val="auto"/>
        </w:rPr>
        <w:t xml:space="preserve"> </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联系部门：国家税务总局天津市北辰区税务局</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联系地址：天津市北辰区北辰大厦A座1楼</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人：袁堃</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联系方式：022- 58833567-8011</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32"/>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32"/>
        <w:spacing w:line="360" w:lineRule="auto"/>
        <w:jc w:val="both"/>
        <w:rPr>
          <w:rFonts w:ascii="Times New Roman" w:hAnsi="Times New Roman" w:eastAsia="宋体" w:cs="Times New Roman"/>
          <w:color w:val="auto"/>
        </w:rPr>
      </w:pPr>
    </w:p>
    <w:p>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3</w:t>
      </w:r>
      <w:r>
        <w:rPr>
          <w:rFonts w:ascii="Times New Roman" w:hAnsi="Times New Roman" w:eastAsia="宋体" w:cs="Times New Roman"/>
          <w:color w:val="auto"/>
        </w:rPr>
        <w:t>月</w:t>
      </w:r>
      <w:r>
        <w:rPr>
          <w:rFonts w:hint="eastAsia" w:ascii="Times New Roman" w:hAnsi="Times New Roman" w:eastAsia="宋体" w:cs="Times New Roman"/>
          <w:color w:val="auto"/>
        </w:rPr>
        <w:t>10</w:t>
      </w:r>
      <w:r>
        <w:rPr>
          <w:rFonts w:ascii="Times New Roman" w:hAnsi="Times New Roman" w:eastAsia="宋体" w:cs="Times New Roman"/>
          <w:color w:val="auto"/>
        </w:rPr>
        <w:t>日</w:t>
      </w:r>
    </w:p>
    <w:p>
      <w:pPr>
        <w:pStyle w:val="32"/>
        <w:spacing w:line="360" w:lineRule="auto"/>
        <w:ind w:right="892"/>
        <w:rPr>
          <w:rFonts w:ascii="Times New Roman" w:hAnsi="Times New Roman" w:eastAsia="宋体" w:cs="Times New Roman"/>
          <w:color w:val="auto"/>
        </w:rPr>
      </w:pPr>
    </w:p>
    <w:p>
      <w:pPr>
        <w:widowControl/>
        <w:jc w:val="left"/>
        <w:rPr>
          <w:kern w:val="0"/>
          <w:sz w:val="24"/>
          <w:szCs w:val="24"/>
        </w:rPr>
      </w:pPr>
      <w:r>
        <w:br w:type="page"/>
      </w:r>
    </w:p>
    <w:p>
      <w:pPr>
        <w:pStyle w:val="19"/>
        <w:rPr>
          <w:rFonts w:ascii="Times New Roman" w:hAnsi="Times New Roman"/>
        </w:rPr>
      </w:pPr>
      <w:r>
        <w:rPr>
          <w:rFonts w:ascii="Times New Roman" w:hAnsi="Times New Roman"/>
        </w:rPr>
        <w:t>第二部分  招标项目</w:t>
      </w:r>
      <w:bookmarkEnd w:id="5"/>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国家税务总局天津市北辰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北辰区税务局通过政府采购方式采购12366热线及其他咨询服务。</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autoSpaceDE w:val="0"/>
        <w:autoSpaceDN w:val="0"/>
        <w:adjustRightInd w:val="0"/>
        <w:spacing w:line="360" w:lineRule="auto"/>
        <w:ind w:firstLine="448" w:firstLineChars="200"/>
        <w:rPr>
          <w:sz w:val="24"/>
        </w:rPr>
      </w:pPr>
      <w:r>
        <w:rPr>
          <w:sz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w:t>
      </w:r>
      <w:r>
        <w:rPr>
          <w:rFonts w:hint="eastAsia"/>
          <w:sz w:val="24"/>
        </w:rPr>
        <w:t>人员费用、服务费用、利润税金等为完成招标文件规定的一切工作所需的全部费用。投标人所报价格应为最终优惠价格。</w:t>
      </w:r>
    </w:p>
    <w:p>
      <w:pPr>
        <w:autoSpaceDE w:val="0"/>
        <w:autoSpaceDN w:val="0"/>
        <w:adjustRightInd w:val="0"/>
        <w:spacing w:line="360" w:lineRule="auto"/>
        <w:ind w:firstLine="448" w:firstLineChars="200"/>
        <w:rPr>
          <w:sz w:val="24"/>
        </w:rPr>
      </w:pPr>
      <w:r>
        <w:rPr>
          <w:rFonts w:hint="eastAsia"/>
          <w:kern w:val="0"/>
          <w:sz w:val="24"/>
          <w:szCs w:val="24"/>
        </w:rPr>
        <w:t xml:space="preserve">3.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自合同规定的服务起始之日起1年，签订合同之日起10日内服务开启</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天津市北辰区北辰大厦A座1楼国家税务总局天津市北辰区税务局第一税务所税费服务中心</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rFonts w:hint="eastAsia"/>
          <w:sz w:val="24"/>
        </w:rPr>
        <w:t>合同签订生效后，甲方按月进行服务质量验收，根据阶段性验收结果按季度支付服务费。验收合格后，乙方向甲方提供正式发票，甲方在收到发票后10个工作日内支付乙方服务费</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pPr>
        <w:autoSpaceDE w:val="0"/>
        <w:autoSpaceDN w:val="0"/>
        <w:adjustRightInd w:val="0"/>
        <w:spacing w:line="360" w:lineRule="auto"/>
        <w:ind w:firstLine="448" w:firstLineChars="200"/>
        <w:rPr>
          <w:sz w:val="24"/>
        </w:rPr>
      </w:pPr>
      <w:r>
        <w:rPr>
          <w:rFonts w:hint="eastAsia"/>
          <w:sz w:val="24"/>
        </w:rPr>
        <w:t>中标供应商应依据合同约定按时按质提供服务，每月服务期满后，采购人进行服务质量验收。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autoSpaceDE w:val="0"/>
        <w:autoSpaceDN w:val="0"/>
        <w:adjustRightInd w:val="0"/>
        <w:spacing w:line="360" w:lineRule="auto"/>
        <w:ind w:firstLine="448" w:firstLineChars="200"/>
        <w:rPr>
          <w:color w:val="000000"/>
          <w:sz w:val="24"/>
        </w:rPr>
      </w:pPr>
      <w:r>
        <w:rPr>
          <w:rFonts w:hint="eastAsia"/>
          <w:color w:val="000000"/>
          <w:sz w:val="24"/>
        </w:rPr>
        <w:t>（六）合同签订单位、付款单位、验收单位：</w:t>
      </w:r>
      <w:r>
        <w:rPr>
          <w:rFonts w:hint="eastAsia"/>
          <w:b/>
          <w:color w:val="000000"/>
          <w:sz w:val="24"/>
        </w:rPr>
        <w:t>国家税务总局天津市北辰区税务局</w:t>
      </w:r>
    </w:p>
    <w:p>
      <w:pPr>
        <w:spacing w:line="360" w:lineRule="auto"/>
        <w:ind w:firstLine="448" w:firstLineChars="200"/>
        <w:outlineLvl w:val="0"/>
        <w:rPr>
          <w:sz w:val="24"/>
        </w:rPr>
      </w:pPr>
      <w:r>
        <w:rPr>
          <w:sz w:val="24"/>
        </w:rPr>
        <w:t>四、评分因素及评标标准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2</w:t>
            </w:r>
            <w:r>
              <w:rPr>
                <w:color w:val="000000"/>
                <w:kern w:val="0"/>
                <w:sz w:val="24"/>
                <w:szCs w:val="24"/>
              </w:rPr>
              <w:t>0分）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pPr>
              <w:widowControl/>
              <w:adjustRightInd w:val="0"/>
              <w:snapToGrid w:val="0"/>
              <w:rPr>
                <w:kern w:val="0"/>
                <w:sz w:val="24"/>
                <w:szCs w:val="24"/>
              </w:rPr>
            </w:pPr>
            <w:r>
              <w:rPr>
                <w:kern w:val="0"/>
                <w:sz w:val="24"/>
                <w:szCs w:val="24"/>
              </w:rPr>
              <w:t>（2）投标报价得分=（评标基准价/投标报价）×20</w:t>
            </w:r>
          </w:p>
          <w:p>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vAlign w:val="center"/>
          </w:tcPr>
          <w:p>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rPr>
              <w:t>40</w:t>
            </w:r>
            <w:r>
              <w:rPr>
                <w:color w:val="000000"/>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投标人曾独立承担的电话热线咨询服务业绩</w:t>
            </w:r>
            <w:r>
              <w:rPr>
                <w:kern w:val="0"/>
                <w:sz w:val="24"/>
                <w:szCs w:val="24"/>
              </w:rPr>
              <w:t>，提供的证明材料均不得遮挡涂黑，否则不予认定加分。</w:t>
            </w:r>
          </w:p>
          <w:p>
            <w:pPr>
              <w:widowControl/>
              <w:adjustRightInd w:val="0"/>
              <w:snapToGrid w:val="0"/>
              <w:rPr>
                <w:kern w:val="0"/>
                <w:sz w:val="24"/>
                <w:szCs w:val="24"/>
              </w:rPr>
            </w:pPr>
            <w:r>
              <w:rPr>
                <w:rFonts w:hint="eastAsia"/>
                <w:kern w:val="0"/>
                <w:sz w:val="24"/>
                <w:szCs w:val="24"/>
              </w:rPr>
              <w:t>A</w:t>
            </w:r>
            <w:r>
              <w:rPr>
                <w:kern w:val="0"/>
                <w:sz w:val="24"/>
                <w:szCs w:val="24"/>
              </w:rPr>
              <w:t>. 合同</w:t>
            </w:r>
            <w:r>
              <w:rPr>
                <w:rFonts w:hint="eastAsia"/>
                <w:kern w:val="0"/>
                <w:sz w:val="24"/>
                <w:szCs w:val="24"/>
              </w:rPr>
              <w:t>原件</w:t>
            </w:r>
            <w:r>
              <w:rPr>
                <w:kern w:val="0"/>
                <w:sz w:val="24"/>
                <w:szCs w:val="24"/>
              </w:rPr>
              <w:t>扫描件。包括买卖双方名称及盖章、服务内容</w:t>
            </w:r>
            <w:r>
              <w:rPr>
                <w:rFonts w:hint="eastAsia"/>
                <w:bCs/>
                <w:sz w:val="24"/>
              </w:rPr>
              <w:t>、合同签订日期</w:t>
            </w:r>
            <w:r>
              <w:rPr>
                <w:rFonts w:hint="eastAsia"/>
                <w:kern w:val="0"/>
                <w:sz w:val="24"/>
                <w:szCs w:val="24"/>
              </w:rPr>
              <w:t>（应为2022年1月1日或以后）</w:t>
            </w:r>
            <w:r>
              <w:rPr>
                <w:kern w:val="0"/>
                <w:sz w:val="24"/>
                <w:szCs w:val="24"/>
              </w:rPr>
              <w:t>。</w:t>
            </w:r>
          </w:p>
          <w:p>
            <w:pPr>
              <w:widowControl/>
              <w:adjustRightInd w:val="0"/>
              <w:snapToGrid w:val="0"/>
              <w:rPr>
                <w:kern w:val="0"/>
                <w:sz w:val="24"/>
                <w:szCs w:val="24"/>
              </w:rPr>
            </w:pPr>
            <w:r>
              <w:rPr>
                <w:kern w:val="0"/>
                <w:sz w:val="24"/>
                <w:szCs w:val="24"/>
              </w:rPr>
              <w:t>B.</w:t>
            </w:r>
            <w:r>
              <w:rPr>
                <w:rFonts w:hint="eastAsia"/>
                <w:kern w:val="0"/>
                <w:sz w:val="24"/>
                <w:szCs w:val="24"/>
              </w:rPr>
              <w:t xml:space="preserve"> 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扫描件</w:t>
            </w:r>
            <w:r>
              <w:rPr>
                <w:rFonts w:hint="eastAsia"/>
                <w:kern w:val="0"/>
                <w:sz w:val="24"/>
                <w:szCs w:val="24"/>
              </w:rPr>
              <w:t>（加盖上述合同甲方单位公章或上述合同中所盖的甲方印章）</w:t>
            </w:r>
            <w:r>
              <w:rPr>
                <w:kern w:val="0"/>
                <w:sz w:val="24"/>
                <w:szCs w:val="24"/>
              </w:rPr>
              <w:t>。</w:t>
            </w:r>
          </w:p>
          <w:p>
            <w:pPr>
              <w:widowControl/>
              <w:adjustRightInd w:val="0"/>
              <w:snapToGrid w:val="0"/>
              <w:rPr>
                <w:color w:val="FF0000"/>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pPr>
              <w:widowControl/>
              <w:adjustRightInd w:val="0"/>
              <w:snapToGrid w:val="0"/>
              <w:rPr>
                <w:kern w:val="0"/>
                <w:sz w:val="24"/>
                <w:szCs w:val="24"/>
              </w:rPr>
            </w:pPr>
            <w:r>
              <w:rPr>
                <w:kern w:val="0"/>
                <w:sz w:val="24"/>
                <w:szCs w:val="24"/>
              </w:rPr>
              <w:t>投标人具备质量管理体系认证、环境管理体系认证、职业健康安全管理体系认证，提供证书扫描件</w:t>
            </w:r>
          </w:p>
          <w:p>
            <w:pPr>
              <w:widowControl/>
              <w:adjustRightInd w:val="0"/>
              <w:snapToGrid w:val="0"/>
              <w:rPr>
                <w:kern w:val="0"/>
                <w:sz w:val="24"/>
                <w:szCs w:val="24"/>
              </w:rPr>
            </w:pPr>
            <w:r>
              <w:rPr>
                <w:kern w:val="0"/>
                <w:sz w:val="24"/>
                <w:szCs w:val="24"/>
              </w:rPr>
              <w:t>1个证书扫描件</w:t>
            </w:r>
            <w:r>
              <w:rPr>
                <w:rFonts w:hint="eastAsia"/>
                <w:kern w:val="0"/>
                <w:sz w:val="24"/>
                <w:szCs w:val="24"/>
              </w:rPr>
              <w:t>2</w:t>
            </w:r>
            <w:r>
              <w:rPr>
                <w:kern w:val="0"/>
                <w:sz w:val="24"/>
                <w:szCs w:val="24"/>
              </w:rPr>
              <w:t>分，最高</w:t>
            </w:r>
            <w:r>
              <w:rPr>
                <w:rFonts w:hint="eastAsia"/>
                <w:kern w:val="0"/>
                <w:sz w:val="24"/>
                <w:szCs w:val="24"/>
              </w:rPr>
              <w:t>6</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投入</w:t>
            </w:r>
            <w:r>
              <w:rPr>
                <w:color w:val="000000" w:themeColor="text1"/>
                <w:sz w:val="24"/>
                <w14:textFill>
                  <w14:solidFill>
                    <w14:schemeClr w14:val="tx1"/>
                  </w14:solidFill>
                </w14:textFill>
              </w:rPr>
              <w:t>人员评价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投入的</w:t>
            </w: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人员</w:t>
            </w:r>
            <w:r>
              <w:rPr>
                <w:rFonts w:hint="eastAsia"/>
                <w:kern w:val="0"/>
                <w:sz w:val="24"/>
                <w:szCs w:val="24"/>
              </w:rPr>
              <w:t>为投标单位正式员工，提供姓名、开标日前三个月中任意一个月的由投标单位为投入项目人员缴纳社会保险证明扫描件，否则不予认定加分。</w:t>
            </w:r>
          </w:p>
          <w:p>
            <w:pPr>
              <w:widowControl/>
              <w:adjustRightInd w:val="0"/>
              <w:snapToGrid w:val="0"/>
              <w:rPr>
                <w:kern w:val="0"/>
                <w:sz w:val="24"/>
                <w:szCs w:val="24"/>
              </w:rPr>
            </w:pPr>
            <w:r>
              <w:rPr>
                <w:rFonts w:hint="eastAsia"/>
                <w:kern w:val="0"/>
                <w:sz w:val="24"/>
                <w:szCs w:val="24"/>
              </w:rPr>
              <w:t>（1）同时满足以下三项条件，得13</w:t>
            </w:r>
            <w:r>
              <w:rPr>
                <w:rFonts w:hint="eastAsia" w:ascii="宋体" w:hAnsi="宋体" w:cs="宋体"/>
                <w:kern w:val="0"/>
                <w:sz w:val="24"/>
                <w:szCs w:val="24"/>
              </w:rPr>
              <w:t>分，其他得0分。</w:t>
            </w:r>
          </w:p>
          <w:p>
            <w:pPr>
              <w:widowControl/>
              <w:adjustRightInd w:val="0"/>
              <w:snapToGrid w:val="0"/>
              <w:rPr>
                <w:kern w:val="0"/>
                <w:sz w:val="24"/>
                <w:szCs w:val="24"/>
              </w:rPr>
            </w:pPr>
            <w:r>
              <w:rPr>
                <w:rFonts w:asciiTheme="minorEastAsia" w:hAnsiTheme="minorEastAsia" w:eastAsiaTheme="minorEastAsia"/>
                <w:kern w:val="0"/>
                <w:sz w:val="24"/>
                <w:szCs w:val="24"/>
              </w:rPr>
              <w:t>①</w:t>
            </w:r>
            <w:r>
              <w:rPr>
                <w:rFonts w:hint="eastAsia" w:asciiTheme="minorEastAsia" w:hAnsiTheme="minorEastAsia" w:eastAsiaTheme="minorEastAsia"/>
                <w:kern w:val="0"/>
                <w:sz w:val="24"/>
                <w:szCs w:val="24"/>
              </w:rPr>
              <w:t xml:space="preserve"> </w:t>
            </w:r>
            <w:r>
              <w:rPr>
                <w:rFonts w:hint="eastAsia"/>
                <w:kern w:val="0"/>
                <w:sz w:val="24"/>
                <w:szCs w:val="24"/>
              </w:rPr>
              <w:t>按上述要求提供社保缴费证明的项目人员数量</w:t>
            </w:r>
            <w:r>
              <w:rPr>
                <w:rFonts w:hint="eastAsia" w:ascii="宋体" w:hAnsi="宋体"/>
                <w:kern w:val="0"/>
                <w:sz w:val="24"/>
                <w:szCs w:val="24"/>
              </w:rPr>
              <w:t>≥</w:t>
            </w:r>
            <w:r>
              <w:rPr>
                <w:rFonts w:hint="eastAsia"/>
                <w:kern w:val="0"/>
                <w:sz w:val="24"/>
                <w:szCs w:val="24"/>
              </w:rPr>
              <w:t>18人。</w:t>
            </w:r>
          </w:p>
          <w:p>
            <w:pPr>
              <w:widowControl/>
              <w:adjustRightInd w:val="0"/>
              <w:snapToGrid w:val="0"/>
              <w:rPr>
                <w:rFonts w:asciiTheme="minorEastAsia" w:hAnsiTheme="minorEastAsia" w:eastAsiaTheme="minorEastAsia"/>
                <w:kern w:val="0"/>
                <w:sz w:val="24"/>
                <w:szCs w:val="24"/>
              </w:rPr>
            </w:pPr>
            <w:r>
              <w:rPr>
                <w:rFonts w:asciiTheme="minorEastAsia" w:hAnsiTheme="minorEastAsia" w:eastAsiaTheme="minorEastAsia"/>
                <w:kern w:val="0"/>
                <w:sz w:val="24"/>
                <w:szCs w:val="24"/>
              </w:rPr>
              <w:t>②</w:t>
            </w:r>
            <w:r>
              <w:rPr>
                <w:rFonts w:hint="eastAsia" w:asciiTheme="minorEastAsia" w:hAnsiTheme="minorEastAsia" w:eastAsiaTheme="minorEastAsia"/>
                <w:kern w:val="0"/>
                <w:sz w:val="24"/>
                <w:szCs w:val="24"/>
              </w:rPr>
              <w:t xml:space="preserve"> 在满足</w:t>
            </w:r>
            <w:r>
              <w:rPr>
                <w:rFonts w:asciiTheme="minorEastAsia" w:hAnsiTheme="minorEastAsia" w:eastAsiaTheme="minorEastAsia"/>
                <w:kern w:val="0"/>
                <w:sz w:val="24"/>
                <w:szCs w:val="24"/>
              </w:rPr>
              <w:t>①</w:t>
            </w:r>
            <w:r>
              <w:rPr>
                <w:rFonts w:hint="eastAsia" w:asciiTheme="minorEastAsia" w:hAnsiTheme="minorEastAsia" w:eastAsiaTheme="minorEastAsia"/>
                <w:kern w:val="0"/>
                <w:sz w:val="24"/>
                <w:szCs w:val="24"/>
              </w:rPr>
              <w:t>的基础上，第</w:t>
            </w:r>
            <w:r>
              <w:rPr>
                <w:rFonts w:asciiTheme="minorEastAsia" w:hAnsiTheme="minorEastAsia" w:eastAsiaTheme="minorEastAsia"/>
                <w:kern w:val="0"/>
                <w:sz w:val="24"/>
                <w:szCs w:val="24"/>
              </w:rPr>
              <w:t>①</w:t>
            </w:r>
            <w:r>
              <w:rPr>
                <w:rFonts w:hint="eastAsia" w:asciiTheme="minorEastAsia" w:hAnsiTheme="minorEastAsia" w:eastAsiaTheme="minorEastAsia"/>
                <w:kern w:val="0"/>
                <w:sz w:val="24"/>
                <w:szCs w:val="24"/>
              </w:rPr>
              <w:t>项人员中的组长：</w:t>
            </w:r>
          </w:p>
          <w:p>
            <w:pPr>
              <w:widowControl/>
              <w:adjustRightInd w:val="0"/>
              <w:snapToGrid w:val="0"/>
              <w:rPr>
                <w:rFonts w:eastAsiaTheme="minorEastAsia"/>
                <w:kern w:val="0"/>
                <w:sz w:val="24"/>
                <w:szCs w:val="24"/>
              </w:rPr>
            </w:pPr>
            <w:r>
              <w:rPr>
                <w:rFonts w:hint="eastAsia" w:asciiTheme="minorEastAsia" w:hAnsiTheme="minorEastAsia" w:eastAsiaTheme="minorEastAsia"/>
                <w:kern w:val="0"/>
                <w:sz w:val="24"/>
                <w:szCs w:val="24"/>
              </w:rPr>
              <w:t>具有电话热线工作经验，提供加盖投标单位公章的人员电话热线工作经验工作简历扫描件；或拥有初级会计师或中级会计师或税务师或注册会计师证书或考试合格证明，</w:t>
            </w:r>
            <w:r>
              <w:rPr>
                <w:rFonts w:eastAsiaTheme="minorEastAsia"/>
                <w:kern w:val="0"/>
                <w:sz w:val="24"/>
                <w:szCs w:val="24"/>
              </w:rPr>
              <w:t>提供以上证书扫描件</w:t>
            </w:r>
            <w:r>
              <w:rPr>
                <w:rFonts w:hint="eastAsia" w:eastAsiaTheme="minorEastAsia"/>
                <w:kern w:val="0"/>
                <w:sz w:val="24"/>
                <w:szCs w:val="24"/>
              </w:rPr>
              <w:t>；</w:t>
            </w:r>
          </w:p>
          <w:p>
            <w:pPr>
              <w:widowControl/>
              <w:adjustRightInd w:val="0"/>
              <w:snapToGrid w:val="0"/>
              <w:rPr>
                <w:rFonts w:eastAsiaTheme="minorEastAsia"/>
                <w:kern w:val="0"/>
                <w:sz w:val="24"/>
                <w:szCs w:val="24"/>
              </w:rPr>
            </w:pPr>
            <w:r>
              <w:rPr>
                <w:rFonts w:hint="eastAsia" w:asciiTheme="minorEastAsia" w:hAnsiTheme="minorEastAsia" w:eastAsiaTheme="minorEastAsia"/>
                <w:kern w:val="0"/>
                <w:sz w:val="24"/>
                <w:szCs w:val="24"/>
              </w:rPr>
              <w:t>具备三年或以上相关财税工作经验，提供加盖投标单位公章的人员工作简历扫描件；或财会、税收等财税经济类专业本科（或以上）学历，</w:t>
            </w:r>
            <w:r>
              <w:rPr>
                <w:rFonts w:eastAsiaTheme="minorEastAsia"/>
                <w:kern w:val="0"/>
                <w:sz w:val="24"/>
                <w:szCs w:val="24"/>
              </w:rPr>
              <w:t>提供以上证书扫描件</w:t>
            </w:r>
            <w:r>
              <w:rPr>
                <w:rFonts w:hint="eastAsia" w:eastAsiaTheme="minorEastAsia"/>
                <w:kern w:val="0"/>
                <w:sz w:val="24"/>
                <w:szCs w:val="24"/>
              </w:rPr>
              <w:t>。</w:t>
            </w:r>
          </w:p>
          <w:p>
            <w:pPr>
              <w:widowControl/>
              <w:adjustRightInd w:val="0"/>
              <w:snapToGrid w:val="0"/>
              <w:rPr>
                <w:rFonts w:asciiTheme="minorEastAsia" w:hAnsiTheme="minorEastAsia" w:eastAsiaTheme="minorEastAsia"/>
                <w:kern w:val="0"/>
                <w:sz w:val="24"/>
                <w:szCs w:val="24"/>
              </w:rPr>
            </w:pPr>
            <w:r>
              <w:rPr>
                <w:rFonts w:asciiTheme="minorEastAsia" w:hAnsiTheme="minorEastAsia" w:eastAsiaTheme="minorEastAsia"/>
                <w:kern w:val="0"/>
                <w:sz w:val="24"/>
                <w:szCs w:val="24"/>
              </w:rPr>
              <w:t>③</w:t>
            </w:r>
            <w:r>
              <w:rPr>
                <w:rFonts w:hint="eastAsia" w:asciiTheme="minorEastAsia" w:hAnsiTheme="minorEastAsia" w:eastAsiaTheme="minorEastAsia"/>
                <w:kern w:val="0"/>
                <w:sz w:val="24"/>
                <w:szCs w:val="24"/>
              </w:rPr>
              <w:t xml:space="preserve"> 在满足</w:t>
            </w:r>
            <w:r>
              <w:rPr>
                <w:rFonts w:asciiTheme="minorEastAsia" w:hAnsiTheme="minorEastAsia" w:eastAsiaTheme="minorEastAsia"/>
                <w:kern w:val="0"/>
                <w:sz w:val="24"/>
                <w:szCs w:val="24"/>
              </w:rPr>
              <w:t>①</w:t>
            </w:r>
            <w:r>
              <w:rPr>
                <w:rFonts w:hint="eastAsia" w:asciiTheme="minorEastAsia" w:hAnsiTheme="minorEastAsia" w:eastAsiaTheme="minorEastAsia"/>
                <w:kern w:val="0"/>
                <w:sz w:val="24"/>
                <w:szCs w:val="24"/>
              </w:rPr>
              <w:t>的基础上，第</w:t>
            </w:r>
            <w:r>
              <w:rPr>
                <w:rFonts w:asciiTheme="minorEastAsia" w:hAnsiTheme="minorEastAsia" w:eastAsiaTheme="minorEastAsia"/>
                <w:kern w:val="0"/>
                <w:sz w:val="24"/>
                <w:szCs w:val="24"/>
              </w:rPr>
              <w:t>①</w:t>
            </w:r>
            <w:r>
              <w:rPr>
                <w:rFonts w:hint="eastAsia" w:asciiTheme="minorEastAsia" w:hAnsiTheme="minorEastAsia" w:eastAsiaTheme="minorEastAsia"/>
                <w:kern w:val="0"/>
                <w:sz w:val="24"/>
                <w:szCs w:val="24"/>
              </w:rPr>
              <w:t>项人员（不包括组长）需要达到12人且满足以下要求：</w:t>
            </w:r>
          </w:p>
          <w:p>
            <w:pPr>
              <w:widowControl/>
              <w:adjustRightInd w:val="0"/>
              <w:snapToGrid w:val="0"/>
              <w:rPr>
                <w:rFonts w:eastAsiaTheme="minorEastAsia"/>
                <w:kern w:val="0"/>
                <w:sz w:val="24"/>
                <w:szCs w:val="24"/>
              </w:rPr>
            </w:pPr>
            <w:r>
              <w:rPr>
                <w:rFonts w:hint="eastAsia" w:asciiTheme="minorEastAsia" w:hAnsiTheme="minorEastAsia" w:eastAsiaTheme="minorEastAsia"/>
                <w:kern w:val="0"/>
                <w:sz w:val="24"/>
                <w:szCs w:val="24"/>
              </w:rPr>
              <w:t>具有电话热线工作经验，提供加盖投标单位公章的人员电话热线工作经验工作简历扫描件；或拥有初级会计师或中级会计师或税务师或注册会计师证书或考试合格证明，</w:t>
            </w:r>
            <w:r>
              <w:rPr>
                <w:rFonts w:eastAsiaTheme="minorEastAsia"/>
                <w:kern w:val="0"/>
                <w:sz w:val="24"/>
                <w:szCs w:val="24"/>
              </w:rPr>
              <w:t>提供以上证书扫描件</w:t>
            </w:r>
            <w:r>
              <w:rPr>
                <w:rFonts w:hint="eastAsia" w:eastAsiaTheme="minorEastAsia"/>
                <w:kern w:val="0"/>
                <w:sz w:val="24"/>
                <w:szCs w:val="24"/>
              </w:rPr>
              <w:t>；</w:t>
            </w:r>
          </w:p>
          <w:p>
            <w:pPr>
              <w:widowControl/>
              <w:adjustRightInd w:val="0"/>
              <w:snapToGrid w:val="0"/>
              <w:rPr>
                <w:rFonts w:eastAsiaTheme="minorEastAsia"/>
                <w:kern w:val="0"/>
                <w:sz w:val="24"/>
                <w:szCs w:val="24"/>
              </w:rPr>
            </w:pPr>
            <w:r>
              <w:rPr>
                <w:rFonts w:hint="eastAsia" w:asciiTheme="minorEastAsia" w:hAnsiTheme="minorEastAsia" w:eastAsiaTheme="minorEastAsia"/>
                <w:kern w:val="0"/>
                <w:sz w:val="24"/>
                <w:szCs w:val="24"/>
              </w:rPr>
              <w:t>具备一年或以上相关财税工作经验，提供加盖投标单位公章的人员工作简历扫描件；或财会、税收等财税经济类专业专科（或以上）学历，</w:t>
            </w:r>
            <w:r>
              <w:rPr>
                <w:rFonts w:eastAsiaTheme="minorEastAsia"/>
                <w:kern w:val="0"/>
                <w:sz w:val="24"/>
                <w:szCs w:val="24"/>
              </w:rPr>
              <w:t>提供以上证书扫描件</w:t>
            </w:r>
            <w:r>
              <w:rPr>
                <w:rFonts w:hint="eastAsia" w:eastAsiaTheme="minorEastAsia"/>
                <w:kern w:val="0"/>
                <w:sz w:val="24"/>
                <w:szCs w:val="24"/>
              </w:rPr>
              <w:t>。</w:t>
            </w:r>
          </w:p>
          <w:p>
            <w:pPr>
              <w:widowControl/>
              <w:adjustRightInd w:val="0"/>
              <w:snapToGri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（2）在满足（1）的基础上，</w:t>
            </w:r>
            <w:r>
              <w:rPr>
                <w:rFonts w:asciiTheme="minorEastAsia" w:hAnsiTheme="minorEastAsia" w:eastAsiaTheme="minorEastAsia"/>
                <w:kern w:val="0"/>
                <w:sz w:val="24"/>
                <w:szCs w:val="24"/>
              </w:rPr>
              <w:t>③</w:t>
            </w:r>
            <w:r>
              <w:rPr>
                <w:rFonts w:hint="eastAsia" w:asciiTheme="minorEastAsia" w:hAnsiTheme="minorEastAsia" w:eastAsiaTheme="minorEastAsia"/>
                <w:kern w:val="0"/>
                <w:sz w:val="24"/>
                <w:szCs w:val="24"/>
              </w:rPr>
              <w:t>中的人员每增加1人加1分，最多加5分。</w:t>
            </w:r>
          </w:p>
          <w:p>
            <w:pPr>
              <w:widowControl/>
              <w:adjustRightInd w:val="0"/>
              <w:snapToGrid w:val="0"/>
              <w:rPr>
                <w:kern w:val="0"/>
                <w:sz w:val="24"/>
                <w:szCs w:val="24"/>
              </w:rPr>
            </w:pPr>
            <w:r>
              <w:rPr>
                <w:rFonts w:hint="eastAsia" w:asciiTheme="minorEastAsia" w:hAnsiTheme="minorEastAsia" w:eastAsiaTheme="minorEastAsia"/>
                <w:kern w:val="0"/>
                <w:sz w:val="24"/>
                <w:szCs w:val="24"/>
              </w:rPr>
              <w:t>注：</w:t>
            </w:r>
            <w:r>
              <w:rPr>
                <w:rFonts w:asciiTheme="minorEastAsia" w:hAnsiTheme="minorEastAsia" w:eastAsiaTheme="minorEastAsia"/>
                <w:kern w:val="0"/>
                <w:sz w:val="24"/>
                <w:szCs w:val="24"/>
              </w:rPr>
              <w:t>②</w:t>
            </w:r>
            <w:r>
              <w:rPr>
                <w:rFonts w:hint="eastAsia" w:asciiTheme="minorEastAsia" w:hAnsiTheme="minorEastAsia" w:eastAsiaTheme="minorEastAsia"/>
                <w:kern w:val="0"/>
                <w:sz w:val="24"/>
                <w:szCs w:val="24"/>
              </w:rPr>
              <w:t>与</w:t>
            </w:r>
            <w:r>
              <w:rPr>
                <w:rFonts w:asciiTheme="minorEastAsia" w:hAnsiTheme="minorEastAsia" w:eastAsiaTheme="minorEastAsia"/>
                <w:kern w:val="0"/>
                <w:sz w:val="24"/>
                <w:szCs w:val="24"/>
              </w:rPr>
              <w:t>③</w:t>
            </w:r>
            <w:r>
              <w:rPr>
                <w:rFonts w:hint="eastAsia" w:asciiTheme="minorEastAsia" w:hAnsiTheme="minorEastAsia" w:eastAsiaTheme="minorEastAsia"/>
                <w:kern w:val="0"/>
                <w:sz w:val="24"/>
                <w:szCs w:val="24"/>
              </w:rPr>
              <w:t>之间人员不得兼任。</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承诺完全满足招标文件“报价要求”、“时间地点要求”、“付款方式要求”和技术要求中非“★”号要求的：6分，其他0分。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vAlign w:val="center"/>
          </w:tcPr>
          <w:p>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至少包含针对本项目的人员管理、现场管理、业务管理等方面的整体运行方案。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至少包含投标人对本服务项目任务及需求的理解、用户现状分析、实施要求等方面的内容。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pPr>
              <w:widowControl/>
              <w:adjustRightInd w:val="0"/>
              <w:snapToGrid w:val="0"/>
              <w:rPr>
                <w:sz w:val="24"/>
              </w:rPr>
            </w:pPr>
            <w:r>
              <w:rPr>
                <w:rFonts w:hint="eastAsia"/>
                <w:sz w:val="24"/>
              </w:rPr>
              <w:t>至少包含针对本项目服务人员的培训计划、培训资料、培训师资、培训方式等方面的内容。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pPr>
              <w:widowControl/>
              <w:adjustRightInd w:val="0"/>
              <w:snapToGrid w:val="0"/>
              <w:rPr>
                <w:kern w:val="0"/>
                <w:sz w:val="24"/>
                <w:szCs w:val="24"/>
              </w:rPr>
            </w:pPr>
            <w:r>
              <w:rPr>
                <w:rFonts w:hint="eastAsia"/>
                <w:sz w:val="24"/>
              </w:rPr>
              <w:t>至少包含针对本项目实施过程中可能出现的系统故障、话务服务激增、人员流失等方面的突发情况，建立突发事件、应急事件处理制度。</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vAlign w:val="center"/>
          </w:tcPr>
          <w:p>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100</w:t>
            </w:r>
          </w:p>
        </w:tc>
      </w:tr>
    </w:tbl>
    <w:p>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一、项目内容</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1.1项目建设思路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本项目为延续性服务类项目，以建设全市一流的12366热线为目标，为纳税人缴费人提供专业化、规范化、标准化服务，持续提升纳税人缴费人的满意度和获得感。</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1.2采购内容</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本项目采购内容为12366热线咨询服务，北辰区税务局提供办公场地、人员工位及相关办公设备，中标供应商提供服务人员及接听设备。本项目需要服务人员18人，中标供应商按照北辰区税务局要求培训、管理服务人员，配合北辰区税务局对12366热线的日常管理工作，共同落实服务规范和绩效管理办法等制度体系。</w:t>
      </w:r>
    </w:p>
    <w:p>
      <w:pPr>
        <w:spacing w:line="360" w:lineRule="auto"/>
        <w:ind w:firstLine="448" w:firstLineChars="200"/>
        <w:rPr>
          <w:rFonts w:asciiTheme="minorEastAsia" w:hAnsiTheme="minorEastAsia" w:eastAsiaTheme="minorEastAsia"/>
          <w:sz w:val="24"/>
          <w:szCs w:val="24"/>
        </w:rPr>
      </w:pPr>
      <w:bookmarkStart w:id="6" w:name="_Toc256000020"/>
      <w:r>
        <w:rPr>
          <w:rFonts w:hint="eastAsia" w:asciiTheme="minorEastAsia" w:hAnsiTheme="minorEastAsia" w:eastAsiaTheme="minorEastAsia"/>
          <w:sz w:val="24"/>
          <w:szCs w:val="24"/>
        </w:rPr>
        <w:t>二、</w:t>
      </w:r>
      <w:r>
        <w:rPr>
          <w:rFonts w:asciiTheme="minorEastAsia" w:hAnsiTheme="minorEastAsia" w:eastAsiaTheme="minorEastAsia"/>
          <w:sz w:val="24"/>
          <w:szCs w:val="24"/>
        </w:rPr>
        <w:t>总体要求</w:t>
      </w:r>
      <w:bookmarkEnd w:id="6"/>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spacing w:line="360" w:lineRule="auto"/>
        <w:ind w:firstLine="448" w:firstLineChars="200"/>
        <w:rPr>
          <w:rFonts w:asciiTheme="minorEastAsia" w:hAnsiTheme="minorEastAsia" w:eastAsiaTheme="minorEastAsia"/>
          <w:sz w:val="24"/>
          <w:szCs w:val="24"/>
        </w:rPr>
      </w:pPr>
      <w:bookmarkStart w:id="7" w:name="_Toc256000023"/>
      <w:r>
        <w:rPr>
          <w:rFonts w:asciiTheme="minorEastAsia" w:hAnsiTheme="minorEastAsia" w:eastAsiaTheme="minorEastAsia"/>
          <w:sz w:val="24"/>
          <w:szCs w:val="24"/>
        </w:rPr>
        <w:t>2.</w:t>
      </w:r>
      <w:r>
        <w:rPr>
          <w:rFonts w:hint="eastAsia" w:asciiTheme="minorEastAsia" w:hAnsiTheme="minorEastAsia" w:eastAsiaTheme="minorEastAsia"/>
          <w:sz w:val="24"/>
          <w:szCs w:val="24"/>
        </w:rPr>
        <w:t>1</w:t>
      </w:r>
      <w:r>
        <w:rPr>
          <w:rFonts w:asciiTheme="minorEastAsia" w:hAnsiTheme="minorEastAsia" w:eastAsiaTheme="minorEastAsia"/>
          <w:sz w:val="24"/>
          <w:szCs w:val="24"/>
        </w:rPr>
        <w:t>技术和服务其他要求</w:t>
      </w:r>
      <w:bookmarkEnd w:id="7"/>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2.电话回呼。通过人工主动呼出的方式向纳税人缴费人提供涉税费咨询服务。电话回呼包括留言回呼、纠错回呼、承诺回呼、遇忙（呼损）回呼等。</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3.征纳互动咨询服务。通过征纳互动受理纳税人缴费人咨询，对通过12366热线发起咨询的符合条件的纳税人，根据业务需要为其提供反向拉起服务，提升咨询效率。</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4.后台支撑服务。主要解决热线人员无法及时回复或解决的问题，包括但不限于疑难问题的解答、业务工单等。</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5.宣传培训服务。包括相关涉税涉费热点问题的整理、编辑以及配合宣传和发布服务。</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6.需求采集服务。作为税务局和纳税人缴费人之间的沟通桥梁，了解纳税人缴费人的实际需求，利用服务纳税人缴费人时获得的需求信息和数据，定期提供需求报告，为税务局提高纳税服务水平提供决策依据。</w:t>
      </w:r>
    </w:p>
    <w:p>
      <w:pPr>
        <w:spacing w:line="360" w:lineRule="auto"/>
        <w:ind w:firstLine="448" w:firstLineChars="200"/>
        <w:rPr>
          <w:rFonts w:asciiTheme="minorEastAsia" w:hAnsiTheme="minorEastAsia" w:eastAsiaTheme="minorEastAsia"/>
          <w:sz w:val="24"/>
          <w:szCs w:val="24"/>
        </w:rPr>
      </w:pPr>
      <w:bookmarkStart w:id="8" w:name="_Toc256000024"/>
      <w:r>
        <w:rPr>
          <w:rFonts w:hint="eastAsia" w:asciiTheme="minorEastAsia" w:hAnsiTheme="minorEastAsia" w:eastAsiaTheme="minorEastAsia"/>
          <w:sz w:val="24"/>
          <w:szCs w:val="24"/>
        </w:rPr>
        <w:t>三、</w:t>
      </w:r>
      <w:r>
        <w:rPr>
          <w:rFonts w:asciiTheme="minorEastAsia" w:hAnsiTheme="minorEastAsia" w:eastAsiaTheme="minorEastAsia"/>
          <w:sz w:val="24"/>
          <w:szCs w:val="24"/>
        </w:rPr>
        <w:t>人员要求</w:t>
      </w:r>
      <w:bookmarkEnd w:id="8"/>
    </w:p>
    <w:p>
      <w:pPr>
        <w:spacing w:line="360" w:lineRule="auto"/>
        <w:ind w:firstLine="448" w:firstLineChars="200"/>
        <w:rPr>
          <w:rFonts w:asciiTheme="minorEastAsia" w:hAnsiTheme="minorEastAsia" w:eastAsiaTheme="minorEastAsia"/>
          <w:sz w:val="24"/>
          <w:szCs w:val="24"/>
        </w:rPr>
      </w:pPr>
      <w:bookmarkStart w:id="9" w:name="_Toc256000025"/>
      <w:r>
        <w:rPr>
          <w:rFonts w:hint="eastAsia" w:asciiTheme="minorEastAsia" w:hAnsiTheme="minorEastAsia" w:eastAsiaTheme="minorEastAsia"/>
          <w:sz w:val="24"/>
          <w:szCs w:val="24"/>
        </w:rPr>
        <w:t>3</w:t>
      </w:r>
      <w:r>
        <w:rPr>
          <w:rFonts w:asciiTheme="minorEastAsia" w:hAnsiTheme="minorEastAsia" w:eastAsiaTheme="minorEastAsia"/>
          <w:sz w:val="24"/>
          <w:szCs w:val="24"/>
        </w:rPr>
        <w:t>.1总体要求</w:t>
      </w:r>
      <w:bookmarkEnd w:id="9"/>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中标供应商提供的服务人员需要符合以下条件：</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1.能熟练运用电脑办公软件，汉字录入速度不低于80字/分钟。</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2.18名12366热线咨询服务人员具有一定的税收基本业务知识，取得初级会计师、中级会计师、税务师、注册会计师证书或考试合格证明或具备电话热线工作经验。其中17名12366热线咨询服务的技术团队人员中，具有财会、税收等财税经济类专业大专（或以上）学历或具有一年（或以上）相关财税工作经验的，不得少于12人；其中1名组长具备财会、税收等财税经济类专业大学本科（或以上）学历或具备三年（或以上）相关财税工作经验。</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3.普通话发音基本标准，语调自然，表达流畅，具备较强的服务意识和良好的语言表达能力、沟通能力、记忆能力、心理承受能力和学习能力。</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4.身体健康。</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5.12366热线人员上岗前由中标供应商组织培训，经考核通过后方能上岗。</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6.符合采购人要求及日常管理工作规范。</w:t>
      </w:r>
    </w:p>
    <w:p>
      <w:pPr>
        <w:spacing w:line="360" w:lineRule="auto"/>
        <w:ind w:firstLine="448" w:firstLineChars="200"/>
        <w:rPr>
          <w:rFonts w:asciiTheme="minorEastAsia" w:hAnsiTheme="minorEastAsia" w:eastAsiaTheme="minorEastAsia"/>
          <w:sz w:val="24"/>
          <w:szCs w:val="24"/>
        </w:rPr>
      </w:pPr>
      <w:bookmarkStart w:id="10" w:name="_Toc256000026"/>
      <w:r>
        <w:rPr>
          <w:rFonts w:hint="eastAsia" w:asciiTheme="minorEastAsia" w:hAnsiTheme="minorEastAsia" w:eastAsiaTheme="minorEastAsia"/>
          <w:sz w:val="24"/>
          <w:szCs w:val="24"/>
        </w:rPr>
        <w:t>3</w:t>
      </w:r>
      <w:r>
        <w:rPr>
          <w:rFonts w:asciiTheme="minorEastAsia" w:hAnsiTheme="minorEastAsia" w:eastAsiaTheme="minorEastAsia"/>
          <w:sz w:val="24"/>
          <w:szCs w:val="24"/>
        </w:rPr>
        <w:t>.2管理团队</w:t>
      </w:r>
      <w:bookmarkEnd w:id="10"/>
    </w:p>
    <w:p>
      <w:pPr>
        <w:spacing w:line="360" w:lineRule="auto"/>
        <w:ind w:firstLine="448" w:firstLineChars="200"/>
        <w:rPr>
          <w:rFonts w:asciiTheme="minorEastAsia" w:hAnsiTheme="minorEastAsia" w:eastAsiaTheme="minorEastAsia"/>
          <w:sz w:val="24"/>
          <w:szCs w:val="24"/>
        </w:rPr>
      </w:pPr>
      <w:bookmarkStart w:id="11" w:name="_Toc256000027"/>
      <w:r>
        <w:rPr>
          <w:rFonts w:hint="eastAsia" w:asciiTheme="minorEastAsia" w:hAnsiTheme="minorEastAsia" w:eastAsiaTheme="minorEastAsia"/>
          <w:sz w:val="24"/>
          <w:szCs w:val="24"/>
        </w:rPr>
        <w:t>3</w:t>
      </w:r>
      <w:r>
        <w:rPr>
          <w:rFonts w:asciiTheme="minorEastAsia" w:hAnsiTheme="minorEastAsia" w:eastAsiaTheme="minorEastAsia"/>
          <w:sz w:val="24"/>
          <w:szCs w:val="24"/>
        </w:rPr>
        <w:t>.2.1项目经理</w:t>
      </w:r>
      <w:bookmarkEnd w:id="11"/>
    </w:p>
    <w:p>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名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pPr>
        <w:spacing w:line="360" w:lineRule="auto"/>
        <w:ind w:firstLine="448" w:firstLineChars="200"/>
        <w:rPr>
          <w:rFonts w:asciiTheme="minorEastAsia" w:hAnsiTheme="minorEastAsia" w:eastAsiaTheme="minorEastAsia"/>
          <w:sz w:val="24"/>
          <w:szCs w:val="24"/>
        </w:rPr>
      </w:pPr>
      <w:bookmarkStart w:id="12" w:name="_Toc256000028"/>
      <w:r>
        <w:rPr>
          <w:rFonts w:hint="eastAsia" w:asciiTheme="minorEastAsia" w:hAnsiTheme="minorEastAsia" w:eastAsiaTheme="minorEastAsia"/>
          <w:sz w:val="24"/>
          <w:szCs w:val="24"/>
        </w:rPr>
        <w:t>3</w:t>
      </w:r>
      <w:r>
        <w:rPr>
          <w:rFonts w:asciiTheme="minorEastAsia" w:hAnsiTheme="minorEastAsia" w:eastAsiaTheme="minorEastAsia"/>
          <w:sz w:val="24"/>
          <w:szCs w:val="24"/>
        </w:rPr>
        <w:t>.3技术团队</w:t>
      </w:r>
      <w:bookmarkEnd w:id="12"/>
    </w:p>
    <w:p>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其</w:t>
      </w:r>
      <w:r>
        <w:rPr>
          <w:rFonts w:asciiTheme="minorEastAsia" w:hAnsiTheme="minorEastAsia" w:eastAsiaTheme="minorEastAsia"/>
          <w:sz w:val="24"/>
          <w:szCs w:val="24"/>
        </w:rPr>
        <w:t>他17名12366热线咨询服务人员负责通过12366热线电话向纳税人解答关于税收法律、行政法规、纳税程序以及社会保险费和税务机关管辖的非税收入征管有关问题，引导投诉举报等。</w:t>
      </w:r>
    </w:p>
    <w:p>
      <w:pPr>
        <w:spacing w:line="360" w:lineRule="auto"/>
        <w:ind w:firstLine="448" w:firstLineChars="200"/>
        <w:rPr>
          <w:rFonts w:asciiTheme="minorEastAsia" w:hAnsiTheme="minorEastAsia" w:eastAsiaTheme="minorEastAsia"/>
          <w:sz w:val="24"/>
          <w:szCs w:val="24"/>
        </w:rPr>
      </w:pPr>
      <w:bookmarkStart w:id="13" w:name="_Toc256000030"/>
      <w:r>
        <w:rPr>
          <w:rFonts w:hint="eastAsia" w:asciiTheme="minorEastAsia" w:hAnsiTheme="minorEastAsia" w:eastAsiaTheme="minorEastAsia"/>
          <w:sz w:val="24"/>
          <w:szCs w:val="24"/>
        </w:rPr>
        <w:t>四、</w:t>
      </w:r>
      <w:r>
        <w:rPr>
          <w:rFonts w:asciiTheme="minorEastAsia" w:hAnsiTheme="minorEastAsia" w:eastAsiaTheme="minorEastAsia"/>
          <w:sz w:val="24"/>
          <w:szCs w:val="24"/>
        </w:rPr>
        <w:t>管理实施要求</w:t>
      </w:r>
      <w:bookmarkEnd w:id="13"/>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（一）实施要求</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1.中标供应商应提供所有座席人员的身份信息资料。</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2.服务期内发生各种事故：包括安全、交通、防火和劳资纠纷等事故，由中标供应商承担相应责任。</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3.中标供应商需做好考勤相关工作</w:t>
      </w:r>
      <w:r>
        <w:rPr>
          <w:rFonts w:hint="eastAsia" w:asciiTheme="minorEastAsia" w:hAnsiTheme="minorEastAsia" w:eastAsiaTheme="minorEastAsia"/>
          <w:sz w:val="24"/>
          <w:szCs w:val="24"/>
        </w:rPr>
        <w:t>并</w:t>
      </w:r>
      <w:r>
        <w:rPr>
          <w:rFonts w:asciiTheme="minorEastAsia" w:hAnsiTheme="minorEastAsia" w:eastAsiaTheme="minorEastAsia"/>
          <w:sz w:val="24"/>
          <w:szCs w:val="24"/>
        </w:rPr>
        <w:t>确保所提供服务的工作时长，工作期间不得擅离职守，注重仪容仪表、工作态度，保证为纳税人提供准确、快捷的纳税服务。</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4.中标供应商需确保提供座席服务过程中遵守采购方各项廉洁纪律，做到认真履行工作职责，谨言慎行，坚决不做损害纳税人利益和损害税务机关形象的事情。</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5.如采购方对中标供应商提供的人员出现3次不服从管理、违反采购方制定的相关规章制度，采购方可以要求更换，中标供应商必须及时且无条件的为采购方更换合格的人员。</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6.服务期内，采购方按月对中标供应商的工作质量、履约情况、工作配合度等进行综合评价，评价合格则继续履行服务合同。如项目服务未达到要求，则采购方上报监管部门终止服务合同。</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7.对服务人员的撤换或辞退等须经采购方同意认可。</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（二）应急服务要求 </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要求中标供应商必须建立和完善突发事件的应急预案和处理机制，防患于未然。当出现不可预知的紧急情况时，保证服务正常开展。</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（三）人员保密要求</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1.中标供应商</w:t>
      </w:r>
      <w:r>
        <w:rPr>
          <w:rFonts w:hint="eastAsia" w:asciiTheme="minorEastAsia" w:hAnsiTheme="minorEastAsia" w:eastAsiaTheme="minorEastAsia"/>
          <w:sz w:val="24"/>
          <w:szCs w:val="24"/>
        </w:rPr>
        <w:t>和</w:t>
      </w:r>
      <w:r>
        <w:rPr>
          <w:rFonts w:asciiTheme="minorEastAsia" w:hAnsiTheme="minorEastAsia" w:eastAsiaTheme="minorEastAsia"/>
          <w:sz w:val="24"/>
          <w:szCs w:val="24"/>
        </w:rPr>
        <w:t>中标供应商提供的服务人员签订合同前必须按照国家相关保密规定和采购方签订《保密协议》，对违反《保密协议》相关内容规定的，采购方有权追究其法律责任。所有服务人员必须严格遵守国家、地方、行业相关保密管理政策规定。</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（四）人员稳定性要求</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3天内补充，缺席人数不能同时超过2人，中标供应商在3天内未能及时补齐符合完成项目需求的服务人员，每月不得超过2次，否则视为中标供应商违约，采购方有权终止合同。</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（五）保密要求</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中标供应商</w:t>
      </w:r>
      <w:r>
        <w:rPr>
          <w:rFonts w:hint="eastAsia" w:asciiTheme="minorEastAsia" w:hAnsiTheme="minorEastAsia" w:eastAsiaTheme="minorEastAsia"/>
          <w:sz w:val="24"/>
          <w:szCs w:val="24"/>
        </w:rPr>
        <w:t>和</w:t>
      </w:r>
      <w:r>
        <w:rPr>
          <w:rFonts w:asciiTheme="minorEastAsia" w:hAnsiTheme="minorEastAsia" w:eastAsiaTheme="minorEastAsia"/>
          <w:sz w:val="24"/>
          <w:szCs w:val="24"/>
        </w:rPr>
        <w:t>中标供应商提供的服务人员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（六）进驻和接管要求</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（七）费用分割</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1.如因中标方引起的劳资纠纷问题，影响正常工作的，采购方有权</w:t>
      </w:r>
      <w:r>
        <w:rPr>
          <w:rFonts w:hint="eastAsia" w:asciiTheme="minorEastAsia" w:hAnsiTheme="minorEastAsia" w:eastAsiaTheme="minorEastAsia"/>
          <w:sz w:val="24"/>
          <w:szCs w:val="24"/>
        </w:rPr>
        <w:t>要求中标方</w:t>
      </w:r>
      <w:r>
        <w:rPr>
          <w:rFonts w:asciiTheme="minorEastAsia" w:hAnsiTheme="minorEastAsia" w:eastAsiaTheme="minorEastAsia"/>
          <w:sz w:val="24"/>
          <w:szCs w:val="24"/>
        </w:rPr>
        <w:t>另行聘请人员确保正常工作，所产生的费用由中标方承担，采购方不承担所产生的任何费用。</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2.中标方在合同生效前对全部座席人员完成岗前培训，保障本项目在合同生效后顺利开展。培训实施后，对参加培训的座席人员进行考核，要求事先编制详细的考核计划和考核标准，考核通过后方可正式上岗。</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3.本项目开展工作所需的场地、办公家具、服务系统、内网电脑、水电费用、网络费用等由采购人承担。</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4.项目座席人员外网电脑、18套接听设备(能进行网络连接和IP地址配置的IP话机)及对应耳机设备由中标供应商承担。</w:t>
      </w:r>
    </w:p>
    <w:p>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（八）运行质量需求</w:t>
      </w:r>
    </w:p>
    <w:p>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运行质量需符合《天津市12366纳税缴费服务热线远程座席服务质量考核办法》规定。</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w:t>
      </w:r>
      <w:r>
        <w:rPr>
          <w:rFonts w:hint="eastAsia" w:asciiTheme="minorEastAsia" w:hAnsiTheme="minorEastAsia" w:eastAsiaTheme="minorEastAsia"/>
          <w:sz w:val="24"/>
          <w:szCs w:val="24"/>
        </w:rPr>
        <w:t>九</w:t>
      </w:r>
      <w:r>
        <w:rPr>
          <w:rFonts w:asciiTheme="minorEastAsia" w:hAnsiTheme="minorEastAsia" w:eastAsiaTheme="minorEastAsia"/>
          <w:sz w:val="24"/>
          <w:szCs w:val="24"/>
        </w:rPr>
        <w:t>）履约责任</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中标供应商在服务过程中应满足本需求书提出的运行质量标准，若出现重大失误或重大事故并给国家税务总局天津市北辰区税务局造成损失，国家税务总局天津市北辰区税务局有权终止合同，停止付款并要求中标供应商赔偿实际造成的损失。</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2.中标供应商每季度期间存在一个月服务质效考核验收未达到</w:t>
      </w:r>
      <w:r>
        <w:rPr>
          <w:rFonts w:hint="eastAsia" w:asciiTheme="minorEastAsia" w:hAnsiTheme="minorEastAsia" w:eastAsiaTheme="minorEastAsia"/>
          <w:sz w:val="24"/>
          <w:szCs w:val="24"/>
        </w:rPr>
        <w:t>市局</w:t>
      </w:r>
      <w:r>
        <w:rPr>
          <w:rFonts w:asciiTheme="minorEastAsia" w:hAnsiTheme="minorEastAsia" w:eastAsiaTheme="minorEastAsia"/>
          <w:sz w:val="24"/>
          <w:szCs w:val="24"/>
        </w:rPr>
        <w:t>规定标准的，国家税务总局天津市北辰区税务局按照供应商每季度服务费的3%进行扣减。中标供应商每季度期间存在两个月服务质效考核验收未达到</w:t>
      </w:r>
      <w:r>
        <w:rPr>
          <w:rFonts w:hint="eastAsia" w:asciiTheme="minorEastAsia" w:hAnsiTheme="minorEastAsia" w:eastAsiaTheme="minorEastAsia"/>
          <w:sz w:val="24"/>
          <w:szCs w:val="24"/>
        </w:rPr>
        <w:t>市局</w:t>
      </w:r>
      <w:r>
        <w:rPr>
          <w:rFonts w:asciiTheme="minorEastAsia" w:hAnsiTheme="minorEastAsia" w:eastAsiaTheme="minorEastAsia"/>
          <w:sz w:val="24"/>
          <w:szCs w:val="24"/>
        </w:rPr>
        <w:t>规定标准的，国家税务总局天津市北辰区税务局按照供应商每季度服务费的6%进行扣减。中标供应商每季度期间存在三个月服务质效考核验收未达到</w:t>
      </w:r>
      <w:r>
        <w:rPr>
          <w:rFonts w:hint="eastAsia" w:asciiTheme="minorEastAsia" w:hAnsiTheme="minorEastAsia" w:eastAsiaTheme="minorEastAsia"/>
          <w:sz w:val="24"/>
          <w:szCs w:val="24"/>
        </w:rPr>
        <w:t>市局</w:t>
      </w:r>
      <w:r>
        <w:rPr>
          <w:rFonts w:asciiTheme="minorEastAsia" w:hAnsiTheme="minorEastAsia" w:eastAsiaTheme="minorEastAsia"/>
          <w:sz w:val="24"/>
          <w:szCs w:val="24"/>
        </w:rPr>
        <w:t>规定标准的，国家税务总局天津市北辰区税务局按照供应商每季度服务费的10%进行扣减。</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3.中标供应商每季度期间存在一个月评价满意率低于</w:t>
      </w:r>
      <w:r>
        <w:rPr>
          <w:rFonts w:hint="eastAsia" w:asciiTheme="minorEastAsia" w:hAnsiTheme="minorEastAsia" w:eastAsiaTheme="minorEastAsia"/>
          <w:sz w:val="24"/>
          <w:szCs w:val="24"/>
        </w:rPr>
        <w:t>市局统一</w:t>
      </w:r>
      <w:r>
        <w:rPr>
          <w:rFonts w:asciiTheme="minorEastAsia" w:hAnsiTheme="minorEastAsia" w:eastAsiaTheme="minorEastAsia"/>
          <w:sz w:val="24"/>
          <w:szCs w:val="24"/>
        </w:rPr>
        <w:t>要求的，国家税务总局天津市北辰区税务局按照供应商每季度服务费的3%进行扣减。中标供应商每季度期间存在两个月评价满意率低于</w:t>
      </w:r>
      <w:r>
        <w:rPr>
          <w:rFonts w:hint="eastAsia" w:asciiTheme="minorEastAsia" w:hAnsiTheme="minorEastAsia" w:eastAsiaTheme="minorEastAsia"/>
          <w:sz w:val="24"/>
          <w:szCs w:val="24"/>
        </w:rPr>
        <w:t>市局统一</w:t>
      </w:r>
      <w:r>
        <w:rPr>
          <w:rFonts w:asciiTheme="minorEastAsia" w:hAnsiTheme="minorEastAsia" w:eastAsiaTheme="minorEastAsia"/>
          <w:sz w:val="24"/>
          <w:szCs w:val="24"/>
        </w:rPr>
        <w:t>要求的，国家税务总局天津市北辰区税务局按照供应商每季度服务费的6%进行扣减。中标供应商每季度期间存在三个月评价满意率低于</w:t>
      </w:r>
      <w:r>
        <w:rPr>
          <w:rFonts w:hint="eastAsia" w:asciiTheme="minorEastAsia" w:hAnsiTheme="minorEastAsia" w:eastAsiaTheme="minorEastAsia"/>
          <w:sz w:val="24"/>
          <w:szCs w:val="24"/>
        </w:rPr>
        <w:t>市局统一</w:t>
      </w:r>
      <w:r>
        <w:rPr>
          <w:rFonts w:asciiTheme="minorEastAsia" w:hAnsiTheme="minorEastAsia" w:eastAsiaTheme="minorEastAsia"/>
          <w:sz w:val="24"/>
          <w:szCs w:val="24"/>
        </w:rPr>
        <w:t>要求的，国家税务总局天津市北辰区税务局按照供应商每季度服务费的10%进行扣减。</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中标供应商每季度期间存在一个月被投诉数量超过来电总量的万分之一，经国家税务总局天津市北辰区税务局调查属实且认为投诉合理则按照供应商每季度服务费的3%进行扣减。中标供应商每季度期间存在两个月被投诉数量超过来电总量的万分之一，经国家税务总局天津市北辰区税务局调查属实且认为投诉合理则按照供应商每季度服务费的6%进行扣减。中标供应商每季度期间存在三个月被投诉数量超过来电总量的万分之一，经国家税务总局天津市北辰区税务局调查属实且认为投诉合理则按照供应商每季度服务费的10%进行扣减。</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中标供应商每季度期间存在一个月运行管理不到位、服务不规范、未按照要求履行工作职责产生负面影响的，或被通报批评产生负面影响的，国家税务总局天津市北辰区税务局按照供应商每季度服务费的3%进行扣减。中标供应商每季度期间存在两个月运行管理不到位、服务不规范、未按照要求履行工作职责产生负面影响的，或被通报批评产生负面影响的，国家税务总局天津市北辰区税务局按照供应商每季度服务费的6%进行扣减。中标供应商每季度期间存在三个月运行管理不到位、服务不规范、未按照要求履行工作职责产生负面影响的，或被通报批评产生负面影响的，国家税务总局天津市北辰区税务局按照供应商每季度服务费的10%进行扣减。</w:t>
      </w:r>
    </w:p>
    <w:p>
      <w:pPr>
        <w:spacing w:line="360" w:lineRule="auto"/>
        <w:ind w:firstLine="448" w:firstLineChars="200"/>
        <w:rPr>
          <w:rFonts w:asciiTheme="minorEastAsia" w:hAnsiTheme="minorEastAsia" w:eastAsiaTheme="minorEastAsia"/>
          <w:sz w:val="24"/>
          <w:szCs w:val="24"/>
          <w:highlight w:val="yellow"/>
        </w:rPr>
      </w:pPr>
      <w:r>
        <w:rPr>
          <w:rFonts w:asciiTheme="minorEastAsia" w:hAnsiTheme="minorEastAsia" w:eastAsiaTheme="minorEastAsia"/>
          <w:sz w:val="24"/>
          <w:szCs w:val="24"/>
        </w:rPr>
        <w:t>6.未经采购方同意，中标方不得将承包项目发包或转包，否则，视为中标方违约，采购方有权解除服务合同。</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7.若中标方在1年内违反其服务承诺或以下情况三次或以上，则视为中标方违约，采购方有权拒绝支付本</w:t>
      </w:r>
      <w:r>
        <w:rPr>
          <w:rFonts w:hint="eastAsia" w:asciiTheme="minorEastAsia" w:hAnsiTheme="minorEastAsia" w:eastAsiaTheme="minorEastAsia"/>
          <w:sz w:val="24"/>
          <w:szCs w:val="24"/>
        </w:rPr>
        <w:t>期</w:t>
      </w:r>
      <w:r>
        <w:rPr>
          <w:rFonts w:asciiTheme="minorEastAsia" w:hAnsiTheme="minorEastAsia" w:eastAsiaTheme="minorEastAsia"/>
          <w:sz w:val="24"/>
          <w:szCs w:val="24"/>
        </w:rPr>
        <w:t>项目服务费，并终止合同。</w:t>
      </w:r>
    </w:p>
    <w:p>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（1）非税务机关责任，导致服务出现严重质量问题并造成恶劣影响的。</w:t>
      </w:r>
    </w:p>
    <w:p>
      <w:pPr>
        <w:spacing w:line="360" w:lineRule="auto"/>
        <w:ind w:firstLine="448" w:firstLineChars="200"/>
        <w:rPr>
          <w:rFonts w:asciiTheme="minorEastAsia" w:hAnsiTheme="minorEastAsia" w:eastAsiaTheme="minorEastAsia"/>
          <w:sz w:val="24"/>
          <w:szCs w:val="24"/>
          <w:highlight w:val="yellow"/>
        </w:rPr>
      </w:pPr>
      <w:r>
        <w:rPr>
          <w:rFonts w:hint="eastAsia" w:asciiTheme="minorEastAsia" w:hAnsiTheme="minorEastAsia" w:eastAsiaTheme="minorEastAsia"/>
          <w:sz w:val="24"/>
          <w:szCs w:val="24"/>
        </w:rPr>
        <w:t>（2）没有按照采购方要求对服务人员进行管理、培训、调配等原因，造成在服务过程中出现重大事故并造成严重影响。</w:t>
      </w:r>
    </w:p>
    <w:p>
      <w:pPr>
        <w:spacing w:line="360" w:lineRule="auto"/>
        <w:ind w:firstLine="448" w:firstLineChars="200"/>
        <w:rPr>
          <w:rFonts w:asciiTheme="minorEastAsia" w:hAnsiTheme="minorEastAsia" w:eastAsiaTheme="minorEastAsia"/>
          <w:sz w:val="24"/>
          <w:szCs w:val="24"/>
        </w:rPr>
      </w:pPr>
      <w:bookmarkStart w:id="14" w:name="_Toc256000031"/>
      <w:r>
        <w:rPr>
          <w:rFonts w:hint="eastAsia" w:asciiTheme="minorEastAsia" w:hAnsiTheme="minorEastAsia" w:eastAsiaTheme="minorEastAsia"/>
          <w:sz w:val="24"/>
          <w:szCs w:val="24"/>
        </w:rPr>
        <w:t>五、</w:t>
      </w:r>
      <w:r>
        <w:rPr>
          <w:rFonts w:asciiTheme="minorEastAsia" w:hAnsiTheme="minorEastAsia" w:eastAsiaTheme="minorEastAsia"/>
          <w:sz w:val="24"/>
          <w:szCs w:val="24"/>
        </w:rPr>
        <w:t>风险管控要求</w:t>
      </w:r>
      <w:bookmarkEnd w:id="14"/>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pPr>
        <w:spacing w:line="360" w:lineRule="auto"/>
        <w:ind w:firstLine="448" w:firstLineChars="200"/>
        <w:rPr>
          <w:rFonts w:asciiTheme="minorEastAsia" w:hAnsiTheme="minorEastAsia" w:eastAsiaTheme="minorEastAsia"/>
          <w:sz w:val="24"/>
          <w:szCs w:val="24"/>
        </w:rPr>
      </w:pPr>
      <w:bookmarkStart w:id="15" w:name="_Toc256000039"/>
      <w:r>
        <w:rPr>
          <w:rFonts w:hint="eastAsia" w:asciiTheme="minorEastAsia" w:hAnsiTheme="minorEastAsia" w:eastAsiaTheme="minorEastAsia"/>
          <w:sz w:val="24"/>
          <w:szCs w:val="24"/>
        </w:rPr>
        <w:t>六、</w:t>
      </w:r>
      <w:r>
        <w:rPr>
          <w:rFonts w:asciiTheme="minorEastAsia" w:hAnsiTheme="minorEastAsia" w:eastAsiaTheme="minorEastAsia"/>
          <w:sz w:val="24"/>
          <w:szCs w:val="24"/>
        </w:rPr>
        <w:t>其他要求</w:t>
      </w:r>
      <w:bookmarkEnd w:id="15"/>
    </w:p>
    <w:p>
      <w:pPr>
        <w:spacing w:line="360" w:lineRule="auto"/>
        <w:ind w:firstLine="448" w:firstLineChars="200"/>
        <w:rPr>
          <w:rFonts w:asciiTheme="minorEastAsia" w:hAnsiTheme="minorEastAsia" w:eastAsiaTheme="minorEastAsia"/>
          <w:sz w:val="24"/>
          <w:szCs w:val="24"/>
        </w:rPr>
      </w:pPr>
      <w:bookmarkStart w:id="16" w:name="_Toc256000040"/>
      <w:r>
        <w:rPr>
          <w:rFonts w:hint="eastAsia" w:asciiTheme="minorEastAsia" w:hAnsiTheme="minorEastAsia" w:eastAsiaTheme="minorEastAsia"/>
          <w:sz w:val="24"/>
          <w:szCs w:val="24"/>
        </w:rPr>
        <w:t>6</w:t>
      </w:r>
      <w:r>
        <w:rPr>
          <w:rFonts w:asciiTheme="minorEastAsia" w:hAnsiTheme="minorEastAsia" w:eastAsiaTheme="minorEastAsia"/>
          <w:sz w:val="24"/>
          <w:szCs w:val="24"/>
        </w:rPr>
        <w:t>.1保密要求</w:t>
      </w:r>
      <w:bookmarkEnd w:id="16"/>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1.中标供应商</w:t>
      </w:r>
      <w:r>
        <w:rPr>
          <w:rFonts w:hint="eastAsia" w:asciiTheme="minorEastAsia" w:hAnsiTheme="minorEastAsia" w:eastAsiaTheme="minorEastAsia"/>
          <w:sz w:val="24"/>
          <w:szCs w:val="24"/>
        </w:rPr>
        <w:t>和中标供应商提供的服务人员</w:t>
      </w:r>
      <w:r>
        <w:rPr>
          <w:rFonts w:asciiTheme="minorEastAsia" w:hAnsiTheme="minorEastAsia" w:eastAsiaTheme="minorEastAsia"/>
          <w:sz w:val="24"/>
          <w:szCs w:val="24"/>
        </w:rPr>
        <w:t>签订合同前必须按照国家相关保密规定和采购方签订《保密协议》，对违反《保密协议》相关内容规定的，采购方有权追究其法律责任。所有服务人员必须严格遵守国家、地方、行业相关保密管理政策规定。</w:t>
      </w:r>
    </w:p>
    <w:p>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jc w:val="center"/>
        <w:rPr>
          <w:sz w:val="24"/>
        </w:rPr>
      </w:pPr>
      <w:r>
        <w:rPr>
          <w:sz w:val="24"/>
          <w:u w:val="single"/>
        </w:rPr>
        <w:br w:type="page"/>
      </w:r>
    </w:p>
    <w:p>
      <w:pPr>
        <w:pStyle w:val="19"/>
        <w:rPr>
          <w:rFonts w:ascii="Times New Roman" w:hAnsi="Times New Roman"/>
        </w:rPr>
      </w:pPr>
      <w:r>
        <w:rPr>
          <w:rFonts w:ascii="Times New Roman" w:hAnsi="Times New Roman"/>
        </w:rPr>
        <w:t>第三部分  投标须知</w:t>
      </w:r>
    </w:p>
    <w:p>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32"/>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32"/>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4.3 关于中小微企业参与投标</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32"/>
        <w:spacing w:line="360" w:lineRule="auto"/>
        <w:ind w:firstLine="448" w:firstLineChars="200"/>
        <w:jc w:val="both"/>
        <w:rPr>
          <w:rFonts w:ascii="Times New Roman" w:hAnsi="Times New Roman" w:eastAsia="宋体" w:cs="Times New Roman"/>
          <w:color w:val="auto"/>
        </w:rPr>
      </w:pPr>
      <w:bookmarkStart w:id="17"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bookmarkEnd w:id="17"/>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32"/>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32"/>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32"/>
        <w:spacing w:line="360" w:lineRule="auto"/>
        <w:ind w:firstLine="448" w:firstLineChars="200"/>
        <w:jc w:val="both"/>
        <w:rPr>
          <w:rFonts w:ascii="Times New Roman" w:hAnsi="Times New Roman" w:eastAsia="宋体" w:cs="Times New Roman"/>
          <w:color w:val="auto"/>
        </w:rPr>
      </w:pPr>
    </w:p>
    <w:p>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32"/>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32"/>
        <w:spacing w:line="360" w:lineRule="auto"/>
        <w:ind w:firstLine="448" w:firstLineChars="200"/>
        <w:rPr>
          <w:rFonts w:ascii="Times New Roman" w:hAnsi="Times New Roman" w:eastAsia="宋体" w:cs="Times New Roman"/>
          <w:color w:val="auto"/>
        </w:rPr>
      </w:pPr>
    </w:p>
    <w:p>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中标供应商拒绝与采购人签订合同的，采购人可以按照评审报告推荐的中标候选人名单排序，确定下一候选人为中标供应商，也可以重新开展政府采购活动。</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合同分包</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38.1 未经采购人同意，中标供应商不得分包合同。</w:t>
      </w:r>
    </w:p>
    <w:p>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38.2 政府采购合同分包履行的，中标供应商就采购项目和分包项目向采购人负责，分包供应商就分包项目承担责任。</w:t>
      </w:r>
    </w:p>
    <w:p/>
    <w:p>
      <w:pPr>
        <w:pStyle w:val="32"/>
        <w:spacing w:line="360" w:lineRule="auto"/>
        <w:ind w:firstLine="448" w:firstLineChars="200"/>
        <w:jc w:val="both"/>
        <w:rPr>
          <w:rFonts w:ascii="Times New Roman" w:hAnsi="Times New Roman" w:eastAsia="宋体" w:cs="Times New Roman"/>
          <w:color w:val="auto"/>
        </w:rPr>
      </w:pPr>
    </w:p>
    <w:p>
      <w:pPr>
        <w:pStyle w:val="32"/>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rPr>
      </w:pPr>
      <w:r>
        <w:br w:type="page"/>
      </w:r>
    </w:p>
    <w:p>
      <w:pPr>
        <w:pStyle w:val="19"/>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sz w:val="30"/>
          <w:szCs w:val="30"/>
        </w:rPr>
      </w:pPr>
      <w:r>
        <w:rPr>
          <w:b/>
          <w:sz w:val="30"/>
          <w:szCs w:val="30"/>
        </w:rPr>
        <w:t>合同一般条款</w:t>
      </w:r>
    </w:p>
    <w:p>
      <w:pPr>
        <w:tabs>
          <w:tab w:val="left" w:pos="0"/>
          <w:tab w:val="left" w:pos="315"/>
        </w:tabs>
        <w:spacing w:line="520" w:lineRule="exact"/>
        <w:ind w:firstLine="480"/>
        <w:rPr>
          <w:sz w:val="24"/>
          <w:szCs w:val="24"/>
        </w:rPr>
      </w:pPr>
      <w:r>
        <w:rPr>
          <w:sz w:val="24"/>
          <w:szCs w:val="24"/>
        </w:rPr>
        <w:t xml:space="preserve">需方：  </w:t>
      </w:r>
    </w:p>
    <w:p>
      <w:pPr>
        <w:tabs>
          <w:tab w:val="left" w:pos="0"/>
          <w:tab w:val="left" w:pos="315"/>
        </w:tabs>
        <w:spacing w:line="520" w:lineRule="exact"/>
        <w:ind w:firstLine="480"/>
        <w:rPr>
          <w:sz w:val="24"/>
          <w:szCs w:val="24"/>
        </w:rPr>
      </w:pPr>
      <w:r>
        <w:rPr>
          <w:sz w:val="24"/>
          <w:szCs w:val="24"/>
        </w:rPr>
        <w:t xml:space="preserve">供方： </w:t>
      </w:r>
    </w:p>
    <w:p>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pPr>
        <w:pStyle w:val="37"/>
        <w:numPr>
          <w:ilvl w:val="0"/>
          <w:numId w:val="2"/>
        </w:numPr>
        <w:spacing w:line="480" w:lineRule="exact"/>
        <w:ind w:firstLineChars="0"/>
        <w:rPr>
          <w:sz w:val="24"/>
          <w:szCs w:val="24"/>
        </w:rPr>
      </w:pPr>
      <w:r>
        <w:rPr>
          <w:rFonts w:hint="eastAsia"/>
          <w:sz w:val="24"/>
          <w:szCs w:val="24"/>
        </w:rPr>
        <w:t>本合同为中小企业预留合同</w:t>
      </w:r>
    </w:p>
    <w:p>
      <w:pPr>
        <w:pStyle w:val="37"/>
        <w:numPr>
          <w:ilvl w:val="0"/>
          <w:numId w:val="2"/>
        </w:numPr>
        <w:spacing w:line="480" w:lineRule="exact"/>
        <w:ind w:firstLineChars="0"/>
        <w:rPr>
          <w:sz w:val="24"/>
          <w:szCs w:val="24"/>
        </w:rPr>
      </w:pPr>
      <w:r>
        <w:rPr>
          <w:rFonts w:hint="eastAsia"/>
          <w:sz w:val="24"/>
          <w:szCs w:val="24"/>
        </w:rPr>
        <w:t>本合同非中小企业预留合同</w:t>
      </w:r>
    </w:p>
    <w:p>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tabs>
        <w:spacing w:line="520" w:lineRule="exact"/>
        <w:ind w:firstLine="448" w:firstLineChars="200"/>
        <w:rPr>
          <w:sz w:val="24"/>
          <w:szCs w:val="24"/>
        </w:rPr>
      </w:pPr>
      <w:r>
        <w:rPr>
          <w:sz w:val="24"/>
          <w:szCs w:val="24"/>
        </w:rPr>
        <w:t>一、采购内容：  （详见附件）</w:t>
      </w:r>
    </w:p>
    <w:p>
      <w:pPr>
        <w:tabs>
          <w:tab w:val="left" w:pos="1133"/>
        </w:tabs>
        <w:spacing w:line="520" w:lineRule="exact"/>
        <w:ind w:firstLine="448" w:firstLineChars="200"/>
        <w:rPr>
          <w:sz w:val="24"/>
          <w:szCs w:val="24"/>
        </w:rPr>
      </w:pPr>
      <w:r>
        <w:rPr>
          <w:sz w:val="24"/>
          <w:szCs w:val="24"/>
        </w:rPr>
        <w:t xml:space="preserve">    合同总价款：人民币  元</w:t>
      </w:r>
    </w:p>
    <w:p>
      <w:pPr>
        <w:tabs>
          <w:tab w:val="left" w:pos="1133"/>
        </w:tabs>
        <w:spacing w:line="520" w:lineRule="exact"/>
        <w:ind w:firstLine="448" w:firstLineChars="200"/>
        <w:rPr>
          <w:sz w:val="24"/>
          <w:szCs w:val="24"/>
        </w:rPr>
      </w:pPr>
      <w:r>
        <w:rPr>
          <w:sz w:val="24"/>
          <w:szCs w:val="24"/>
        </w:rPr>
        <w:t xml:space="preserve">    大写：人民币  元整</w:t>
      </w:r>
    </w:p>
    <w:p>
      <w:pPr>
        <w:tabs>
          <w:tab w:val="left" w:pos="360"/>
        </w:tabs>
        <w:spacing w:line="520" w:lineRule="exact"/>
        <w:ind w:firstLine="448" w:firstLineChars="200"/>
        <w:rPr>
          <w:sz w:val="24"/>
          <w:szCs w:val="24"/>
        </w:rPr>
      </w:pPr>
      <w:r>
        <w:rPr>
          <w:sz w:val="24"/>
          <w:szCs w:val="24"/>
        </w:rPr>
        <w:t>二、质量要求及对质量负责条件和期限：见附件。</w:t>
      </w:r>
    </w:p>
    <w:p>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pPr>
        <w:tabs>
          <w:tab w:val="left" w:pos="360"/>
          <w:tab w:val="left" w:pos="721"/>
        </w:tabs>
        <w:spacing w:line="520" w:lineRule="exact"/>
        <w:rPr>
          <w:sz w:val="24"/>
          <w:szCs w:val="24"/>
        </w:rPr>
      </w:pPr>
      <w:r>
        <w:rPr>
          <w:sz w:val="24"/>
          <w:szCs w:val="24"/>
        </w:rPr>
        <w:t xml:space="preserve">    六、验收工作由需方负责对合同进行验收。</w:t>
      </w:r>
    </w:p>
    <w:p>
      <w:pPr>
        <w:tabs>
          <w:tab w:val="left" w:pos="360"/>
        </w:tabs>
        <w:spacing w:line="520" w:lineRule="exact"/>
        <w:rPr>
          <w:sz w:val="24"/>
          <w:szCs w:val="24"/>
        </w:rPr>
      </w:pPr>
      <w:r>
        <w:rPr>
          <w:sz w:val="24"/>
          <w:szCs w:val="24"/>
        </w:rPr>
        <w:t xml:space="preserve">    七、货款支付方式：见附件。</w:t>
      </w:r>
    </w:p>
    <w:p>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pPr>
        <w:pStyle w:val="15"/>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5"/>
        <w:tblW w:w="0" w:type="auto"/>
        <w:tblInd w:w="0" w:type="dxa"/>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供方（公章）： </w:t>
            </w:r>
          </w:p>
        </w:tc>
        <w:tc>
          <w:tcPr>
            <w:tcW w:w="4261" w:type="dxa"/>
          </w:tcPr>
          <w:p>
            <w:pPr>
              <w:tabs>
                <w:tab w:val="left" w:pos="0"/>
                <w:tab w:val="left" w:pos="315"/>
              </w:tabs>
              <w:spacing w:line="520" w:lineRule="exact"/>
              <w:rPr>
                <w:sz w:val="24"/>
                <w:szCs w:val="24"/>
              </w:rPr>
            </w:pPr>
            <w:r>
              <w:rPr>
                <w:sz w:val="24"/>
                <w:szCs w:val="24"/>
              </w:rPr>
              <w:t xml:space="preserve">需方（公章）： </w:t>
            </w:r>
          </w:p>
        </w:tc>
      </w:tr>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地址：  </w:t>
            </w:r>
          </w:p>
        </w:tc>
        <w:tc>
          <w:tcPr>
            <w:tcW w:w="4261" w:type="dxa"/>
          </w:tcPr>
          <w:p>
            <w:pPr>
              <w:tabs>
                <w:tab w:val="left" w:pos="0"/>
                <w:tab w:val="left" w:pos="315"/>
              </w:tabs>
              <w:spacing w:line="520" w:lineRule="exact"/>
              <w:rPr>
                <w:sz w:val="24"/>
                <w:szCs w:val="24"/>
              </w:rPr>
            </w:pPr>
            <w:r>
              <w:rPr>
                <w:sz w:val="24"/>
                <w:szCs w:val="24"/>
              </w:rPr>
              <w:t xml:space="preserve">地址：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法定代表人： </w:t>
            </w:r>
          </w:p>
        </w:tc>
        <w:tc>
          <w:tcPr>
            <w:tcW w:w="4261" w:type="dxa"/>
          </w:tcPr>
          <w:p>
            <w:pPr>
              <w:tabs>
                <w:tab w:val="left" w:pos="360"/>
              </w:tabs>
              <w:spacing w:line="520" w:lineRule="exact"/>
              <w:rPr>
                <w:sz w:val="24"/>
                <w:szCs w:val="24"/>
              </w:rPr>
            </w:pPr>
            <w:r>
              <w:rPr>
                <w:sz w:val="24"/>
                <w:szCs w:val="24"/>
              </w:rPr>
              <w:t xml:space="preserve">法定代表人：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委托代理人： </w:t>
            </w:r>
          </w:p>
        </w:tc>
        <w:tc>
          <w:tcPr>
            <w:tcW w:w="4261" w:type="dxa"/>
          </w:tcPr>
          <w:p>
            <w:pPr>
              <w:tabs>
                <w:tab w:val="left" w:pos="360"/>
              </w:tabs>
              <w:spacing w:line="520" w:lineRule="exact"/>
              <w:rPr>
                <w:sz w:val="24"/>
                <w:szCs w:val="24"/>
              </w:rPr>
            </w:pPr>
            <w:r>
              <w:rPr>
                <w:sz w:val="24"/>
                <w:szCs w:val="24"/>
              </w:rPr>
              <w:t xml:space="preserve">委托代理人：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电话：</w:t>
            </w:r>
          </w:p>
        </w:tc>
        <w:tc>
          <w:tcPr>
            <w:tcW w:w="4261" w:type="dxa"/>
          </w:tcPr>
          <w:p>
            <w:pPr>
              <w:tabs>
                <w:tab w:val="left" w:pos="360"/>
              </w:tabs>
              <w:spacing w:line="520" w:lineRule="exact"/>
              <w:rPr>
                <w:sz w:val="24"/>
                <w:szCs w:val="24"/>
              </w:rPr>
            </w:pPr>
            <w:r>
              <w:rPr>
                <w:sz w:val="24"/>
                <w:szCs w:val="24"/>
              </w:rPr>
              <w:t>电话：</w:t>
            </w:r>
          </w:p>
        </w:tc>
      </w:tr>
    </w:tbl>
    <w:p>
      <w:pPr>
        <w:rPr>
          <w:sz w:val="24"/>
          <w:szCs w:val="24"/>
        </w:rPr>
      </w:pPr>
    </w:p>
    <w:p>
      <w:pPr>
        <w:rPr>
          <w:szCs w:val="24"/>
        </w:rPr>
      </w:pPr>
      <w:r>
        <w:rPr>
          <w:sz w:val="24"/>
          <w:szCs w:val="24"/>
        </w:rPr>
        <w:t>时间：20</w:t>
      </w:r>
      <w:r>
        <w:rPr>
          <w:rFonts w:hint="eastAsia"/>
          <w:sz w:val="24"/>
          <w:szCs w:val="24"/>
        </w:rPr>
        <w:t xml:space="preserve">  </w:t>
      </w:r>
      <w:r>
        <w:rPr>
          <w:sz w:val="24"/>
          <w:szCs w:val="24"/>
        </w:rPr>
        <w:t>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color w:val="000000"/>
          <w:sz w:val="24"/>
          <w:szCs w:val="24"/>
        </w:rPr>
      </w:pPr>
    </w:p>
    <w:p>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9"/>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szCs w:val="21"/>
              </w:rPr>
            </w:pPr>
            <w:r>
              <w:rPr>
                <w:rFonts w:hint="eastAsia"/>
                <w:szCs w:val="21"/>
              </w:rPr>
              <w:t>序号</w:t>
            </w:r>
          </w:p>
        </w:tc>
        <w:tc>
          <w:tcPr>
            <w:tcW w:w="3877" w:type="dxa"/>
            <w:vAlign w:val="center"/>
          </w:tcPr>
          <w:p>
            <w:pPr>
              <w:jc w:val="center"/>
              <w:rPr>
                <w:szCs w:val="21"/>
              </w:rPr>
            </w:pPr>
            <w:r>
              <w:rPr>
                <w:rFonts w:hint="eastAsia"/>
                <w:szCs w:val="21"/>
              </w:rPr>
              <w:t>单位名称</w:t>
            </w:r>
          </w:p>
        </w:tc>
        <w:tc>
          <w:tcPr>
            <w:tcW w:w="2842" w:type="dxa"/>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szCs w:val="21"/>
              </w:rPr>
            </w:pPr>
            <w:r>
              <w:rPr>
                <w:rFonts w:hint="eastAsia"/>
                <w:szCs w:val="21"/>
              </w:rPr>
              <w:t>1</w:t>
            </w:r>
          </w:p>
        </w:tc>
        <w:tc>
          <w:tcPr>
            <w:tcW w:w="3877" w:type="dxa"/>
            <w:vAlign w:val="center"/>
          </w:tcPr>
          <w:p>
            <w:pPr>
              <w:jc w:val="center"/>
              <w:rPr>
                <w:szCs w:val="21"/>
              </w:rPr>
            </w:pPr>
          </w:p>
        </w:tc>
        <w:tc>
          <w:tcPr>
            <w:tcW w:w="2842"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szCs w:val="21"/>
              </w:rPr>
            </w:pPr>
            <w:r>
              <w:rPr>
                <w:rFonts w:hint="eastAsia"/>
                <w:szCs w:val="21"/>
              </w:rPr>
              <w:t>2</w:t>
            </w:r>
          </w:p>
        </w:tc>
        <w:tc>
          <w:tcPr>
            <w:tcW w:w="3877" w:type="dxa"/>
            <w:vAlign w:val="center"/>
          </w:tcPr>
          <w:p>
            <w:pPr>
              <w:jc w:val="center"/>
              <w:rPr>
                <w:szCs w:val="21"/>
              </w:rPr>
            </w:pPr>
          </w:p>
        </w:tc>
        <w:tc>
          <w:tcPr>
            <w:tcW w:w="2842"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szCs w:val="21"/>
              </w:rPr>
            </w:pPr>
            <w:r>
              <w:rPr>
                <w:rFonts w:hint="eastAsia"/>
                <w:szCs w:val="21"/>
              </w:rPr>
              <w:t>3</w:t>
            </w:r>
          </w:p>
        </w:tc>
        <w:tc>
          <w:tcPr>
            <w:tcW w:w="3877" w:type="dxa"/>
            <w:vAlign w:val="center"/>
          </w:tcPr>
          <w:p>
            <w:pPr>
              <w:jc w:val="center"/>
              <w:rPr>
                <w:szCs w:val="21"/>
              </w:rPr>
            </w:pPr>
          </w:p>
        </w:tc>
        <w:tc>
          <w:tcPr>
            <w:tcW w:w="2842" w:type="dxa"/>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2180"/>
        <w:gridCol w:w="1375"/>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Align w:val="center"/>
          </w:tcPr>
          <w:p>
            <w:pPr>
              <w:spacing w:line="460" w:lineRule="exact"/>
              <w:jc w:val="center"/>
              <w:rPr>
                <w:sz w:val="24"/>
              </w:rPr>
            </w:pPr>
            <w:r>
              <w:rPr>
                <w:sz w:val="24"/>
              </w:rPr>
              <w:t>包号</w:t>
            </w:r>
          </w:p>
        </w:tc>
        <w:tc>
          <w:tcPr>
            <w:tcW w:w="2180" w:type="dxa"/>
            <w:vAlign w:val="center"/>
          </w:tcPr>
          <w:p>
            <w:pPr>
              <w:spacing w:line="460" w:lineRule="exact"/>
              <w:jc w:val="center"/>
              <w:rPr>
                <w:sz w:val="24"/>
              </w:rPr>
            </w:pPr>
            <w:r>
              <w:rPr>
                <w:sz w:val="24"/>
              </w:rPr>
              <w:t>服务名称</w:t>
            </w:r>
          </w:p>
        </w:tc>
        <w:tc>
          <w:tcPr>
            <w:tcW w:w="1375" w:type="dxa"/>
            <w:vAlign w:val="center"/>
          </w:tcPr>
          <w:p>
            <w:pPr>
              <w:spacing w:line="460" w:lineRule="exact"/>
              <w:jc w:val="center"/>
              <w:rPr>
                <w:sz w:val="24"/>
              </w:rPr>
            </w:pPr>
            <w:r>
              <w:rPr>
                <w:sz w:val="24"/>
              </w:rPr>
              <w:t>数量</w:t>
            </w:r>
          </w:p>
        </w:tc>
        <w:tc>
          <w:tcPr>
            <w:tcW w:w="2050" w:type="dxa"/>
            <w:vAlign w:val="center"/>
          </w:tcPr>
          <w:p>
            <w:pPr>
              <w:spacing w:line="460" w:lineRule="exact"/>
              <w:jc w:val="center"/>
              <w:rPr>
                <w:sz w:val="24"/>
              </w:rPr>
            </w:pPr>
            <w:r>
              <w:rPr>
                <w:sz w:val="24"/>
              </w:rPr>
              <w:t>投标总价</w:t>
            </w:r>
          </w:p>
        </w:tc>
        <w:tc>
          <w:tcPr>
            <w:tcW w:w="1678" w:type="dxa"/>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tcPr>
          <w:p>
            <w:pPr>
              <w:spacing w:line="460" w:lineRule="exact"/>
              <w:rPr>
                <w:sz w:val="24"/>
              </w:rPr>
            </w:pPr>
          </w:p>
        </w:tc>
        <w:tc>
          <w:tcPr>
            <w:tcW w:w="2180" w:type="dxa"/>
          </w:tcPr>
          <w:p>
            <w:pPr>
              <w:spacing w:line="460" w:lineRule="exact"/>
              <w:rPr>
                <w:sz w:val="24"/>
              </w:rPr>
            </w:pPr>
          </w:p>
        </w:tc>
        <w:tc>
          <w:tcPr>
            <w:tcW w:w="1375" w:type="dxa"/>
          </w:tcPr>
          <w:p>
            <w:pPr>
              <w:spacing w:line="460" w:lineRule="exact"/>
              <w:rPr>
                <w:sz w:val="24"/>
              </w:rPr>
            </w:pPr>
          </w:p>
        </w:tc>
        <w:tc>
          <w:tcPr>
            <w:tcW w:w="2050" w:type="dxa"/>
          </w:tcPr>
          <w:p>
            <w:pPr>
              <w:spacing w:line="460" w:lineRule="exact"/>
              <w:rPr>
                <w:sz w:val="24"/>
              </w:rPr>
            </w:pPr>
          </w:p>
        </w:tc>
        <w:tc>
          <w:tcPr>
            <w:tcW w:w="1678" w:type="dxa"/>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4</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pPr>
              <w:widowControl/>
              <w:jc w:val="center"/>
              <w:rPr>
                <w:b/>
                <w:bCs/>
                <w:kern w:val="0"/>
                <w:sz w:val="24"/>
                <w:szCs w:val="24"/>
              </w:rPr>
            </w:pPr>
            <w:r>
              <w:rPr>
                <w:b/>
                <w:bCs/>
                <w:kern w:val="0"/>
                <w:sz w:val="24"/>
                <w:szCs w:val="24"/>
              </w:rPr>
              <w:t>项号</w:t>
            </w:r>
          </w:p>
        </w:tc>
        <w:tc>
          <w:tcPr>
            <w:tcW w:w="2349" w:type="dxa"/>
            <w:vAlign w:val="center"/>
          </w:tcPr>
          <w:p>
            <w:pPr>
              <w:widowControl/>
              <w:jc w:val="center"/>
              <w:rPr>
                <w:b/>
                <w:bCs/>
                <w:kern w:val="0"/>
                <w:sz w:val="24"/>
                <w:szCs w:val="24"/>
              </w:rPr>
            </w:pPr>
            <w:r>
              <w:rPr>
                <w:b/>
                <w:bCs/>
                <w:kern w:val="0"/>
                <w:sz w:val="24"/>
                <w:szCs w:val="24"/>
              </w:rPr>
              <w:t>服务名称</w:t>
            </w:r>
          </w:p>
        </w:tc>
        <w:tc>
          <w:tcPr>
            <w:tcW w:w="1701" w:type="dxa"/>
            <w:vAlign w:val="center"/>
          </w:tcPr>
          <w:p>
            <w:pPr>
              <w:widowControl/>
              <w:jc w:val="center"/>
              <w:rPr>
                <w:b/>
                <w:bCs/>
                <w:kern w:val="0"/>
                <w:sz w:val="24"/>
                <w:szCs w:val="24"/>
              </w:rPr>
            </w:pPr>
            <w:r>
              <w:rPr>
                <w:b/>
                <w:bCs/>
                <w:kern w:val="0"/>
                <w:sz w:val="24"/>
                <w:szCs w:val="24"/>
              </w:rPr>
              <w:t>总价</w:t>
            </w:r>
          </w:p>
        </w:tc>
        <w:tc>
          <w:tcPr>
            <w:tcW w:w="2238" w:type="dxa"/>
            <w:vAlign w:val="center"/>
          </w:tcPr>
          <w:p>
            <w:pPr>
              <w:widowControl/>
              <w:jc w:val="center"/>
              <w:rPr>
                <w:b/>
                <w:bCs/>
                <w:kern w:val="0"/>
                <w:sz w:val="24"/>
                <w:szCs w:val="24"/>
              </w:rPr>
            </w:pPr>
            <w:r>
              <w:rPr>
                <w:b/>
                <w:bCs/>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pPr>
              <w:widowControl/>
              <w:jc w:val="center"/>
              <w:rPr>
                <w:kern w:val="0"/>
                <w:sz w:val="24"/>
                <w:szCs w:val="24"/>
              </w:rPr>
            </w:pPr>
            <w:r>
              <w:rPr>
                <w:kern w:val="0"/>
                <w:sz w:val="24"/>
                <w:szCs w:val="24"/>
              </w:rPr>
              <w:t>1</w:t>
            </w:r>
          </w:p>
        </w:tc>
        <w:tc>
          <w:tcPr>
            <w:tcW w:w="2349" w:type="dxa"/>
            <w:vAlign w:val="center"/>
          </w:tcPr>
          <w:p>
            <w:pPr>
              <w:widowControl/>
              <w:jc w:val="center"/>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sz w:val="24"/>
                <w:szCs w:val="24"/>
              </w:rPr>
            </w:pPr>
            <w:r>
              <w:rPr>
                <w:sz w:val="24"/>
                <w:szCs w:val="24"/>
              </w:rPr>
              <w:t>1项</w:t>
            </w: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pPr>
              <w:widowControl/>
              <w:jc w:val="left"/>
              <w:rPr>
                <w:kern w:val="0"/>
                <w:sz w:val="24"/>
                <w:szCs w:val="24"/>
              </w:rPr>
            </w:pPr>
            <w:r>
              <w:rPr>
                <w:kern w:val="0"/>
                <w:sz w:val="24"/>
                <w:szCs w:val="24"/>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b/>
                <w:sz w:val="24"/>
                <w:szCs w:val="24"/>
              </w:rPr>
            </w:pPr>
            <w:r>
              <w:rPr>
                <w:b/>
                <w:sz w:val="24"/>
                <w:szCs w:val="24"/>
              </w:rPr>
              <w:t>分项名称</w:t>
            </w:r>
          </w:p>
        </w:tc>
        <w:tc>
          <w:tcPr>
            <w:tcW w:w="1701" w:type="dxa"/>
            <w:vAlign w:val="center"/>
          </w:tcPr>
          <w:p>
            <w:pPr>
              <w:widowControl/>
              <w:jc w:val="center"/>
              <w:rPr>
                <w:b/>
                <w:kern w:val="0"/>
                <w:sz w:val="24"/>
                <w:szCs w:val="24"/>
              </w:rPr>
            </w:pPr>
            <w:r>
              <w:rPr>
                <w:b/>
                <w:kern w:val="0"/>
                <w:sz w:val="24"/>
                <w:szCs w:val="24"/>
              </w:rPr>
              <w:t>价格</w:t>
            </w:r>
          </w:p>
        </w:tc>
        <w:tc>
          <w:tcPr>
            <w:tcW w:w="2238" w:type="dxa"/>
            <w:vAlign w:val="center"/>
          </w:tcPr>
          <w:p>
            <w:pPr>
              <w:widowControl/>
              <w:jc w:val="center"/>
              <w:rPr>
                <w:b/>
                <w:kern w:val="0"/>
                <w:sz w:val="24"/>
                <w:szCs w:val="24"/>
              </w:rPr>
            </w:pPr>
            <w:r>
              <w:rPr>
                <w:b/>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center"/>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bl>
    <w:p>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pPr>
        <w:ind w:left="180" w:firstLine="408" w:firstLineChars="200"/>
      </w:pPr>
      <w:r>
        <w:rPr>
          <w:sz w:val="22"/>
          <w:szCs w:val="24"/>
        </w:rPr>
        <w:t>2. 下面应填写分项价格及分项名称（分项名称可根据实际情况增减、修改），分项价格汇总应等于总价。</w:t>
      </w: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5"/>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705" w:type="dxa"/>
            <w:shd w:val="clear" w:color="auto" w:fill="auto"/>
            <w:vAlign w:val="center"/>
          </w:tcPr>
          <w:p>
            <w:pPr>
              <w:widowControl/>
              <w:jc w:val="center"/>
              <w:rPr>
                <w:color w:val="000000"/>
                <w:kern w:val="0"/>
                <w:szCs w:val="21"/>
              </w:rPr>
            </w:pPr>
            <w:r>
              <w:rPr>
                <w:color w:val="000000"/>
                <w:kern w:val="0"/>
                <w:szCs w:val="21"/>
              </w:rPr>
              <w:t>序号</w:t>
            </w:r>
          </w:p>
        </w:tc>
        <w:tc>
          <w:tcPr>
            <w:tcW w:w="2231" w:type="dxa"/>
            <w:shd w:val="clear" w:color="auto" w:fill="auto"/>
            <w:vAlign w:val="center"/>
          </w:tcPr>
          <w:p>
            <w:pPr>
              <w:widowControl/>
              <w:jc w:val="center"/>
              <w:rPr>
                <w:color w:val="000000"/>
                <w:kern w:val="0"/>
                <w:szCs w:val="21"/>
              </w:rPr>
            </w:pPr>
            <w:r>
              <w:rPr>
                <w:color w:val="000000"/>
                <w:kern w:val="0"/>
                <w:szCs w:val="21"/>
              </w:rPr>
              <w:t>招标要求</w:t>
            </w:r>
          </w:p>
        </w:tc>
        <w:tc>
          <w:tcPr>
            <w:tcW w:w="2551" w:type="dxa"/>
            <w:shd w:val="clear" w:color="auto" w:fill="auto"/>
            <w:vAlign w:val="center"/>
          </w:tcPr>
          <w:p>
            <w:pPr>
              <w:widowControl/>
              <w:jc w:val="center"/>
              <w:rPr>
                <w:color w:val="000000"/>
                <w:kern w:val="0"/>
                <w:szCs w:val="21"/>
              </w:rPr>
            </w:pPr>
            <w:r>
              <w:rPr>
                <w:color w:val="000000"/>
                <w:kern w:val="0"/>
                <w:szCs w:val="21"/>
              </w:rPr>
              <w:t>投标应答</w:t>
            </w:r>
          </w:p>
        </w:tc>
        <w:tc>
          <w:tcPr>
            <w:tcW w:w="1135" w:type="dxa"/>
            <w:shd w:val="clear" w:color="auto" w:fill="auto"/>
            <w:vAlign w:val="center"/>
          </w:tcPr>
          <w:p>
            <w:pPr>
              <w:widowControl/>
              <w:jc w:val="center"/>
              <w:rPr>
                <w:color w:val="000000"/>
                <w:kern w:val="0"/>
                <w:szCs w:val="21"/>
              </w:rPr>
            </w:pPr>
            <w:r>
              <w:rPr>
                <w:color w:val="000000"/>
                <w:kern w:val="0"/>
                <w:szCs w:val="21"/>
              </w:rPr>
              <w:t>偏离说明</w:t>
            </w:r>
          </w:p>
        </w:tc>
        <w:tc>
          <w:tcPr>
            <w:tcW w:w="1133" w:type="dxa"/>
            <w:shd w:val="clear" w:color="auto" w:fill="auto"/>
            <w:vAlign w:val="center"/>
          </w:tcPr>
          <w:p>
            <w:pPr>
              <w:widowControl/>
              <w:jc w:val="center"/>
              <w:rPr>
                <w:color w:val="000000"/>
                <w:kern w:val="0"/>
                <w:szCs w:val="21"/>
              </w:rPr>
            </w:pPr>
            <w:r>
              <w:rPr>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5"/>
            <w:shd w:val="clear" w:color="auto" w:fill="auto"/>
            <w:vAlign w:val="center"/>
          </w:tcPr>
          <w:p>
            <w:pPr>
              <w:widowControl/>
              <w:jc w:val="left"/>
              <w:rPr>
                <w:color w:val="000000"/>
                <w:kern w:val="0"/>
                <w:szCs w:val="21"/>
              </w:rPr>
            </w:pPr>
            <w:r>
              <w:rPr>
                <w:color w:val="000000"/>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705" w:type="dxa"/>
            <w:shd w:val="clear" w:color="auto" w:fill="auto"/>
            <w:vAlign w:val="center"/>
          </w:tcPr>
          <w:p>
            <w:pPr>
              <w:widowControl/>
              <w:jc w:val="left"/>
              <w:rPr>
                <w:color w:val="000000"/>
                <w:kern w:val="0"/>
                <w:szCs w:val="21"/>
              </w:rPr>
            </w:pPr>
            <w:r>
              <w:rPr>
                <w:color w:val="000000"/>
                <w:kern w:val="0"/>
                <w:szCs w:val="21"/>
              </w:rPr>
              <w:t>　</w:t>
            </w:r>
          </w:p>
        </w:tc>
        <w:tc>
          <w:tcPr>
            <w:tcW w:w="2231" w:type="dxa"/>
            <w:shd w:val="clear" w:color="auto" w:fill="auto"/>
            <w:vAlign w:val="center"/>
          </w:tcPr>
          <w:p>
            <w:pPr>
              <w:widowControl/>
              <w:jc w:val="left"/>
              <w:rPr>
                <w:color w:val="000000"/>
                <w:kern w:val="0"/>
                <w:szCs w:val="21"/>
              </w:rPr>
            </w:pPr>
            <w:r>
              <w:rPr>
                <w:color w:val="000000"/>
                <w:kern w:val="0"/>
                <w:szCs w:val="21"/>
              </w:rPr>
              <w:t>　</w:t>
            </w:r>
          </w:p>
        </w:tc>
        <w:tc>
          <w:tcPr>
            <w:tcW w:w="2551" w:type="dxa"/>
            <w:shd w:val="clear" w:color="auto" w:fill="auto"/>
            <w:vAlign w:val="center"/>
          </w:tcPr>
          <w:p>
            <w:pPr>
              <w:widowControl/>
              <w:jc w:val="left"/>
              <w:rPr>
                <w:color w:val="000000"/>
                <w:kern w:val="0"/>
                <w:szCs w:val="21"/>
              </w:rPr>
            </w:pPr>
            <w:r>
              <w:rPr>
                <w:color w:val="000000"/>
                <w:kern w:val="0"/>
                <w:szCs w:val="21"/>
              </w:rPr>
              <w:t>　</w:t>
            </w:r>
          </w:p>
        </w:tc>
        <w:tc>
          <w:tcPr>
            <w:tcW w:w="1135" w:type="dxa"/>
            <w:shd w:val="clear" w:color="auto" w:fill="auto"/>
            <w:vAlign w:val="center"/>
          </w:tcPr>
          <w:p>
            <w:pPr>
              <w:widowControl/>
              <w:jc w:val="left"/>
              <w:rPr>
                <w:color w:val="000000"/>
                <w:kern w:val="0"/>
                <w:szCs w:val="21"/>
              </w:rPr>
            </w:pPr>
            <w:r>
              <w:rPr>
                <w:color w:val="000000"/>
                <w:kern w:val="0"/>
                <w:szCs w:val="21"/>
              </w:rPr>
              <w:t>　</w:t>
            </w:r>
          </w:p>
        </w:tc>
        <w:tc>
          <w:tcPr>
            <w:tcW w:w="1133" w:type="dxa"/>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shd w:val="clear" w:color="auto" w:fill="auto"/>
            <w:vAlign w:val="center"/>
          </w:tcPr>
          <w:p>
            <w:pPr>
              <w:widowControl/>
              <w:jc w:val="left"/>
              <w:rPr>
                <w:color w:val="000000"/>
                <w:kern w:val="0"/>
                <w:szCs w:val="21"/>
              </w:rPr>
            </w:pPr>
            <w:r>
              <w:rPr>
                <w:color w:val="000000"/>
                <w:kern w:val="0"/>
                <w:szCs w:val="21"/>
              </w:rPr>
              <w:t>　</w:t>
            </w:r>
          </w:p>
        </w:tc>
        <w:tc>
          <w:tcPr>
            <w:tcW w:w="2231" w:type="dxa"/>
            <w:shd w:val="clear" w:color="auto" w:fill="auto"/>
            <w:vAlign w:val="center"/>
          </w:tcPr>
          <w:p>
            <w:pPr>
              <w:widowControl/>
              <w:jc w:val="left"/>
              <w:rPr>
                <w:color w:val="000000"/>
                <w:kern w:val="0"/>
                <w:szCs w:val="21"/>
              </w:rPr>
            </w:pPr>
            <w:r>
              <w:rPr>
                <w:color w:val="000000"/>
                <w:kern w:val="0"/>
                <w:szCs w:val="21"/>
              </w:rPr>
              <w:t>　</w:t>
            </w:r>
          </w:p>
        </w:tc>
        <w:tc>
          <w:tcPr>
            <w:tcW w:w="2551" w:type="dxa"/>
            <w:shd w:val="clear" w:color="auto" w:fill="auto"/>
            <w:vAlign w:val="center"/>
          </w:tcPr>
          <w:p>
            <w:pPr>
              <w:widowControl/>
              <w:jc w:val="left"/>
              <w:rPr>
                <w:color w:val="000000"/>
                <w:kern w:val="0"/>
                <w:szCs w:val="21"/>
              </w:rPr>
            </w:pPr>
            <w:r>
              <w:rPr>
                <w:color w:val="000000"/>
                <w:kern w:val="0"/>
                <w:szCs w:val="21"/>
              </w:rPr>
              <w:t>　</w:t>
            </w:r>
          </w:p>
        </w:tc>
        <w:tc>
          <w:tcPr>
            <w:tcW w:w="1135" w:type="dxa"/>
            <w:shd w:val="clear" w:color="auto" w:fill="auto"/>
            <w:vAlign w:val="center"/>
          </w:tcPr>
          <w:p>
            <w:pPr>
              <w:widowControl/>
              <w:jc w:val="left"/>
              <w:rPr>
                <w:color w:val="000000"/>
                <w:kern w:val="0"/>
                <w:szCs w:val="21"/>
              </w:rPr>
            </w:pPr>
            <w:r>
              <w:rPr>
                <w:color w:val="000000"/>
                <w:kern w:val="0"/>
                <w:szCs w:val="21"/>
              </w:rPr>
              <w:t>　</w:t>
            </w:r>
          </w:p>
        </w:tc>
        <w:tc>
          <w:tcPr>
            <w:tcW w:w="1133" w:type="dxa"/>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shd w:val="clear" w:color="auto" w:fill="auto"/>
            <w:vAlign w:val="center"/>
          </w:tcPr>
          <w:p>
            <w:pPr>
              <w:widowControl/>
              <w:jc w:val="left"/>
              <w:rPr>
                <w:color w:val="000000"/>
                <w:kern w:val="0"/>
                <w:szCs w:val="21"/>
              </w:rPr>
            </w:pPr>
            <w:r>
              <w:rPr>
                <w:color w:val="000000"/>
                <w:kern w:val="0"/>
                <w:szCs w:val="21"/>
              </w:rPr>
              <w:t>　</w:t>
            </w:r>
          </w:p>
        </w:tc>
        <w:tc>
          <w:tcPr>
            <w:tcW w:w="2231" w:type="dxa"/>
            <w:shd w:val="clear" w:color="auto" w:fill="auto"/>
            <w:vAlign w:val="center"/>
          </w:tcPr>
          <w:p>
            <w:pPr>
              <w:widowControl/>
              <w:jc w:val="left"/>
              <w:rPr>
                <w:color w:val="000000"/>
                <w:kern w:val="0"/>
                <w:szCs w:val="21"/>
              </w:rPr>
            </w:pPr>
            <w:r>
              <w:rPr>
                <w:color w:val="000000"/>
                <w:kern w:val="0"/>
                <w:szCs w:val="21"/>
              </w:rPr>
              <w:t>　</w:t>
            </w:r>
          </w:p>
        </w:tc>
        <w:tc>
          <w:tcPr>
            <w:tcW w:w="2551" w:type="dxa"/>
            <w:shd w:val="clear" w:color="auto" w:fill="auto"/>
            <w:vAlign w:val="center"/>
          </w:tcPr>
          <w:p>
            <w:pPr>
              <w:widowControl/>
              <w:jc w:val="left"/>
              <w:rPr>
                <w:color w:val="000000"/>
                <w:kern w:val="0"/>
                <w:szCs w:val="21"/>
              </w:rPr>
            </w:pPr>
            <w:r>
              <w:rPr>
                <w:color w:val="000000"/>
                <w:kern w:val="0"/>
                <w:szCs w:val="21"/>
              </w:rPr>
              <w:t>　</w:t>
            </w:r>
          </w:p>
        </w:tc>
        <w:tc>
          <w:tcPr>
            <w:tcW w:w="1135" w:type="dxa"/>
            <w:shd w:val="clear" w:color="auto" w:fill="auto"/>
            <w:vAlign w:val="center"/>
          </w:tcPr>
          <w:p>
            <w:pPr>
              <w:widowControl/>
              <w:jc w:val="left"/>
              <w:rPr>
                <w:color w:val="000000"/>
                <w:kern w:val="0"/>
                <w:szCs w:val="21"/>
              </w:rPr>
            </w:pPr>
            <w:r>
              <w:rPr>
                <w:color w:val="000000"/>
                <w:kern w:val="0"/>
                <w:szCs w:val="21"/>
              </w:rPr>
              <w:t>　</w:t>
            </w:r>
          </w:p>
        </w:tc>
        <w:tc>
          <w:tcPr>
            <w:tcW w:w="1133" w:type="dxa"/>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shd w:val="clear" w:color="auto" w:fill="auto"/>
            <w:vAlign w:val="center"/>
          </w:tcPr>
          <w:p>
            <w:pPr>
              <w:widowControl/>
              <w:jc w:val="left"/>
              <w:rPr>
                <w:color w:val="000000"/>
                <w:kern w:val="0"/>
                <w:szCs w:val="21"/>
              </w:rPr>
            </w:pPr>
            <w:r>
              <w:rPr>
                <w:color w:val="000000"/>
                <w:kern w:val="0"/>
                <w:szCs w:val="21"/>
              </w:rPr>
              <w:t>　</w:t>
            </w:r>
          </w:p>
        </w:tc>
        <w:tc>
          <w:tcPr>
            <w:tcW w:w="2231" w:type="dxa"/>
            <w:shd w:val="clear" w:color="auto" w:fill="auto"/>
            <w:vAlign w:val="center"/>
          </w:tcPr>
          <w:p>
            <w:pPr>
              <w:widowControl/>
              <w:jc w:val="left"/>
              <w:rPr>
                <w:color w:val="000000"/>
                <w:kern w:val="0"/>
                <w:szCs w:val="21"/>
              </w:rPr>
            </w:pPr>
            <w:r>
              <w:rPr>
                <w:color w:val="000000"/>
                <w:kern w:val="0"/>
                <w:szCs w:val="21"/>
              </w:rPr>
              <w:t>　</w:t>
            </w:r>
          </w:p>
        </w:tc>
        <w:tc>
          <w:tcPr>
            <w:tcW w:w="2551" w:type="dxa"/>
            <w:shd w:val="clear" w:color="auto" w:fill="auto"/>
            <w:vAlign w:val="center"/>
          </w:tcPr>
          <w:p>
            <w:pPr>
              <w:widowControl/>
              <w:jc w:val="left"/>
              <w:rPr>
                <w:color w:val="000000"/>
                <w:kern w:val="0"/>
                <w:szCs w:val="21"/>
              </w:rPr>
            </w:pPr>
            <w:r>
              <w:rPr>
                <w:color w:val="000000"/>
                <w:kern w:val="0"/>
                <w:szCs w:val="21"/>
              </w:rPr>
              <w:t>　</w:t>
            </w:r>
          </w:p>
        </w:tc>
        <w:tc>
          <w:tcPr>
            <w:tcW w:w="1135" w:type="dxa"/>
            <w:shd w:val="clear" w:color="auto" w:fill="auto"/>
            <w:vAlign w:val="center"/>
          </w:tcPr>
          <w:p>
            <w:pPr>
              <w:widowControl/>
              <w:jc w:val="left"/>
              <w:rPr>
                <w:color w:val="000000"/>
                <w:kern w:val="0"/>
                <w:szCs w:val="21"/>
              </w:rPr>
            </w:pPr>
            <w:r>
              <w:rPr>
                <w:color w:val="000000"/>
                <w:kern w:val="0"/>
                <w:szCs w:val="21"/>
              </w:rPr>
              <w:t>　</w:t>
            </w:r>
          </w:p>
        </w:tc>
        <w:tc>
          <w:tcPr>
            <w:tcW w:w="1133" w:type="dxa"/>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5"/>
            <w:shd w:val="clear" w:color="auto" w:fill="auto"/>
            <w:vAlign w:val="center"/>
          </w:tcPr>
          <w:p>
            <w:pPr>
              <w:widowControl/>
              <w:jc w:val="left"/>
              <w:rPr>
                <w:color w:val="000000"/>
                <w:kern w:val="0"/>
                <w:szCs w:val="21"/>
              </w:rPr>
            </w:pPr>
            <w:r>
              <w:rPr>
                <w:rFonts w:hint="eastAsia"/>
                <w:color w:val="000000"/>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shd w:val="clear" w:color="auto" w:fill="auto"/>
            <w:vAlign w:val="center"/>
          </w:tcPr>
          <w:p>
            <w:pPr>
              <w:widowControl/>
              <w:jc w:val="left"/>
              <w:rPr>
                <w:color w:val="000000"/>
                <w:kern w:val="0"/>
                <w:szCs w:val="21"/>
              </w:rPr>
            </w:pPr>
          </w:p>
        </w:tc>
        <w:tc>
          <w:tcPr>
            <w:tcW w:w="2231" w:type="dxa"/>
            <w:shd w:val="clear" w:color="auto" w:fill="auto"/>
            <w:vAlign w:val="center"/>
          </w:tcPr>
          <w:p>
            <w:pPr>
              <w:widowControl/>
              <w:jc w:val="left"/>
              <w:rPr>
                <w:color w:val="000000"/>
                <w:kern w:val="0"/>
                <w:szCs w:val="21"/>
              </w:rPr>
            </w:pPr>
          </w:p>
        </w:tc>
        <w:tc>
          <w:tcPr>
            <w:tcW w:w="2551" w:type="dxa"/>
            <w:shd w:val="clear" w:color="auto" w:fill="auto"/>
            <w:vAlign w:val="center"/>
          </w:tcPr>
          <w:p>
            <w:pPr>
              <w:widowControl/>
              <w:jc w:val="left"/>
              <w:rPr>
                <w:color w:val="000000"/>
                <w:kern w:val="0"/>
                <w:szCs w:val="21"/>
              </w:rPr>
            </w:pPr>
          </w:p>
        </w:tc>
        <w:tc>
          <w:tcPr>
            <w:tcW w:w="1135" w:type="dxa"/>
            <w:shd w:val="clear" w:color="auto" w:fill="auto"/>
            <w:vAlign w:val="center"/>
          </w:tcPr>
          <w:p>
            <w:pPr>
              <w:widowControl/>
              <w:jc w:val="left"/>
              <w:rPr>
                <w:color w:val="000000"/>
                <w:kern w:val="0"/>
                <w:szCs w:val="21"/>
              </w:rPr>
            </w:pPr>
          </w:p>
        </w:tc>
        <w:tc>
          <w:tcPr>
            <w:tcW w:w="1133" w:type="dxa"/>
            <w:shd w:val="clear" w:color="auto" w:fill="auto"/>
            <w:vAlign w:val="center"/>
          </w:tcPr>
          <w:p>
            <w:pPr>
              <w:widowControl/>
              <w:jc w:val="left"/>
              <w:rPr>
                <w:color w:val="000000"/>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5"/>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9-1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18" w:name="OLE_LINK14"/>
      <w:bookmarkStart w:id="19" w:name="OLE_LINK13"/>
      <w:r>
        <w:rPr>
          <w:rFonts w:hint="eastAsia"/>
          <w:b/>
          <w:bCs/>
          <w:sz w:val="24"/>
        </w:rPr>
        <w:t>附件9-2</w:t>
      </w:r>
    </w:p>
    <w:bookmarkEnd w:id="18"/>
    <w:bookmarkEnd w:id="19"/>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color w:val="FF0000"/>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tabs>
          <w:tab w:val="left" w:pos="360"/>
        </w:tabs>
        <w:spacing w:line="360" w:lineRule="auto"/>
        <w:rPr>
          <w:b/>
          <w:sz w:val="24"/>
        </w:rPr>
      </w:pPr>
      <w:r>
        <w:rPr>
          <w:sz w:val="24"/>
        </w:rPr>
        <w:br w:type="page"/>
      </w:r>
      <w:r>
        <w:rPr>
          <w:b/>
          <w:sz w:val="24"/>
        </w:rPr>
        <w:t>附件</w:t>
      </w:r>
      <w:r>
        <w:rPr>
          <w:rFonts w:hint="eastAsia"/>
          <w:b/>
          <w:sz w:val="24"/>
        </w:rPr>
        <w:t>10</w:t>
      </w:r>
    </w:p>
    <w:p>
      <w:pPr>
        <w:autoSpaceDN w:val="0"/>
        <w:spacing w:line="360" w:lineRule="auto"/>
        <w:jc w:val="center"/>
        <w:rPr>
          <w:b/>
          <w:bCs/>
          <w:sz w:val="24"/>
        </w:rPr>
      </w:pPr>
      <w:r>
        <w:rPr>
          <w:b/>
          <w:bCs/>
          <w:sz w:val="24"/>
        </w:rPr>
        <w:t>政府采购政策情况表</w:t>
      </w:r>
    </w:p>
    <w:p>
      <w:pPr>
        <w:spacing w:line="460" w:lineRule="exact"/>
        <w:jc w:val="center"/>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firstLine="6944" w:firstLineChars="3100"/>
        <w:rPr>
          <w:sz w:val="24"/>
        </w:rPr>
      </w:pPr>
    </w:p>
    <w:p>
      <w:pPr>
        <w:spacing w:line="460" w:lineRule="exact"/>
        <w:rPr>
          <w:sz w:val="24"/>
        </w:rPr>
      </w:pPr>
      <w:r>
        <w:rPr>
          <w:sz w:val="24"/>
        </w:rPr>
        <w:t>填报要求：</w:t>
      </w:r>
    </w:p>
    <w:p>
      <w:pPr>
        <w:spacing w:line="460" w:lineRule="exact"/>
        <w:rPr>
          <w:sz w:val="24"/>
        </w:rPr>
      </w:pPr>
      <w:r>
        <w:rPr>
          <w:sz w:val="24"/>
        </w:rPr>
        <w:t>1.本表的产品名称、品牌型号、金额应与《开标分项一览表》一致。</w:t>
      </w:r>
    </w:p>
    <w:p>
      <w:pPr>
        <w:spacing w:line="460" w:lineRule="exact"/>
        <w:rPr>
          <w:sz w:val="24"/>
        </w:rPr>
      </w:pPr>
      <w:r>
        <w:rPr>
          <w:sz w:val="24"/>
        </w:rPr>
        <w:t>2.“制造商企业类型”栏填写内容为“微型”、“小型”、“监狱企业”或“残疾人福利性单位”。</w:t>
      </w:r>
    </w:p>
    <w:p>
      <w:pPr>
        <w:spacing w:line="460" w:lineRule="exact"/>
        <w:rPr>
          <w:sz w:val="24"/>
        </w:rPr>
      </w:pPr>
      <w:r>
        <w:rPr>
          <w:sz w:val="24"/>
        </w:rPr>
        <w:t>3. 环境标志产品是指财政部、生态环境部发布现行的《环境标志产品政府采购品目清单》中的产品；节能产品是指财政部和国家发展</w:t>
      </w:r>
      <w:r>
        <w:rPr>
          <w:rFonts w:hint="eastAsia"/>
          <w:sz w:val="24"/>
          <w:lang w:eastAsia="zh-CN"/>
        </w:rPr>
        <w:t>和</w:t>
      </w:r>
      <w:bookmarkStart w:id="20" w:name="_GoBack"/>
      <w:bookmarkEnd w:id="20"/>
      <w:r>
        <w:rPr>
          <w:sz w:val="24"/>
        </w:rPr>
        <w:t>改革委员会公布现行的《节能产品政府采购品目清单》中的产品。提供相关产品认证证书。</w:t>
      </w:r>
    </w:p>
    <w:p>
      <w:pPr>
        <w:spacing w:line="460" w:lineRule="exact"/>
        <w:rPr>
          <w:sz w:val="24"/>
        </w:rPr>
      </w:pPr>
      <w:r>
        <w:rPr>
          <w:sz w:val="24"/>
        </w:rPr>
        <w:t>4. 请投标人正确填写本表，所填内容将作为评审的依据。其内容或数据应与对应的证明资料相符，如果填写不完整或有误，不再享受上述政策优惠。</w:t>
      </w:r>
    </w:p>
    <w:p>
      <w:pPr>
        <w:spacing w:line="460" w:lineRule="exact"/>
        <w:ind w:firstLine="6720" w:firstLineChars="3000"/>
        <w:rPr>
          <w:sz w:val="24"/>
        </w:rPr>
      </w:pPr>
      <w:r>
        <w:rPr>
          <w:sz w:val="24"/>
        </w:rPr>
        <w:t>单位：元</w:t>
      </w:r>
    </w:p>
    <w:tbl>
      <w:tblPr>
        <w:tblStyle w:val="25"/>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492"/>
        <w:gridCol w:w="1565"/>
        <w:gridCol w:w="1352"/>
        <w:gridCol w:w="1622"/>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36" w:type="dxa"/>
            <w:vMerge w:val="restart"/>
            <w:shd w:val="clear" w:color="auto" w:fill="auto"/>
            <w:vAlign w:val="center"/>
          </w:tcPr>
          <w:p>
            <w:pPr>
              <w:pStyle w:val="45"/>
              <w:tabs>
                <w:tab w:val="left" w:pos="1260"/>
              </w:tabs>
              <w:adjustRightInd w:val="0"/>
              <w:snapToGrid w:val="0"/>
              <w:jc w:val="center"/>
              <w:rPr>
                <w:szCs w:val="21"/>
                <w:lang w:val="en-GB"/>
              </w:rPr>
            </w:pPr>
            <w:r>
              <w:rPr>
                <w:szCs w:val="21"/>
                <w:lang w:val="en-GB"/>
              </w:rPr>
              <w:t>环境标志产品</w:t>
            </w:r>
          </w:p>
        </w:tc>
        <w:tc>
          <w:tcPr>
            <w:tcW w:w="1492" w:type="dxa"/>
            <w:shd w:val="clear" w:color="auto" w:fill="auto"/>
            <w:vAlign w:val="center"/>
          </w:tcPr>
          <w:p>
            <w:pPr>
              <w:pStyle w:val="45"/>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pPr>
              <w:pStyle w:val="45"/>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pPr>
              <w:pStyle w:val="45"/>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pPr>
              <w:pStyle w:val="45"/>
              <w:tabs>
                <w:tab w:val="left" w:pos="1260"/>
              </w:tabs>
              <w:adjustRightInd w:val="0"/>
              <w:snapToGrid w:val="0"/>
              <w:jc w:val="center"/>
              <w:rPr>
                <w:szCs w:val="21"/>
                <w:lang w:val="en-GB"/>
              </w:rPr>
            </w:pPr>
            <w:r>
              <w:rPr>
                <w:szCs w:val="21"/>
                <w:lang w:val="en-GB"/>
              </w:rPr>
              <w:t>环境标志认证证书编号</w:t>
            </w:r>
          </w:p>
        </w:tc>
        <w:tc>
          <w:tcPr>
            <w:tcW w:w="1454" w:type="dxa"/>
            <w:shd w:val="clear" w:color="auto" w:fill="auto"/>
            <w:vAlign w:val="center"/>
          </w:tcPr>
          <w:p>
            <w:pPr>
              <w:pStyle w:val="45"/>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vAlign w:val="center"/>
          </w:tcPr>
          <w:p>
            <w:pPr>
              <w:pStyle w:val="45"/>
              <w:tabs>
                <w:tab w:val="left" w:pos="1260"/>
              </w:tabs>
              <w:adjustRightInd w:val="0"/>
              <w:snapToGrid w:val="0"/>
              <w:jc w:val="center"/>
              <w:rPr>
                <w:szCs w:val="21"/>
                <w:lang w:val="en-GB"/>
              </w:rPr>
            </w:pP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vAlign w:val="center"/>
          </w:tcPr>
          <w:p>
            <w:pPr>
              <w:pStyle w:val="45"/>
              <w:tabs>
                <w:tab w:val="left" w:pos="1260"/>
              </w:tabs>
              <w:adjustRightInd w:val="0"/>
              <w:snapToGrid w:val="0"/>
              <w:jc w:val="center"/>
              <w:rPr>
                <w:szCs w:val="21"/>
                <w:lang w:val="en-GB"/>
              </w:rPr>
            </w:pP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6031" w:type="dxa"/>
            <w:gridSpan w:val="4"/>
            <w:shd w:val="clear" w:color="auto" w:fill="auto"/>
            <w:vAlign w:val="center"/>
          </w:tcPr>
          <w:p>
            <w:pPr>
              <w:pStyle w:val="45"/>
              <w:tabs>
                <w:tab w:val="left" w:pos="1260"/>
              </w:tabs>
              <w:adjustRightInd w:val="0"/>
              <w:snapToGrid w:val="0"/>
              <w:jc w:val="center"/>
              <w:rPr>
                <w:szCs w:val="21"/>
                <w:lang w:val="en-GB"/>
              </w:rPr>
            </w:pPr>
            <w:r>
              <w:rPr>
                <w:szCs w:val="21"/>
                <w:lang w:val="en-GB"/>
              </w:rPr>
              <w:t>环境标志产品金额合计</w:t>
            </w:r>
          </w:p>
        </w:tc>
        <w:tc>
          <w:tcPr>
            <w:tcW w:w="1454" w:type="dxa"/>
            <w:shd w:val="clear" w:color="auto" w:fill="auto"/>
            <w:vAlign w:val="center"/>
          </w:tcPr>
          <w:p>
            <w:pPr>
              <w:pStyle w:val="45"/>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6031" w:type="dxa"/>
            <w:gridSpan w:val="4"/>
            <w:shd w:val="clear" w:color="auto" w:fill="auto"/>
            <w:vAlign w:val="center"/>
          </w:tcPr>
          <w:p>
            <w:pPr>
              <w:pStyle w:val="45"/>
              <w:tabs>
                <w:tab w:val="left" w:pos="1260"/>
              </w:tabs>
              <w:adjustRightInd w:val="0"/>
              <w:snapToGrid w:val="0"/>
              <w:jc w:val="center"/>
              <w:rPr>
                <w:szCs w:val="21"/>
                <w:lang w:val="en-GB"/>
              </w:rPr>
            </w:pPr>
            <w:r>
              <w:rPr>
                <w:szCs w:val="21"/>
                <w:lang w:val="en-GB"/>
              </w:rPr>
              <w:t>比重（环境标志产品金额/所投包投标总价）*100%</w:t>
            </w:r>
          </w:p>
        </w:tc>
        <w:tc>
          <w:tcPr>
            <w:tcW w:w="1454" w:type="dxa"/>
            <w:shd w:val="clear" w:color="auto" w:fill="auto"/>
            <w:vAlign w:val="center"/>
          </w:tcPr>
          <w:p>
            <w:pPr>
              <w:pStyle w:val="45"/>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7485" w:type="dxa"/>
            <w:gridSpan w:val="5"/>
            <w:shd w:val="clear" w:color="auto" w:fill="auto"/>
            <w:vAlign w:val="center"/>
          </w:tcPr>
          <w:p>
            <w:pPr>
              <w:pStyle w:val="45"/>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restart"/>
            <w:shd w:val="clear" w:color="auto" w:fill="auto"/>
            <w:vAlign w:val="center"/>
          </w:tcPr>
          <w:p>
            <w:pPr>
              <w:pStyle w:val="45"/>
              <w:tabs>
                <w:tab w:val="left" w:pos="1260"/>
              </w:tabs>
              <w:adjustRightInd w:val="0"/>
              <w:snapToGrid w:val="0"/>
              <w:jc w:val="center"/>
              <w:rPr>
                <w:szCs w:val="21"/>
                <w:lang w:val="en-GB"/>
              </w:rPr>
            </w:pPr>
            <w:r>
              <w:rPr>
                <w:szCs w:val="21"/>
                <w:lang w:val="en-GB"/>
              </w:rPr>
              <w:t>节能产品（非强制节能产品）</w:t>
            </w:r>
          </w:p>
        </w:tc>
        <w:tc>
          <w:tcPr>
            <w:tcW w:w="1492" w:type="dxa"/>
            <w:shd w:val="clear" w:color="auto" w:fill="auto"/>
            <w:vAlign w:val="center"/>
          </w:tcPr>
          <w:p>
            <w:pPr>
              <w:pStyle w:val="45"/>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pPr>
              <w:pStyle w:val="45"/>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pPr>
              <w:pStyle w:val="45"/>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pPr>
              <w:pStyle w:val="45"/>
              <w:tabs>
                <w:tab w:val="left" w:pos="1260"/>
              </w:tabs>
              <w:adjustRightInd w:val="0"/>
              <w:snapToGrid w:val="0"/>
              <w:jc w:val="center"/>
              <w:rPr>
                <w:szCs w:val="21"/>
                <w:lang w:val="en-GB"/>
              </w:rPr>
            </w:pPr>
            <w:r>
              <w:rPr>
                <w:szCs w:val="21"/>
                <w:lang w:val="en-GB"/>
              </w:rPr>
              <w:t>节能认证证书编号</w:t>
            </w:r>
          </w:p>
        </w:tc>
        <w:tc>
          <w:tcPr>
            <w:tcW w:w="1454" w:type="dxa"/>
            <w:shd w:val="clear" w:color="auto" w:fill="auto"/>
            <w:vAlign w:val="center"/>
          </w:tcPr>
          <w:p>
            <w:pPr>
              <w:pStyle w:val="45"/>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vAlign w:val="center"/>
          </w:tcPr>
          <w:p>
            <w:pPr>
              <w:pStyle w:val="45"/>
              <w:tabs>
                <w:tab w:val="left" w:pos="1260"/>
              </w:tabs>
              <w:adjustRightInd w:val="0"/>
              <w:snapToGrid w:val="0"/>
              <w:jc w:val="center"/>
              <w:rPr>
                <w:szCs w:val="21"/>
                <w:lang w:val="en-GB"/>
              </w:rPr>
            </w:pP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vAlign w:val="center"/>
          </w:tcPr>
          <w:p>
            <w:pPr>
              <w:pStyle w:val="45"/>
              <w:tabs>
                <w:tab w:val="left" w:pos="1260"/>
              </w:tabs>
              <w:adjustRightInd w:val="0"/>
              <w:snapToGrid w:val="0"/>
              <w:jc w:val="center"/>
              <w:rPr>
                <w:szCs w:val="21"/>
                <w:lang w:val="en-GB"/>
              </w:rPr>
            </w:pP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6031" w:type="dxa"/>
            <w:gridSpan w:val="4"/>
            <w:shd w:val="clear" w:color="auto" w:fill="auto"/>
            <w:vAlign w:val="center"/>
          </w:tcPr>
          <w:p>
            <w:pPr>
              <w:pStyle w:val="45"/>
              <w:tabs>
                <w:tab w:val="left" w:pos="1260"/>
              </w:tabs>
              <w:adjustRightInd w:val="0"/>
              <w:snapToGrid w:val="0"/>
              <w:jc w:val="center"/>
              <w:rPr>
                <w:szCs w:val="21"/>
                <w:lang w:val="en-GB"/>
              </w:rPr>
            </w:pPr>
            <w:r>
              <w:rPr>
                <w:szCs w:val="21"/>
                <w:lang w:val="en-GB"/>
              </w:rPr>
              <w:t>节能产品（不包括强制节能产品）金额合计</w:t>
            </w:r>
          </w:p>
        </w:tc>
        <w:tc>
          <w:tcPr>
            <w:tcW w:w="1454" w:type="dxa"/>
            <w:shd w:val="clear" w:color="auto" w:fill="auto"/>
            <w:vAlign w:val="center"/>
          </w:tcPr>
          <w:p>
            <w:pPr>
              <w:pStyle w:val="45"/>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6031" w:type="dxa"/>
            <w:gridSpan w:val="4"/>
            <w:shd w:val="clear" w:color="auto" w:fill="auto"/>
            <w:vAlign w:val="center"/>
          </w:tcPr>
          <w:p>
            <w:pPr>
              <w:pStyle w:val="45"/>
              <w:tabs>
                <w:tab w:val="left" w:pos="1260"/>
              </w:tabs>
              <w:adjustRightInd w:val="0"/>
              <w:snapToGrid w:val="0"/>
              <w:jc w:val="center"/>
              <w:rPr>
                <w:szCs w:val="21"/>
                <w:lang w:val="en-GB"/>
              </w:rPr>
            </w:pPr>
            <w:r>
              <w:rPr>
                <w:szCs w:val="21"/>
                <w:lang w:val="en-GB"/>
              </w:rPr>
              <w:t>比重（节能产品金额/投标所投包总价）*100%</w:t>
            </w:r>
          </w:p>
        </w:tc>
        <w:tc>
          <w:tcPr>
            <w:tcW w:w="1454" w:type="dxa"/>
            <w:shd w:val="clear" w:color="auto" w:fill="auto"/>
            <w:vAlign w:val="center"/>
          </w:tcPr>
          <w:p>
            <w:pPr>
              <w:pStyle w:val="45"/>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7485" w:type="dxa"/>
            <w:gridSpan w:val="5"/>
            <w:shd w:val="clear" w:color="auto" w:fill="auto"/>
            <w:vAlign w:val="center"/>
          </w:tcPr>
          <w:p>
            <w:pPr>
              <w:pStyle w:val="45"/>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restart"/>
            <w:shd w:val="clear" w:color="auto" w:fill="auto"/>
            <w:vAlign w:val="center"/>
          </w:tcPr>
          <w:p>
            <w:pPr>
              <w:pStyle w:val="45"/>
              <w:tabs>
                <w:tab w:val="left" w:pos="1260"/>
              </w:tabs>
              <w:adjustRightInd w:val="0"/>
              <w:snapToGrid w:val="0"/>
              <w:jc w:val="center"/>
              <w:rPr>
                <w:szCs w:val="21"/>
                <w:lang w:val="en-GB"/>
              </w:rPr>
            </w:pPr>
            <w:r>
              <w:rPr>
                <w:szCs w:val="21"/>
                <w:lang w:val="en-GB"/>
              </w:rPr>
              <w:t>中小企业、监狱企业、残疾人福利性单位扶持政策</w:t>
            </w:r>
          </w:p>
        </w:tc>
        <w:tc>
          <w:tcPr>
            <w:tcW w:w="7485" w:type="dxa"/>
            <w:gridSpan w:val="5"/>
            <w:shd w:val="clear" w:color="auto" w:fill="auto"/>
            <w:vAlign w:val="center"/>
          </w:tcPr>
          <w:p>
            <w:pPr>
              <w:pStyle w:val="45"/>
              <w:tabs>
                <w:tab w:val="left" w:pos="1260"/>
              </w:tabs>
              <w:adjustRightInd w:val="0"/>
              <w:snapToGrid w:val="0"/>
              <w:rPr>
                <w:b/>
                <w:szCs w:val="21"/>
              </w:rPr>
            </w:pPr>
            <w:r>
              <w:rPr>
                <w:b/>
                <w:szCs w:val="21"/>
              </w:rPr>
              <w:t>1.所投货物中有大型企业制造的，不享受中小企业扶持政策，无需填写以下内容</w:t>
            </w:r>
          </w:p>
          <w:p>
            <w:pPr>
              <w:pStyle w:val="45"/>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pPr>
              <w:pStyle w:val="45"/>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pPr>
              <w:pStyle w:val="45"/>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pPr>
              <w:pStyle w:val="45"/>
              <w:tabs>
                <w:tab w:val="left" w:pos="1260"/>
              </w:tabs>
              <w:adjustRightInd w:val="0"/>
              <w:snapToGrid w:val="0"/>
              <w:jc w:val="center"/>
              <w:rPr>
                <w:szCs w:val="21"/>
                <w:lang w:val="en-GB"/>
              </w:rPr>
            </w:pPr>
            <w:r>
              <w:rPr>
                <w:szCs w:val="21"/>
                <w:lang w:val="en-GB"/>
              </w:rPr>
              <w:t>制造商</w:t>
            </w:r>
          </w:p>
          <w:p>
            <w:pPr>
              <w:pStyle w:val="45"/>
              <w:tabs>
                <w:tab w:val="left" w:pos="1260"/>
              </w:tabs>
              <w:adjustRightInd w:val="0"/>
              <w:snapToGrid w:val="0"/>
              <w:jc w:val="center"/>
              <w:rPr>
                <w:szCs w:val="21"/>
                <w:lang w:val="en-GB"/>
              </w:rPr>
            </w:pPr>
            <w:r>
              <w:rPr>
                <w:szCs w:val="21"/>
                <w:lang w:val="en-GB"/>
              </w:rPr>
              <w:t>企业类型</w:t>
            </w:r>
          </w:p>
        </w:tc>
        <w:tc>
          <w:tcPr>
            <w:tcW w:w="1454" w:type="dxa"/>
            <w:shd w:val="clear" w:color="auto" w:fill="auto"/>
            <w:vAlign w:val="center"/>
          </w:tcPr>
          <w:p>
            <w:pPr>
              <w:pStyle w:val="45"/>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tcPr>
          <w:p>
            <w:pPr>
              <w:adjustRightInd w:val="0"/>
              <w:snapToGrid w:val="0"/>
              <w:rPr>
                <w:szCs w:val="21"/>
              </w:rPr>
            </w:pPr>
            <w:r>
              <w:rPr>
                <w:szCs w:val="21"/>
                <w:lang w:val="en-GB"/>
              </w:rPr>
              <w:t>只填写小型/微型/监狱/残疾人福利性单位</w:t>
            </w: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tcPr>
          <w:p>
            <w:pPr>
              <w:adjustRightInd w:val="0"/>
              <w:snapToGrid w:val="0"/>
              <w:rPr>
                <w:szCs w:val="21"/>
              </w:rPr>
            </w:pPr>
            <w:r>
              <w:rPr>
                <w:szCs w:val="21"/>
                <w:lang w:val="en-GB"/>
              </w:rPr>
              <w:t>只填写小型/微型/监狱/残疾人福利性单位</w:t>
            </w: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tcPr>
          <w:p>
            <w:pPr>
              <w:adjustRightInd w:val="0"/>
              <w:snapToGrid w:val="0"/>
              <w:rPr>
                <w:szCs w:val="21"/>
              </w:rPr>
            </w:pPr>
            <w:r>
              <w:rPr>
                <w:szCs w:val="21"/>
                <w:lang w:val="en-GB"/>
              </w:rPr>
              <w:t>只填写小型/微型/监狱/残疾人福利性单位</w:t>
            </w: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tcPr>
          <w:p>
            <w:pPr>
              <w:adjustRightInd w:val="0"/>
              <w:snapToGrid w:val="0"/>
              <w:rPr>
                <w:szCs w:val="21"/>
              </w:rPr>
            </w:pPr>
            <w:r>
              <w:rPr>
                <w:szCs w:val="21"/>
                <w:lang w:val="en-GB"/>
              </w:rPr>
              <w:t>只填写小型/微型/监狱/残疾人福利性单位</w:t>
            </w: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vAlign w:val="center"/>
          </w:tcPr>
          <w:p>
            <w:pPr>
              <w:pStyle w:val="45"/>
              <w:tabs>
                <w:tab w:val="left" w:pos="1260"/>
              </w:tabs>
              <w:adjustRightInd w:val="0"/>
              <w:snapToGrid w:val="0"/>
              <w:jc w:val="center"/>
              <w:rPr>
                <w:szCs w:val="21"/>
                <w:lang w:val="en-GB"/>
              </w:rPr>
            </w:pP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1492" w:type="dxa"/>
            <w:shd w:val="clear" w:color="auto" w:fill="auto"/>
            <w:vAlign w:val="center"/>
          </w:tcPr>
          <w:p>
            <w:pPr>
              <w:pStyle w:val="45"/>
              <w:tabs>
                <w:tab w:val="left" w:pos="1260"/>
              </w:tabs>
              <w:adjustRightInd w:val="0"/>
              <w:snapToGrid w:val="0"/>
              <w:jc w:val="center"/>
              <w:rPr>
                <w:szCs w:val="21"/>
                <w:lang w:val="en-GB"/>
              </w:rPr>
            </w:pPr>
          </w:p>
        </w:tc>
        <w:tc>
          <w:tcPr>
            <w:tcW w:w="1565" w:type="dxa"/>
            <w:shd w:val="clear" w:color="auto" w:fill="auto"/>
            <w:vAlign w:val="center"/>
          </w:tcPr>
          <w:p>
            <w:pPr>
              <w:pStyle w:val="45"/>
              <w:tabs>
                <w:tab w:val="left" w:pos="1260"/>
              </w:tabs>
              <w:adjustRightInd w:val="0"/>
              <w:snapToGrid w:val="0"/>
              <w:jc w:val="center"/>
              <w:rPr>
                <w:szCs w:val="21"/>
                <w:lang w:val="en-GB"/>
              </w:rPr>
            </w:pPr>
          </w:p>
        </w:tc>
        <w:tc>
          <w:tcPr>
            <w:tcW w:w="1352" w:type="dxa"/>
            <w:shd w:val="clear" w:color="auto" w:fill="auto"/>
            <w:vAlign w:val="center"/>
          </w:tcPr>
          <w:p>
            <w:pPr>
              <w:pStyle w:val="45"/>
              <w:tabs>
                <w:tab w:val="left" w:pos="1260"/>
              </w:tabs>
              <w:adjustRightInd w:val="0"/>
              <w:snapToGrid w:val="0"/>
              <w:jc w:val="center"/>
              <w:rPr>
                <w:szCs w:val="21"/>
                <w:lang w:val="en-GB"/>
              </w:rPr>
            </w:pPr>
          </w:p>
        </w:tc>
        <w:tc>
          <w:tcPr>
            <w:tcW w:w="1622" w:type="dxa"/>
            <w:shd w:val="clear" w:color="auto" w:fill="auto"/>
            <w:vAlign w:val="center"/>
          </w:tcPr>
          <w:p>
            <w:pPr>
              <w:pStyle w:val="45"/>
              <w:tabs>
                <w:tab w:val="left" w:pos="1260"/>
              </w:tabs>
              <w:adjustRightInd w:val="0"/>
              <w:snapToGrid w:val="0"/>
              <w:jc w:val="center"/>
              <w:rPr>
                <w:szCs w:val="21"/>
                <w:lang w:val="en-GB"/>
              </w:rPr>
            </w:pPr>
          </w:p>
        </w:tc>
        <w:tc>
          <w:tcPr>
            <w:tcW w:w="1454" w:type="dxa"/>
            <w:shd w:val="clear" w:color="auto" w:fill="auto"/>
            <w:vAlign w:val="center"/>
          </w:tcPr>
          <w:p>
            <w:pPr>
              <w:pStyle w:val="45"/>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6031" w:type="dxa"/>
            <w:gridSpan w:val="4"/>
            <w:shd w:val="clear" w:color="auto" w:fill="auto"/>
            <w:vAlign w:val="center"/>
          </w:tcPr>
          <w:p>
            <w:pPr>
              <w:pStyle w:val="45"/>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1454" w:type="dxa"/>
            <w:shd w:val="clear" w:color="auto" w:fill="auto"/>
            <w:vAlign w:val="center"/>
          </w:tcPr>
          <w:p>
            <w:pPr>
              <w:pStyle w:val="45"/>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6" w:type="dxa"/>
            <w:vMerge w:val="continue"/>
            <w:shd w:val="clear" w:color="auto" w:fill="auto"/>
            <w:vAlign w:val="center"/>
          </w:tcPr>
          <w:p>
            <w:pPr>
              <w:pStyle w:val="45"/>
              <w:tabs>
                <w:tab w:val="left" w:pos="1260"/>
              </w:tabs>
              <w:adjustRightInd w:val="0"/>
              <w:snapToGrid w:val="0"/>
              <w:jc w:val="center"/>
              <w:rPr>
                <w:szCs w:val="21"/>
                <w:lang w:val="en-GB"/>
              </w:rPr>
            </w:pPr>
          </w:p>
        </w:tc>
        <w:tc>
          <w:tcPr>
            <w:tcW w:w="6031" w:type="dxa"/>
            <w:gridSpan w:val="4"/>
            <w:shd w:val="clear" w:color="auto" w:fill="auto"/>
            <w:vAlign w:val="center"/>
          </w:tcPr>
          <w:p>
            <w:pPr>
              <w:pStyle w:val="45"/>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1454" w:type="dxa"/>
            <w:shd w:val="clear" w:color="auto" w:fill="auto"/>
            <w:vAlign w:val="center"/>
          </w:tcPr>
          <w:p>
            <w:pPr>
              <w:pStyle w:val="45"/>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shd w:val="clear" w:color="auto" w:fill="auto"/>
            <w:vAlign w:val="center"/>
          </w:tcPr>
          <w:p>
            <w:pPr>
              <w:pStyle w:val="45"/>
              <w:tabs>
                <w:tab w:val="left" w:pos="1260"/>
              </w:tabs>
              <w:adjustRightInd w:val="0"/>
              <w:snapToGrid w:val="0"/>
              <w:jc w:val="center"/>
              <w:rPr>
                <w:szCs w:val="21"/>
                <w:lang w:val="en-GB"/>
              </w:rPr>
            </w:pPr>
            <w:r>
              <w:rPr>
                <w:szCs w:val="21"/>
                <w:lang w:val="en-GB"/>
              </w:rPr>
              <w:t>中小企业</w:t>
            </w:r>
          </w:p>
        </w:tc>
        <w:tc>
          <w:tcPr>
            <w:tcW w:w="7485" w:type="dxa"/>
            <w:gridSpan w:val="5"/>
            <w:shd w:val="clear" w:color="auto" w:fill="auto"/>
            <w:vAlign w:val="center"/>
          </w:tcPr>
          <w:p>
            <w:pPr>
              <w:pStyle w:val="45"/>
              <w:tabs>
                <w:tab w:val="left" w:pos="1260"/>
              </w:tabs>
              <w:adjustRightInd w:val="0"/>
              <w:snapToGrid w:val="0"/>
              <w:rPr>
                <w:szCs w:val="21"/>
              </w:rPr>
            </w:pPr>
            <w:r>
              <w:rPr>
                <w:szCs w:val="21"/>
              </w:rPr>
              <w:t>如属于中小企业，须提供《中小企业声明函》。</w:t>
            </w:r>
          </w:p>
          <w:p>
            <w:pPr>
              <w:pStyle w:val="45"/>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shd w:val="clear" w:color="auto" w:fill="auto"/>
            <w:vAlign w:val="center"/>
          </w:tcPr>
          <w:p>
            <w:pPr>
              <w:pStyle w:val="45"/>
              <w:tabs>
                <w:tab w:val="left" w:pos="1260"/>
              </w:tabs>
              <w:adjustRightInd w:val="0"/>
              <w:snapToGrid w:val="0"/>
              <w:jc w:val="center"/>
              <w:rPr>
                <w:szCs w:val="21"/>
                <w:lang w:val="en-GB"/>
              </w:rPr>
            </w:pPr>
            <w:r>
              <w:rPr>
                <w:szCs w:val="21"/>
                <w:lang w:val="en-GB"/>
              </w:rPr>
              <w:t>监狱企业</w:t>
            </w:r>
          </w:p>
        </w:tc>
        <w:tc>
          <w:tcPr>
            <w:tcW w:w="7485" w:type="dxa"/>
            <w:gridSpan w:val="5"/>
            <w:shd w:val="clear" w:color="auto" w:fill="auto"/>
            <w:vAlign w:val="center"/>
          </w:tcPr>
          <w:p>
            <w:pPr>
              <w:pStyle w:val="45"/>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pPr>
              <w:pStyle w:val="45"/>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shd w:val="clear" w:color="auto" w:fill="auto"/>
            <w:vAlign w:val="center"/>
          </w:tcPr>
          <w:p>
            <w:pPr>
              <w:pStyle w:val="45"/>
              <w:tabs>
                <w:tab w:val="left" w:pos="1260"/>
              </w:tabs>
              <w:adjustRightInd w:val="0"/>
              <w:snapToGrid w:val="0"/>
              <w:jc w:val="center"/>
              <w:rPr>
                <w:szCs w:val="21"/>
                <w:lang w:val="en-GB"/>
              </w:rPr>
            </w:pPr>
            <w:r>
              <w:rPr>
                <w:szCs w:val="21"/>
                <w:lang w:val="en-GB"/>
              </w:rPr>
              <w:t>残疾人福利性单位</w:t>
            </w:r>
          </w:p>
        </w:tc>
        <w:tc>
          <w:tcPr>
            <w:tcW w:w="7485" w:type="dxa"/>
            <w:gridSpan w:val="5"/>
            <w:shd w:val="clear" w:color="auto" w:fill="auto"/>
            <w:vAlign w:val="center"/>
          </w:tcPr>
          <w:p>
            <w:pPr>
              <w:pStyle w:val="45"/>
              <w:tabs>
                <w:tab w:val="left" w:pos="1260"/>
              </w:tabs>
              <w:adjustRightInd w:val="0"/>
              <w:snapToGrid w:val="0"/>
              <w:rPr>
                <w:szCs w:val="21"/>
              </w:rPr>
            </w:pPr>
            <w:r>
              <w:rPr>
                <w:szCs w:val="21"/>
              </w:rPr>
              <w:t>如属于残疾人福利性单位，须提供《残疾人福利性单位声明函》。</w:t>
            </w:r>
          </w:p>
          <w:p>
            <w:pPr>
              <w:pStyle w:val="45"/>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shd w:val="clear" w:color="auto" w:fill="auto"/>
            <w:vAlign w:val="center"/>
          </w:tcPr>
          <w:p>
            <w:pPr>
              <w:pStyle w:val="45"/>
              <w:tabs>
                <w:tab w:val="left" w:pos="1260"/>
              </w:tabs>
              <w:adjustRightInd w:val="0"/>
              <w:snapToGrid w:val="0"/>
              <w:jc w:val="center"/>
              <w:rPr>
                <w:szCs w:val="21"/>
                <w:lang w:val="en-GB"/>
              </w:rPr>
            </w:pPr>
            <w:r>
              <w:rPr>
                <w:szCs w:val="21"/>
                <w:lang w:val="en-GB"/>
              </w:rPr>
              <w:t>本国产品</w:t>
            </w:r>
          </w:p>
        </w:tc>
        <w:tc>
          <w:tcPr>
            <w:tcW w:w="7485" w:type="dxa"/>
            <w:gridSpan w:val="5"/>
            <w:shd w:val="clear" w:color="auto" w:fill="auto"/>
            <w:vAlign w:val="center"/>
          </w:tcPr>
          <w:p>
            <w:pPr>
              <w:pStyle w:val="45"/>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pPr>
              <w:pStyle w:val="45"/>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pPr>
        <w:spacing w:line="360" w:lineRule="auto"/>
        <w:ind w:firstLine="448" w:firstLineChars="200"/>
        <w:outlineLvl w:val="0"/>
        <w:rPr>
          <w:sz w:val="24"/>
        </w:rPr>
      </w:pPr>
    </w:p>
    <w:p>
      <w:pPr>
        <w:spacing w:line="360" w:lineRule="auto"/>
        <w:ind w:firstLine="3808" w:firstLineChars="1700"/>
        <w:rPr>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spacing w:line="560" w:lineRule="exact"/>
        <w:jc w:val="center"/>
        <w:rPr>
          <w:sz w:val="24"/>
        </w:rPr>
      </w:pPr>
      <w:r>
        <w:rPr>
          <w:sz w:val="24"/>
        </w:rPr>
        <w:br w:type="page"/>
      </w:r>
    </w:p>
    <w:p>
      <w:pPr>
        <w:snapToGrid w:val="0"/>
        <w:spacing w:line="360" w:lineRule="auto"/>
        <w:rPr>
          <w:b/>
          <w:bCs/>
          <w:sz w:val="24"/>
        </w:rPr>
      </w:pPr>
      <w:r>
        <w:rPr>
          <w:b/>
          <w:sz w:val="24"/>
          <w:szCs w:val="21"/>
        </w:rPr>
        <w:t>附件1</w:t>
      </w:r>
      <w:r>
        <w:rPr>
          <w:rFonts w:hint="eastAsia"/>
          <w:b/>
          <w:sz w:val="24"/>
          <w:szCs w:val="21"/>
        </w:rPr>
        <w:t>1</w:t>
      </w:r>
      <w:r>
        <w:rPr>
          <w:b/>
          <w:sz w:val="24"/>
          <w:szCs w:val="21"/>
        </w:rPr>
        <w:t>：</w:t>
      </w:r>
      <w:r>
        <w:rPr>
          <w:b/>
          <w:sz w:val="24"/>
        </w:rPr>
        <w:t>招标文件</w:t>
      </w:r>
      <w:r>
        <w:rPr>
          <w:b/>
          <w:bCs/>
          <w:sz w:val="24"/>
        </w:rPr>
        <w:t>评分因素及评标标准中要求的证明材料扫描件、方案等</w:t>
      </w:r>
    </w:p>
    <w:p>
      <w:pPr>
        <w:widowControl/>
        <w:jc w:val="left"/>
        <w:rPr>
          <w:b/>
          <w:bCs/>
          <w:sz w:val="24"/>
        </w:rPr>
      </w:pPr>
      <w:r>
        <w:rPr>
          <w:b/>
          <w:bCs/>
          <w:sz w:val="24"/>
        </w:rPr>
        <w:br w:type="page"/>
      </w:r>
    </w:p>
    <w:p>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b/>
      </w:rPr>
      <w:fldChar w:fldCharType="begin"/>
    </w:r>
    <w:r>
      <w:rPr>
        <w:b/>
      </w:rPr>
      <w:instrText xml:space="preserve">PAGE  \* Arabic  \* MERGEFORMAT</w:instrText>
    </w:r>
    <w:r>
      <w:rPr>
        <w:b/>
      </w:rPr>
      <w:fldChar w:fldCharType="separate"/>
    </w:r>
    <w:r>
      <w:rPr>
        <w:b/>
        <w:lang w:val="zh-CN"/>
      </w:rPr>
      <w:t>21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7"/>
      <w:lvlText w:val="%1."/>
      <w:lvlJc w:val="left"/>
      <w:pPr>
        <w:ind w:left="360" w:hanging="360"/>
      </w:pPr>
      <w:rPr>
        <w:rFonts w:hint="default"/>
      </w:rPr>
    </w:lvl>
    <w:lvl w:ilvl="1" w:tentative="0">
      <w:start w:val="1"/>
      <w:numFmt w:val="decimal"/>
      <w:pStyle w:val="6"/>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20"/>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1AE"/>
    <w:rsid w:val="000304E6"/>
    <w:rsid w:val="000B718F"/>
    <w:rsid w:val="001F1FB5"/>
    <w:rsid w:val="00261B18"/>
    <w:rsid w:val="00274B3F"/>
    <w:rsid w:val="002E7104"/>
    <w:rsid w:val="00312D2B"/>
    <w:rsid w:val="003E6E88"/>
    <w:rsid w:val="004B0D73"/>
    <w:rsid w:val="004C516F"/>
    <w:rsid w:val="004E4DA1"/>
    <w:rsid w:val="006004FD"/>
    <w:rsid w:val="00636B7A"/>
    <w:rsid w:val="00734EE8"/>
    <w:rsid w:val="00780828"/>
    <w:rsid w:val="0086415F"/>
    <w:rsid w:val="008B1B50"/>
    <w:rsid w:val="008D64A4"/>
    <w:rsid w:val="009A0F71"/>
    <w:rsid w:val="00B552FC"/>
    <w:rsid w:val="00BA6491"/>
    <w:rsid w:val="00BE41AE"/>
    <w:rsid w:val="00C27CE4"/>
    <w:rsid w:val="00D12FEA"/>
    <w:rsid w:val="00DF5F21"/>
    <w:rsid w:val="00ED3E6E"/>
    <w:rsid w:val="00F52B6F"/>
    <w:rsid w:val="00F77660"/>
    <w:rsid w:val="01891B53"/>
    <w:rsid w:val="05990CBF"/>
    <w:rsid w:val="0B786E60"/>
    <w:rsid w:val="0E62280C"/>
    <w:rsid w:val="0F4C41C0"/>
    <w:rsid w:val="157733C6"/>
    <w:rsid w:val="18775734"/>
    <w:rsid w:val="1AEC6857"/>
    <w:rsid w:val="1DE4191F"/>
    <w:rsid w:val="23B0586E"/>
    <w:rsid w:val="245A5C64"/>
    <w:rsid w:val="246B6FCE"/>
    <w:rsid w:val="27AD15AB"/>
    <w:rsid w:val="2C7118F7"/>
    <w:rsid w:val="2CAA0A3F"/>
    <w:rsid w:val="2F3F5374"/>
    <w:rsid w:val="313F641B"/>
    <w:rsid w:val="33471930"/>
    <w:rsid w:val="432C5DEE"/>
    <w:rsid w:val="4A4C0E65"/>
    <w:rsid w:val="4C432784"/>
    <w:rsid w:val="4F586138"/>
    <w:rsid w:val="557D644E"/>
    <w:rsid w:val="58647451"/>
    <w:rsid w:val="587F34F3"/>
    <w:rsid w:val="5CA9686E"/>
    <w:rsid w:val="6575346F"/>
    <w:rsid w:val="6A7A2B04"/>
    <w:rsid w:val="6D043641"/>
    <w:rsid w:val="73F8066C"/>
    <w:rsid w:val="78B35B5F"/>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5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3"/>
    <w:unhideWhenUsed/>
    <w:qFormat/>
    <w:uiPriority w:val="99"/>
    <w:pPr>
      <w:jc w:val="left"/>
    </w:pPr>
  </w:style>
  <w:style w:type="paragraph" w:styleId="9">
    <w:name w:val="Body Text"/>
    <w:basedOn w:val="1"/>
    <w:link w:val="56"/>
    <w:unhideWhenUsed/>
    <w:qFormat/>
    <w:uiPriority w:val="99"/>
    <w:pPr>
      <w:spacing w:after="120"/>
    </w:pPr>
  </w:style>
  <w:style w:type="paragraph" w:styleId="10">
    <w:name w:val="Body Text Indent"/>
    <w:basedOn w:val="1"/>
    <w:link w:val="31"/>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3"/>
    <w:qFormat/>
    <w:uiPriority w:val="0"/>
    <w:rPr>
      <w:rFonts w:ascii="宋体" w:hAnsi="Courier New"/>
      <w:lang w:val="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6"/>
    <w:qFormat/>
    <w:uiPriority w:val="0"/>
    <w:pPr>
      <w:adjustRightInd w:val="0"/>
      <w:spacing w:line="360" w:lineRule="atLeast"/>
      <w:textAlignment w:val="baseline"/>
    </w:pPr>
    <w:rPr>
      <w:sz w:val="32"/>
    </w:rPr>
  </w:style>
  <w:style w:type="paragraph" w:styleId="15">
    <w:name w:val="Body Text Indent 2"/>
    <w:basedOn w:val="1"/>
    <w:link w:val="38"/>
    <w:unhideWhenUsed/>
    <w:qFormat/>
    <w:uiPriority w:val="99"/>
    <w:pPr>
      <w:spacing w:after="120" w:line="480" w:lineRule="auto"/>
      <w:ind w:left="420" w:leftChars="200"/>
    </w:pPr>
  </w:style>
  <w:style w:type="paragraph" w:styleId="16">
    <w:name w:val="Balloon Text"/>
    <w:basedOn w:val="1"/>
    <w:link w:val="55"/>
    <w:unhideWhenUsed/>
    <w:qFormat/>
    <w:uiPriority w:val="99"/>
    <w:rPr>
      <w:sz w:val="18"/>
      <w:szCs w:val="18"/>
    </w:rPr>
  </w:style>
  <w:style w:type="paragraph" w:styleId="17">
    <w:name w:val="footer"/>
    <w:basedOn w:val="1"/>
    <w:link w:val="35"/>
    <w:unhideWhenUsed/>
    <w:qFormat/>
    <w:uiPriority w:val="99"/>
    <w:pPr>
      <w:tabs>
        <w:tab w:val="center" w:pos="4153"/>
        <w:tab w:val="right" w:pos="8306"/>
      </w:tabs>
      <w:snapToGrid w:val="0"/>
      <w:jc w:val="left"/>
    </w:pPr>
    <w:rPr>
      <w:sz w:val="18"/>
      <w:szCs w:val="18"/>
    </w:rPr>
  </w:style>
  <w:style w:type="paragraph" w:styleId="18">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3"/>
    <w:qFormat/>
    <w:uiPriority w:val="11"/>
    <w:pPr>
      <w:spacing w:before="240" w:after="60" w:line="312" w:lineRule="auto"/>
      <w:jc w:val="center"/>
      <w:outlineLvl w:val="1"/>
    </w:pPr>
    <w:rPr>
      <w:rFonts w:ascii="Cambria" w:hAnsi="Cambria"/>
      <w:b/>
      <w:bCs/>
      <w:kern w:val="28"/>
      <w:sz w:val="32"/>
      <w:szCs w:val="32"/>
      <w:lang w:val="zh-CN"/>
    </w:rPr>
  </w:style>
  <w:style w:type="paragraph" w:styleId="20">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44"/>
    <w:unhideWhenUsed/>
    <w:qFormat/>
    <w:uiPriority w:val="99"/>
    <w:pPr>
      <w:spacing w:after="120"/>
      <w:ind w:left="420" w:leftChars="200"/>
    </w:pPr>
    <w:rPr>
      <w:sz w:val="16"/>
      <w:szCs w:val="16"/>
    </w:rPr>
  </w:style>
  <w:style w:type="paragraph" w:styleId="22">
    <w:name w:val="Body Text 2"/>
    <w:basedOn w:val="1"/>
    <w:link w:val="40"/>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4"/>
    <w:unhideWhenUsed/>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basedOn w:val="27"/>
    <w:unhideWhenUsed/>
    <w:qFormat/>
    <w:uiPriority w:val="99"/>
    <w:rPr>
      <w:sz w:val="21"/>
      <w:szCs w:val="21"/>
    </w:rPr>
  </w:style>
  <w:style w:type="character" w:customStyle="1" w:styleId="31">
    <w:name w:val="正文文本缩进 Char"/>
    <w:basedOn w:val="27"/>
    <w:link w:val="10"/>
    <w:qFormat/>
    <w:uiPriority w:val="0"/>
    <w:rPr>
      <w:rFonts w:ascii="宋体" w:hAnsi="宋体" w:eastAsia="宋体" w:cs="Times New Roman"/>
      <w:sz w:val="24"/>
      <w:szCs w:val="20"/>
    </w:rPr>
  </w:style>
  <w:style w:type="paragraph" w:customStyle="1" w:styleId="32">
    <w:name w:val="Default"/>
    <w:link w:val="51"/>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3">
    <w:name w:val="副标题 Char"/>
    <w:basedOn w:val="27"/>
    <w:link w:val="19"/>
    <w:qFormat/>
    <w:uiPriority w:val="11"/>
    <w:rPr>
      <w:rFonts w:ascii="Cambria" w:hAnsi="Cambria" w:eastAsia="宋体" w:cs="Times New Roman"/>
      <w:b/>
      <w:bCs/>
      <w:kern w:val="28"/>
      <w:sz w:val="32"/>
      <w:szCs w:val="32"/>
      <w:lang w:val="zh-CN" w:eastAsia="zh-CN"/>
    </w:rPr>
  </w:style>
  <w:style w:type="character" w:customStyle="1" w:styleId="34">
    <w:name w:val="页眉 Char"/>
    <w:basedOn w:val="27"/>
    <w:link w:val="18"/>
    <w:qFormat/>
    <w:uiPriority w:val="99"/>
    <w:rPr>
      <w:rFonts w:ascii="Times New Roman" w:hAnsi="Times New Roman" w:eastAsia="宋体" w:cs="Times New Roman"/>
      <w:sz w:val="18"/>
      <w:szCs w:val="18"/>
    </w:rPr>
  </w:style>
  <w:style w:type="character" w:customStyle="1" w:styleId="35">
    <w:name w:val="页脚 Char"/>
    <w:basedOn w:val="27"/>
    <w:link w:val="17"/>
    <w:qFormat/>
    <w:uiPriority w:val="99"/>
    <w:rPr>
      <w:rFonts w:ascii="Times New Roman" w:hAnsi="Times New Roman" w:eastAsia="宋体" w:cs="Times New Roman"/>
      <w:sz w:val="18"/>
      <w:szCs w:val="18"/>
    </w:rPr>
  </w:style>
  <w:style w:type="character" w:customStyle="1" w:styleId="36">
    <w:name w:val="日期 Char"/>
    <w:basedOn w:val="27"/>
    <w:link w:val="14"/>
    <w:qFormat/>
    <w:uiPriority w:val="0"/>
    <w:rPr>
      <w:rFonts w:ascii="Times New Roman" w:hAnsi="Times New Roman" w:eastAsia="宋体" w:cs="Times New Roman"/>
      <w:sz w:val="32"/>
      <w:szCs w:val="20"/>
    </w:rPr>
  </w:style>
  <w:style w:type="paragraph" w:customStyle="1" w:styleId="37">
    <w:name w:val="列出段落1"/>
    <w:basedOn w:val="1"/>
    <w:link w:val="52"/>
    <w:qFormat/>
    <w:uiPriority w:val="34"/>
    <w:pPr>
      <w:ind w:firstLine="420" w:firstLineChars="200"/>
    </w:pPr>
  </w:style>
  <w:style w:type="character" w:customStyle="1" w:styleId="38">
    <w:name w:val="正文文本缩进 2 Char"/>
    <w:basedOn w:val="27"/>
    <w:link w:val="15"/>
    <w:semiHidden/>
    <w:qFormat/>
    <w:uiPriority w:val="99"/>
    <w:rPr>
      <w:rFonts w:ascii="Times New Roman" w:hAnsi="Times New Roman" w:eastAsia="宋体" w:cs="Times New Roman"/>
      <w:szCs w:val="20"/>
    </w:rPr>
  </w:style>
  <w:style w:type="character" w:customStyle="1" w:styleId="39">
    <w:name w:val="标题 3 Char"/>
    <w:basedOn w:val="27"/>
    <w:link w:val="4"/>
    <w:qFormat/>
    <w:uiPriority w:val="0"/>
    <w:rPr>
      <w:rFonts w:ascii="Times New Roman" w:hAnsi="Times New Roman" w:eastAsia="宋体" w:cs="Times New Roman"/>
      <w:b/>
      <w:bCs/>
      <w:sz w:val="32"/>
      <w:szCs w:val="32"/>
    </w:rPr>
  </w:style>
  <w:style w:type="character" w:customStyle="1" w:styleId="40">
    <w:name w:val="正文文本 2 Char"/>
    <w:basedOn w:val="27"/>
    <w:link w:val="22"/>
    <w:semiHidden/>
    <w:qFormat/>
    <w:uiPriority w:val="99"/>
    <w:rPr>
      <w:rFonts w:ascii="Times New Roman" w:hAnsi="Times New Roman" w:eastAsia="宋体" w:cs="Times New Roman"/>
      <w:szCs w:val="20"/>
    </w:rPr>
  </w:style>
  <w:style w:type="paragraph" w:customStyle="1" w:styleId="41">
    <w:name w:val="Char"/>
    <w:basedOn w:val="1"/>
    <w:qFormat/>
    <w:uiPriority w:val="0"/>
    <w:pPr>
      <w:tabs>
        <w:tab w:val="left" w:pos="360"/>
      </w:tabs>
    </w:pPr>
    <w:rPr>
      <w:sz w:val="24"/>
      <w:szCs w:val="24"/>
    </w:rPr>
  </w:style>
  <w:style w:type="character" w:customStyle="1" w:styleId="42">
    <w:name w:val="纯文本 Char"/>
    <w:basedOn w:val="27"/>
    <w:semiHidden/>
    <w:qFormat/>
    <w:uiPriority w:val="99"/>
    <w:rPr>
      <w:rFonts w:ascii="宋体" w:hAnsi="Courier New" w:eastAsia="宋体" w:cs="Courier New"/>
      <w:szCs w:val="21"/>
    </w:rPr>
  </w:style>
  <w:style w:type="character" w:customStyle="1" w:styleId="43">
    <w:name w:val="纯文本 Char1"/>
    <w:link w:val="12"/>
    <w:qFormat/>
    <w:locked/>
    <w:uiPriority w:val="0"/>
    <w:rPr>
      <w:rFonts w:ascii="宋体" w:hAnsi="Courier New" w:eastAsia="宋体" w:cs="Times New Roman"/>
      <w:szCs w:val="20"/>
      <w:lang w:val="zh-CN" w:eastAsia="zh-CN"/>
    </w:rPr>
  </w:style>
  <w:style w:type="character" w:customStyle="1" w:styleId="44">
    <w:name w:val="正文文本缩进 3 Char"/>
    <w:basedOn w:val="27"/>
    <w:link w:val="21"/>
    <w:semiHidden/>
    <w:qFormat/>
    <w:uiPriority w:val="99"/>
    <w:rPr>
      <w:rFonts w:ascii="Times New Roman" w:hAnsi="Times New Roman" w:eastAsia="宋体" w:cs="Times New Roman"/>
      <w:sz w:val="16"/>
      <w:szCs w:val="16"/>
    </w:rPr>
  </w:style>
  <w:style w:type="paragraph" w:customStyle="1" w:styleId="45">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Char2"/>
    <w:basedOn w:val="1"/>
    <w:qFormat/>
    <w:uiPriority w:val="0"/>
    <w:pPr>
      <w:tabs>
        <w:tab w:val="left" w:pos="360"/>
      </w:tabs>
    </w:pPr>
    <w:rPr>
      <w:sz w:val="24"/>
      <w:szCs w:val="24"/>
    </w:rPr>
  </w:style>
  <w:style w:type="paragraph" w:customStyle="1" w:styleId="50">
    <w:name w:val="列出段落1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1">
    <w:name w:val="Default Char"/>
    <w:link w:val="32"/>
    <w:qFormat/>
    <w:locked/>
    <w:uiPriority w:val="0"/>
    <w:rPr>
      <w:rFonts w:ascii="......." w:hAnsi="Calibri" w:eastAsia="......." w:cs="......."/>
      <w:color w:val="000000"/>
      <w:kern w:val="0"/>
      <w:sz w:val="24"/>
      <w:szCs w:val="24"/>
    </w:rPr>
  </w:style>
  <w:style w:type="character" w:customStyle="1" w:styleId="52">
    <w:name w:val="列出段落 Char"/>
    <w:link w:val="37"/>
    <w:qFormat/>
    <w:uiPriority w:val="34"/>
    <w:rPr>
      <w:rFonts w:ascii="Times New Roman" w:hAnsi="Times New Roman" w:eastAsia="宋体" w:cs="Times New Roman"/>
      <w:szCs w:val="20"/>
    </w:rPr>
  </w:style>
  <w:style w:type="character" w:customStyle="1" w:styleId="53">
    <w:name w:val="批注文字 Char"/>
    <w:basedOn w:val="27"/>
    <w:link w:val="8"/>
    <w:semiHidden/>
    <w:qFormat/>
    <w:uiPriority w:val="99"/>
    <w:rPr>
      <w:rFonts w:ascii="Times New Roman" w:hAnsi="Times New Roman" w:eastAsia="宋体" w:cs="Times New Roman"/>
      <w:szCs w:val="20"/>
    </w:rPr>
  </w:style>
  <w:style w:type="character" w:customStyle="1" w:styleId="54">
    <w:name w:val="批注主题 Char"/>
    <w:basedOn w:val="53"/>
    <w:link w:val="24"/>
    <w:semiHidden/>
    <w:qFormat/>
    <w:uiPriority w:val="99"/>
    <w:rPr>
      <w:rFonts w:ascii="Times New Roman" w:hAnsi="Times New Roman" w:eastAsia="宋体" w:cs="Times New Roman"/>
      <w:b/>
      <w:bCs/>
      <w:szCs w:val="20"/>
    </w:rPr>
  </w:style>
  <w:style w:type="character" w:customStyle="1" w:styleId="55">
    <w:name w:val="批注框文本 Char"/>
    <w:basedOn w:val="27"/>
    <w:link w:val="16"/>
    <w:semiHidden/>
    <w:qFormat/>
    <w:uiPriority w:val="99"/>
    <w:rPr>
      <w:rFonts w:ascii="Times New Roman" w:hAnsi="Times New Roman" w:eastAsia="宋体" w:cs="Times New Roman"/>
      <w:sz w:val="18"/>
      <w:szCs w:val="18"/>
    </w:rPr>
  </w:style>
  <w:style w:type="character" w:customStyle="1" w:styleId="56">
    <w:name w:val="正文文本 Char"/>
    <w:basedOn w:val="27"/>
    <w:link w:val="9"/>
    <w:semiHidden/>
    <w:qFormat/>
    <w:uiPriority w:val="99"/>
    <w:rPr>
      <w:rFonts w:ascii="Times New Roman" w:hAnsi="Times New Roman" w:eastAsia="宋体" w:cs="Times New Roman"/>
      <w:szCs w:val="20"/>
    </w:rPr>
  </w:style>
  <w:style w:type="character" w:customStyle="1" w:styleId="57">
    <w:name w:val="标题 2 Char"/>
    <w:basedOn w:val="27"/>
    <w:link w:val="3"/>
    <w:semiHidden/>
    <w:qFormat/>
    <w:uiPriority w:val="9"/>
    <w:rPr>
      <w:rFonts w:asciiTheme="majorHAnsi" w:hAnsiTheme="majorHAnsi" w:eastAsiaTheme="majorEastAsia" w:cstheme="majorBidi"/>
      <w:b/>
      <w:bCs/>
      <w:sz w:val="32"/>
      <w:szCs w:val="32"/>
    </w:rPr>
  </w:style>
  <w:style w:type="character" w:customStyle="1" w:styleId="58">
    <w:name w:val="标题 1 Char"/>
    <w:basedOn w:val="27"/>
    <w:link w:val="2"/>
    <w:qFormat/>
    <w:uiPriority w:val="9"/>
    <w:rPr>
      <w:rFonts w:ascii="Times New Roman" w:hAnsi="Times New Roman" w:eastAsia="宋体" w:cs="Times New Roman"/>
      <w:b/>
      <w:bCs/>
      <w:kern w:val="44"/>
      <w:sz w:val="44"/>
      <w:szCs w:val="44"/>
    </w:rPr>
  </w:style>
  <w:style w:type="character" w:customStyle="1" w:styleId="59">
    <w:name w:val="标题 4 Char"/>
    <w:basedOn w:val="27"/>
    <w:link w:val="5"/>
    <w:semiHidden/>
    <w:qFormat/>
    <w:uiPriority w:val="9"/>
    <w:rPr>
      <w:rFonts w:asciiTheme="majorHAnsi" w:hAnsiTheme="majorHAnsi" w:eastAsiaTheme="majorEastAsia" w:cstheme="majorBidi"/>
      <w:b/>
      <w:bCs/>
      <w:sz w:val="28"/>
      <w:szCs w:val="28"/>
    </w:rPr>
  </w:style>
  <w:style w:type="paragraph" w:customStyle="1" w:styleId="60">
    <w:name w:val="MsoNormal"/>
    <w:basedOn w:val="1"/>
    <w:qFormat/>
    <w:uiPriority w:val="0"/>
    <w:pPr>
      <w:widowControl/>
      <w:jc w:val="left"/>
    </w:pPr>
    <w:rPr>
      <w:rFonts w:eastAsiaTheme="minorEastAsia"/>
      <w:kern w:val="0"/>
      <w:sz w:val="24"/>
      <w:szCs w:val="24"/>
      <w:lang w:eastAsia="en-US"/>
    </w:rPr>
  </w:style>
  <w:style w:type="paragraph" w:customStyle="1" w:styleId="61">
    <w:name w:val="15"/>
    <w:basedOn w:val="1"/>
    <w:qFormat/>
    <w:uiPriority w:val="0"/>
    <w:pPr>
      <w:widowControl/>
      <w:jc w:val="left"/>
    </w:pPr>
    <w:rPr>
      <w:rFonts w:eastAsiaTheme="minorEastAsia"/>
      <w:kern w:val="0"/>
      <w:sz w:val="24"/>
      <w:szCs w:val="24"/>
      <w:lang w:eastAsia="en-US"/>
    </w:rPr>
  </w:style>
  <w:style w:type="paragraph" w:customStyle="1" w:styleId="62">
    <w:name w:val="16"/>
    <w:basedOn w:val="1"/>
    <w:qFormat/>
    <w:uiPriority w:val="0"/>
    <w:pPr>
      <w:widowControl/>
      <w:jc w:val="left"/>
    </w:pPr>
    <w:rPr>
      <w:rFonts w:eastAsiaTheme="minorEastAsia"/>
      <w:kern w:val="0"/>
      <w:sz w:val="24"/>
      <w:szCs w:val="24"/>
      <w:lang w:eastAsia="en-US"/>
    </w:rPr>
  </w:style>
  <w:style w:type="paragraph" w:customStyle="1" w:styleId="63">
    <w:name w:val="17"/>
    <w:basedOn w:val="1"/>
    <w:qFormat/>
    <w:uiPriority w:val="0"/>
    <w:pPr>
      <w:widowControl/>
      <w:jc w:val="left"/>
    </w:pPr>
    <w:rPr>
      <w:rFonts w:eastAsiaTheme="minorEastAsi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4752</Words>
  <Characters>27091</Characters>
  <Lines>225</Lines>
  <Paragraphs>63</Paragraphs>
  <TotalTime>18</TotalTime>
  <ScaleCrop>false</ScaleCrop>
  <LinksUpToDate>false</LinksUpToDate>
  <CharactersWithSpaces>31780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2025-01-23T11:21:00Z</dcterms:created>
  <dc:creator>未定义</dc:creator>
  <cp:lastModifiedBy>Administrator</cp:lastModifiedBy>
  <cp:lastPrinted>2026-03-04T09:14:00Z</cp:lastPrinted>
  <dcterms:modified xsi:type="dcterms:W3CDTF">2026-03-12T01:48:59Z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89ED71D2C4D340F5B9B51360CDE4E0FD</vt:lpwstr>
  </property>
  <property fmtid="{D5CDD505-2E9C-101B-9397-08002B2CF9AE}" pid="4" name="KSOTemplateDocerSaveRecord">
    <vt:lpwstr>eyJoZGlkIjoiOGE2MmUxYWM4YzViNTM1ZGJhOGJhYjQwMzIwM2NmNzAiLCJ1c2VySWQiOiI3NzgyNTk0NDcifQ==</vt:lpwstr>
  </property>
</Properties>
</file>