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国家税务总局天津市东丽区税务局2026年12366纳税缴费服务热线远程座席服务</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2026年03月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3.2服务内容和要求</w:t>
        </w:r>
        <w:r>
          <w:tab/>
        </w:r>
        <w:r>
          <w:fldChar w:fldCharType="begin"/>
        </w:r>
        <w:r>
          <w:instrText xml:space="preserve"> PAGEREF _Toc256000021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3.2.1技术和服务客观指标</w:t>
        </w:r>
        <w:r>
          <w:tab/>
        </w:r>
        <w:r>
          <w:fldChar w:fldCharType="begin"/>
        </w:r>
        <w:r>
          <w:instrText xml:space="preserve"> PAGEREF _Toc256000022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3.2.2技术和服务其他要求</w:t>
        </w:r>
        <w:r>
          <w:tab/>
        </w:r>
        <w:r>
          <w:fldChar w:fldCharType="begin"/>
        </w:r>
        <w:r>
          <w:instrText xml:space="preserve"> PAGEREF _Toc256000023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kern w:val="36"/>
          </w:rPr>
          <w:t>4人员要求</w:t>
        </w:r>
        <w:r>
          <w:tab/>
        </w:r>
        <w:r>
          <w:fldChar w:fldCharType="begin"/>
        </w:r>
        <w:r>
          <w:instrText xml:space="preserve"> PAGEREF _Toc256000024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4.1总体要求</w:t>
        </w:r>
        <w:r>
          <w:tab/>
        </w:r>
        <w:r>
          <w:fldChar w:fldCharType="begin"/>
        </w:r>
        <w:r>
          <w:instrText xml:space="preserve"> PAGEREF _Toc256000025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4.2管理团队</w:t>
        </w:r>
        <w:r>
          <w:tab/>
        </w:r>
        <w:r>
          <w:fldChar w:fldCharType="begin"/>
        </w:r>
        <w:r>
          <w:instrText xml:space="preserve"> PAGEREF _Toc256000026 \h </w:instrText>
        </w:r>
        <w:r>
          <w:fldChar w:fldCharType="separate"/>
        </w:r>
        <w:r>
          <w:t>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4.2.1项目经理</w:t>
        </w:r>
        <w:r>
          <w:tab/>
        </w:r>
        <w:r>
          <w:fldChar w:fldCharType="begin"/>
        </w:r>
        <w:r>
          <w:instrText xml:space="preserve"> PAGEREF _Toc256000027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4.3技术团队</w:t>
        </w:r>
        <w:r>
          <w:tab/>
        </w:r>
        <w:r>
          <w:fldChar w:fldCharType="begin"/>
        </w:r>
        <w:r>
          <w:instrText xml:space="preserve"> PAGEREF _Toc256000028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4.4优选资质/优选指标</w:t>
        </w:r>
        <w:r>
          <w:tab/>
        </w:r>
        <w:r>
          <w:fldChar w:fldCharType="begin"/>
        </w:r>
        <w:r>
          <w:instrText xml:space="preserve"> PAGEREF _Toc256000029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kern w:val="36"/>
          </w:rPr>
          <w:t>5管理实施要求</w:t>
        </w:r>
        <w:r>
          <w:tab/>
        </w:r>
        <w:r>
          <w:fldChar w:fldCharType="begin"/>
        </w:r>
        <w:r>
          <w:instrText xml:space="preserve"> PAGEREF _Toc256000030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6风险管控要求</w:t>
        </w:r>
        <w:r>
          <w:tab/>
        </w:r>
        <w:r>
          <w:fldChar w:fldCharType="begin"/>
        </w:r>
        <w:r>
          <w:instrText xml:space="preserve"> PAGEREF _Toc256000031 \h </w:instrText>
        </w:r>
        <w:r>
          <w:fldChar w:fldCharType="separate"/>
        </w:r>
        <w:r>
          <w:t>12</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7履约验收要求</w:t>
        </w:r>
        <w:r>
          <w:tab/>
        </w:r>
        <w:r>
          <w:fldChar w:fldCharType="begin"/>
        </w:r>
        <w:r>
          <w:instrText xml:space="preserve"> PAGEREF _Toc256000032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7.1总体要求</w:t>
        </w:r>
        <w:r>
          <w:tab/>
        </w:r>
        <w:r>
          <w:fldChar w:fldCharType="begin"/>
        </w:r>
        <w:r>
          <w:instrText xml:space="preserve"> PAGEREF _Toc256000033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7.2具体要求</w:t>
        </w:r>
        <w:r>
          <w:tab/>
        </w:r>
        <w:r>
          <w:fldChar w:fldCharType="begin"/>
        </w:r>
        <w:r>
          <w:instrText xml:space="preserve"> PAGEREF _Toc256000034 \h </w:instrText>
        </w:r>
        <w:r>
          <w:fldChar w:fldCharType="separate"/>
        </w:r>
        <w:r>
          <w:t>12</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kern w:val="36"/>
          </w:rPr>
          <w:t>8其他要求</w:t>
        </w:r>
        <w:r>
          <w:tab/>
        </w:r>
        <w:r>
          <w:fldChar w:fldCharType="begin"/>
        </w:r>
        <w:r>
          <w:instrText xml:space="preserve"> PAGEREF _Toc256000035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8.1必备要求</w:t>
        </w:r>
        <w:r>
          <w:tab/>
        </w:r>
        <w:r>
          <w:fldChar w:fldCharType="begin"/>
        </w:r>
        <w:r>
          <w:instrText xml:space="preserve"> PAGEREF _Toc256000036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8.1.1通用必备要求</w:t>
        </w:r>
        <w:r>
          <w:tab/>
        </w:r>
        <w:r>
          <w:fldChar w:fldCharType="begin"/>
        </w:r>
        <w:r>
          <w:instrText xml:space="preserve"> PAGEREF _Toc256000037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8.2付款安排建议</w:t>
        </w:r>
        <w:r>
          <w:tab/>
        </w:r>
        <w:r>
          <w:fldChar w:fldCharType="begin"/>
        </w:r>
        <w:r>
          <w:instrText xml:space="preserve"> PAGEREF _Toc256000038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8.3其他要求</w:t>
        </w:r>
        <w:r>
          <w:tab/>
        </w:r>
        <w:r>
          <w:fldChar w:fldCharType="begin"/>
        </w:r>
        <w:r>
          <w:instrText xml:space="preserve"> PAGEREF _Toc256000039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8.3.1保密要求</w:t>
        </w:r>
        <w:r>
          <w:tab/>
        </w:r>
        <w:r>
          <w:fldChar w:fldCharType="begin"/>
        </w:r>
        <w:r>
          <w:instrText xml:space="preserve"> PAGEREF _Toc256000040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8.3.2知识转移要求</w:t>
        </w:r>
        <w:r>
          <w:tab/>
        </w:r>
        <w:r>
          <w:fldChar w:fldCharType="begin"/>
        </w:r>
        <w:r>
          <w:instrText xml:space="preserve"> PAGEREF _Toc256000041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8.3.3知识产权要求</w:t>
        </w:r>
        <w:r>
          <w:tab/>
        </w:r>
        <w:r>
          <w:fldChar w:fldCharType="begin"/>
        </w:r>
        <w:r>
          <w:instrText xml:space="preserve"> PAGEREF _Toc256000042 \h </w:instrText>
        </w:r>
        <w:r>
          <w:fldChar w:fldCharType="separate"/>
        </w:r>
        <w:r>
          <w:t>14</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国家税务总局天津市东丽区税务局为构建天津税务系统</w:t>
      </w:r>
      <w:r>
        <w:rPr>
          <w:rFonts w:ascii="仿宋_GB2312" w:eastAsia="仿宋_GB2312" w:hAnsi="仿宋_GB2312" w:cs="仿宋_GB2312"/>
          <w:sz w:val="28"/>
          <w:szCs w:val="28"/>
        </w:rPr>
        <w:t>“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w:t>
      </w:r>
      <w:r>
        <w:rPr>
          <w:rFonts w:ascii="仿宋_GB2312" w:eastAsia="仿宋_GB2312" w:hAnsi="仿宋_GB2312" w:cs="仿宋_GB2312"/>
          <w:sz w:val="28"/>
          <w:szCs w:val="28"/>
        </w:rPr>
        <w:t>缴费人</w:t>
      </w:r>
      <w:r>
        <w:rPr>
          <w:rFonts w:ascii="仿宋_GB2312" w:eastAsia="仿宋_GB2312" w:hAnsi="仿宋_GB2312" w:cs="仿宋_GB2312"/>
          <w:sz w:val="28"/>
          <w:szCs w:val="28"/>
        </w:rPr>
        <w:t>提供更加精细化、个性化的服务，优化税收营商环境，国家税务总局天津市东丽区税务局通过政府采购方式采购12366热线及其他咨询服务。</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本项目为纳税人缴费人提供专业化、规范化、标准化服务，持续提升纳税人缴费人的满意度和获得感。</w:t>
      </w:r>
      <w:r>
        <w:rPr>
          <w:rFonts w:ascii="仿宋_GB2312" w:eastAsia="仿宋_GB2312" w:hAnsi="仿宋_GB2312" w:cs="仿宋_GB2312"/>
          <w:sz w:val="28"/>
          <w:szCs w:val="28"/>
        </w:rPr>
        <w:t>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本项目采购内容为</w:t>
      </w:r>
      <w:r>
        <w:rPr>
          <w:rFonts w:ascii="仿宋_GB2312" w:eastAsia="仿宋_GB2312" w:hAnsi="仿宋_GB2312" w:cs="仿宋_GB2312"/>
          <w:sz w:val="28"/>
          <w:szCs w:val="28"/>
        </w:rPr>
        <w:t>12366热线咨询服务，国家税务总局天津市东丽区税务局提供办公场地、人员工位及相关办公设备，中标供应商提供服务人员及接听设备。本项目需要服务人员</w:t>
      </w:r>
      <w:r>
        <w:rPr>
          <w:rFonts w:ascii="仿宋_GB2312" w:eastAsia="仿宋_GB2312" w:hAnsi="仿宋_GB2312" w:cs="仿宋_GB2312"/>
          <w:sz w:val="28"/>
          <w:szCs w:val="28"/>
        </w:rPr>
        <w:t>14</w:t>
      </w:r>
      <w:r>
        <w:rPr>
          <w:rFonts w:ascii="仿宋_GB2312" w:eastAsia="仿宋_GB2312" w:hAnsi="仿宋_GB2312" w:cs="仿宋_GB2312"/>
          <w:sz w:val="28"/>
          <w:szCs w:val="28"/>
        </w:rPr>
        <w:t>人，中标供应商按照国家税务总局天津市东丽区税务局要求培训、管理服务人员，配合国家税务总局天津市东丽区税务局对</w:t>
      </w:r>
      <w:r>
        <w:rPr>
          <w:rFonts w:ascii="仿宋_GB2312" w:eastAsia="仿宋_GB2312" w:hAnsi="仿宋_GB2312" w:cs="仿宋_GB2312"/>
          <w:sz w:val="28"/>
          <w:szCs w:val="28"/>
        </w:rPr>
        <w:t>12366热线的日常管理工作，共同落实服务规范和绩效管理办法等制度体系。</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按照国家税务总局天津市税务局对</w:t>
      </w:r>
      <w:r>
        <w:rPr>
          <w:rFonts w:ascii="仿宋_GB2312" w:eastAsia="仿宋_GB2312" w:hAnsi="仿宋_GB2312" w:cs="仿宋_GB2312"/>
          <w:sz w:val="28"/>
          <w:szCs w:val="28"/>
        </w:rPr>
        <w:t>12366热线及征纳互动咨询服务的要求，须为12366热线提供工作日人工座席服务。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合同规定的服务起始之日起一年。</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国家税务总局天津市东丽区税务局第一税务所税费服务中心。</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spacing w:before="0" w:after="0" w:line="360" w:lineRule="auto"/>
        <w:ind w:firstLine="560"/>
        <w:rPr>
          <w:rFonts w:ascii="FangSong_GB2312" w:eastAsia="FangSong_GB2312" w:hAnsi="FangSong_GB2312" w:cs="FangSong_GB2312"/>
          <w:sz w:val="28"/>
          <w:szCs w:val="28"/>
        </w:rPr>
      </w:pPr>
      <w:r>
        <w:rPr>
          <w:rFonts w:ascii="FangSong_GB2312" w:eastAsia="FangSong_GB2312" w:hAnsi="FangSong_GB2312" w:cs="FangSong_GB2312"/>
          <w:sz w:val="28"/>
          <w:szCs w:val="28"/>
        </w:rPr>
        <w:t>无。</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33"/>
        <w:gridCol w:w="4198"/>
        <w:gridCol w:w="4198"/>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环境管理体系认证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2023年1月1日以来（以合同签订日期为准）,供应商独立承担的与本项目相类似项目案例。</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15"/>
        <w:spacing w:before="0" w:after="0" w:line="360" w:lineRule="auto"/>
        <w:ind w:firstLine="561"/>
        <w:rPr>
          <w:rFonts w:ascii="Times New Roman" w:eastAsia="Times New Roman" w:hAnsi="Times New Roman" w:cs="Times New Roman"/>
        </w:rPr>
      </w:pPr>
      <w:r>
        <w:rPr>
          <w:rFonts w:ascii="仿宋_GB2312" w:eastAsia="仿宋_GB2312" w:hAnsi="仿宋_GB2312" w:cs="仿宋_GB2312"/>
          <w:sz w:val="28"/>
          <w:szCs w:val="28"/>
        </w:rPr>
        <w:t>以下相关方案，若作为评审因素，则投标人应在满足</w:t>
      </w:r>
      <w:r>
        <w:rPr>
          <w:rFonts w:ascii="仿宋_GB2312" w:eastAsia="仿宋_GB2312" w:hAnsi="仿宋_GB2312" w:cs="仿宋_GB2312"/>
          <w:sz w:val="28"/>
          <w:szCs w:val="28"/>
        </w:rPr>
        <w:t>★关键指标项要求的前提下，根据项目特点和采购需求，制定更为完整、详细、可操作性强的方案。</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投标人应根据项目需求对服务方案及内容、项目需求理解、实施方案、保密管理、培训方案、应急保障方案等内容进行响应。</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为构建天津税务系统</w:t>
      </w:r>
      <w:r>
        <w:rPr>
          <w:rFonts w:ascii="仿宋_GB2312" w:eastAsia="仿宋_GB2312" w:hAnsi="仿宋_GB2312" w:cs="仿宋_GB2312"/>
          <w:sz w:val="28"/>
          <w:szCs w:val="28"/>
        </w:rPr>
        <w:t>“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3.2服务内容和要求</w:t>
      </w:r>
      <w:bookmarkEnd w:id="24"/>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p>
      <w:pPr>
        <w:pStyle w:val="Heading3"/>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sz w:val="28"/>
          <w:szCs w:val="28"/>
        </w:rPr>
        <w:t>3.2.1技术和服务客观指标</w:t>
      </w:r>
      <w:bookmarkEnd w:id="2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3.2.1.1服务1</w:t>
      </w:r>
    </w:p>
    <w:p>
      <w:pPr>
        <w:pStyle w:val="Heading3"/>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sz w:val="28"/>
          <w:szCs w:val="28"/>
        </w:rPr>
        <w:t>3.2.2技术和服务其他要求</w:t>
      </w:r>
      <w:bookmarkEnd w:id="26"/>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2.电话回呼。通过人工主动呼出的方式向纳税人缴费人提供涉税费咨询服务。电话回呼包括留言回呼、纠错回呼、承诺回呼、遇忙（呼损）回呼等。</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3.征纳互动服务。通过征纳互动受理纳税人缴费人咨询，对通过12366热线发起咨询的符合条件的纳税人，根据业务需要为其提供反向拉起服务，提升咨询效率。</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4.后台支撑服务。主要解决热线人员无法及时回复或解决的问题，包括但不限于疑难问题的解答、业务工单等。</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5.宣传培训服务。包括相关涉税涉费热点问题的整理、编辑以及配合宣传和发布服务。</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6.需求采集服务。作为税务局和纳税人缴费人之间的沟通桥梁，了解纳税人缴费人的实际需求，利用服务纳税人缴费人时获得的需求信息和数据，定期提供需求报告，为税务局提高纳税服务水平提供决策依据。</w:t>
      </w:r>
    </w:p>
    <w:p>
      <w:pPr>
        <w:pStyle w:val="Heading1"/>
        <w:keepNext w:val="0"/>
        <w:spacing w:before="0" w:after="0" w:line="360" w:lineRule="auto"/>
        <w:jc w:val="center"/>
        <w:rPr>
          <w:rFonts w:ascii="仿宋_GB2312" w:eastAsia="仿宋_GB2312" w:hAnsi="仿宋_GB2312" w:cs="仿宋_GB2312"/>
          <w:b/>
          <w:bCs/>
          <w:sz w:val="32"/>
          <w:szCs w:val="32"/>
        </w:rPr>
      </w:pPr>
      <w:bookmarkStart w:id="27" w:name="_Toc256000024"/>
      <w:r>
        <w:rPr>
          <w:rFonts w:ascii="仿宋_GB2312" w:eastAsia="仿宋_GB2312" w:hAnsi="仿宋_GB2312" w:cs="仿宋_GB2312"/>
          <w:kern w:val="36"/>
        </w:rPr>
        <w:t>4人员要求</w:t>
      </w:r>
      <w:bookmarkEnd w:id="27"/>
    </w:p>
    <w:p>
      <w:pPr>
        <w:pStyle w:val="Heading2"/>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i w:val="0"/>
          <w:iCs w:val="0"/>
        </w:rPr>
        <w:t>4.1总体要求</w:t>
      </w:r>
      <w:bookmarkEnd w:id="28"/>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服务人员，配合区局完成各项服务内容，完善服务规范，落实关于</w:t>
      </w:r>
      <w:r>
        <w:rPr>
          <w:rFonts w:ascii="仿宋_GB2312" w:eastAsia="仿宋_GB2312" w:hAnsi="仿宋_GB2312" w:cs="仿宋_GB2312"/>
          <w:sz w:val="28"/>
          <w:szCs w:val="28"/>
        </w:rPr>
        <w:t>12366热线绩效管理要求。</w:t>
      </w:r>
    </w:p>
    <w:p>
      <w:pPr>
        <w:pStyle w:val="MsoNormal"/>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为本项目提供热线咨询服务人员</w:t>
      </w:r>
      <w:r>
        <w:rPr>
          <w:rFonts w:ascii="仿宋_GB2312" w:eastAsia="仿宋_GB2312" w:hAnsi="仿宋_GB2312" w:cs="仿宋_GB2312"/>
          <w:sz w:val="28"/>
          <w:szCs w:val="28"/>
        </w:rPr>
        <w:t>14</w:t>
      </w:r>
      <w:r>
        <w:rPr>
          <w:rFonts w:ascii="仿宋_GB2312" w:eastAsia="仿宋_GB2312" w:hAnsi="仿宋_GB2312" w:cs="仿宋_GB2312"/>
          <w:sz w:val="28"/>
          <w:szCs w:val="28"/>
        </w:rPr>
        <w:t>人，指定其中</w:t>
      </w:r>
      <w:r>
        <w:rPr>
          <w:rFonts w:ascii="仿宋_GB2312" w:eastAsia="仿宋_GB2312" w:hAnsi="仿宋_GB2312" w:cs="仿宋_GB2312"/>
          <w:sz w:val="28"/>
          <w:szCs w:val="28"/>
        </w:rPr>
        <w:t>1人为组长。</w:t>
      </w:r>
    </w:p>
    <w:p>
      <w:pPr>
        <w:pStyle w:val="Heading2"/>
        <w:keepNext w:val="0"/>
        <w:spacing w:before="0" w:after="0" w:line="360" w:lineRule="auto"/>
        <w:rPr>
          <w:rFonts w:ascii="仿宋_GB2312" w:eastAsia="仿宋_GB2312" w:hAnsi="仿宋_GB2312" w:cs="仿宋_GB2312"/>
          <w:b/>
          <w:bCs/>
          <w:sz w:val="28"/>
          <w:szCs w:val="28"/>
        </w:rPr>
      </w:pPr>
      <w:bookmarkStart w:id="29" w:name="_Toc256000026"/>
      <w:r>
        <w:rPr>
          <w:rFonts w:ascii="仿宋_GB2312" w:eastAsia="仿宋_GB2312" w:hAnsi="仿宋_GB2312" w:cs="仿宋_GB2312"/>
          <w:i w:val="0"/>
          <w:iCs w:val="0"/>
        </w:rPr>
        <w:t>4.2管理团队</w:t>
      </w:r>
      <w:bookmarkEnd w:id="29"/>
    </w:p>
    <w:p>
      <w:pPr>
        <w:pStyle w:val="Heading3"/>
        <w:keepNext w:val="0"/>
        <w:spacing w:before="0" w:after="0" w:line="360" w:lineRule="auto"/>
        <w:rPr>
          <w:rFonts w:ascii="仿宋_GB2312" w:eastAsia="仿宋_GB2312" w:hAnsi="仿宋_GB2312" w:cs="仿宋_GB2312"/>
          <w:b/>
          <w:bCs/>
          <w:sz w:val="28"/>
          <w:szCs w:val="28"/>
        </w:rPr>
      </w:pPr>
      <w:bookmarkStart w:id="30" w:name="_Toc256000027"/>
      <w:r>
        <w:rPr>
          <w:rFonts w:ascii="仿宋_GB2312" w:eastAsia="仿宋_GB2312" w:hAnsi="仿宋_GB2312" w:cs="仿宋_GB2312"/>
          <w:sz w:val="28"/>
          <w:szCs w:val="28"/>
        </w:rPr>
        <w:t>4.2.1项目经理</w:t>
      </w:r>
      <w:bookmarkEnd w:id="30"/>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组长负责管理调配热线人员的现场工作、人员考勤及工作纪律管控；负责解决服务人员求助问题、各类疑难问题和工单处理，汇总每日接听情况，分享每日接听问询或疑难问题的解决方案。处理热线满意度回访及工单等工作，确保团队整体工作的顺利完成。</w:t>
      </w:r>
    </w:p>
    <w:p>
      <w:pPr>
        <w:pStyle w:val="Heading2"/>
        <w:keepNext w:val="0"/>
        <w:spacing w:before="0" w:after="0" w:line="360" w:lineRule="auto"/>
        <w:rPr>
          <w:rFonts w:ascii="仿宋_GB2312" w:eastAsia="仿宋_GB2312" w:hAnsi="仿宋_GB2312" w:cs="仿宋_GB2312"/>
          <w:b/>
          <w:bCs/>
          <w:sz w:val="28"/>
          <w:szCs w:val="28"/>
        </w:rPr>
      </w:pPr>
      <w:bookmarkStart w:id="31" w:name="_Toc256000028"/>
      <w:r>
        <w:rPr>
          <w:rFonts w:ascii="仿宋_GB2312" w:eastAsia="仿宋_GB2312" w:hAnsi="仿宋_GB2312" w:cs="仿宋_GB2312"/>
          <w:i w:val="0"/>
          <w:iCs w:val="0"/>
        </w:rPr>
        <w:t>4.3技术团队</w:t>
      </w:r>
      <w:bookmarkEnd w:id="31"/>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提供热线咨询服务人员</w:t>
      </w:r>
      <w:r>
        <w:rPr>
          <w:rFonts w:ascii="仿宋_GB2312" w:eastAsia="仿宋_GB2312" w:hAnsi="仿宋_GB2312" w:cs="仿宋_GB2312"/>
          <w:sz w:val="28"/>
          <w:szCs w:val="28"/>
        </w:rPr>
        <w:t>14</w:t>
      </w:r>
      <w:r>
        <w:rPr>
          <w:rFonts w:ascii="仿宋_GB2312" w:eastAsia="仿宋_GB2312" w:hAnsi="仿宋_GB2312" w:cs="仿宋_GB2312"/>
          <w:sz w:val="28"/>
          <w:szCs w:val="28"/>
        </w:rPr>
        <w:t>人，指定其中</w:t>
      </w:r>
      <w:r>
        <w:rPr>
          <w:rFonts w:ascii="仿宋_GB2312" w:eastAsia="仿宋_GB2312" w:hAnsi="仿宋_GB2312" w:cs="仿宋_GB2312"/>
          <w:sz w:val="28"/>
          <w:szCs w:val="28"/>
        </w:rPr>
        <w:t>1</w:t>
      </w:r>
      <w:r>
        <w:rPr>
          <w:rFonts w:ascii="仿宋_GB2312" w:eastAsia="仿宋_GB2312" w:hAnsi="仿宋_GB2312" w:cs="仿宋_GB2312"/>
          <w:sz w:val="28"/>
          <w:szCs w:val="28"/>
        </w:rPr>
        <w:t>人为组长。组长负责管理调配热线人员的现场工作、人员考勤及工作纪律管控</w:t>
      </w:r>
      <w:r>
        <w:rPr>
          <w:rFonts w:ascii="仿宋_GB2312" w:eastAsia="仿宋_GB2312" w:hAnsi="仿宋_GB2312" w:cs="仿宋_GB2312"/>
          <w:sz w:val="28"/>
          <w:szCs w:val="28"/>
        </w:rPr>
        <w:t>;负责解决座席人员求助问题、各类疑难问题和工单处理，汇总每日接听情况，分享每日接听问询或疑难问题的解决方案。处理热线满意度回访及工单等工作，确保团队整体工作的顺利完成;其他</w:t>
      </w:r>
      <w:r>
        <w:rPr>
          <w:rFonts w:ascii="仿宋_GB2312" w:eastAsia="仿宋_GB2312" w:hAnsi="仿宋_GB2312" w:cs="仿宋_GB2312"/>
          <w:sz w:val="28"/>
          <w:szCs w:val="28"/>
        </w:rPr>
        <w:t>13</w:t>
      </w:r>
      <w:r>
        <w:rPr>
          <w:rFonts w:ascii="仿宋_GB2312" w:eastAsia="仿宋_GB2312" w:hAnsi="仿宋_GB2312" w:cs="仿宋_GB2312"/>
          <w:sz w:val="28"/>
          <w:szCs w:val="28"/>
        </w:rPr>
        <w:t>名</w:t>
      </w:r>
      <w:r>
        <w:rPr>
          <w:rFonts w:ascii="仿宋_GB2312" w:eastAsia="仿宋_GB2312" w:hAnsi="仿宋_GB2312" w:cs="仿宋_GB2312"/>
          <w:sz w:val="28"/>
          <w:szCs w:val="28"/>
        </w:rPr>
        <w:t>12366热线咨询服务人员负责通过12366热线电话向纳税人解答关于税收法律、行政法规、纳税程序以及社会保险费和税务机关管辖的非税收入征管有关问题，引导投诉举报等。</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中标供应商提供的服务人员需要符合以下条件：</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1.能熟练运用电脑办公软件，汉字录入速度不低于80字/分钟。</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具有一定的税收基本业务知识，具备电话热线工作经验，其中财会、税收等财税经济类专业大专（或以上）学历或具有一年（或以上）相关财税工作经验的人员，不得少于8人；其中组长具备财会、税收等财税经济类专业大学专科（或以上）学历或具备三年（或以上）相关财税工作经验。</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3.普通话发音基本标准，语调自然，表达流畅，具备较强的服务意识和良好的语言表达能力、沟通能力、记忆能力、心理承受能力和学习能力。</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4.身体健康。</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5.12366热线人员上岗前由中标供应商组织培训，经考核通过后方能上岗。</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6.符合采购人要求及日常管理工作规范。</w:t>
      </w:r>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4.4优选资质/优选指标</w:t>
      </w:r>
      <w:bookmarkEnd w:id="32"/>
    </w:p>
    <w:p>
      <w:pPr>
        <w:pStyle w:val="Heading1"/>
        <w:keepNext w:val="0"/>
        <w:spacing w:before="0" w:after="0" w:line="360" w:lineRule="auto"/>
        <w:jc w:val="center"/>
        <w:rPr>
          <w:rFonts w:ascii="仿宋_GB2312" w:eastAsia="仿宋_GB2312" w:hAnsi="仿宋_GB2312" w:cs="仿宋_GB2312"/>
          <w:b/>
          <w:bCs/>
          <w:sz w:val="32"/>
          <w:szCs w:val="32"/>
        </w:rPr>
      </w:pPr>
      <w:bookmarkStart w:id="33" w:name="_Toc256000030"/>
      <w:r>
        <w:rPr>
          <w:rFonts w:ascii="仿宋_GB2312" w:eastAsia="仿宋_GB2312" w:hAnsi="仿宋_GB2312" w:cs="仿宋_GB2312"/>
          <w:kern w:val="36"/>
        </w:rPr>
        <w:t>5管理实施要求</w:t>
      </w:r>
      <w:bookmarkEnd w:id="33"/>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（一）实施要求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1.中标供应商应提供所有服务人员的身份信息资料。</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2.服务期内发生各种事故：包括安全、交通、防火和劳资纠纷等事故，由中标供应商承担相应责任。</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3.中标供应商需确保所提供服务的工作时长，工作期间不得擅离职守，注重仪容仪表、工作态度，保证为纳税人提供准确、快捷的纳税服务。</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4.中标供应商需确保提供座席服务过程中遵守采购方各项廉洁纪律，做到认真履行工作职责，谨言慎行，坚决不做损害纳税人利益和损害税务机关形象的事情。</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5.如采购方对中标供应商提供的人员出现3次不服从管理、违反采购方制定的相关规章制度，采购方可以要求更换，中标供应商必须及时且无条件的为采购方更换合格的人员。</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6.服务期内，采购方按月对中标供应商的工作质量、履约情况、工作配合度等进行综合评价，评价合格则继续履行服务合同。如项目服务未达到要求，则采购方上报监管部门终止服务合同。</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7.对服务人员的撤换或辞退等须经采购方同意认可。</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（二）应急服务要求</w:t>
      </w:r>
      <w:r>
        <w:rPr>
          <w:rFonts w:ascii="仿宋_GB2312" w:eastAsia="仿宋_GB2312" w:hAnsi="仿宋_GB2312" w:cs="仿宋_GB2312"/>
          <w:sz w:val="28"/>
          <w:szCs w:val="28"/>
        </w:rPr>
        <w:t xml:space="preserve"> </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 要求中标供应商必须建立和完善突发事件的应急预案和处理机制，防患于未然。当出现不可预知的紧急情况时，保证服务正常开展。</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（三）人员保密要求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（四）人员稳定性要求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在服务期间，未经采购方同意，中标供应商不得随意更换服务人员。服务人员因为请假、调走、辞职或被中标供应商辞退等原因导致服务人员不足时，需及时安排替接人员以满足区局接听需求。服务人员因为调走、辞职或被中标供应商辞退等原因导致服务人员不足时，需在</w:t>
      </w:r>
      <w:r>
        <w:rPr>
          <w:rFonts w:ascii="仿宋_GB2312" w:eastAsia="仿宋_GB2312" w:hAnsi="仿宋_GB2312" w:cs="仿宋_GB2312"/>
          <w:sz w:val="28"/>
          <w:szCs w:val="28"/>
        </w:rPr>
        <w:t>3天内补充，缺席人数不能同时超过2人，中标供应商在3天内未能及时补齐符合完成项目需求的服务人员，每月不得超过2次，否则视为中标供应商违约，采购方有权终止合同。</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（五）保密要求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pStyle w:val="15"/>
        <w:spacing w:before="0" w:after="0" w:line="360" w:lineRule="auto"/>
        <w:ind w:left="77" w:firstLine="480"/>
        <w:rPr>
          <w:rFonts w:ascii="Times New Roman" w:eastAsia="Times New Roman" w:hAnsi="Times New Roman" w:cs="Times New Roman"/>
        </w:rPr>
      </w:pPr>
      <w:r>
        <w:rPr>
          <w:rFonts w:ascii="仿宋_GB2312" w:eastAsia="仿宋_GB2312" w:hAnsi="仿宋_GB2312" w:cs="仿宋_GB2312"/>
          <w:sz w:val="28"/>
          <w:szCs w:val="28"/>
        </w:rPr>
        <w:t>（六）进驻和接管要求</w:t>
      </w:r>
    </w:p>
    <w:p>
      <w:pPr>
        <w:pStyle w:val="15"/>
        <w:spacing w:before="0" w:after="0" w:line="360" w:lineRule="auto"/>
        <w:ind w:left="77" w:firstLine="480"/>
        <w:rPr>
          <w:rFonts w:ascii="Times New Roman" w:eastAsia="Times New Roman" w:hAnsi="Times New Roman" w:cs="Times New Roman"/>
        </w:rPr>
      </w:pPr>
      <w:r>
        <w:rPr>
          <w:rFonts w:ascii="仿宋_GB2312" w:eastAsia="仿宋_GB2312" w:hAnsi="仿宋_GB2312" w:cs="仿宋_GB2312"/>
          <w:sz w:val="28"/>
          <w:szCs w:val="28"/>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pPr>
        <w:pStyle w:val="15"/>
        <w:spacing w:before="0" w:after="0" w:line="360" w:lineRule="auto"/>
        <w:ind w:left="77" w:firstLine="480"/>
        <w:rPr>
          <w:rFonts w:ascii="Times New Roman" w:eastAsia="Times New Roman" w:hAnsi="Times New Roman" w:cs="Times New Roman"/>
        </w:rPr>
      </w:pPr>
      <w:r>
        <w:rPr>
          <w:rFonts w:ascii="仿宋_GB2312" w:eastAsia="仿宋_GB2312" w:hAnsi="仿宋_GB2312" w:cs="仿宋_GB2312"/>
          <w:sz w:val="28"/>
          <w:szCs w:val="28"/>
        </w:rPr>
        <w:t>（七）费用分割</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1.如因中标供应商引起的劳资纠纷问题，影响正常工作的，采购方有权另行聘请人员确保正常工作，所产生的费用由中标供应商承担，采购方不承担所产生的任何费用。</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中标供应商在合同生效前对全部服务人员完成岗前培训，保障本项目在合同生效后顺利开展。培训实施后，对参加培训的服务人员进行考核，要求事先编制详细的考核计划和考核标准，考核通过后方可正式上岗。</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3.本项目开展工作所需的场地、办公家具、软硬件设备、水电费用、网络费用等由采购人承担。</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4.项目服务人员工装费用、</w:t>
      </w:r>
      <w:r>
        <w:rPr>
          <w:rFonts w:ascii="仿宋_GB2312" w:eastAsia="仿宋_GB2312" w:hAnsi="仿宋_GB2312" w:cs="仿宋_GB2312"/>
          <w:sz w:val="28"/>
          <w:szCs w:val="28"/>
        </w:rPr>
        <w:t>14</w:t>
      </w:r>
      <w:r>
        <w:rPr>
          <w:rFonts w:ascii="仿宋_GB2312" w:eastAsia="仿宋_GB2312" w:hAnsi="仿宋_GB2312" w:cs="仿宋_GB2312"/>
          <w:sz w:val="28"/>
          <w:szCs w:val="28"/>
        </w:rPr>
        <w:t>套接听设备</w:t>
      </w:r>
      <w:r>
        <w:rPr>
          <w:rFonts w:ascii="仿宋_GB2312" w:eastAsia="仿宋_GB2312" w:hAnsi="仿宋_GB2312" w:cs="仿宋_GB2312"/>
          <w:sz w:val="28"/>
          <w:szCs w:val="28"/>
        </w:rPr>
        <w:t>(能进行网络连接和IP地址配置的IP话机)及对应耳机设备由中标供应商承担。</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（八）履约责任</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中标供应商在服务过程中应满足本需求书提出的运行质量标准，若出现重大失误或重大事故并给国家税务总局天津市东丽区税务局造成损失，国家税务总局天津市东丽区税务局有权终止合同，停止付款并要求中标供应商赔偿实际造成的损失。</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2.中标供应商每月服务质效考核验收未达到规定标准的，国家税务总局天津市东丽区税务局按照供应商月服务费的1‰-5‰进行扣减。</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3.中标供应商每月评价满意率低于要求的，国家税务总局天津市东丽区税务局按照供应商月服务费的1‰-5‰进行扣减。</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4.中标供应商每月被投诉数量超过来电总量的万分之一，经国家税务总局天津市东丽区税务局调查属实且认为投诉合理则按照供应商月服务费的1‰-5‰进行扣减。</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5.中标供应商运行管理不到位、服务不规范、未按照要求履行工作职责产生负面影响的，或被通报批评产生负面影响的，国家税务总局天津市东丽区税务局按照供应商月服务费的1‰-5‰进行扣减。</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6.未经采购方同意，中标供应商不得将承包项目发包或转包，否则，视为中标供应商违约，采购方有权解除服务合同。</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7.若中标供应商在1年内违反其服务承诺或以下情况三次或以上，则视为中标供应商违约，采购方有权拒绝支付本期项目服务费，并终止合同。</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1）非税务机关责任，导致服务出现质量问题。</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2）没有按照采购方要求对服务人员进行管理、培训、调配。</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8.特殊情况以合同为准。</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6风险管控要求</w:t>
      </w:r>
      <w:bookmarkEnd w:id="34"/>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w:t>
      </w:r>
      <w:r>
        <w:rPr>
          <w:rFonts w:ascii="仿宋_GB2312" w:eastAsia="仿宋_GB2312" w:hAnsi="仿宋_GB2312" w:cs="仿宋_GB2312"/>
          <w:sz w:val="28"/>
          <w:szCs w:val="28"/>
        </w:rPr>
        <w:t>,采取应急措施,最大限度减少各方损失。</w:t>
      </w:r>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7履约验收要求</w:t>
      </w:r>
      <w:bookmarkEnd w:id="35"/>
    </w:p>
    <w:p>
      <w:pPr>
        <w:pStyle w:val="Heading2"/>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i w:val="0"/>
          <w:iCs w:val="0"/>
        </w:rPr>
        <w:t>7.1总体要求</w:t>
      </w:r>
      <w:bookmarkEnd w:id="36"/>
    </w:p>
    <w:tbl>
      <w:tblPr>
        <w:tblW w:w="5000" w:type="pct"/>
        <w:tblInd w:w="30" w:type="dxa"/>
        <w:tblCellMar>
          <w:top w:w="15" w:type="dxa"/>
          <w:left w:w="15" w:type="dxa"/>
          <w:bottom w:w="15" w:type="dxa"/>
          <w:right w:w="15" w:type="dxa"/>
        </w:tblCellMar>
      </w:tblPr>
      <w:tblGrid>
        <w:gridCol w:w="917"/>
        <w:gridCol w:w="868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bl>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7.2具体要求</w:t>
      </w:r>
      <w:bookmarkEnd w:id="37"/>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pStyle w:val="Heading1"/>
        <w:keepNext w:val="0"/>
        <w:spacing w:before="0" w:after="0" w:line="360" w:lineRule="auto"/>
        <w:jc w:val="center"/>
        <w:rPr>
          <w:rFonts w:ascii="仿宋_GB2312" w:eastAsia="仿宋_GB2312" w:hAnsi="仿宋_GB2312" w:cs="仿宋_GB2312"/>
          <w:b/>
          <w:bCs/>
          <w:sz w:val="32"/>
          <w:szCs w:val="32"/>
        </w:rPr>
      </w:pPr>
      <w:bookmarkStart w:id="38" w:name="_Toc256000035"/>
      <w:r>
        <w:rPr>
          <w:rFonts w:ascii="仿宋_GB2312" w:eastAsia="仿宋_GB2312" w:hAnsi="仿宋_GB2312" w:cs="仿宋_GB2312"/>
          <w:kern w:val="36"/>
        </w:rPr>
        <w:t>8其他要求</w:t>
      </w:r>
      <w:bookmarkEnd w:id="38"/>
    </w:p>
    <w:p>
      <w:pPr>
        <w:pStyle w:val="Heading2"/>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i w:val="0"/>
          <w:iCs w:val="0"/>
        </w:rPr>
        <w:t>8.1必备要求</w:t>
      </w:r>
      <w:bookmarkEnd w:id="39"/>
    </w:p>
    <w:p>
      <w:pPr>
        <w:pStyle w:val="Heading3"/>
        <w:keepNext w:val="0"/>
        <w:spacing w:before="0" w:after="0" w:line="360" w:lineRule="auto"/>
        <w:rPr>
          <w:rFonts w:ascii="仿宋_GB2312" w:eastAsia="仿宋_GB2312" w:hAnsi="仿宋_GB2312" w:cs="仿宋_GB2312"/>
          <w:b/>
          <w:bCs/>
          <w:sz w:val="28"/>
          <w:szCs w:val="28"/>
        </w:rPr>
      </w:pPr>
      <w:bookmarkStart w:id="40" w:name="_Toc256000037"/>
      <w:r>
        <w:rPr>
          <w:rFonts w:ascii="仿宋_GB2312" w:eastAsia="仿宋_GB2312" w:hAnsi="仿宋_GB2312" w:cs="仿宋_GB2312"/>
          <w:sz w:val="28"/>
          <w:szCs w:val="28"/>
        </w:rPr>
        <w:t>8.1.1通用必备要求</w:t>
      </w:r>
      <w:bookmarkEnd w:id="40"/>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8.2付款安排建议</w:t>
      </w:r>
      <w:bookmarkEnd w:id="41"/>
    </w:p>
    <w:tbl>
      <w:tblPr>
        <w:tblW w:w="5000" w:type="pct"/>
        <w:tblInd w:w="30" w:type="dxa"/>
        <w:tblCellMar>
          <w:top w:w="15" w:type="dxa"/>
          <w:left w:w="15" w:type="dxa"/>
          <w:bottom w:w="15" w:type="dxa"/>
          <w:right w:w="15" w:type="dxa"/>
        </w:tblCellMar>
      </w:tblPr>
      <w:tblGrid>
        <w:gridCol w:w="917"/>
        <w:gridCol w:w="16874"/>
        <w:gridCol w:w="1235"/>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采购人按月完成服务质量验收，根据阶段性验收结果按月支付服务费。中标供应商向采购人提供正式发票，采购人在收到发票后10个工作日内支付服务费（特殊情况以签订合同为准）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i w:val="0"/>
          <w:iCs w:val="0"/>
        </w:rPr>
        <w:t>8.3其他要求</w:t>
      </w:r>
      <w:bookmarkEnd w:id="42"/>
    </w:p>
    <w:p>
      <w:pPr>
        <w:pStyle w:val="Heading3"/>
        <w:keepNext w:val="0"/>
        <w:spacing w:before="0" w:after="0" w:line="360" w:lineRule="auto"/>
        <w:rPr>
          <w:rFonts w:ascii="仿宋_GB2312" w:eastAsia="仿宋_GB2312" w:hAnsi="仿宋_GB2312" w:cs="仿宋_GB2312"/>
          <w:b/>
          <w:bCs/>
          <w:sz w:val="28"/>
          <w:szCs w:val="28"/>
        </w:rPr>
      </w:pPr>
      <w:bookmarkStart w:id="43" w:name="_Toc256000040"/>
      <w:r>
        <w:rPr>
          <w:rFonts w:ascii="仿宋_GB2312" w:eastAsia="仿宋_GB2312" w:hAnsi="仿宋_GB2312" w:cs="仿宋_GB2312"/>
          <w:sz w:val="28"/>
          <w:szCs w:val="28"/>
        </w:rPr>
        <w:t>8.3.1保密要求</w:t>
      </w:r>
      <w:bookmarkEnd w:id="43"/>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pStyle w:val="Heading3"/>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sz w:val="28"/>
          <w:szCs w:val="28"/>
        </w:rPr>
        <w:t>8.3.2知识转移要求</w:t>
      </w:r>
      <w:bookmarkEnd w:id="44"/>
    </w:p>
    <w:p>
      <w:pPr>
        <w:pStyle w:val="Heading3"/>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sz w:val="28"/>
          <w:szCs w:val="28"/>
        </w:rPr>
        <w:t>8.3.3知识产权要求</w:t>
      </w:r>
      <w:bookmarkEnd w:id="45"/>
    </w:p>
    <w:p>
      <w:pPr>
        <w:spacing w:before="0" w:after="0" w:line="360" w:lineRule="auto"/>
        <w:jc w:val="left"/>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14</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MsoNormal">
    <w:name w:val="MsoNormal"/>
    <w:basedOn w:val="Normal"/>
  </w:style>
  <w:style w:type="paragraph" w:customStyle="1" w:styleId="16">
    <w:name w:val="16"/>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14</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