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opLinePunct/>
        <w:autoSpaceDE w:val="0"/>
        <w:autoSpaceDN w:val="0"/>
        <w:spacing w:before="0" w:after="0" w:line="360" w:lineRule="auto"/>
        <w:jc w:val="center"/>
        <w:rPr>
          <w:rFonts w:hint="eastAsia" w:ascii="宋体" w:hAnsi="宋体" w:eastAsia="宋体" w:cs="宋体"/>
          <w:b/>
          <w:sz w:val="96"/>
          <w:szCs w:val="96"/>
          <w:lang w:eastAsia="zh-CN"/>
        </w:rPr>
      </w:pPr>
    </w:p>
    <w:p>
      <w:pPr>
        <w:widowControl w:val="0"/>
        <w:topLinePunct/>
        <w:autoSpaceDE w:val="0"/>
        <w:autoSpaceDN w:val="0"/>
        <w:spacing w:before="0" w:after="0" w:line="360" w:lineRule="auto"/>
        <w:jc w:val="center"/>
        <w:rPr>
          <w:rFonts w:hint="eastAsia" w:ascii="宋体" w:hAnsi="宋体" w:eastAsia="宋体" w:cs="宋体"/>
          <w:b/>
          <w:sz w:val="96"/>
          <w:szCs w:val="96"/>
          <w:lang w:eastAsia="zh-CN"/>
        </w:rPr>
      </w:pPr>
      <w:r>
        <w:rPr>
          <w:rFonts w:hint="eastAsia" w:ascii="宋体" w:hAnsi="宋体" w:eastAsia="宋体" w:cs="宋体"/>
          <w:b/>
          <w:sz w:val="96"/>
          <w:szCs w:val="96"/>
          <w:lang w:eastAsia="zh-CN"/>
        </w:rPr>
        <w:t>采 购 需 求</w:t>
      </w:r>
    </w:p>
    <w:p>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pPr>
        <w:widowControl w:val="0"/>
        <w:topLinePunct/>
        <w:autoSpaceDE w:val="0"/>
        <w:autoSpaceDN w:val="0"/>
        <w:spacing w:before="0" w:after="0"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lang w:eastAsia="zh-CN"/>
        </w:rPr>
        <w:t>项目名称：</w:t>
      </w:r>
      <w:bookmarkStart w:id="0" w:name="项目名称_projectName"/>
      <w:r>
        <w:rPr>
          <w:rFonts w:hint="eastAsia" w:ascii="宋体" w:hAnsi="宋体" w:eastAsia="宋体" w:cs="宋体"/>
          <w:b/>
          <w:sz w:val="30"/>
          <w:szCs w:val="30"/>
          <w:lang w:eastAsia="zh-CN"/>
        </w:rPr>
        <w:t>国家税务总局天津经济技术开发区税务局非执法类税务辅助服务项目</w:t>
      </w:r>
      <w:bookmarkEnd w:id="0"/>
    </w:p>
    <w:p>
      <w:pPr>
        <w:widowControl w:val="0"/>
        <w:spacing w:before="0" w:after="0" w:line="360" w:lineRule="auto"/>
        <w:jc w:val="both"/>
        <w:rPr>
          <w:rFonts w:hint="eastAsia" w:ascii="宋体" w:hAnsi="宋体" w:eastAsia="宋体" w:cs="宋体"/>
          <w:kern w:val="2"/>
          <w:sz w:val="32"/>
          <w:szCs w:val="32"/>
          <w:lang w:eastAsia="zh-CN"/>
        </w:rPr>
      </w:pPr>
    </w:p>
    <w:p>
      <w:pPr>
        <w:widowControl w:val="0"/>
        <w:spacing w:before="0" w:after="0" w:line="360" w:lineRule="auto"/>
        <w:jc w:val="both"/>
        <w:rPr>
          <w:rFonts w:ascii="宋体" w:hAnsi="宋体" w:eastAsia="宋体" w:cs="宋体"/>
          <w:kern w:val="2"/>
          <w:sz w:val="32"/>
          <w:szCs w:val="32"/>
          <w:lang w:eastAsia="zh-CN"/>
        </w:rPr>
      </w:pPr>
    </w:p>
    <w:p>
      <w:pPr>
        <w:widowControl w:val="0"/>
        <w:spacing w:before="0" w:after="0" w:line="360" w:lineRule="auto"/>
        <w:jc w:val="both"/>
        <w:rPr>
          <w:rFonts w:hint="eastAsia" w:ascii="宋体" w:hAnsi="宋体" w:eastAsia="宋体" w:cs="宋体"/>
          <w:kern w:val="2"/>
          <w:sz w:val="32"/>
          <w:szCs w:val="32"/>
          <w:lang w:eastAsia="zh-CN"/>
        </w:rPr>
      </w:pPr>
    </w:p>
    <w:p>
      <w:pPr>
        <w:widowControl w:val="0"/>
        <w:topLinePunct/>
        <w:autoSpaceDE w:val="0"/>
        <w:autoSpaceDN w:val="0"/>
        <w:spacing w:before="0" w:after="0" w:line="360" w:lineRule="auto"/>
        <w:jc w:val="both"/>
        <w:rPr>
          <w:rFonts w:hint="eastAsia" w:ascii="宋体" w:hAnsi="宋体" w:eastAsia="宋体" w:cs="宋体"/>
          <w:sz w:val="32"/>
          <w:szCs w:val="32"/>
          <w:lang w:eastAsia="zh-CN"/>
        </w:rPr>
      </w:pPr>
    </w:p>
    <w:p>
      <w:pPr>
        <w:spacing w:before="0" w:after="0" w:line="360" w:lineRule="auto"/>
        <w:jc w:val="center"/>
        <w:rPr>
          <w:rFonts w:eastAsia="宋体"/>
        </w:rPr>
      </w:pPr>
      <w:bookmarkStart w:id="1" w:name="生成日期_currentDateTime_ym"/>
      <w:r>
        <w:rPr>
          <w:rFonts w:hint="eastAsia" w:ascii="宋体" w:hAnsi="宋体" w:eastAsia="宋体" w:cs="宋体"/>
          <w:sz w:val="36"/>
          <w:szCs w:val="36"/>
          <w:lang w:eastAsia="zh-CN"/>
        </w:rPr>
        <w:t>2026年03月</w:t>
      </w:r>
      <w:bookmarkEnd w:id="1"/>
    </w:p>
    <w:p>
      <w:pPr>
        <w:spacing w:before="0" w:after="0" w:line="360" w:lineRule="auto"/>
        <w:jc w:val="center"/>
        <w:rPr>
          <w:rFonts w:ascii="宋体" w:hAnsi="宋体" w:eastAsia="宋体" w:cs="宋体"/>
          <w:sz w:val="32"/>
        </w:rPr>
      </w:pPr>
      <w:r>
        <w:br w:type="page"/>
      </w:r>
      <w:r>
        <w:rPr>
          <w:rFonts w:ascii="宋体" w:hAnsi="宋体" w:eastAsia="宋体" w:cs="宋体"/>
          <w:sz w:val="32"/>
        </w:rPr>
        <w:t>目 录</w:t>
      </w:r>
    </w:p>
    <w:p>
      <w:pPr>
        <w:pStyle w:val="7"/>
        <w:tabs>
          <w:tab w:val="right" w:leader="dot" w:pos="9016"/>
        </w:tabs>
        <w:spacing w:before="0" w:after="0" w:line="360" w:lineRule="auto"/>
        <w:rPr>
          <w:rFonts w:asciiTheme="minorHAnsi" w:hAnsiTheme="minorHAnsi"/>
          <w:sz w:val="22"/>
        </w:rPr>
      </w:pPr>
      <w:r>
        <w:rPr>
          <w:rFonts w:ascii="宋体" w:hAnsi="宋体" w:eastAsia="宋体" w:cs="宋体"/>
          <w:sz w:val="32"/>
        </w:rPr>
        <w:fldChar w:fldCharType="begin"/>
      </w:r>
      <w:r>
        <w:rPr>
          <w:rFonts w:ascii="宋体" w:hAnsi="宋体" w:eastAsia="宋体" w:cs="宋体"/>
          <w:sz w:val="32"/>
        </w:rPr>
        <w:instrText xml:space="preserve">TOC \o "1-3" \h \z \u</w:instrText>
      </w:r>
      <w:r>
        <w:rPr>
          <w:rFonts w:ascii="宋体" w:hAnsi="宋体" w:eastAsia="宋体" w:cs="宋体"/>
          <w:sz w:val="32"/>
        </w:rPr>
        <w:fldChar w:fldCharType="separate"/>
      </w:r>
      <w:r>
        <w:fldChar w:fldCharType="begin"/>
      </w:r>
      <w:r>
        <w:instrText xml:space="preserve"> HYPERLINK \l "_Toc256000000" </w:instrText>
      </w:r>
      <w:r>
        <w:fldChar w:fldCharType="separate"/>
      </w:r>
      <w:r>
        <w:rPr>
          <w:rStyle w:val="11"/>
          <w:rFonts w:ascii="仿宋_GB2312" w:hAnsi="仿宋_GB2312" w:eastAsia="仿宋_GB2312" w:cs="仿宋_GB2312"/>
          <w:kern w:val="36"/>
        </w:rPr>
        <w:t>1项目概述</w:t>
      </w:r>
      <w:r>
        <w:tab/>
      </w:r>
      <w:r>
        <w:fldChar w:fldCharType="begin"/>
      </w:r>
      <w:r>
        <w:instrText xml:space="preserve"> PAGEREF _Toc256000000 \h </w:instrText>
      </w:r>
      <w:r>
        <w:fldChar w:fldCharType="separate"/>
      </w:r>
      <w:r>
        <w:t>3</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"_Toc256000001" </w:instrText>
      </w:r>
      <w:r>
        <w:fldChar w:fldCharType="separate"/>
      </w:r>
      <w:r>
        <w:rPr>
          <w:rStyle w:val="11"/>
          <w:rFonts w:ascii="仿宋_GB2312" w:hAnsi="仿宋_GB2312" w:eastAsia="仿宋_GB2312" w:cs="仿宋_GB2312"/>
        </w:rPr>
        <w:t>1.1项目背景</w:t>
      </w:r>
      <w:r>
        <w:tab/>
      </w:r>
      <w:r>
        <w:fldChar w:fldCharType="begin"/>
      </w:r>
      <w:r>
        <w:instrText xml:space="preserve"> PAGEREF _Toc256000001 \h </w:instrText>
      </w:r>
      <w:r>
        <w:fldChar w:fldCharType="separate"/>
      </w:r>
      <w:r>
        <w:t>3</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"_Toc256000002" </w:instrText>
      </w:r>
      <w:r>
        <w:fldChar w:fldCharType="separate"/>
      </w:r>
      <w:r>
        <w:rPr>
          <w:rStyle w:val="11"/>
          <w:rFonts w:ascii="仿宋_GB2312" w:hAnsi="仿宋_GB2312" w:eastAsia="仿宋_GB2312" w:cs="仿宋_GB2312"/>
        </w:rPr>
        <w:t>1.1.1项目目的、意义及背景</w:t>
      </w:r>
      <w:r>
        <w:tab/>
      </w:r>
      <w:r>
        <w:fldChar w:fldCharType="begin"/>
      </w:r>
      <w:r>
        <w:instrText xml:space="preserve"> PAGEREF _Toc256000002 \h </w:instrText>
      </w:r>
      <w:r>
        <w:fldChar w:fldCharType="separate"/>
      </w:r>
      <w:r>
        <w:t>3</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"_Toc256000003" </w:instrText>
      </w:r>
      <w:r>
        <w:fldChar w:fldCharType="separate"/>
      </w:r>
      <w:r>
        <w:rPr>
          <w:rStyle w:val="11"/>
          <w:rFonts w:ascii="仿宋_GB2312" w:hAnsi="仿宋_GB2312" w:eastAsia="仿宋_GB2312" w:cs="仿宋_GB2312"/>
        </w:rPr>
        <w:t>1.2项目内容</w:t>
      </w:r>
      <w:r>
        <w:tab/>
      </w:r>
      <w:r>
        <w:fldChar w:fldCharType="begin"/>
      </w:r>
      <w:r>
        <w:instrText xml:space="preserve"> PAGEREF _Toc256000003 \h </w:instrText>
      </w:r>
      <w:r>
        <w:fldChar w:fldCharType="separate"/>
      </w:r>
      <w:r>
        <w:t>3</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"_Toc256000004" </w:instrText>
      </w:r>
      <w:r>
        <w:fldChar w:fldCharType="separate"/>
      </w:r>
      <w:r>
        <w:rPr>
          <w:rStyle w:val="11"/>
          <w:rFonts w:ascii="仿宋_GB2312" w:hAnsi="仿宋_GB2312" w:eastAsia="仿宋_GB2312" w:cs="仿宋_GB2312"/>
        </w:rPr>
        <w:t>1.2.1项目建设思路</w:t>
      </w:r>
      <w:r>
        <w:tab/>
      </w:r>
      <w:r>
        <w:fldChar w:fldCharType="begin"/>
      </w:r>
      <w:r>
        <w:instrText xml:space="preserve"> PAGEREF _Toc256000004 \h </w:instrText>
      </w:r>
      <w:r>
        <w:fldChar w:fldCharType="separate"/>
      </w:r>
      <w:r>
        <w:t>3</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"_Toc256000005" </w:instrText>
      </w:r>
      <w:r>
        <w:fldChar w:fldCharType="separate"/>
      </w:r>
      <w:r>
        <w:rPr>
          <w:rStyle w:val="11"/>
          <w:rFonts w:ascii="仿宋_GB2312" w:hAnsi="仿宋_GB2312" w:eastAsia="仿宋_GB2312" w:cs="仿宋_GB2312"/>
        </w:rPr>
        <w:t>1.2.2采购内容</w:t>
      </w:r>
      <w:r>
        <w:tab/>
      </w:r>
      <w:r>
        <w:fldChar w:fldCharType="begin"/>
      </w:r>
      <w:r>
        <w:instrText xml:space="preserve"> PAGEREF _Toc256000005 \h </w:instrText>
      </w:r>
      <w:r>
        <w:fldChar w:fldCharType="separate"/>
      </w:r>
      <w:r>
        <w:t>3</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"_Toc256000006" </w:instrText>
      </w:r>
      <w:r>
        <w:fldChar w:fldCharType="separate"/>
      </w:r>
      <w:r>
        <w:rPr>
          <w:rStyle w:val="11"/>
          <w:rFonts w:ascii="仿宋_GB2312" w:hAnsi="仿宋_GB2312" w:eastAsia="仿宋_GB2312" w:cs="仿宋_GB2312"/>
        </w:rPr>
        <w:t>1.2.3项目实施要求</w:t>
      </w:r>
      <w:r>
        <w:tab/>
      </w:r>
      <w:r>
        <w:fldChar w:fldCharType="begin"/>
      </w:r>
      <w:r>
        <w:instrText xml:space="preserve"> PAGEREF _Toc256000006 \h </w:instrText>
      </w:r>
      <w:r>
        <w:fldChar w:fldCharType="separate"/>
      </w:r>
      <w:r>
        <w:t>3</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"_Toc256000007" </w:instrText>
      </w:r>
      <w:r>
        <w:fldChar w:fldCharType="separate"/>
      </w:r>
      <w:r>
        <w:rPr>
          <w:rStyle w:val="11"/>
          <w:rFonts w:ascii="仿宋_GB2312" w:hAnsi="仿宋_GB2312" w:eastAsia="仿宋_GB2312" w:cs="仿宋_GB2312"/>
        </w:rPr>
        <w:t>1.3其他要求</w:t>
      </w:r>
      <w:r>
        <w:tab/>
      </w:r>
      <w:r>
        <w:fldChar w:fldCharType="begin"/>
      </w:r>
      <w:r>
        <w:instrText xml:space="preserve"> PAGEREF _Toc256000007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"_Toc256000008" </w:instrText>
      </w:r>
      <w:r>
        <w:fldChar w:fldCharType="separate"/>
      </w:r>
      <w:r>
        <w:rPr>
          <w:rStyle w:val="11"/>
          <w:rFonts w:ascii="仿宋_GB2312" w:hAnsi="仿宋_GB2312" w:eastAsia="仿宋_GB2312" w:cs="仿宋_GB2312"/>
        </w:rPr>
        <w:t>1.3.1采购标的需执行的相关标准规范</w:t>
      </w:r>
      <w:r>
        <w:tab/>
      </w:r>
      <w:r>
        <w:fldChar w:fldCharType="begin"/>
      </w:r>
      <w:r>
        <w:instrText xml:space="preserve"> PAGEREF _Toc256000008 \h </w:instrText>
      </w:r>
      <w:r>
        <w:fldChar w:fldCharType="separate"/>
      </w:r>
      <w:r>
        <w:t>4</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"_Toc256000009" </w:instrText>
      </w:r>
      <w:r>
        <w:fldChar w:fldCharType="separate"/>
      </w:r>
      <w:r>
        <w:rPr>
          <w:rStyle w:val="11"/>
          <w:rFonts w:ascii="仿宋_GB2312" w:hAnsi="仿宋_GB2312" w:eastAsia="仿宋_GB2312" w:cs="仿宋_GB2312"/>
          <w:kern w:val="36"/>
        </w:rPr>
        <w:t>2投标/响应要求</w:t>
      </w:r>
      <w:r>
        <w:tab/>
      </w:r>
      <w:r>
        <w:fldChar w:fldCharType="begin"/>
      </w:r>
      <w:r>
        <w:instrText xml:space="preserve"> PAGEREF _Toc256000009 \h </w:instrText>
      </w:r>
      <w:r>
        <w:fldChar w:fldCharType="separate"/>
      </w:r>
      <w:r>
        <w:t>4</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"_Toc256000010" </w:instrText>
      </w:r>
      <w:r>
        <w:fldChar w:fldCharType="separate"/>
      </w:r>
      <w:r>
        <w:rPr>
          <w:rStyle w:val="11"/>
          <w:rFonts w:ascii="仿宋_GB2312" w:hAnsi="仿宋_GB2312" w:eastAsia="仿宋_GB2312" w:cs="仿宋_GB2312"/>
        </w:rPr>
        <w:t>2.1对供应商的要求</w:t>
      </w:r>
      <w:r>
        <w:tab/>
      </w:r>
      <w:r>
        <w:fldChar w:fldCharType="begin"/>
      </w:r>
      <w:r>
        <w:instrText xml:space="preserve"> PAGEREF _Toc256000010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"_Toc256000011" </w:instrText>
      </w:r>
      <w:r>
        <w:fldChar w:fldCharType="separate"/>
      </w:r>
      <w:r>
        <w:rPr>
          <w:rStyle w:val="11"/>
          <w:rFonts w:ascii="仿宋_GB2312" w:hAnsi="仿宋_GB2312" w:eastAsia="仿宋_GB2312" w:cs="仿宋_GB2312"/>
        </w:rPr>
        <w:t>2.1.1必备资质</w:t>
      </w:r>
      <w:r>
        <w:tab/>
      </w:r>
      <w:r>
        <w:fldChar w:fldCharType="begin"/>
      </w:r>
      <w:r>
        <w:instrText xml:space="preserve"> PAGEREF _Toc256000011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"_Toc256000012" </w:instrText>
      </w:r>
      <w:r>
        <w:fldChar w:fldCharType="separate"/>
      </w:r>
      <w:r>
        <w:rPr>
          <w:rStyle w:val="11"/>
          <w:rFonts w:ascii="仿宋_GB2312" w:hAnsi="仿宋_GB2312" w:eastAsia="仿宋_GB2312" w:cs="仿宋_GB2312"/>
        </w:rPr>
        <w:t>2.1.2优选资质/优选指标</w:t>
      </w:r>
      <w:r>
        <w:tab/>
      </w:r>
      <w:r>
        <w:fldChar w:fldCharType="begin"/>
      </w:r>
      <w:r>
        <w:instrText xml:space="preserve"> PAGEREF _Toc256000012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"_Toc256000013" </w:instrText>
      </w:r>
      <w:r>
        <w:fldChar w:fldCharType="separate"/>
      </w:r>
      <w:r>
        <w:rPr>
          <w:rStyle w:val="11"/>
          <w:rFonts w:ascii="仿宋_GB2312" w:hAnsi="仿宋_GB2312" w:eastAsia="仿宋_GB2312" w:cs="仿宋_GB2312"/>
        </w:rPr>
        <w:t>2.1.3是否允许联合体</w:t>
      </w:r>
      <w:r>
        <w:tab/>
      </w:r>
      <w:r>
        <w:fldChar w:fldCharType="begin"/>
      </w:r>
      <w:r>
        <w:instrText xml:space="preserve"> PAGEREF _Toc256000013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"_Toc256000014" </w:instrText>
      </w:r>
      <w:r>
        <w:fldChar w:fldCharType="separate"/>
      </w:r>
      <w:r>
        <w:rPr>
          <w:rStyle w:val="11"/>
          <w:rFonts w:ascii="仿宋_GB2312" w:hAnsi="仿宋_GB2312" w:eastAsia="仿宋_GB2312" w:cs="仿宋_GB2312"/>
        </w:rPr>
        <w:t>2.1.4是否专门面向中小企业</w:t>
      </w:r>
      <w:r>
        <w:tab/>
      </w:r>
      <w:r>
        <w:fldChar w:fldCharType="begin"/>
      </w:r>
      <w:r>
        <w:instrText xml:space="preserve"> PAGEREF _Toc256000014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"_Toc256000015" </w:instrText>
      </w:r>
      <w:r>
        <w:fldChar w:fldCharType="separate"/>
      </w:r>
      <w:r>
        <w:rPr>
          <w:rStyle w:val="11"/>
          <w:rFonts w:ascii="仿宋_GB2312" w:hAnsi="仿宋_GB2312" w:eastAsia="仿宋_GB2312" w:cs="仿宋_GB2312"/>
        </w:rPr>
        <w:t>2.1.5其他要求</w:t>
      </w:r>
      <w:r>
        <w:tab/>
      </w:r>
      <w:r>
        <w:fldChar w:fldCharType="begin"/>
      </w:r>
      <w:r>
        <w:instrText xml:space="preserve"> PAGEREF _Toc256000015 \h </w:instrText>
      </w:r>
      <w:r>
        <w:fldChar w:fldCharType="separate"/>
      </w:r>
      <w:r>
        <w:t>5</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"_Toc256000016" </w:instrText>
      </w:r>
      <w:r>
        <w:fldChar w:fldCharType="separate"/>
      </w:r>
      <w:r>
        <w:rPr>
          <w:rStyle w:val="11"/>
          <w:rFonts w:ascii="仿宋_GB2312" w:hAnsi="仿宋_GB2312" w:eastAsia="仿宋_GB2312" w:cs="仿宋_GB2312"/>
        </w:rPr>
        <w:t>2.2技术部分投标/响应内容</w:t>
      </w:r>
      <w:r>
        <w:tab/>
      </w:r>
      <w:r>
        <w:fldChar w:fldCharType="begin"/>
      </w:r>
      <w:r>
        <w:instrText xml:space="preserve"> PAGEREF _Toc256000016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"_Toc256000017" </w:instrText>
      </w:r>
      <w:r>
        <w:fldChar w:fldCharType="separate"/>
      </w:r>
      <w:r>
        <w:rPr>
          <w:rStyle w:val="11"/>
          <w:rFonts w:ascii="仿宋_GB2312" w:hAnsi="仿宋_GB2312" w:eastAsia="仿宋_GB2312" w:cs="仿宋_GB2312"/>
        </w:rPr>
        <w:t>2.2.1技术投标/响应总要求</w:t>
      </w:r>
      <w:r>
        <w:tab/>
      </w:r>
      <w:r>
        <w:fldChar w:fldCharType="begin"/>
      </w:r>
      <w:r>
        <w:instrText xml:space="preserve"> PAGEREF _Toc256000017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"_Toc256000018" </w:instrText>
      </w:r>
      <w:r>
        <w:fldChar w:fldCharType="separate"/>
      </w:r>
      <w:r>
        <w:rPr>
          <w:rStyle w:val="11"/>
          <w:rFonts w:ascii="仿宋_GB2312" w:hAnsi="仿宋_GB2312" w:eastAsia="仿宋_GB2312" w:cs="仿宋_GB2312"/>
        </w:rPr>
        <w:t>2.2.2投标/响应方案要求</w:t>
      </w:r>
      <w:r>
        <w:tab/>
      </w:r>
      <w:r>
        <w:fldChar w:fldCharType="begin"/>
      </w:r>
      <w:r>
        <w:instrText xml:space="preserve"> PAGEREF _Toc256000018 \h </w:instrText>
      </w:r>
      <w:r>
        <w:fldChar w:fldCharType="separate"/>
      </w:r>
      <w:r>
        <w:t>5</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"_Toc256000019" </w:instrText>
      </w:r>
      <w:r>
        <w:fldChar w:fldCharType="separate"/>
      </w:r>
      <w:r>
        <w:rPr>
          <w:rStyle w:val="11"/>
          <w:rFonts w:ascii="仿宋_GB2312" w:hAnsi="仿宋_GB2312" w:eastAsia="仿宋_GB2312" w:cs="仿宋_GB2312"/>
          <w:kern w:val="36"/>
        </w:rPr>
        <w:t>3项目需求</w:t>
      </w:r>
      <w:r>
        <w:tab/>
      </w:r>
      <w:r>
        <w:fldChar w:fldCharType="begin"/>
      </w:r>
      <w:r>
        <w:instrText xml:space="preserve"> PAGEREF _Toc256000019 \h </w:instrText>
      </w:r>
      <w:r>
        <w:fldChar w:fldCharType="separate"/>
      </w:r>
      <w:r>
        <w:t>6</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"_Toc256000020" </w:instrText>
      </w:r>
      <w:r>
        <w:fldChar w:fldCharType="separate"/>
      </w:r>
      <w:r>
        <w:rPr>
          <w:rStyle w:val="11"/>
          <w:rFonts w:ascii="仿宋_GB2312" w:hAnsi="仿宋_GB2312" w:eastAsia="仿宋_GB2312" w:cs="仿宋_GB2312"/>
        </w:rPr>
        <w:t>3.1总体要求</w:t>
      </w:r>
      <w:r>
        <w:tab/>
      </w:r>
      <w:r>
        <w:fldChar w:fldCharType="begin"/>
      </w:r>
      <w:r>
        <w:instrText xml:space="preserve"> PAGEREF _Toc256000020 \h </w:instrText>
      </w:r>
      <w:r>
        <w:fldChar w:fldCharType="separate"/>
      </w:r>
      <w:r>
        <w:t>6</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"_Toc256000021" </w:instrText>
      </w:r>
      <w:r>
        <w:fldChar w:fldCharType="separate"/>
      </w:r>
      <w:r>
        <w:rPr>
          <w:rStyle w:val="11"/>
          <w:rFonts w:ascii="仿宋_GB2312" w:hAnsi="仿宋_GB2312" w:eastAsia="仿宋_GB2312" w:cs="仿宋_GB2312"/>
        </w:rPr>
        <w:t>3.2服务内容和要求</w:t>
      </w:r>
      <w:r>
        <w:tab/>
      </w:r>
      <w:r>
        <w:fldChar w:fldCharType="begin"/>
      </w:r>
      <w:r>
        <w:instrText xml:space="preserve"> PAGEREF _Toc256000021 \h </w:instrText>
      </w:r>
      <w:r>
        <w:fldChar w:fldCharType="separate"/>
      </w:r>
      <w:r>
        <w:t>6</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"_Toc256000022" </w:instrText>
      </w:r>
      <w:r>
        <w:fldChar w:fldCharType="separate"/>
      </w:r>
      <w:r>
        <w:rPr>
          <w:rStyle w:val="11"/>
          <w:rFonts w:ascii="仿宋_GB2312" w:hAnsi="仿宋_GB2312" w:eastAsia="仿宋_GB2312" w:cs="仿宋_GB2312"/>
        </w:rPr>
        <w:t>3.2.1技术和服务客观指标</w:t>
      </w:r>
      <w:r>
        <w:tab/>
      </w:r>
      <w:r>
        <w:fldChar w:fldCharType="begin"/>
      </w:r>
      <w:r>
        <w:instrText xml:space="preserve"> PAGEREF _Toc256000022 \h </w:instrText>
      </w:r>
      <w:r>
        <w:fldChar w:fldCharType="separate"/>
      </w:r>
      <w:r>
        <w:t>6</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"_Toc256000023" </w:instrText>
      </w:r>
      <w:r>
        <w:fldChar w:fldCharType="separate"/>
      </w:r>
      <w:r>
        <w:rPr>
          <w:rStyle w:val="11"/>
          <w:rFonts w:ascii="仿宋_GB2312" w:hAnsi="仿宋_GB2312" w:eastAsia="仿宋_GB2312" w:cs="仿宋_GB2312"/>
        </w:rPr>
        <w:t>3.2.2技术和服务其他要求</w:t>
      </w:r>
      <w:r>
        <w:tab/>
      </w:r>
      <w:r>
        <w:fldChar w:fldCharType="begin"/>
      </w:r>
      <w:r>
        <w:instrText xml:space="preserve"> PAGEREF _Toc256000023 \h </w:instrText>
      </w:r>
      <w:r>
        <w:fldChar w:fldCharType="separate"/>
      </w:r>
      <w:r>
        <w:t>6</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"_Toc256000024" </w:instrText>
      </w:r>
      <w:r>
        <w:fldChar w:fldCharType="separate"/>
      </w:r>
      <w:r>
        <w:rPr>
          <w:rStyle w:val="11"/>
          <w:rFonts w:ascii="仿宋_GB2312" w:hAnsi="仿宋_GB2312" w:eastAsia="仿宋_GB2312" w:cs="仿宋_GB2312"/>
          <w:kern w:val="36"/>
        </w:rPr>
        <w:t>4人员要求</w:t>
      </w:r>
      <w:r>
        <w:tab/>
      </w:r>
      <w:r>
        <w:fldChar w:fldCharType="begin"/>
      </w:r>
      <w:r>
        <w:instrText xml:space="preserve"> PAGEREF _Toc256000024 \h </w:instrText>
      </w:r>
      <w:r>
        <w:fldChar w:fldCharType="separate"/>
      </w:r>
      <w:r>
        <w:t>6</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"_Toc256000025" </w:instrText>
      </w:r>
      <w:r>
        <w:fldChar w:fldCharType="separate"/>
      </w:r>
      <w:r>
        <w:rPr>
          <w:rStyle w:val="11"/>
          <w:rFonts w:ascii="仿宋_GB2312" w:hAnsi="仿宋_GB2312" w:eastAsia="仿宋_GB2312" w:cs="仿宋_GB2312"/>
        </w:rPr>
        <w:t>4.1总体要求</w:t>
      </w:r>
      <w:r>
        <w:tab/>
      </w:r>
      <w:r>
        <w:fldChar w:fldCharType="begin"/>
      </w:r>
      <w:r>
        <w:instrText xml:space="preserve"> PAGEREF _Toc256000025 \h </w:instrText>
      </w:r>
      <w:r>
        <w:fldChar w:fldCharType="separate"/>
      </w:r>
      <w:r>
        <w:t>6</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"_Toc256000026" </w:instrText>
      </w:r>
      <w:r>
        <w:fldChar w:fldCharType="separate"/>
      </w:r>
      <w:r>
        <w:rPr>
          <w:rStyle w:val="11"/>
          <w:rFonts w:ascii="仿宋_GB2312" w:hAnsi="仿宋_GB2312" w:eastAsia="仿宋_GB2312" w:cs="仿宋_GB2312"/>
        </w:rPr>
        <w:t>4.2管理团队</w:t>
      </w:r>
      <w:r>
        <w:tab/>
      </w:r>
      <w:r>
        <w:fldChar w:fldCharType="begin"/>
      </w:r>
      <w:r>
        <w:instrText xml:space="preserve"> PAGEREF _Toc256000026 \h </w:instrText>
      </w:r>
      <w:r>
        <w:fldChar w:fldCharType="separate"/>
      </w:r>
      <w:r>
        <w:t>7</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"_Toc256000027" </w:instrText>
      </w:r>
      <w:r>
        <w:fldChar w:fldCharType="separate"/>
      </w:r>
      <w:r>
        <w:rPr>
          <w:rStyle w:val="11"/>
          <w:rFonts w:ascii="仿宋_GB2312" w:hAnsi="仿宋_GB2312" w:eastAsia="仿宋_GB2312" w:cs="仿宋_GB2312"/>
        </w:rPr>
        <w:t>4.2.1项目经理</w:t>
      </w:r>
      <w:r>
        <w:tab/>
      </w:r>
      <w:r>
        <w:fldChar w:fldCharType="begin"/>
      </w:r>
      <w:r>
        <w:instrText xml:space="preserve"> PAGEREF _Toc256000027 \h </w:instrText>
      </w:r>
      <w:r>
        <w:fldChar w:fldCharType="separate"/>
      </w:r>
      <w:r>
        <w:t>7</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"_Toc256000028" </w:instrText>
      </w:r>
      <w:r>
        <w:fldChar w:fldCharType="separate"/>
      </w:r>
      <w:r>
        <w:rPr>
          <w:rStyle w:val="11"/>
          <w:rFonts w:ascii="仿宋_GB2312" w:hAnsi="仿宋_GB2312" w:eastAsia="仿宋_GB2312" w:cs="仿宋_GB2312"/>
        </w:rPr>
        <w:t>4.3技术团队</w:t>
      </w:r>
      <w:r>
        <w:tab/>
      </w:r>
      <w:r>
        <w:fldChar w:fldCharType="begin"/>
      </w:r>
      <w:r>
        <w:instrText xml:space="preserve"> PAGEREF _Toc256000028 \h </w:instrText>
      </w:r>
      <w:r>
        <w:fldChar w:fldCharType="separate"/>
      </w:r>
      <w:r>
        <w:t>7</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"_Toc256000029" </w:instrText>
      </w:r>
      <w:r>
        <w:fldChar w:fldCharType="separate"/>
      </w:r>
      <w:r>
        <w:rPr>
          <w:rStyle w:val="11"/>
          <w:rFonts w:ascii="仿宋_GB2312" w:hAnsi="仿宋_GB2312" w:eastAsia="仿宋_GB2312" w:cs="仿宋_GB2312"/>
        </w:rPr>
        <w:t>4.4优选资质/优选指标</w:t>
      </w:r>
      <w:r>
        <w:tab/>
      </w:r>
      <w:r>
        <w:fldChar w:fldCharType="begin"/>
      </w:r>
      <w:r>
        <w:instrText xml:space="preserve"> PAGEREF _Toc256000029 \h </w:instrText>
      </w:r>
      <w:r>
        <w:fldChar w:fldCharType="separate"/>
      </w:r>
      <w:r>
        <w:t>7</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"_Toc256000030" </w:instrText>
      </w:r>
      <w:r>
        <w:fldChar w:fldCharType="separate"/>
      </w:r>
      <w:r>
        <w:rPr>
          <w:rStyle w:val="11"/>
          <w:rFonts w:ascii="仿宋_GB2312" w:hAnsi="仿宋_GB2312" w:eastAsia="仿宋_GB2312" w:cs="仿宋_GB2312"/>
          <w:kern w:val="36"/>
        </w:rPr>
        <w:t>5管理实施要求</w:t>
      </w:r>
      <w:r>
        <w:tab/>
      </w:r>
      <w:r>
        <w:fldChar w:fldCharType="begin"/>
      </w:r>
      <w:r>
        <w:instrText xml:space="preserve"> PAGEREF _Toc256000030 \h </w:instrText>
      </w:r>
      <w:r>
        <w:fldChar w:fldCharType="separate"/>
      </w:r>
      <w:r>
        <w:t>7</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"_Toc256000031" </w:instrText>
      </w:r>
      <w:r>
        <w:fldChar w:fldCharType="separate"/>
      </w:r>
      <w:r>
        <w:rPr>
          <w:rStyle w:val="11"/>
          <w:rFonts w:ascii="仿宋_GB2312" w:hAnsi="仿宋_GB2312" w:eastAsia="仿宋_GB2312" w:cs="仿宋_GB2312"/>
          <w:kern w:val="36"/>
        </w:rPr>
        <w:t>6风险管控要求</w:t>
      </w:r>
      <w:r>
        <w:tab/>
      </w:r>
      <w:r>
        <w:fldChar w:fldCharType="begin"/>
      </w:r>
      <w:r>
        <w:instrText xml:space="preserve"> PAGEREF _Toc256000031 \h </w:instrText>
      </w:r>
      <w:r>
        <w:fldChar w:fldCharType="separate"/>
      </w:r>
      <w:r>
        <w:t>8</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"_Toc256000032" </w:instrText>
      </w:r>
      <w:r>
        <w:fldChar w:fldCharType="separate"/>
      </w:r>
      <w:r>
        <w:rPr>
          <w:rStyle w:val="11"/>
          <w:rFonts w:ascii="仿宋_GB2312" w:hAnsi="仿宋_GB2312" w:eastAsia="仿宋_GB2312" w:cs="仿宋_GB2312"/>
          <w:kern w:val="36"/>
        </w:rPr>
        <w:t>7履约验收要求</w:t>
      </w:r>
      <w:r>
        <w:tab/>
      </w:r>
      <w:r>
        <w:fldChar w:fldCharType="begin"/>
      </w:r>
      <w:r>
        <w:instrText xml:space="preserve"> PAGEREF _Toc256000032 \h </w:instrText>
      </w:r>
      <w:r>
        <w:fldChar w:fldCharType="separate"/>
      </w:r>
      <w:r>
        <w:t>8</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"_Toc256000033" </w:instrText>
      </w:r>
      <w:r>
        <w:fldChar w:fldCharType="separate"/>
      </w:r>
      <w:r>
        <w:rPr>
          <w:rStyle w:val="11"/>
          <w:rFonts w:ascii="仿宋_GB2312" w:hAnsi="仿宋_GB2312" w:eastAsia="仿宋_GB2312" w:cs="仿宋_GB2312"/>
        </w:rPr>
        <w:t>7.1总体要求</w:t>
      </w:r>
      <w:r>
        <w:tab/>
      </w:r>
      <w:r>
        <w:fldChar w:fldCharType="begin"/>
      </w:r>
      <w:r>
        <w:instrText xml:space="preserve"> PAGEREF _Toc256000033 \h </w:instrText>
      </w:r>
      <w:r>
        <w:fldChar w:fldCharType="separate"/>
      </w:r>
      <w:r>
        <w:t>8</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"_Toc256000034" </w:instrText>
      </w:r>
      <w:r>
        <w:fldChar w:fldCharType="separate"/>
      </w:r>
      <w:r>
        <w:rPr>
          <w:rStyle w:val="11"/>
          <w:rFonts w:ascii="仿宋_GB2312" w:hAnsi="仿宋_GB2312" w:eastAsia="仿宋_GB2312" w:cs="仿宋_GB2312"/>
        </w:rPr>
        <w:t>7.2具体要求</w:t>
      </w:r>
      <w:r>
        <w:tab/>
      </w:r>
      <w:r>
        <w:fldChar w:fldCharType="begin"/>
      </w:r>
      <w:r>
        <w:instrText xml:space="preserve"> PAGEREF _Toc256000034 \h </w:instrText>
      </w:r>
      <w:r>
        <w:fldChar w:fldCharType="separate"/>
      </w:r>
      <w:r>
        <w:t>8</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"_Toc256000035" </w:instrText>
      </w:r>
      <w:r>
        <w:fldChar w:fldCharType="separate"/>
      </w:r>
      <w:r>
        <w:rPr>
          <w:rStyle w:val="11"/>
          <w:rFonts w:ascii="仿宋_GB2312" w:hAnsi="仿宋_GB2312" w:eastAsia="仿宋_GB2312" w:cs="仿宋_GB2312"/>
          <w:kern w:val="36"/>
        </w:rPr>
        <w:t>8其他要求</w:t>
      </w:r>
      <w:r>
        <w:tab/>
      </w:r>
      <w:r>
        <w:fldChar w:fldCharType="begin"/>
      </w:r>
      <w:r>
        <w:instrText xml:space="preserve"> PAGEREF _Toc256000035 \h </w:instrText>
      </w:r>
      <w:r>
        <w:fldChar w:fldCharType="separate"/>
      </w:r>
      <w:r>
        <w:t>9</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"_Toc256000036" </w:instrText>
      </w:r>
      <w:r>
        <w:fldChar w:fldCharType="separate"/>
      </w:r>
      <w:r>
        <w:rPr>
          <w:rStyle w:val="11"/>
          <w:rFonts w:ascii="仿宋_GB2312" w:hAnsi="仿宋_GB2312" w:eastAsia="仿宋_GB2312" w:cs="仿宋_GB2312"/>
        </w:rPr>
        <w:t>8.1必备要求</w:t>
      </w:r>
      <w:r>
        <w:tab/>
      </w:r>
      <w:r>
        <w:fldChar w:fldCharType="begin"/>
      </w:r>
      <w:r>
        <w:instrText xml:space="preserve"> PAGEREF _Toc256000036 \h </w:instrText>
      </w:r>
      <w:r>
        <w:fldChar w:fldCharType="separate"/>
      </w:r>
      <w:r>
        <w:t>9</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"_Toc256000037" </w:instrText>
      </w:r>
      <w:r>
        <w:fldChar w:fldCharType="separate"/>
      </w:r>
      <w:r>
        <w:rPr>
          <w:rStyle w:val="11"/>
          <w:rFonts w:ascii="仿宋_GB2312" w:hAnsi="仿宋_GB2312" w:eastAsia="仿宋_GB2312" w:cs="仿宋_GB2312"/>
        </w:rPr>
        <w:t>8.1.1通用必备要求</w:t>
      </w:r>
      <w:r>
        <w:tab/>
      </w:r>
      <w:r>
        <w:fldChar w:fldCharType="begin"/>
      </w:r>
      <w:r>
        <w:instrText xml:space="preserve"> PAGEREF _Toc256000037 \h </w:instrText>
      </w:r>
      <w:r>
        <w:fldChar w:fldCharType="separate"/>
      </w:r>
      <w:r>
        <w:t>9</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"_Toc256000038" </w:instrText>
      </w:r>
      <w:r>
        <w:fldChar w:fldCharType="separate"/>
      </w:r>
      <w:r>
        <w:rPr>
          <w:rStyle w:val="11"/>
          <w:rFonts w:ascii="仿宋_GB2312" w:hAnsi="仿宋_GB2312" w:eastAsia="仿宋_GB2312" w:cs="仿宋_GB2312"/>
        </w:rPr>
        <w:t>8.2付款安排建议</w:t>
      </w:r>
      <w:r>
        <w:tab/>
      </w:r>
      <w:r>
        <w:fldChar w:fldCharType="begin"/>
      </w:r>
      <w:r>
        <w:instrText xml:space="preserve"> PAGEREF _Toc256000038 \h </w:instrText>
      </w:r>
      <w:r>
        <w:fldChar w:fldCharType="separate"/>
      </w:r>
      <w:r>
        <w:t>10</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"_Toc256000039" </w:instrText>
      </w:r>
      <w:r>
        <w:fldChar w:fldCharType="separate"/>
      </w:r>
      <w:r>
        <w:rPr>
          <w:rStyle w:val="11"/>
          <w:rFonts w:ascii="仿宋_GB2312" w:hAnsi="仿宋_GB2312" w:eastAsia="仿宋_GB2312" w:cs="仿宋_GB2312"/>
        </w:rPr>
        <w:t>8.3其他要求</w:t>
      </w:r>
      <w:r>
        <w:tab/>
      </w:r>
      <w:r>
        <w:fldChar w:fldCharType="begin"/>
      </w:r>
      <w:r>
        <w:instrText xml:space="preserve"> PAGEREF _Toc256000039 \h </w:instrText>
      </w:r>
      <w:r>
        <w:fldChar w:fldCharType="separate"/>
      </w:r>
      <w:r>
        <w:t>10</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"_Toc256000040" </w:instrText>
      </w:r>
      <w:r>
        <w:fldChar w:fldCharType="separate"/>
      </w:r>
      <w:r>
        <w:rPr>
          <w:rStyle w:val="11"/>
          <w:rFonts w:ascii="仿宋_GB2312" w:hAnsi="仿宋_GB2312" w:eastAsia="仿宋_GB2312" w:cs="仿宋_GB2312"/>
        </w:rPr>
        <w:t>8.3.1保密要求</w:t>
      </w:r>
      <w:r>
        <w:tab/>
      </w:r>
      <w:r>
        <w:fldChar w:fldCharType="begin"/>
      </w:r>
      <w:r>
        <w:instrText xml:space="preserve"> PAGEREF _Toc256000040 \h </w:instrText>
      </w:r>
      <w:r>
        <w:fldChar w:fldCharType="separate"/>
      </w:r>
      <w:r>
        <w:t>10</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"_Toc256000041" </w:instrText>
      </w:r>
      <w:r>
        <w:fldChar w:fldCharType="separate"/>
      </w:r>
      <w:r>
        <w:rPr>
          <w:rStyle w:val="11"/>
          <w:rFonts w:ascii="仿宋_GB2312" w:hAnsi="仿宋_GB2312" w:eastAsia="仿宋_GB2312" w:cs="仿宋_GB2312"/>
        </w:rPr>
        <w:t>8.3.2知识转移要求</w:t>
      </w:r>
      <w:r>
        <w:tab/>
      </w:r>
      <w:r>
        <w:fldChar w:fldCharType="begin"/>
      </w:r>
      <w:r>
        <w:instrText xml:space="preserve"> PAGEREF _Toc256000041 \h </w:instrText>
      </w:r>
      <w:r>
        <w:fldChar w:fldCharType="separate"/>
      </w:r>
      <w:r>
        <w:t>11</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"_Toc256000042" </w:instrText>
      </w:r>
      <w:r>
        <w:fldChar w:fldCharType="separate"/>
      </w:r>
      <w:r>
        <w:rPr>
          <w:rStyle w:val="11"/>
          <w:rFonts w:ascii="仿宋_GB2312" w:hAnsi="仿宋_GB2312" w:eastAsia="仿宋_GB2312" w:cs="仿宋_GB2312"/>
        </w:rPr>
        <w:t>8.3.3知识产权要求</w:t>
      </w:r>
      <w:r>
        <w:tab/>
      </w:r>
      <w:r>
        <w:fldChar w:fldCharType="begin"/>
      </w:r>
      <w:r>
        <w:instrText xml:space="preserve"> PAGEREF _Toc256000042 \h </w:instrText>
      </w:r>
      <w:r>
        <w:fldChar w:fldCharType="separate"/>
      </w:r>
      <w:r>
        <w:t>11</w:t>
      </w:r>
      <w:r>
        <w:fldChar w:fldCharType="end"/>
      </w:r>
      <w:r>
        <w:fldChar w:fldCharType="end"/>
      </w:r>
    </w:p>
    <w:p>
      <w:pPr>
        <w:spacing w:before="0" w:after="0" w:line="360" w:lineRule="auto"/>
        <w:jc w:val="left"/>
      </w:pPr>
      <w:r>
        <w:rPr>
          <w:rFonts w:ascii="宋体" w:hAnsi="宋体" w:eastAsia="宋体" w:cs="宋体"/>
          <w:sz w:val="32"/>
        </w:rPr>
        <w:fldChar w:fldCharType="end"/>
      </w:r>
      <w:r>
        <w:br w:type="page"/>
      </w:r>
    </w:p>
    <w:p>
      <w:pPr>
        <w:pStyle w:val="2"/>
        <w:keepNext w:val="0"/>
        <w:spacing w:before="0" w:after="0" w:line="360" w:lineRule="auto"/>
        <w:jc w:val="center"/>
        <w:rPr>
          <w:rFonts w:ascii="仿宋_GB2312" w:hAnsi="仿宋_GB2312" w:eastAsia="仿宋_GB2312" w:cs="仿宋_GB2312"/>
          <w:b/>
          <w:bCs/>
          <w:sz w:val="32"/>
          <w:szCs w:val="32"/>
        </w:rPr>
      </w:pPr>
      <w:bookmarkStart w:id="2" w:name="_Toc256000000"/>
      <w:r>
        <w:rPr>
          <w:rFonts w:ascii="仿宋_GB2312" w:hAnsi="仿宋_GB2312" w:eastAsia="仿宋_GB2312" w:cs="仿宋_GB2312"/>
          <w:kern w:val="36"/>
        </w:rPr>
        <w:t>1项目概述</w:t>
      </w:r>
      <w:bookmarkEnd w:id="2"/>
    </w:p>
    <w:p>
      <w:pPr>
        <w:pStyle w:val="3"/>
        <w:keepNext w:val="0"/>
        <w:spacing w:before="0" w:after="0" w:line="360" w:lineRule="auto"/>
        <w:rPr>
          <w:rFonts w:ascii="仿宋_GB2312" w:hAnsi="仿宋_GB2312" w:eastAsia="仿宋_GB2312" w:cs="仿宋_GB2312"/>
          <w:b/>
          <w:bCs/>
          <w:sz w:val="28"/>
          <w:szCs w:val="28"/>
        </w:rPr>
      </w:pPr>
      <w:bookmarkStart w:id="3" w:name="_Toc256000001"/>
      <w:r>
        <w:rPr>
          <w:rFonts w:ascii="仿宋_GB2312" w:hAnsi="仿宋_GB2312" w:eastAsia="仿宋_GB2312" w:cs="仿宋_GB2312"/>
          <w:i w:val="0"/>
          <w:iCs w:val="0"/>
        </w:rPr>
        <w:t>1.1项目背景</w:t>
      </w:r>
      <w:bookmarkEnd w:id="3"/>
    </w:p>
    <w:p>
      <w:pPr>
        <w:pStyle w:val="4"/>
        <w:keepNext w:val="0"/>
        <w:spacing w:before="0" w:after="0" w:line="360" w:lineRule="auto"/>
        <w:rPr>
          <w:rFonts w:ascii="仿宋_GB2312" w:hAnsi="仿宋_GB2312" w:eastAsia="仿宋_GB2312" w:cs="仿宋_GB2312"/>
          <w:b/>
          <w:bCs/>
          <w:sz w:val="28"/>
          <w:szCs w:val="28"/>
        </w:rPr>
      </w:pPr>
      <w:bookmarkStart w:id="4" w:name="_Toc256000002"/>
      <w:r>
        <w:rPr>
          <w:rFonts w:ascii="仿宋_GB2312" w:hAnsi="仿宋_GB2312" w:eastAsia="仿宋_GB2312" w:cs="仿宋_GB2312"/>
          <w:sz w:val="28"/>
          <w:szCs w:val="28"/>
        </w:rPr>
        <w:t>1.1.1项目目的、意义及背景</w:t>
      </w:r>
      <w:bookmarkEnd w:id="4"/>
    </w:p>
    <w:p>
      <w:pPr>
        <w:pStyle w:val="12"/>
        <w:spacing w:before="0" w:after="0" w:line="360" w:lineRule="auto"/>
        <w:ind w:left="0" w:right="0" w:firstLine="480"/>
      </w:pPr>
      <w:r>
        <w:rPr>
          <w:rFonts w:ascii="仿宋_GB2312" w:hAnsi="仿宋_GB2312" w:eastAsia="仿宋_GB2312" w:cs="仿宋_GB2312"/>
          <w:sz w:val="28"/>
          <w:szCs w:val="28"/>
        </w:rPr>
        <w:t>为持续优化税收营商环境，进一步提升纳税人缴费人的满意度，推动办税服务更加优质、高效、便捷，国家税务总局天津经济技术开发区税务局拟通过购买非执法类税务辅助服务的方式，提供征纳互动推广辅助服务、纳税缴费辅导服务及区局交办的其他非执法类的辅助性服务事项。协助有效破解纳税人缴费人面临的“难点、堵点、痛点”等问题，实现税费业务高效办理，提升纳税服务质效，优化纳税服务体系的目标，努力为纳税人缴费人办税缴费提速减负，切实便利纳税人缴费人。</w:t>
      </w:r>
    </w:p>
    <w:p>
      <w:pPr>
        <w:pStyle w:val="3"/>
        <w:keepNext w:val="0"/>
        <w:spacing w:before="0" w:after="0" w:line="360" w:lineRule="auto"/>
        <w:rPr>
          <w:rFonts w:ascii="仿宋_GB2312" w:hAnsi="仿宋_GB2312" w:eastAsia="仿宋_GB2312" w:cs="仿宋_GB2312"/>
          <w:b/>
          <w:bCs/>
          <w:sz w:val="28"/>
          <w:szCs w:val="28"/>
        </w:rPr>
      </w:pPr>
      <w:bookmarkStart w:id="5" w:name="_Toc256000003"/>
      <w:r>
        <w:rPr>
          <w:rFonts w:ascii="仿宋_GB2312" w:hAnsi="仿宋_GB2312" w:eastAsia="仿宋_GB2312" w:cs="仿宋_GB2312"/>
          <w:i w:val="0"/>
          <w:iCs w:val="0"/>
        </w:rPr>
        <w:t>1.2项目内容</w:t>
      </w:r>
      <w:bookmarkEnd w:id="5"/>
    </w:p>
    <w:p>
      <w:pPr>
        <w:pStyle w:val="4"/>
        <w:keepNext w:val="0"/>
        <w:spacing w:before="0" w:after="0" w:line="360" w:lineRule="auto"/>
        <w:rPr>
          <w:rFonts w:ascii="仿宋_GB2312" w:hAnsi="仿宋_GB2312" w:eastAsia="仿宋_GB2312" w:cs="仿宋_GB2312"/>
          <w:b/>
          <w:bCs/>
          <w:sz w:val="28"/>
          <w:szCs w:val="28"/>
        </w:rPr>
      </w:pPr>
      <w:bookmarkStart w:id="6" w:name="_Toc256000004"/>
      <w:r>
        <w:rPr>
          <w:rFonts w:ascii="仿宋_GB2312" w:hAnsi="仿宋_GB2312" w:eastAsia="仿宋_GB2312" w:cs="仿宋_GB2312"/>
          <w:sz w:val="28"/>
          <w:szCs w:val="28"/>
        </w:rPr>
        <w:t>1.2.1项目建设思路</w:t>
      </w:r>
      <w:bookmarkEnd w:id="6"/>
    </w:p>
    <w:p>
      <w:pPr>
        <w:pStyle w:val="12"/>
        <w:spacing w:before="0" w:after="0" w:line="360" w:lineRule="auto"/>
        <w:ind w:left="0" w:right="0" w:firstLine="480"/>
      </w:pPr>
      <w:r>
        <w:rPr>
          <w:rFonts w:ascii="仿宋_GB2312" w:hAnsi="仿宋_GB2312" w:eastAsia="仿宋_GB2312" w:cs="仿宋_GB2312"/>
          <w:sz w:val="28"/>
          <w:szCs w:val="28"/>
        </w:rPr>
        <w:t>根据纳税服务规范、征管规范要求，提供相当于34名服务人员，提供线下辅助税务服务、日常文件传递、资料填报归集，收集纳税人缴费人办理税费意见建议、协助税收宣传等、征纳互动推广辅助，实现税费业务高效办理，提升纳税服务质效，优化纳税服务体系。</w:t>
      </w:r>
    </w:p>
    <w:p>
      <w:pPr>
        <w:pStyle w:val="4"/>
        <w:keepNext w:val="0"/>
        <w:spacing w:before="0" w:after="0" w:line="360" w:lineRule="auto"/>
        <w:rPr>
          <w:rFonts w:ascii="仿宋_GB2312" w:hAnsi="仿宋_GB2312" w:eastAsia="仿宋_GB2312" w:cs="仿宋_GB2312"/>
          <w:b/>
          <w:bCs/>
          <w:sz w:val="28"/>
          <w:szCs w:val="28"/>
        </w:rPr>
      </w:pPr>
      <w:bookmarkStart w:id="7" w:name="_Toc256000005"/>
      <w:r>
        <w:rPr>
          <w:rFonts w:ascii="仿宋_GB2312" w:hAnsi="仿宋_GB2312" w:eastAsia="仿宋_GB2312" w:cs="仿宋_GB2312"/>
          <w:sz w:val="28"/>
          <w:szCs w:val="28"/>
        </w:rPr>
        <w:t>1.2.2采购内容</w:t>
      </w:r>
      <w:bookmarkEnd w:id="7"/>
    </w:p>
    <w:p>
      <w:pPr>
        <w:pStyle w:val="12"/>
        <w:spacing w:before="0" w:after="0" w:line="360" w:lineRule="auto"/>
        <w:ind w:left="0" w:right="0" w:firstLine="480"/>
      </w:pPr>
      <w:r>
        <w:rPr>
          <w:rFonts w:ascii="仿宋_GB2312" w:hAnsi="仿宋_GB2312" w:eastAsia="仿宋_GB2312" w:cs="仿宋_GB2312"/>
          <w:sz w:val="28"/>
          <w:szCs w:val="28"/>
        </w:rPr>
        <w:t>本项目属于非执法类税务辅助服务。工作内容主要是提供收集纳税人缴费人办理税费意见建议；对非系统内的工作任务进行收集汇总，制作表格,记录工作台账；协助网格员完成优惠政策一对一辅导；帮助网格员收集资料；整理纸质资料，录入电脑等辅助内勤工作。同时，配合税收宣传业务辅助工作等。服务地点：国家税务总局天津经济技术开发区税务局。</w:t>
      </w:r>
    </w:p>
    <w:p>
      <w:pPr>
        <w:pStyle w:val="4"/>
        <w:keepNext w:val="0"/>
        <w:spacing w:before="0" w:after="0" w:line="360" w:lineRule="auto"/>
        <w:rPr>
          <w:rFonts w:ascii="仿宋_GB2312" w:hAnsi="仿宋_GB2312" w:eastAsia="仿宋_GB2312" w:cs="仿宋_GB2312"/>
          <w:b/>
          <w:bCs/>
          <w:sz w:val="28"/>
          <w:szCs w:val="28"/>
        </w:rPr>
      </w:pPr>
      <w:bookmarkStart w:id="8" w:name="_Toc256000006"/>
      <w:r>
        <w:rPr>
          <w:rFonts w:ascii="仿宋_GB2312" w:hAnsi="仿宋_GB2312" w:eastAsia="仿宋_GB2312" w:cs="仿宋_GB2312"/>
          <w:sz w:val="28"/>
          <w:szCs w:val="28"/>
        </w:rPr>
        <w:t>1.2.3项目实施要求</w:t>
      </w:r>
      <w:bookmarkEnd w:id="8"/>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1.2.3.1实施范围要求</w:t>
      </w:r>
    </w:p>
    <w:p>
      <w:pPr>
        <w:pStyle w:val="13"/>
        <w:spacing w:before="0" w:after="0" w:line="360" w:lineRule="auto"/>
        <w:ind w:firstLine="480"/>
        <w:jc w:val="both"/>
        <w:rPr>
          <w:rFonts w:ascii="Times New Roman" w:hAnsi="Times New Roman" w:eastAsia="Times New Roman" w:cs="Times New Roman"/>
        </w:rPr>
      </w:pPr>
      <w:r>
        <w:rPr>
          <w:rFonts w:ascii="仿宋_GB2312" w:hAnsi="仿宋_GB2312" w:eastAsia="仿宋_GB2312" w:cs="仿宋_GB2312"/>
          <w:sz w:val="28"/>
          <w:szCs w:val="28"/>
        </w:rPr>
        <w:t>根据纳税服务规范、征管规范要求，提供相当于34名服务人员，服务内容包括提供征纳互动推广辅助、日常文件传递、资料填报归集、协助税收宣传等。</w:t>
      </w:r>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1.2.3.2实施时间要求</w:t>
      </w:r>
    </w:p>
    <w:p>
      <w:pPr>
        <w:pStyle w:val="13"/>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服务期：自签订合同之日起一年</w:t>
      </w:r>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1.2.3.3实施地点要求</w:t>
      </w:r>
    </w:p>
    <w:p>
      <w:pPr>
        <w:pStyle w:val="13"/>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国家税务总局天津经济技术开发区税务局</w:t>
      </w:r>
    </w:p>
    <w:p>
      <w:pPr>
        <w:pStyle w:val="3"/>
        <w:keepNext w:val="0"/>
        <w:spacing w:before="0" w:after="0" w:line="360" w:lineRule="auto"/>
        <w:rPr>
          <w:rFonts w:ascii="仿宋_GB2312" w:hAnsi="仿宋_GB2312" w:eastAsia="仿宋_GB2312" w:cs="仿宋_GB2312"/>
          <w:b/>
          <w:bCs/>
          <w:sz w:val="28"/>
          <w:szCs w:val="28"/>
        </w:rPr>
      </w:pPr>
      <w:bookmarkStart w:id="9" w:name="_Toc256000007"/>
      <w:r>
        <w:rPr>
          <w:rFonts w:ascii="仿宋_GB2312" w:hAnsi="仿宋_GB2312" w:eastAsia="仿宋_GB2312" w:cs="仿宋_GB2312"/>
          <w:i w:val="0"/>
          <w:iCs w:val="0"/>
        </w:rPr>
        <w:t>1.3其他要求</w:t>
      </w:r>
      <w:bookmarkEnd w:id="9"/>
    </w:p>
    <w:p>
      <w:pPr>
        <w:pStyle w:val="4"/>
        <w:keepNext w:val="0"/>
        <w:spacing w:before="0" w:after="0" w:line="360" w:lineRule="auto"/>
        <w:rPr>
          <w:rFonts w:ascii="仿宋_GB2312" w:hAnsi="仿宋_GB2312" w:eastAsia="仿宋_GB2312" w:cs="仿宋_GB2312"/>
          <w:b/>
          <w:bCs/>
          <w:sz w:val="28"/>
          <w:szCs w:val="28"/>
        </w:rPr>
      </w:pPr>
      <w:bookmarkStart w:id="10" w:name="_Toc256000008"/>
      <w:r>
        <w:rPr>
          <w:rFonts w:ascii="仿宋_GB2312" w:hAnsi="仿宋_GB2312" w:eastAsia="仿宋_GB2312" w:cs="仿宋_GB2312"/>
          <w:sz w:val="28"/>
          <w:szCs w:val="28"/>
        </w:rPr>
        <w:t>1.3.1采购标的需执行的相关标准规范</w:t>
      </w:r>
      <w:bookmarkEnd w:id="10"/>
    </w:p>
    <w:p>
      <w:pPr>
        <w:pStyle w:val="2"/>
        <w:keepNext w:val="0"/>
        <w:spacing w:before="0" w:after="0" w:line="360" w:lineRule="auto"/>
        <w:jc w:val="center"/>
        <w:rPr>
          <w:rFonts w:ascii="仿宋_GB2312" w:hAnsi="仿宋_GB2312" w:eastAsia="仿宋_GB2312" w:cs="仿宋_GB2312"/>
          <w:b/>
          <w:bCs/>
          <w:sz w:val="32"/>
          <w:szCs w:val="32"/>
        </w:rPr>
      </w:pPr>
      <w:bookmarkStart w:id="11" w:name="_Toc256000009"/>
      <w:r>
        <w:rPr>
          <w:rFonts w:ascii="仿宋_GB2312" w:hAnsi="仿宋_GB2312" w:eastAsia="仿宋_GB2312" w:cs="仿宋_GB2312"/>
          <w:kern w:val="36"/>
        </w:rPr>
        <w:t>2投标/响应要求</w:t>
      </w:r>
      <w:bookmarkEnd w:id="11"/>
    </w:p>
    <w:p>
      <w:pPr>
        <w:pStyle w:val="3"/>
        <w:keepNext w:val="0"/>
        <w:spacing w:before="0" w:after="0" w:line="360" w:lineRule="auto"/>
        <w:rPr>
          <w:rFonts w:ascii="仿宋_GB2312" w:hAnsi="仿宋_GB2312" w:eastAsia="仿宋_GB2312" w:cs="仿宋_GB2312"/>
          <w:b/>
          <w:bCs/>
          <w:sz w:val="28"/>
          <w:szCs w:val="28"/>
        </w:rPr>
      </w:pPr>
      <w:bookmarkStart w:id="12" w:name="_Toc256000010"/>
      <w:r>
        <w:rPr>
          <w:rFonts w:ascii="仿宋_GB2312" w:hAnsi="仿宋_GB2312" w:eastAsia="仿宋_GB2312" w:cs="仿宋_GB2312"/>
          <w:i w:val="0"/>
          <w:iCs w:val="0"/>
        </w:rPr>
        <w:t>2.1对供应商的要求</w:t>
      </w:r>
      <w:bookmarkEnd w:id="12"/>
    </w:p>
    <w:p>
      <w:pPr>
        <w:pStyle w:val="4"/>
        <w:keepNext w:val="0"/>
        <w:spacing w:before="0" w:after="0" w:line="360" w:lineRule="auto"/>
        <w:rPr>
          <w:rFonts w:ascii="仿宋_GB2312" w:hAnsi="仿宋_GB2312" w:eastAsia="仿宋_GB2312" w:cs="仿宋_GB2312"/>
          <w:b/>
          <w:bCs/>
          <w:sz w:val="28"/>
          <w:szCs w:val="28"/>
        </w:rPr>
      </w:pPr>
      <w:bookmarkStart w:id="13" w:name="_Toc256000011"/>
      <w:r>
        <w:rPr>
          <w:rFonts w:ascii="仿宋_GB2312" w:hAnsi="仿宋_GB2312" w:eastAsia="仿宋_GB2312" w:cs="仿宋_GB2312"/>
          <w:sz w:val="28"/>
          <w:szCs w:val="28"/>
        </w:rPr>
        <w:t>2.1.1必备资质</w:t>
      </w:r>
      <w:bookmarkEnd w:id="13"/>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2.1.1.1投标人应遵守有关国家法律、法规和条例,具备《中华人民共和国政府采购法》第二十二条的规定和本文件中规定的条件。</w:t>
      </w:r>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2.1.1.2本项目的特定资格要求</w:t>
      </w:r>
    </w:p>
    <w:p>
      <w:pPr>
        <w:pStyle w:val="4"/>
        <w:keepNext w:val="0"/>
        <w:spacing w:before="0" w:after="0" w:line="360" w:lineRule="auto"/>
        <w:rPr>
          <w:rFonts w:ascii="仿宋_GB2312" w:hAnsi="仿宋_GB2312" w:eastAsia="仿宋_GB2312" w:cs="仿宋_GB2312"/>
          <w:b/>
          <w:bCs/>
          <w:sz w:val="28"/>
          <w:szCs w:val="28"/>
        </w:rPr>
      </w:pPr>
      <w:bookmarkStart w:id="14" w:name="_Toc256000012"/>
      <w:r>
        <w:rPr>
          <w:rFonts w:ascii="仿宋_GB2312" w:hAnsi="仿宋_GB2312" w:eastAsia="仿宋_GB2312" w:cs="仿宋_GB2312"/>
          <w:sz w:val="28"/>
          <w:szCs w:val="28"/>
        </w:rPr>
        <w:t>2.1.2优选资质/优选指标</w:t>
      </w:r>
      <w:bookmarkEnd w:id="14"/>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2.1.2.1相关证书</w:t>
      </w:r>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2.1.2.2成功案例</w:t>
      </w:r>
    </w:p>
    <w:p>
      <w:pPr>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1.投标人提供2023年1月1日以来（以合同签订日期为准）独立承担的与本项目相类似且已完成的案例。</w:t>
      </w:r>
    </w:p>
    <w:p>
      <w:pPr>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2.已完成的合同，提供加盖合同甲方单位公章的成功履行合同的相关证明材料原件扫描件，合同正在实施的，提供加盖合同甲方单位公章的合同履行情况良好的相关证明材料原件扫描件。</w:t>
      </w:r>
    </w:p>
    <w:p>
      <w:pPr>
        <w:pStyle w:val="4"/>
        <w:keepNext w:val="0"/>
        <w:spacing w:before="0" w:after="0" w:line="360" w:lineRule="auto"/>
        <w:rPr>
          <w:rFonts w:ascii="仿宋_GB2312" w:hAnsi="仿宋_GB2312" w:eastAsia="仿宋_GB2312" w:cs="仿宋_GB2312"/>
          <w:b/>
          <w:bCs/>
          <w:sz w:val="28"/>
          <w:szCs w:val="28"/>
        </w:rPr>
      </w:pPr>
      <w:bookmarkStart w:id="15" w:name="_Toc256000013"/>
      <w:r>
        <w:rPr>
          <w:rFonts w:ascii="仿宋_GB2312" w:hAnsi="仿宋_GB2312" w:eastAsia="仿宋_GB2312" w:cs="仿宋_GB2312"/>
          <w:sz w:val="28"/>
          <w:szCs w:val="28"/>
        </w:rPr>
        <w:t>2.1.3是否允许联合体</w:t>
      </w:r>
      <w:bookmarkEnd w:id="15"/>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否</w:t>
      </w:r>
    </w:p>
    <w:p>
      <w:pPr>
        <w:pStyle w:val="4"/>
        <w:keepNext w:val="0"/>
        <w:spacing w:before="0" w:after="0" w:line="360" w:lineRule="auto"/>
        <w:rPr>
          <w:rFonts w:ascii="仿宋_GB2312" w:hAnsi="仿宋_GB2312" w:eastAsia="仿宋_GB2312" w:cs="仿宋_GB2312"/>
          <w:b/>
          <w:bCs/>
          <w:sz w:val="28"/>
          <w:szCs w:val="28"/>
        </w:rPr>
      </w:pPr>
      <w:bookmarkStart w:id="16" w:name="_Toc256000014"/>
      <w:r>
        <w:rPr>
          <w:rFonts w:ascii="仿宋_GB2312" w:hAnsi="仿宋_GB2312" w:eastAsia="仿宋_GB2312" w:cs="仿宋_GB2312"/>
          <w:sz w:val="28"/>
          <w:szCs w:val="28"/>
        </w:rPr>
        <w:t>2.1.4是否专门面向中小企业</w:t>
      </w:r>
      <w:bookmarkEnd w:id="16"/>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本项目专门面向中小企业采购项目</w:t>
      </w:r>
    </w:p>
    <w:p>
      <w:pPr>
        <w:pStyle w:val="4"/>
        <w:keepNext w:val="0"/>
        <w:spacing w:before="0" w:after="0" w:line="360" w:lineRule="auto"/>
        <w:rPr>
          <w:rFonts w:ascii="仿宋_GB2312" w:hAnsi="仿宋_GB2312" w:eastAsia="仿宋_GB2312" w:cs="仿宋_GB2312"/>
          <w:b/>
          <w:bCs/>
          <w:sz w:val="28"/>
          <w:szCs w:val="28"/>
        </w:rPr>
      </w:pPr>
      <w:bookmarkStart w:id="17" w:name="_Toc256000015"/>
      <w:r>
        <w:rPr>
          <w:rFonts w:ascii="仿宋_GB2312" w:hAnsi="仿宋_GB2312" w:eastAsia="仿宋_GB2312" w:cs="仿宋_GB2312"/>
          <w:sz w:val="28"/>
          <w:szCs w:val="28"/>
        </w:rPr>
        <w:t>2.1.5其他要求</w:t>
      </w:r>
      <w:bookmarkEnd w:id="17"/>
    </w:p>
    <w:p>
      <w:pPr>
        <w:pStyle w:val="3"/>
        <w:keepNext w:val="0"/>
        <w:spacing w:before="0" w:after="0" w:line="360" w:lineRule="auto"/>
        <w:rPr>
          <w:rFonts w:ascii="仿宋_GB2312" w:hAnsi="仿宋_GB2312" w:eastAsia="仿宋_GB2312" w:cs="仿宋_GB2312"/>
          <w:b/>
          <w:bCs/>
          <w:sz w:val="28"/>
          <w:szCs w:val="28"/>
        </w:rPr>
      </w:pPr>
      <w:bookmarkStart w:id="18" w:name="_Toc256000016"/>
      <w:r>
        <w:rPr>
          <w:rFonts w:ascii="仿宋_GB2312" w:hAnsi="仿宋_GB2312" w:eastAsia="仿宋_GB2312" w:cs="仿宋_GB2312"/>
          <w:i w:val="0"/>
          <w:iCs w:val="0"/>
        </w:rPr>
        <w:t>2.2技术部分投标/响应内容</w:t>
      </w:r>
      <w:bookmarkEnd w:id="18"/>
    </w:p>
    <w:p>
      <w:pPr>
        <w:pStyle w:val="4"/>
        <w:keepNext w:val="0"/>
        <w:spacing w:before="0" w:after="0" w:line="360" w:lineRule="auto"/>
        <w:rPr>
          <w:rFonts w:ascii="仿宋_GB2312" w:hAnsi="仿宋_GB2312" w:eastAsia="仿宋_GB2312" w:cs="仿宋_GB2312"/>
          <w:b/>
          <w:bCs/>
          <w:sz w:val="28"/>
          <w:szCs w:val="28"/>
        </w:rPr>
      </w:pPr>
      <w:bookmarkStart w:id="19" w:name="_Toc256000017"/>
      <w:r>
        <w:rPr>
          <w:rFonts w:ascii="仿宋_GB2312" w:hAnsi="仿宋_GB2312" w:eastAsia="仿宋_GB2312" w:cs="仿宋_GB2312"/>
          <w:sz w:val="28"/>
          <w:szCs w:val="28"/>
        </w:rPr>
        <w:t>2.2.1技术投标/响应总要求</w:t>
      </w:r>
      <w:bookmarkEnd w:id="19"/>
    </w:p>
    <w:p>
      <w:pPr>
        <w:pStyle w:val="13"/>
        <w:spacing w:before="0" w:after="0" w:line="360" w:lineRule="auto"/>
        <w:ind w:right="-99" w:firstLine="480"/>
        <w:rPr>
          <w:rFonts w:ascii="Times New Roman" w:hAnsi="Times New Roman" w:eastAsia="Times New Roman" w:cs="Times New Roman"/>
        </w:rPr>
      </w:pPr>
      <w:r>
        <w:rPr>
          <w:rFonts w:ascii="仿宋_GB2312" w:hAnsi="仿宋_GB2312" w:eastAsia="仿宋_GB2312" w:cs="仿宋_GB2312"/>
          <w:sz w:val="28"/>
          <w:szCs w:val="28"/>
        </w:rPr>
        <w:t>（一）投标人应满足《中华人民共和国政府采购法》第二十二条规定。</w:t>
      </w:r>
    </w:p>
    <w:p>
      <w:pPr>
        <w:pStyle w:val="13"/>
        <w:spacing w:before="0" w:after="0" w:line="360" w:lineRule="auto"/>
        <w:ind w:right="-99" w:firstLine="480"/>
        <w:rPr>
          <w:rFonts w:ascii="Times New Roman" w:hAnsi="Times New Roman" w:eastAsia="Times New Roman" w:cs="Times New Roman"/>
        </w:rPr>
      </w:pPr>
      <w:r>
        <w:rPr>
          <w:rFonts w:ascii="仿宋_GB2312" w:hAnsi="仿宋_GB2312" w:eastAsia="仿宋_GB2312" w:cs="仿宋_GB2312"/>
          <w:sz w:val="28"/>
          <w:szCs w:val="28"/>
        </w:rPr>
        <w:t>（二）本项目不接受联合体参与投标。</w:t>
      </w:r>
    </w:p>
    <w:p>
      <w:pPr>
        <w:pStyle w:val="13"/>
        <w:spacing w:before="0" w:after="0" w:line="360" w:lineRule="auto"/>
        <w:ind w:right="-99" w:firstLine="480"/>
        <w:rPr>
          <w:rFonts w:ascii="Times New Roman" w:hAnsi="Times New Roman" w:eastAsia="Times New Roman" w:cs="Times New Roman"/>
        </w:rPr>
      </w:pPr>
      <w:r>
        <w:rPr>
          <w:rFonts w:ascii="仿宋_GB2312" w:hAnsi="仿宋_GB2312" w:eastAsia="仿宋_GB2312" w:cs="仿宋_GB2312"/>
          <w:sz w:val="28"/>
          <w:szCs w:val="28"/>
        </w:rPr>
        <w:t>（三）本项目专门面向中小企业采购，提供《中小企业声明函》。</w:t>
      </w:r>
    </w:p>
    <w:p>
      <w:pPr>
        <w:pStyle w:val="13"/>
        <w:spacing w:before="0" w:after="0" w:line="360" w:lineRule="auto"/>
        <w:ind w:right="-99" w:firstLine="480"/>
        <w:rPr>
          <w:rFonts w:ascii="Times New Roman" w:hAnsi="Times New Roman" w:eastAsia="Times New Roman" w:cs="Times New Roman"/>
        </w:rPr>
      </w:pPr>
      <w:r>
        <w:rPr>
          <w:rFonts w:ascii="仿宋_GB2312" w:hAnsi="仿宋_GB2312" w:eastAsia="仿宋_GB2312" w:cs="仿宋_GB2312"/>
          <w:sz w:val="28"/>
          <w:szCs w:val="28"/>
        </w:rPr>
        <w:t>（四）本项目不组织踏勘现场。</w:t>
      </w:r>
    </w:p>
    <w:p>
      <w:pPr>
        <w:pStyle w:val="13"/>
        <w:spacing w:before="0" w:after="0" w:line="360" w:lineRule="auto"/>
        <w:ind w:right="-99" w:firstLine="480"/>
        <w:rPr>
          <w:rFonts w:ascii="Times New Roman" w:hAnsi="Times New Roman" w:eastAsia="Times New Roman" w:cs="Times New Roman"/>
        </w:rPr>
      </w:pPr>
      <w:r>
        <w:rPr>
          <w:rFonts w:ascii="仿宋_GB2312" w:hAnsi="仿宋_GB2312" w:eastAsia="仿宋_GB2312" w:cs="仿宋_GB2312"/>
          <w:sz w:val="28"/>
          <w:szCs w:val="28"/>
        </w:rPr>
        <w:t>（五）投标人提供以下资料的为优选资质：</w:t>
      </w:r>
    </w:p>
    <w:p>
      <w:pPr>
        <w:pStyle w:val="14"/>
        <w:spacing w:before="0" w:after="0" w:line="360" w:lineRule="auto"/>
        <w:ind w:firstLine="480"/>
        <w:jc w:val="both"/>
        <w:rPr>
          <w:rFonts w:ascii="Times New Roman" w:hAnsi="Times New Roman" w:eastAsia="Times New Roman" w:cs="Times New Roman"/>
        </w:rPr>
      </w:pPr>
      <w:r>
        <w:rPr>
          <w:rFonts w:ascii="仿宋_GB2312" w:hAnsi="仿宋_GB2312" w:eastAsia="仿宋_GB2312" w:cs="仿宋_GB2312"/>
          <w:sz w:val="28"/>
          <w:szCs w:val="28"/>
        </w:rPr>
        <w:t>1.完全按照以下要求提供曾实施服务业绩的，提供的证明材料均不得遮挡涂黑。</w:t>
      </w:r>
    </w:p>
    <w:p>
      <w:pPr>
        <w:pStyle w:val="14"/>
        <w:spacing w:before="0" w:after="0" w:line="360" w:lineRule="auto"/>
        <w:ind w:firstLine="480"/>
        <w:jc w:val="both"/>
        <w:rPr>
          <w:rFonts w:ascii="Times New Roman" w:hAnsi="Times New Roman" w:eastAsia="Times New Roman" w:cs="Times New Roman"/>
        </w:rPr>
      </w:pPr>
      <w:r>
        <w:rPr>
          <w:rFonts w:ascii="仿宋_GB2312" w:hAnsi="仿宋_GB2312" w:eastAsia="仿宋_GB2312" w:cs="仿宋_GB2312"/>
          <w:sz w:val="28"/>
          <w:szCs w:val="28"/>
        </w:rPr>
        <w:t>2.合同原件扫描件。投标人提供的2023年1月以来（以合同签订日期为准）独立承担的与本项目相类似且已完成的案列、买卖双方名称及盖章、服务期限（合同服务起始日期为2023年1月1日或以后，且履行至少1年的时间）。</w:t>
      </w:r>
    </w:p>
    <w:p>
      <w:pPr>
        <w:pStyle w:val="13"/>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3.已完成的合同，提供加盖合同甲方单位公章的成功履行合同的相关证明材料原件扫描件，合同正在实施的，提供加盖合同甲方单位公章的合同履行情况良好的相关证明材料原件扫描件。</w:t>
      </w:r>
    </w:p>
    <w:p>
      <w:pPr>
        <w:pStyle w:val="13"/>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（六）投标人应根据项目需求对服务方案及内容、项目需求理解、实施方案、技术力量、应急保障方案、验收方案等内容进行响应。</w:t>
      </w:r>
    </w:p>
    <w:p>
      <w:pPr>
        <w:pStyle w:val="4"/>
        <w:keepNext w:val="0"/>
        <w:spacing w:before="0" w:after="0" w:line="360" w:lineRule="auto"/>
        <w:rPr>
          <w:rFonts w:ascii="仿宋_GB2312" w:hAnsi="仿宋_GB2312" w:eastAsia="仿宋_GB2312" w:cs="仿宋_GB2312"/>
          <w:b/>
          <w:bCs/>
          <w:sz w:val="28"/>
          <w:szCs w:val="28"/>
        </w:rPr>
      </w:pPr>
      <w:bookmarkStart w:id="20" w:name="_Toc256000018"/>
      <w:r>
        <w:rPr>
          <w:rFonts w:ascii="仿宋_GB2312" w:hAnsi="仿宋_GB2312" w:eastAsia="仿宋_GB2312" w:cs="仿宋_GB2312"/>
          <w:sz w:val="28"/>
          <w:szCs w:val="28"/>
        </w:rPr>
        <w:t>2.2.2投标/响应方案要求</w:t>
      </w:r>
      <w:bookmarkEnd w:id="20"/>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以下相关方案，若作为评审因素，则投标人应在满足★必备指标项要求的前提下，根据项目特点和采购需求，制定更为完整、详细、可操作性强的方案。</w:t>
      </w:r>
    </w:p>
    <w:p>
      <w:pPr>
        <w:pStyle w:val="13"/>
        <w:spacing w:before="0" w:after="0" w:line="360" w:lineRule="auto"/>
        <w:ind w:firstLine="640"/>
        <w:rPr>
          <w:rFonts w:ascii="Times New Roman" w:hAnsi="Times New Roman" w:eastAsia="Times New Roman" w:cs="Times New Roman"/>
        </w:rPr>
      </w:pPr>
      <w:r>
        <w:rPr>
          <w:rFonts w:ascii="仿宋_GB2312" w:hAnsi="仿宋_GB2312" w:eastAsia="仿宋_GB2312" w:cs="仿宋_GB2312"/>
          <w:sz w:val="28"/>
          <w:szCs w:val="28"/>
        </w:rPr>
        <w:t>投标人应根据项目需求对服务方案及内容、项目需求理解、实施方案、保密管理、培训方案、应急保障方案、验收方案等内容进行响应。</w:t>
      </w:r>
    </w:p>
    <w:p>
      <w:pPr>
        <w:pStyle w:val="2"/>
        <w:keepNext w:val="0"/>
        <w:spacing w:before="0" w:after="0" w:line="360" w:lineRule="auto"/>
        <w:jc w:val="center"/>
        <w:rPr>
          <w:rFonts w:ascii="仿宋_GB2312" w:hAnsi="仿宋_GB2312" w:eastAsia="仿宋_GB2312" w:cs="仿宋_GB2312"/>
          <w:b/>
          <w:bCs/>
          <w:sz w:val="32"/>
          <w:szCs w:val="32"/>
        </w:rPr>
      </w:pPr>
      <w:bookmarkStart w:id="21" w:name="_Toc256000019"/>
      <w:r>
        <w:rPr>
          <w:rFonts w:ascii="仿宋_GB2312" w:hAnsi="仿宋_GB2312" w:eastAsia="仿宋_GB2312" w:cs="仿宋_GB2312"/>
          <w:kern w:val="36"/>
        </w:rPr>
        <w:t>3项目需求</w:t>
      </w:r>
      <w:bookmarkEnd w:id="21"/>
    </w:p>
    <w:p>
      <w:pPr>
        <w:pStyle w:val="3"/>
        <w:keepNext w:val="0"/>
        <w:spacing w:before="0" w:after="0" w:line="360" w:lineRule="auto"/>
        <w:rPr>
          <w:rFonts w:ascii="仿宋_GB2312" w:hAnsi="仿宋_GB2312" w:eastAsia="仿宋_GB2312" w:cs="仿宋_GB2312"/>
          <w:b/>
          <w:bCs/>
          <w:sz w:val="28"/>
          <w:szCs w:val="28"/>
        </w:rPr>
      </w:pPr>
      <w:bookmarkStart w:id="22" w:name="_Toc256000020"/>
      <w:r>
        <w:rPr>
          <w:rFonts w:ascii="仿宋_GB2312" w:hAnsi="仿宋_GB2312" w:eastAsia="仿宋_GB2312" w:cs="仿宋_GB2312"/>
          <w:i w:val="0"/>
          <w:iCs w:val="0"/>
        </w:rPr>
        <w:t>3.1总体要求</w:t>
      </w:r>
      <w:bookmarkEnd w:id="22"/>
    </w:p>
    <w:p>
      <w:pPr>
        <w:pStyle w:val="12"/>
        <w:spacing w:before="0" w:after="0" w:line="360" w:lineRule="auto"/>
        <w:ind w:left="0" w:right="0" w:firstLine="480"/>
      </w:pPr>
      <w:r>
        <w:rPr>
          <w:rFonts w:ascii="仿宋_GB2312" w:hAnsi="仿宋_GB2312" w:eastAsia="仿宋_GB2312" w:cs="仿宋_GB2312"/>
          <w:sz w:val="28"/>
          <w:szCs w:val="28"/>
        </w:rPr>
        <w:t>为持续优化税收营商环境，进一步提升纳税人缴费人的满意度，推动办税服务更加优质、高效、便捷，协助纳税人缴费人有效破解面临的“难点、堵点、痛点”等问题，实现税费业务高效办理，提升纳税服务质效，优化纳税服务体系的目标，努力为纳税人缴费人办税缴费提速减负，切实便利纳税人缴费人。</w:t>
      </w:r>
    </w:p>
    <w:p>
      <w:pPr>
        <w:pStyle w:val="3"/>
        <w:keepNext w:val="0"/>
        <w:spacing w:before="0" w:after="0" w:line="360" w:lineRule="auto"/>
        <w:rPr>
          <w:rFonts w:ascii="仿宋_GB2312" w:hAnsi="仿宋_GB2312" w:eastAsia="仿宋_GB2312" w:cs="仿宋_GB2312"/>
          <w:b/>
          <w:bCs/>
          <w:sz w:val="28"/>
          <w:szCs w:val="28"/>
        </w:rPr>
      </w:pPr>
      <w:bookmarkStart w:id="23" w:name="_Toc256000021"/>
      <w:r>
        <w:rPr>
          <w:rFonts w:ascii="仿宋_GB2312" w:hAnsi="仿宋_GB2312" w:eastAsia="仿宋_GB2312" w:cs="仿宋_GB2312"/>
          <w:i w:val="0"/>
          <w:iCs w:val="0"/>
        </w:rPr>
        <w:t>3.2服务内容和要求</w:t>
      </w:r>
      <w:bookmarkEnd w:id="23"/>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采购文件（技术部分）中有标注★号的，为必备要求，必须满足，如未作出响应，将导致响应无效；#为重要内容、△为一般内容。</w:t>
      </w:r>
    </w:p>
    <w:p>
      <w:pPr>
        <w:pStyle w:val="4"/>
        <w:keepNext w:val="0"/>
        <w:spacing w:before="0" w:after="0" w:line="360" w:lineRule="auto"/>
        <w:rPr>
          <w:rFonts w:ascii="仿宋_GB2312" w:hAnsi="仿宋_GB2312" w:eastAsia="仿宋_GB2312" w:cs="仿宋_GB2312"/>
          <w:b/>
          <w:bCs/>
          <w:sz w:val="28"/>
          <w:szCs w:val="28"/>
        </w:rPr>
      </w:pPr>
      <w:bookmarkStart w:id="24" w:name="_Toc256000022"/>
      <w:r>
        <w:rPr>
          <w:rFonts w:ascii="仿宋_GB2312" w:hAnsi="仿宋_GB2312" w:eastAsia="仿宋_GB2312" w:cs="仿宋_GB2312"/>
          <w:sz w:val="28"/>
          <w:szCs w:val="28"/>
        </w:rPr>
        <w:t>3.2.1技术和服务客观指标</w:t>
      </w:r>
      <w:bookmarkEnd w:id="24"/>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3.2.1.1服务1</w:t>
      </w:r>
    </w:p>
    <w:p>
      <w:pPr>
        <w:pStyle w:val="4"/>
        <w:keepNext w:val="0"/>
        <w:spacing w:before="0" w:after="0" w:line="360" w:lineRule="auto"/>
        <w:rPr>
          <w:rFonts w:ascii="仿宋_GB2312" w:hAnsi="仿宋_GB2312" w:eastAsia="仿宋_GB2312" w:cs="仿宋_GB2312"/>
          <w:b/>
          <w:bCs/>
          <w:sz w:val="28"/>
          <w:szCs w:val="28"/>
        </w:rPr>
      </w:pPr>
      <w:bookmarkStart w:id="25" w:name="_Toc256000023"/>
      <w:r>
        <w:rPr>
          <w:rFonts w:ascii="仿宋_GB2312" w:hAnsi="仿宋_GB2312" w:eastAsia="仿宋_GB2312" w:cs="仿宋_GB2312"/>
          <w:sz w:val="28"/>
          <w:szCs w:val="28"/>
        </w:rPr>
        <w:t>3.2.2技术和服务其他要求</w:t>
      </w:r>
      <w:bookmarkEnd w:id="25"/>
    </w:p>
    <w:p>
      <w:pPr>
        <w:pStyle w:val="13"/>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1.协助网格员整理纳税人情况；</w:t>
      </w:r>
    </w:p>
    <w:p>
      <w:pPr>
        <w:pStyle w:val="13"/>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2.接收、归集、整理纳税人各种意见和建议；</w:t>
      </w:r>
    </w:p>
    <w:p>
      <w:pPr>
        <w:pStyle w:val="13"/>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3.帮助网格员收集纳税人资料，进行整理汇总、制作表格等；</w:t>
      </w:r>
    </w:p>
    <w:p>
      <w:pPr>
        <w:pStyle w:val="13"/>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4.协助纳宣部门做好税收宣传，整理本部门工作亮点，制作图文及小视频等宣传材料作为宣传素材；</w:t>
      </w:r>
    </w:p>
    <w:p>
      <w:pPr>
        <w:pStyle w:val="13"/>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5.提供征纳互动推广辅助；</w:t>
      </w:r>
    </w:p>
    <w:p>
      <w:pPr>
        <w:pStyle w:val="12"/>
        <w:spacing w:before="0" w:after="0" w:line="360" w:lineRule="auto"/>
        <w:ind w:left="0" w:right="0" w:firstLine="480"/>
      </w:pPr>
      <w:r>
        <w:rPr>
          <w:rFonts w:ascii="仿宋_GB2312" w:hAnsi="仿宋_GB2312" w:eastAsia="仿宋_GB2312" w:cs="仿宋_GB2312"/>
          <w:sz w:val="28"/>
          <w:szCs w:val="28"/>
        </w:rPr>
        <w:t>6.完成其他非执法类纳税服务工作。</w:t>
      </w:r>
    </w:p>
    <w:p>
      <w:pPr>
        <w:pStyle w:val="2"/>
        <w:keepNext w:val="0"/>
        <w:spacing w:before="0" w:after="0" w:line="360" w:lineRule="auto"/>
        <w:jc w:val="center"/>
        <w:rPr>
          <w:rFonts w:ascii="仿宋_GB2312" w:hAnsi="仿宋_GB2312" w:eastAsia="仿宋_GB2312" w:cs="仿宋_GB2312"/>
          <w:b/>
          <w:bCs/>
          <w:sz w:val="32"/>
          <w:szCs w:val="32"/>
        </w:rPr>
      </w:pPr>
      <w:bookmarkStart w:id="26" w:name="_Toc256000024"/>
      <w:r>
        <w:rPr>
          <w:rFonts w:ascii="仿宋_GB2312" w:hAnsi="仿宋_GB2312" w:eastAsia="仿宋_GB2312" w:cs="仿宋_GB2312"/>
          <w:kern w:val="36"/>
        </w:rPr>
        <w:t>4人员要求</w:t>
      </w:r>
      <w:bookmarkEnd w:id="26"/>
    </w:p>
    <w:p>
      <w:pPr>
        <w:pStyle w:val="3"/>
        <w:keepNext w:val="0"/>
        <w:spacing w:before="0" w:after="0" w:line="360" w:lineRule="auto"/>
        <w:rPr>
          <w:rFonts w:ascii="仿宋_GB2312" w:hAnsi="仿宋_GB2312" w:eastAsia="仿宋_GB2312" w:cs="仿宋_GB2312"/>
          <w:b/>
          <w:bCs/>
          <w:sz w:val="28"/>
          <w:szCs w:val="28"/>
        </w:rPr>
      </w:pPr>
      <w:bookmarkStart w:id="27" w:name="_Toc256000025"/>
      <w:r>
        <w:rPr>
          <w:rFonts w:ascii="仿宋_GB2312" w:hAnsi="仿宋_GB2312" w:eastAsia="仿宋_GB2312" w:cs="仿宋_GB2312"/>
          <w:i w:val="0"/>
          <w:iCs w:val="0"/>
        </w:rPr>
        <w:t>4.1总体要求</w:t>
      </w:r>
      <w:bookmarkEnd w:id="27"/>
    </w:p>
    <w:p>
      <w:pPr>
        <w:pStyle w:val="13"/>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一方面需要提供具有丰富的行业经验和专业的服务团队，能够更好地理解和掌握税务相关知识，为纳税人提供准确、专业的解答和服务；另一方面需要具有完善的质量管理体系和服务标准，能够确保服务的稳定性和可靠性；最后需按照采购方要求培训、管理服务人员，配合区局完成项目各项服务内容，完善服务规范和绩效管理办法等制度体系建设。服务人员为34人，服务期限为12个月。</w:t>
      </w:r>
    </w:p>
    <w:p>
      <w:pPr>
        <w:pStyle w:val="3"/>
        <w:keepNext w:val="0"/>
        <w:spacing w:before="0" w:after="0" w:line="360" w:lineRule="auto"/>
        <w:rPr>
          <w:rFonts w:ascii="仿宋_GB2312" w:hAnsi="仿宋_GB2312" w:eastAsia="仿宋_GB2312" w:cs="仿宋_GB2312"/>
          <w:b/>
          <w:bCs/>
          <w:sz w:val="28"/>
          <w:szCs w:val="28"/>
        </w:rPr>
      </w:pPr>
      <w:bookmarkStart w:id="28" w:name="_Toc256000026"/>
      <w:r>
        <w:rPr>
          <w:rFonts w:ascii="仿宋_GB2312" w:hAnsi="仿宋_GB2312" w:eastAsia="仿宋_GB2312" w:cs="仿宋_GB2312"/>
          <w:i w:val="0"/>
          <w:iCs w:val="0"/>
        </w:rPr>
        <w:t>4.2管理团队</w:t>
      </w:r>
      <w:bookmarkEnd w:id="28"/>
    </w:p>
    <w:p>
      <w:pPr>
        <w:pStyle w:val="4"/>
        <w:keepNext w:val="0"/>
        <w:spacing w:before="0" w:after="0" w:line="360" w:lineRule="auto"/>
        <w:rPr>
          <w:rFonts w:ascii="仿宋_GB2312" w:hAnsi="仿宋_GB2312" w:eastAsia="仿宋_GB2312" w:cs="仿宋_GB2312"/>
          <w:b/>
          <w:bCs/>
          <w:sz w:val="28"/>
          <w:szCs w:val="28"/>
        </w:rPr>
      </w:pPr>
      <w:bookmarkStart w:id="29" w:name="_Toc256000027"/>
      <w:r>
        <w:rPr>
          <w:rFonts w:ascii="仿宋_GB2312" w:hAnsi="仿宋_GB2312" w:eastAsia="仿宋_GB2312" w:cs="仿宋_GB2312"/>
          <w:sz w:val="28"/>
          <w:szCs w:val="28"/>
        </w:rPr>
        <w:t>4.2.1项目经理</w:t>
      </w:r>
      <w:bookmarkEnd w:id="29"/>
    </w:p>
    <w:p>
      <w:pPr>
        <w:pStyle w:val="3"/>
        <w:keepNext w:val="0"/>
        <w:spacing w:before="0" w:after="0" w:line="360" w:lineRule="auto"/>
        <w:rPr>
          <w:rFonts w:ascii="仿宋_GB2312" w:hAnsi="仿宋_GB2312" w:eastAsia="仿宋_GB2312" w:cs="仿宋_GB2312"/>
          <w:b/>
          <w:bCs/>
          <w:sz w:val="28"/>
          <w:szCs w:val="28"/>
        </w:rPr>
      </w:pPr>
      <w:bookmarkStart w:id="30" w:name="_Toc256000028"/>
      <w:r>
        <w:rPr>
          <w:rFonts w:ascii="仿宋_GB2312" w:hAnsi="仿宋_GB2312" w:eastAsia="仿宋_GB2312" w:cs="仿宋_GB2312"/>
          <w:i w:val="0"/>
          <w:iCs w:val="0"/>
        </w:rPr>
        <w:t>4.3技术团队</w:t>
      </w:r>
      <w:bookmarkEnd w:id="30"/>
    </w:p>
    <w:p>
      <w:pPr>
        <w:pStyle w:val="3"/>
        <w:keepNext w:val="0"/>
        <w:spacing w:before="0" w:after="0" w:line="360" w:lineRule="auto"/>
        <w:rPr>
          <w:rFonts w:ascii="仿宋_GB2312" w:hAnsi="仿宋_GB2312" w:eastAsia="仿宋_GB2312" w:cs="仿宋_GB2312"/>
          <w:b/>
          <w:bCs/>
          <w:sz w:val="28"/>
          <w:szCs w:val="28"/>
        </w:rPr>
      </w:pPr>
      <w:bookmarkStart w:id="31" w:name="_Toc256000029"/>
      <w:r>
        <w:rPr>
          <w:rFonts w:ascii="仿宋_GB2312" w:hAnsi="仿宋_GB2312" w:eastAsia="仿宋_GB2312" w:cs="仿宋_GB2312"/>
          <w:i w:val="0"/>
          <w:iCs w:val="0"/>
        </w:rPr>
        <w:t>4.4优选资质/优选指标</w:t>
      </w:r>
      <w:bookmarkEnd w:id="31"/>
    </w:p>
    <w:tbl>
      <w:tblPr>
        <w:tblStyle w:val="9"/>
        <w:tblW w:w="5000" w:type="pct"/>
        <w:tblInd w:w="30" w:type="dxa"/>
        <w:tblLayout w:type="autofit"/>
        <w:tblCellMar>
          <w:top w:w="15" w:type="dxa"/>
          <w:left w:w="15" w:type="dxa"/>
          <w:bottom w:w="15" w:type="dxa"/>
          <w:right w:w="15" w:type="dxa"/>
        </w:tblCellMar>
      </w:tblPr>
      <w:tblGrid>
        <w:gridCol w:w="926"/>
        <w:gridCol w:w="2036"/>
        <w:gridCol w:w="2036"/>
        <w:gridCol w:w="2036"/>
        <w:gridCol w:w="2036"/>
      </w:tblGrid>
      <w:tr>
        <w:tblPrEx>
          <w:tblCellMar>
            <w:top w:w="15" w:type="dxa"/>
            <w:left w:w="15" w:type="dxa"/>
            <w:bottom w:w="15" w:type="dxa"/>
            <w:right w:w="15" w:type="dxa"/>
          </w:tblCellMar>
        </w:tblPrEx>
        <w:tc>
          <w:tcPr>
            <w:tcW w:w="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序号</w:t>
            </w:r>
          </w:p>
        </w:tc>
        <w:tc>
          <w:tcPr>
            <w:tcW w:w="11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人员类别</w:t>
            </w:r>
          </w:p>
        </w:tc>
        <w:tc>
          <w:tcPr>
            <w:tcW w:w="11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人员岗位</w:t>
            </w:r>
          </w:p>
        </w:tc>
        <w:tc>
          <w:tcPr>
            <w:tcW w:w="11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人员要求</w:t>
            </w:r>
          </w:p>
        </w:tc>
        <w:tc>
          <w:tcPr>
            <w:tcW w:w="11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是否作为加分项</w:t>
            </w: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非执法类辅助服务</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非执法类辅助服务</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1、政治思想好，热爱税收事业，遵纪守法，无违法违纪记录，能严格遵守办税服务有关的规章制度和工作纪律；</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2、爱岗敬业，服从管理。讲文明，讲道德，注重言谈举止，积极参与各项文明创建活动，严格执行文明礼仪规范；</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3、积极学习，勤奋工作，认真负责，恪尽职守，身体健康，服从安排，按时保质保量完成单位所安排的各项工作任务；</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4、有较娴熟的计算机操作技能，汉字录入速度不低于80字/分钟；</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5、普通话发音基本标准，语调自然，表达流畅，具备较强的服务意识和良好的语言表达能力、沟通能力、记忆能力、心理承受能力和学习能力；</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6、遵守保密协议。无论何种原因，必须对局内在服务期内所掌握的与本服务有关的文件、资料、数据、信息做好保密措施，否则有权追究相关人员责任。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bl>
    <w:p>
      <w:pPr>
        <w:pStyle w:val="2"/>
        <w:keepNext w:val="0"/>
        <w:spacing w:before="0" w:after="0" w:line="360" w:lineRule="auto"/>
        <w:jc w:val="center"/>
        <w:rPr>
          <w:rFonts w:ascii="仿宋_GB2312" w:hAnsi="仿宋_GB2312" w:eastAsia="仿宋_GB2312" w:cs="仿宋_GB2312"/>
          <w:b/>
          <w:bCs/>
          <w:sz w:val="32"/>
          <w:szCs w:val="32"/>
        </w:rPr>
      </w:pPr>
      <w:bookmarkStart w:id="32" w:name="_Toc256000030"/>
      <w:r>
        <w:rPr>
          <w:rFonts w:ascii="仿宋_GB2312" w:hAnsi="仿宋_GB2312" w:eastAsia="仿宋_GB2312" w:cs="仿宋_GB2312"/>
          <w:kern w:val="36"/>
        </w:rPr>
        <w:t>5管理实施要求</w:t>
      </w:r>
      <w:bookmarkEnd w:id="32"/>
    </w:p>
    <w:p>
      <w:pPr>
        <w:pStyle w:val="12"/>
        <w:shd w:val="clear" w:color="auto" w:fill="FFFFFF"/>
        <w:spacing w:before="0" w:after="0" w:line="360" w:lineRule="auto"/>
        <w:ind w:left="0" w:right="0" w:firstLine="480"/>
        <w:jc w:val="both"/>
      </w:pPr>
      <w:r>
        <w:rPr>
          <w:rFonts w:ascii="仿宋_GB2312" w:hAnsi="仿宋_GB2312" w:eastAsia="仿宋_GB2312" w:cs="仿宋_GB2312"/>
          <w:sz w:val="28"/>
          <w:szCs w:val="28"/>
        </w:rPr>
        <w:t>1.中标方应提供所有服务人员的个人档案资料，经采购方确认后方可参与服务工作。</w:t>
      </w:r>
    </w:p>
    <w:p>
      <w:pPr>
        <w:pStyle w:val="12"/>
        <w:spacing w:before="0" w:after="0" w:line="360" w:lineRule="auto"/>
        <w:ind w:left="0" w:right="0" w:firstLine="480"/>
        <w:jc w:val="both"/>
      </w:pPr>
      <w:r>
        <w:rPr>
          <w:rFonts w:ascii="仿宋_GB2312" w:hAnsi="仿宋_GB2312" w:eastAsia="仿宋_GB2312" w:cs="仿宋_GB2312"/>
          <w:sz w:val="28"/>
          <w:szCs w:val="28"/>
        </w:rPr>
        <w:t>2.服务期内发生各种事故：包括安全、交通、防火和劳资纠纷等事件均由中标方承担相应责任，在实际工作中可能与群众产生的法律纠纷，由中标方承担责任，采购方不承担任何责任。</w:t>
      </w:r>
    </w:p>
    <w:p>
      <w:pPr>
        <w:pStyle w:val="12"/>
        <w:spacing w:before="0" w:after="0" w:line="360" w:lineRule="auto"/>
        <w:ind w:left="0" w:right="0" w:firstLine="480"/>
        <w:jc w:val="both"/>
      </w:pPr>
      <w:r>
        <w:rPr>
          <w:rFonts w:ascii="仿宋_GB2312" w:hAnsi="仿宋_GB2312" w:eastAsia="仿宋_GB2312" w:cs="仿宋_GB2312"/>
          <w:sz w:val="28"/>
          <w:szCs w:val="28"/>
        </w:rPr>
        <w:t>3.中标方需按照采购方要求，根据采购方需求适时组织培训提升服务质量，不断规范人员服务行为，提升人员服务水平。</w:t>
      </w:r>
    </w:p>
    <w:p>
      <w:pPr>
        <w:pStyle w:val="12"/>
        <w:spacing w:before="0" w:after="0" w:line="360" w:lineRule="auto"/>
        <w:ind w:left="0" w:right="0" w:firstLine="480"/>
        <w:jc w:val="both"/>
      </w:pPr>
      <w:r>
        <w:rPr>
          <w:rFonts w:ascii="仿宋_GB2312" w:hAnsi="仿宋_GB2312" w:eastAsia="仿宋_GB2312" w:cs="仿宋_GB2312"/>
          <w:sz w:val="28"/>
          <w:szCs w:val="28"/>
        </w:rPr>
        <w:t>4.中标方需确保所提供非执法类服务的工作时长，工作期间不得擅离职守，注重仪容仪表、工作态度，保证为纳税人提供准确、快捷的纳税服务。</w:t>
      </w:r>
    </w:p>
    <w:p>
      <w:pPr>
        <w:pStyle w:val="12"/>
        <w:spacing w:before="0" w:after="0" w:line="360" w:lineRule="auto"/>
        <w:ind w:left="0" w:right="0" w:firstLine="480"/>
        <w:jc w:val="both"/>
      </w:pPr>
      <w:r>
        <w:rPr>
          <w:rFonts w:ascii="仿宋_GB2312" w:hAnsi="仿宋_GB2312" w:eastAsia="仿宋_GB2312" w:cs="仿宋_GB2312"/>
          <w:sz w:val="28"/>
          <w:szCs w:val="28"/>
        </w:rPr>
        <w:t>5.中标方需确保提供非执法类服务过程中遵守采购方各项廉洁纪律，做到认真履行工作职责，谨言慎行，坚决不做损害纳税人利益和损害税务机关形象的事情。</w:t>
      </w:r>
    </w:p>
    <w:p>
      <w:pPr>
        <w:pStyle w:val="12"/>
        <w:spacing w:before="0" w:after="0" w:line="360" w:lineRule="auto"/>
        <w:ind w:left="0" w:right="0" w:firstLine="480"/>
        <w:jc w:val="both"/>
      </w:pPr>
      <w:r>
        <w:rPr>
          <w:rFonts w:ascii="仿宋_GB2312" w:hAnsi="仿宋_GB2312" w:eastAsia="仿宋_GB2312" w:cs="仿宋_GB2312"/>
          <w:sz w:val="28"/>
          <w:szCs w:val="28"/>
        </w:rPr>
        <w:t>6.如因中标方引起的劳资纠纷问题，影响正常工作的，采购方有权另行聘请人员确保正常工作，所产生的费用由中标方承担，采购方不承担所产生的任何费用。</w:t>
      </w:r>
    </w:p>
    <w:p>
      <w:pPr>
        <w:pStyle w:val="12"/>
        <w:spacing w:before="0" w:after="0" w:line="360" w:lineRule="auto"/>
        <w:ind w:left="0" w:right="0" w:firstLine="480"/>
        <w:jc w:val="both"/>
      </w:pPr>
      <w:r>
        <w:rPr>
          <w:rFonts w:ascii="仿宋_GB2312" w:hAnsi="仿宋_GB2312" w:eastAsia="仿宋_GB2312" w:cs="仿宋_GB2312"/>
          <w:sz w:val="28"/>
          <w:szCs w:val="28"/>
        </w:rPr>
        <w:t>7.如采购方对中标方提供的人员出现3次不服从管理、违反采购方制定的相关规章制度，采购方可以要求更换，中标方必须及时且无条件的为采购方更换合格的人员。</w:t>
      </w:r>
    </w:p>
    <w:p>
      <w:pPr>
        <w:pStyle w:val="12"/>
        <w:spacing w:before="0" w:after="0" w:line="360" w:lineRule="auto"/>
        <w:ind w:left="0" w:right="0" w:firstLine="480"/>
        <w:jc w:val="both"/>
      </w:pPr>
      <w:r>
        <w:rPr>
          <w:rFonts w:ascii="仿宋_GB2312" w:hAnsi="仿宋_GB2312" w:eastAsia="仿宋_GB2312" w:cs="仿宋_GB2312"/>
          <w:sz w:val="28"/>
          <w:szCs w:val="28"/>
        </w:rPr>
        <w:t>8.服务期内，采购方</w:t>
      </w:r>
      <w:bookmarkStart w:id="45" w:name="_GoBack"/>
      <w:r>
        <w:rPr>
          <w:rFonts w:ascii="仿宋_GB2312" w:hAnsi="仿宋_GB2312" w:eastAsia="仿宋_GB2312" w:cs="仿宋_GB2312"/>
          <w:color w:val="auto"/>
          <w:sz w:val="28"/>
          <w:szCs w:val="28"/>
        </w:rPr>
        <w:t>按</w:t>
      </w:r>
      <w:r>
        <w:rPr>
          <w:rFonts w:hint="eastAsia" w:ascii="仿宋_GB2312" w:hAnsi="仿宋_GB2312" w:eastAsia="仿宋_GB2312" w:cs="仿宋_GB2312"/>
          <w:color w:val="auto"/>
          <w:sz w:val="28"/>
          <w:szCs w:val="28"/>
          <w:lang w:eastAsia="zh-CN"/>
        </w:rPr>
        <w:t>月</w:t>
      </w:r>
      <w:bookmarkEnd w:id="45"/>
      <w:r>
        <w:rPr>
          <w:rFonts w:ascii="仿宋_GB2312" w:hAnsi="仿宋_GB2312" w:eastAsia="仿宋_GB2312" w:cs="仿宋_GB2312"/>
          <w:sz w:val="28"/>
          <w:szCs w:val="28"/>
        </w:rPr>
        <w:t>对中标方的工作质量、履约情况、工作配合度等进行综合评价，评价合格则继续履行服务合同。如项目服务未达到要求，则采购方上报监管部门终止服务合同。</w:t>
      </w:r>
    </w:p>
    <w:p>
      <w:pPr>
        <w:pStyle w:val="12"/>
        <w:shd w:val="clear" w:color="auto" w:fill="FFFFFF"/>
        <w:spacing w:before="0" w:after="0" w:line="360" w:lineRule="auto"/>
        <w:ind w:left="0" w:right="0" w:firstLine="480"/>
        <w:jc w:val="both"/>
      </w:pPr>
      <w:r>
        <w:rPr>
          <w:rFonts w:ascii="仿宋_GB2312" w:hAnsi="仿宋_GB2312" w:eastAsia="仿宋_GB2312" w:cs="仿宋_GB2312"/>
          <w:sz w:val="28"/>
          <w:szCs w:val="28"/>
        </w:rPr>
        <w:t>9.服务人员的工作由采购方进行分配、管理，对服务人员的奖惩、撤换或辞退等须经采购方同意认可。</w:t>
      </w:r>
    </w:p>
    <w:p>
      <w:pPr>
        <w:pStyle w:val="12"/>
        <w:spacing w:before="0" w:after="0" w:line="360" w:lineRule="auto"/>
        <w:ind w:left="0" w:right="0" w:firstLine="480"/>
      </w:pPr>
      <w:r>
        <w:rPr>
          <w:rFonts w:ascii="仿宋_GB2312" w:hAnsi="仿宋_GB2312" w:eastAsia="仿宋_GB2312" w:cs="仿宋_GB2312"/>
          <w:sz w:val="28"/>
          <w:szCs w:val="28"/>
        </w:rPr>
        <w:t>10.合同期内，采购方可按实际工作需求适时减少服务人员数量，合同结算金额以实际发生金额为准。</w:t>
      </w:r>
    </w:p>
    <w:p>
      <w:pPr>
        <w:pStyle w:val="2"/>
        <w:keepNext w:val="0"/>
        <w:spacing w:before="0" w:after="0" w:line="360" w:lineRule="auto"/>
        <w:jc w:val="center"/>
        <w:rPr>
          <w:rFonts w:ascii="仿宋_GB2312" w:hAnsi="仿宋_GB2312" w:eastAsia="仿宋_GB2312" w:cs="仿宋_GB2312"/>
          <w:b/>
          <w:bCs/>
          <w:sz w:val="32"/>
          <w:szCs w:val="32"/>
        </w:rPr>
      </w:pPr>
      <w:bookmarkStart w:id="33" w:name="_Toc256000031"/>
      <w:r>
        <w:rPr>
          <w:rFonts w:ascii="仿宋_GB2312" w:hAnsi="仿宋_GB2312" w:eastAsia="仿宋_GB2312" w:cs="仿宋_GB2312"/>
          <w:kern w:val="36"/>
        </w:rPr>
        <w:t>6风险管控要求</w:t>
      </w:r>
      <w:bookmarkEnd w:id="33"/>
    </w:p>
    <w:p>
      <w:pPr>
        <w:pStyle w:val="13"/>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要求中标方必须建立和完善突发事件的应急处理机制和预案，防患于未然。当出现不可预知的紧急情况时，保证服务正常开展。</w:t>
      </w:r>
    </w:p>
    <w:p>
      <w:pPr>
        <w:pStyle w:val="2"/>
        <w:keepNext w:val="0"/>
        <w:spacing w:before="0" w:after="0" w:line="360" w:lineRule="auto"/>
        <w:jc w:val="center"/>
        <w:rPr>
          <w:rFonts w:ascii="仿宋_GB2312" w:hAnsi="仿宋_GB2312" w:eastAsia="仿宋_GB2312" w:cs="仿宋_GB2312"/>
          <w:b/>
          <w:bCs/>
          <w:sz w:val="32"/>
          <w:szCs w:val="32"/>
        </w:rPr>
      </w:pPr>
      <w:bookmarkStart w:id="34" w:name="_Toc256000032"/>
      <w:r>
        <w:rPr>
          <w:rFonts w:ascii="仿宋_GB2312" w:hAnsi="仿宋_GB2312" w:eastAsia="仿宋_GB2312" w:cs="仿宋_GB2312"/>
          <w:kern w:val="36"/>
        </w:rPr>
        <w:t>7履约验收要求</w:t>
      </w:r>
      <w:bookmarkEnd w:id="34"/>
    </w:p>
    <w:p>
      <w:pPr>
        <w:pStyle w:val="3"/>
        <w:keepNext w:val="0"/>
        <w:spacing w:before="0" w:after="0" w:line="360" w:lineRule="auto"/>
        <w:rPr>
          <w:rFonts w:ascii="仿宋_GB2312" w:hAnsi="仿宋_GB2312" w:eastAsia="仿宋_GB2312" w:cs="仿宋_GB2312"/>
          <w:b/>
          <w:bCs/>
          <w:sz w:val="28"/>
          <w:szCs w:val="28"/>
        </w:rPr>
      </w:pPr>
      <w:bookmarkStart w:id="35" w:name="_Toc256000033"/>
      <w:r>
        <w:rPr>
          <w:rFonts w:ascii="仿宋_GB2312" w:hAnsi="仿宋_GB2312" w:eastAsia="仿宋_GB2312" w:cs="仿宋_GB2312"/>
          <w:i w:val="0"/>
          <w:iCs w:val="0"/>
        </w:rPr>
        <w:t>7.1总体要求</w:t>
      </w:r>
      <w:bookmarkEnd w:id="35"/>
    </w:p>
    <w:tbl>
      <w:tblPr>
        <w:tblStyle w:val="9"/>
        <w:tblW w:w="5000" w:type="pct"/>
        <w:tblInd w:w="30" w:type="dxa"/>
        <w:tblLayout w:type="autofit"/>
        <w:tblCellMar>
          <w:top w:w="15" w:type="dxa"/>
          <w:left w:w="15" w:type="dxa"/>
          <w:bottom w:w="15" w:type="dxa"/>
          <w:right w:w="15" w:type="dxa"/>
        </w:tblCellMar>
      </w:tblPr>
      <w:tblGrid>
        <w:gridCol w:w="4535"/>
        <w:gridCol w:w="4535"/>
      </w:tblGrid>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验收名称</w:t>
            </w:r>
          </w:p>
        </w:tc>
        <w:tc>
          <w:tcPr>
            <w:tcW w:w="2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验收要求</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验收安排</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中标方定期会同采购方共同对服务工作进行考核，并委托采购方进行服务人员的现场管理和工作考核，相关考核、考勤和奖惩资料由采购方提供。中标方依据采购方提供的考核、考勤和奖惩资料及时足额给服务人员发放工资福利，绩效考核按照采购方标准执行。</w:t>
            </w:r>
          </w:p>
        </w:tc>
      </w:tr>
    </w:tbl>
    <w:p>
      <w:pPr>
        <w:pStyle w:val="3"/>
        <w:keepNext w:val="0"/>
        <w:spacing w:before="0" w:after="0" w:line="360" w:lineRule="auto"/>
        <w:rPr>
          <w:rFonts w:ascii="仿宋_GB2312" w:hAnsi="仿宋_GB2312" w:eastAsia="仿宋_GB2312" w:cs="仿宋_GB2312"/>
          <w:b/>
          <w:bCs/>
          <w:sz w:val="28"/>
          <w:szCs w:val="28"/>
        </w:rPr>
      </w:pPr>
      <w:bookmarkStart w:id="36" w:name="_Toc256000034"/>
      <w:r>
        <w:rPr>
          <w:rFonts w:ascii="仿宋_GB2312" w:hAnsi="仿宋_GB2312" w:eastAsia="仿宋_GB2312" w:cs="仿宋_GB2312"/>
          <w:i w:val="0"/>
          <w:iCs w:val="0"/>
        </w:rPr>
        <w:t>7.2具体要求</w:t>
      </w:r>
      <w:bookmarkEnd w:id="36"/>
    </w:p>
    <w:p>
      <w:pPr>
        <w:pStyle w:val="13"/>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（一）人员稳定性要求</w:t>
      </w:r>
    </w:p>
    <w:p>
      <w:pPr>
        <w:pStyle w:val="12"/>
        <w:shd w:val="clear" w:color="auto" w:fill="FFFFFF"/>
        <w:spacing w:before="0" w:after="0" w:line="360" w:lineRule="auto"/>
        <w:ind w:left="0" w:right="0" w:firstLine="480"/>
        <w:jc w:val="both"/>
      </w:pPr>
      <w:r>
        <w:rPr>
          <w:rFonts w:ascii="仿宋_GB2312" w:hAnsi="仿宋_GB2312" w:eastAsia="仿宋_GB2312" w:cs="仿宋_GB2312"/>
          <w:sz w:val="28"/>
          <w:szCs w:val="28"/>
        </w:rPr>
        <w:t>在服务期间，未经采购方同意，中标方不得随意更换服务人员。服务人员因为调走、辞职或被中标方辞退等原因导致服务人员不足时，需在三天内补充，缺席人数不能同时超过</w:t>
      </w:r>
      <w:r>
        <w:rPr>
          <w:rFonts w:ascii="FangSong_GB2312" w:hAnsi="FangSong_GB2312" w:eastAsia="FangSong_GB2312" w:cs="FangSong_GB2312"/>
          <w:sz w:val="28"/>
          <w:szCs w:val="28"/>
        </w:rPr>
        <w:t>3人，中标方在3天内未能及时补齐符合完成项目需求的服务人员，同月内不得超过三次，否则视为中标方违约，采购方有权终止合同。</w:t>
      </w:r>
    </w:p>
    <w:p>
      <w:pPr>
        <w:pStyle w:val="13"/>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（二）进驻和接管要求</w:t>
      </w:r>
    </w:p>
    <w:p>
      <w:pPr>
        <w:pStyle w:val="12"/>
        <w:spacing w:before="0" w:after="0" w:line="360" w:lineRule="auto"/>
        <w:ind w:left="0" w:right="0" w:firstLine="480"/>
      </w:pPr>
      <w:r>
        <w:rPr>
          <w:rFonts w:ascii="仿宋_GB2312" w:hAnsi="仿宋_GB2312" w:eastAsia="仿宋_GB2312" w:cs="仿宋_GB2312"/>
          <w:sz w:val="28"/>
          <w:szCs w:val="28"/>
        </w:rPr>
        <w:t>签订合同之日起</w:t>
      </w:r>
      <w:r>
        <w:rPr>
          <w:rFonts w:ascii="FangSong_GB2312" w:hAnsi="FangSong_GB2312" w:eastAsia="FangSong_GB2312" w:cs="FangSong_GB2312"/>
          <w:sz w:val="28"/>
          <w:szCs w:val="28"/>
        </w:rPr>
        <w:t>7日内服务人员进场（特殊情况以合同为准）。为保证本项目日常工作稳定有序持续进行，要求中标方以科学严谨的态度制定完善的进驻、接管方案，确保按时顺利交接，平稳过渡。中标方需承诺：在规定时间内配齐所需人员，并保证按照项目需求中要求配备全体服务人员并按时进场服务。进驻、接管保留相关记录。</w:t>
      </w:r>
    </w:p>
    <w:p>
      <w:pPr>
        <w:pStyle w:val="13"/>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（三）费用分割</w:t>
      </w:r>
    </w:p>
    <w:p>
      <w:pPr>
        <w:pStyle w:val="12"/>
        <w:spacing w:before="0" w:after="0" w:line="360" w:lineRule="auto"/>
        <w:ind w:left="0" w:right="0" w:firstLine="480"/>
      </w:pPr>
      <w:r>
        <w:rPr>
          <w:rFonts w:ascii="FangSong_GB2312" w:hAnsi="FangSong_GB2312" w:eastAsia="FangSong_GB2312" w:cs="FangSong_GB2312"/>
          <w:sz w:val="28"/>
          <w:szCs w:val="28"/>
        </w:rPr>
        <w:t>1.投入的服务人员统一着装上岗，服装费由中标供应商承担；</w:t>
      </w:r>
    </w:p>
    <w:p>
      <w:pPr>
        <w:pStyle w:val="13"/>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2.服务所需的办公设备、文具等用品由采购人提供；</w:t>
      </w:r>
    </w:p>
    <w:p>
      <w:pPr>
        <w:pStyle w:val="13"/>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3.服务人员住宿自行解决。</w:t>
      </w:r>
    </w:p>
    <w:p>
      <w:pPr>
        <w:pStyle w:val="12"/>
        <w:shd w:val="clear" w:color="auto" w:fill="FFFFFF"/>
        <w:spacing w:before="0" w:after="0" w:line="360" w:lineRule="auto"/>
        <w:ind w:left="0" w:right="0" w:firstLine="480"/>
        <w:jc w:val="both"/>
      </w:pPr>
      <w:r>
        <w:rPr>
          <w:rFonts w:ascii="FangSong_GB2312" w:hAnsi="FangSong_GB2312" w:eastAsia="FangSong_GB2312" w:cs="FangSong_GB2312"/>
          <w:sz w:val="28"/>
          <w:szCs w:val="28"/>
        </w:rPr>
        <w:t>4.服务人员自愿在采购人食堂用早午餐，费用自理。</w:t>
      </w:r>
    </w:p>
    <w:p>
      <w:pPr>
        <w:pStyle w:val="12"/>
        <w:spacing w:before="0" w:after="0" w:line="360" w:lineRule="auto"/>
        <w:ind w:left="0" w:right="0" w:firstLine="480"/>
      </w:pPr>
      <w:r>
        <w:rPr>
          <w:rFonts w:ascii="FangSong_GB2312" w:hAnsi="FangSong_GB2312" w:eastAsia="FangSong_GB2312" w:cs="FangSong_GB2312"/>
          <w:sz w:val="28"/>
          <w:szCs w:val="28"/>
        </w:rPr>
        <w:t>（四）履约责任</w:t>
      </w:r>
    </w:p>
    <w:p>
      <w:pPr>
        <w:pStyle w:val="12"/>
        <w:spacing w:before="0" w:after="0" w:line="360" w:lineRule="auto"/>
        <w:ind w:left="0" w:right="0" w:firstLine="480"/>
      </w:pPr>
      <w:r>
        <w:rPr>
          <w:rFonts w:ascii="FangSong_GB2312" w:hAnsi="FangSong_GB2312" w:eastAsia="FangSong_GB2312" w:cs="FangSong_GB2312"/>
          <w:sz w:val="28"/>
          <w:szCs w:val="28"/>
        </w:rPr>
        <w:t>1.未经采购方同意，中标方不得将承包项目发包或转包，否则，视为中标方违约，采购方有权解除服务合同。</w:t>
      </w:r>
    </w:p>
    <w:p>
      <w:pPr>
        <w:pStyle w:val="12"/>
        <w:spacing w:before="0" w:after="0" w:line="360" w:lineRule="auto"/>
        <w:ind w:left="0" w:right="0" w:firstLine="480"/>
      </w:pPr>
      <w:r>
        <w:rPr>
          <w:rFonts w:ascii="FangSong_GB2312" w:hAnsi="FangSong_GB2312" w:eastAsia="FangSong_GB2312" w:cs="FangSong_GB2312"/>
          <w:sz w:val="28"/>
          <w:szCs w:val="28"/>
        </w:rPr>
        <w:t>2.因服务人员未能及时补充而引起采购方造成经济损失的，由中标方承担并赔偿损失。</w:t>
      </w:r>
    </w:p>
    <w:p>
      <w:pPr>
        <w:pStyle w:val="12"/>
        <w:shd w:val="clear" w:color="auto" w:fill="FFFFFF"/>
        <w:spacing w:before="0" w:after="0" w:line="360" w:lineRule="auto"/>
        <w:ind w:left="0" w:right="0" w:firstLine="480"/>
        <w:jc w:val="both"/>
      </w:pPr>
      <w:r>
        <w:rPr>
          <w:rFonts w:ascii="FangSong_GB2312" w:hAnsi="FangSong_GB2312" w:eastAsia="FangSong_GB2312" w:cs="FangSong_GB2312"/>
          <w:sz w:val="28"/>
          <w:szCs w:val="28"/>
        </w:rPr>
        <w:t>3.由于中标方工作失误的原因，造成与提供服务人员的经济损失，所产生的损失及后果由中标方承担。因中标方服务人员蓄意破坏设备设施、违反规程造成重大事故的，一经查实，则视为中标方严重违约，采购方有权终止合同，责令中标方赔偿损失，并依法追究其责任。</w:t>
      </w:r>
    </w:p>
    <w:p>
      <w:pPr>
        <w:pStyle w:val="12"/>
        <w:spacing w:before="0" w:after="0" w:line="360" w:lineRule="auto"/>
        <w:ind w:left="0" w:right="0" w:firstLine="480"/>
      </w:pPr>
      <w:r>
        <w:rPr>
          <w:rFonts w:ascii="FangSong_GB2312" w:hAnsi="FangSong_GB2312" w:eastAsia="FangSong_GB2312" w:cs="FangSong_GB2312"/>
          <w:sz w:val="28"/>
          <w:szCs w:val="28"/>
        </w:rPr>
        <w:t>4.若中标方在1年内违反其服务承诺或以下情况三次或以上，则视为中标方违约，采购方有权拒绝支付本期项目服务费，并中止合同。</w:t>
      </w:r>
    </w:p>
    <w:p>
      <w:pPr>
        <w:pStyle w:val="12"/>
        <w:spacing w:before="0" w:after="0" w:line="360" w:lineRule="auto"/>
        <w:ind w:left="0" w:right="0" w:firstLine="480"/>
      </w:pPr>
      <w:r>
        <w:rPr>
          <w:rFonts w:ascii="仿宋_GB2312" w:hAnsi="仿宋_GB2312" w:eastAsia="仿宋_GB2312" w:cs="仿宋_GB2312"/>
          <w:sz w:val="28"/>
          <w:szCs w:val="28"/>
        </w:rPr>
        <w:t>（</w:t>
      </w:r>
      <w:r>
        <w:rPr>
          <w:rFonts w:ascii="FangSong_GB2312" w:hAnsi="FangSong_GB2312" w:eastAsia="FangSong_GB2312" w:cs="FangSong_GB2312"/>
          <w:sz w:val="28"/>
          <w:szCs w:val="28"/>
        </w:rPr>
        <w:t>1）不按时足额发放服务人员工资，导致服务出现质量问题。</w:t>
      </w:r>
    </w:p>
    <w:p>
      <w:pPr>
        <w:pStyle w:val="12"/>
        <w:spacing w:before="0" w:after="0" w:line="360" w:lineRule="auto"/>
        <w:ind w:left="0" w:right="0" w:firstLine="480"/>
      </w:pPr>
      <w:r>
        <w:rPr>
          <w:rFonts w:ascii="仿宋_GB2312" w:hAnsi="仿宋_GB2312" w:eastAsia="仿宋_GB2312" w:cs="仿宋_GB2312"/>
          <w:sz w:val="28"/>
          <w:szCs w:val="28"/>
        </w:rPr>
        <w:t>（</w:t>
      </w:r>
      <w:r>
        <w:rPr>
          <w:rFonts w:ascii="FangSong_GB2312" w:hAnsi="FangSong_GB2312" w:eastAsia="FangSong_GB2312" w:cs="FangSong_GB2312"/>
          <w:sz w:val="28"/>
          <w:szCs w:val="28"/>
        </w:rPr>
        <w:t>2）服务人员因为调走、辞职或被中标方辞退等原因导致服务人员不足的人数不能同时超过3人，而中标方在3天内未能及时补齐符合项目要求的服务人员时，或每月缺员超过3人次。</w:t>
      </w:r>
    </w:p>
    <w:p>
      <w:pPr>
        <w:pStyle w:val="12"/>
        <w:shd w:val="clear" w:color="auto" w:fill="FFFFFF"/>
        <w:spacing w:before="0" w:after="0" w:line="360" w:lineRule="auto"/>
        <w:ind w:left="0" w:right="0" w:firstLine="480"/>
        <w:jc w:val="both"/>
      </w:pPr>
      <w:r>
        <w:rPr>
          <w:rFonts w:ascii="仿宋_GB2312" w:hAnsi="仿宋_GB2312" w:eastAsia="仿宋_GB2312" w:cs="仿宋_GB2312"/>
          <w:sz w:val="28"/>
          <w:szCs w:val="28"/>
        </w:rPr>
        <w:t>（</w:t>
      </w:r>
      <w:r>
        <w:rPr>
          <w:rFonts w:ascii="FangSong_GB2312" w:hAnsi="FangSong_GB2312" w:eastAsia="FangSong_GB2312" w:cs="FangSong_GB2312"/>
          <w:sz w:val="28"/>
          <w:szCs w:val="28"/>
        </w:rPr>
        <w:t>3）没有按照采购方要求对服务人员进行管理、培训、调配。</w:t>
      </w:r>
    </w:p>
    <w:p>
      <w:pPr>
        <w:pStyle w:val="12"/>
        <w:spacing w:before="0" w:after="0" w:line="360" w:lineRule="auto"/>
        <w:ind w:left="0" w:right="0" w:firstLine="480"/>
      </w:pPr>
      <w:r>
        <w:rPr>
          <w:sz w:val="28"/>
          <w:szCs w:val="28"/>
        </w:rPr>
        <w:t>（</w:t>
      </w:r>
      <w:r>
        <w:rPr>
          <w:rFonts w:ascii="FangSong_GB2312" w:hAnsi="FangSong_GB2312" w:eastAsia="FangSong_GB2312" w:cs="FangSong_GB2312"/>
          <w:sz w:val="28"/>
          <w:szCs w:val="28"/>
        </w:rPr>
        <w:t>4）完成服务达标量低于80%的。</w:t>
      </w:r>
    </w:p>
    <w:p>
      <w:pPr>
        <w:pStyle w:val="2"/>
        <w:keepNext w:val="0"/>
        <w:spacing w:before="0" w:after="0" w:line="360" w:lineRule="auto"/>
        <w:jc w:val="center"/>
        <w:rPr>
          <w:rFonts w:ascii="仿宋_GB2312" w:hAnsi="仿宋_GB2312" w:eastAsia="仿宋_GB2312" w:cs="仿宋_GB2312"/>
          <w:b/>
          <w:bCs/>
          <w:sz w:val="32"/>
          <w:szCs w:val="32"/>
        </w:rPr>
      </w:pPr>
      <w:bookmarkStart w:id="37" w:name="_Toc256000035"/>
      <w:r>
        <w:rPr>
          <w:rFonts w:ascii="仿宋_GB2312" w:hAnsi="仿宋_GB2312" w:eastAsia="仿宋_GB2312" w:cs="仿宋_GB2312"/>
          <w:kern w:val="36"/>
        </w:rPr>
        <w:t>8其他要求</w:t>
      </w:r>
      <w:bookmarkEnd w:id="37"/>
    </w:p>
    <w:p>
      <w:pPr>
        <w:pStyle w:val="3"/>
        <w:keepNext w:val="0"/>
        <w:spacing w:before="0" w:after="0" w:line="360" w:lineRule="auto"/>
        <w:rPr>
          <w:rFonts w:ascii="仿宋_GB2312" w:hAnsi="仿宋_GB2312" w:eastAsia="仿宋_GB2312" w:cs="仿宋_GB2312"/>
          <w:b/>
          <w:bCs/>
          <w:sz w:val="28"/>
          <w:szCs w:val="28"/>
        </w:rPr>
      </w:pPr>
      <w:bookmarkStart w:id="38" w:name="_Toc256000036"/>
      <w:r>
        <w:rPr>
          <w:rFonts w:ascii="仿宋_GB2312" w:hAnsi="仿宋_GB2312" w:eastAsia="仿宋_GB2312" w:cs="仿宋_GB2312"/>
          <w:i w:val="0"/>
          <w:iCs w:val="0"/>
        </w:rPr>
        <w:t>8.1必备要求</w:t>
      </w:r>
      <w:bookmarkEnd w:id="38"/>
    </w:p>
    <w:p>
      <w:pPr>
        <w:pStyle w:val="4"/>
        <w:keepNext w:val="0"/>
        <w:spacing w:before="0" w:after="0" w:line="360" w:lineRule="auto"/>
        <w:rPr>
          <w:rFonts w:ascii="仿宋_GB2312" w:hAnsi="仿宋_GB2312" w:eastAsia="仿宋_GB2312" w:cs="仿宋_GB2312"/>
          <w:b/>
          <w:bCs/>
          <w:sz w:val="28"/>
          <w:szCs w:val="28"/>
        </w:rPr>
      </w:pPr>
      <w:bookmarkStart w:id="39" w:name="_Toc256000037"/>
      <w:r>
        <w:rPr>
          <w:rFonts w:ascii="仿宋_GB2312" w:hAnsi="仿宋_GB2312" w:eastAsia="仿宋_GB2312" w:cs="仿宋_GB2312"/>
          <w:sz w:val="28"/>
          <w:szCs w:val="28"/>
        </w:rPr>
        <w:t>8.1.1通用必备要求</w:t>
      </w:r>
      <w:bookmarkEnd w:id="39"/>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3"/>
        <w:keepNext w:val="0"/>
        <w:spacing w:before="0" w:after="0" w:line="360" w:lineRule="auto"/>
        <w:rPr>
          <w:rFonts w:ascii="仿宋_GB2312" w:hAnsi="仿宋_GB2312" w:eastAsia="仿宋_GB2312" w:cs="仿宋_GB2312"/>
          <w:b/>
          <w:bCs/>
          <w:sz w:val="28"/>
          <w:szCs w:val="28"/>
        </w:rPr>
      </w:pPr>
      <w:bookmarkStart w:id="40" w:name="_Toc256000038"/>
      <w:r>
        <w:rPr>
          <w:rFonts w:ascii="仿宋_GB2312" w:hAnsi="仿宋_GB2312" w:eastAsia="仿宋_GB2312" w:cs="仿宋_GB2312"/>
          <w:i w:val="0"/>
          <w:iCs w:val="0"/>
        </w:rPr>
        <w:t>8.2付款安排建议</w:t>
      </w:r>
      <w:bookmarkEnd w:id="40"/>
    </w:p>
    <w:tbl>
      <w:tblPr>
        <w:tblStyle w:val="9"/>
        <w:tblW w:w="5000" w:type="pct"/>
        <w:tblInd w:w="30" w:type="dxa"/>
        <w:tblLayout w:type="autofit"/>
        <w:tblCellMar>
          <w:top w:w="15" w:type="dxa"/>
          <w:left w:w="15" w:type="dxa"/>
          <w:bottom w:w="15" w:type="dxa"/>
          <w:right w:w="15" w:type="dxa"/>
        </w:tblCellMar>
      </w:tblPr>
      <w:tblGrid>
        <w:gridCol w:w="1814"/>
        <w:gridCol w:w="5442"/>
        <w:gridCol w:w="1814"/>
      </w:tblGrid>
      <w:tr>
        <w:tblPrEx>
          <w:tblCellMar>
            <w:top w:w="15" w:type="dxa"/>
            <w:left w:w="15" w:type="dxa"/>
            <w:bottom w:w="15" w:type="dxa"/>
            <w:right w:w="15" w:type="dxa"/>
          </w:tblCellMar>
        </w:tblPrEx>
        <w:tc>
          <w:tcPr>
            <w:tcW w:w="1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付款名称</w:t>
            </w:r>
          </w:p>
        </w:tc>
        <w:tc>
          <w:tcPr>
            <w:tcW w:w="3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付款要求</w:t>
            </w:r>
          </w:p>
        </w:tc>
        <w:tc>
          <w:tcPr>
            <w:tcW w:w="1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付款比例(%)</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第2次付款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第3次付款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第4次付款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第5次付款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第6次付款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第7次付款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第8次付款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第9次付款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第10次付款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第11次付款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第12次付款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8.37</w:t>
            </w:r>
          </w:p>
        </w:tc>
      </w:tr>
    </w:tbl>
    <w:p>
      <w:pPr>
        <w:pStyle w:val="3"/>
        <w:keepNext w:val="0"/>
        <w:spacing w:before="0" w:after="0" w:line="360" w:lineRule="auto"/>
        <w:rPr>
          <w:rFonts w:ascii="仿宋_GB2312" w:hAnsi="仿宋_GB2312" w:eastAsia="仿宋_GB2312" w:cs="仿宋_GB2312"/>
          <w:b/>
          <w:bCs/>
          <w:sz w:val="28"/>
          <w:szCs w:val="28"/>
        </w:rPr>
      </w:pPr>
      <w:bookmarkStart w:id="41" w:name="_Toc256000039"/>
      <w:r>
        <w:rPr>
          <w:rFonts w:ascii="仿宋_GB2312" w:hAnsi="仿宋_GB2312" w:eastAsia="仿宋_GB2312" w:cs="仿宋_GB2312"/>
          <w:i w:val="0"/>
          <w:iCs w:val="0"/>
        </w:rPr>
        <w:t>8.3其他要求</w:t>
      </w:r>
      <w:bookmarkEnd w:id="41"/>
    </w:p>
    <w:p>
      <w:pPr>
        <w:pStyle w:val="4"/>
        <w:keepNext w:val="0"/>
        <w:spacing w:before="0" w:after="0" w:line="360" w:lineRule="auto"/>
        <w:rPr>
          <w:rFonts w:ascii="仿宋_GB2312" w:hAnsi="仿宋_GB2312" w:eastAsia="仿宋_GB2312" w:cs="仿宋_GB2312"/>
          <w:b/>
          <w:bCs/>
          <w:sz w:val="28"/>
          <w:szCs w:val="28"/>
        </w:rPr>
      </w:pPr>
      <w:bookmarkStart w:id="42" w:name="_Toc256000040"/>
      <w:r>
        <w:rPr>
          <w:rFonts w:ascii="仿宋_GB2312" w:hAnsi="仿宋_GB2312" w:eastAsia="仿宋_GB2312" w:cs="仿宋_GB2312"/>
          <w:sz w:val="28"/>
          <w:szCs w:val="28"/>
        </w:rPr>
        <w:t>8.3.1保密要求</w:t>
      </w:r>
      <w:bookmarkEnd w:id="42"/>
    </w:p>
    <w:p>
      <w:pPr>
        <w:pStyle w:val="12"/>
        <w:spacing w:before="0" w:after="0" w:line="360" w:lineRule="auto"/>
        <w:ind w:left="0" w:right="0" w:firstLine="480"/>
      </w:pPr>
      <w:r>
        <w:rPr>
          <w:rFonts w:ascii="仿宋_GB2312" w:hAnsi="仿宋_GB2312" w:eastAsia="仿宋_GB2312" w:cs="仿宋_GB2312"/>
          <w:sz w:val="28"/>
          <w:szCs w:val="28"/>
        </w:rPr>
        <w:t>1.中标方签订合同前必须按照国家相关保密规定和采购方签订《保密协议》，对违反《保密协议》相关内容规定的，采购方有权追究其法律责任。所有服务人员必须严格遵守国家、地方、行业相关保密管理政策规定。</w:t>
      </w:r>
    </w:p>
    <w:p>
      <w:pPr>
        <w:pStyle w:val="12"/>
        <w:spacing w:before="0" w:after="0" w:line="360" w:lineRule="auto"/>
        <w:ind w:left="0" w:right="0" w:firstLine="480"/>
      </w:pPr>
      <w:r>
        <w:rPr>
          <w:rFonts w:ascii="仿宋_GB2312" w:hAnsi="仿宋_GB2312" w:eastAsia="仿宋_GB2312" w:cs="仿宋_GB2312"/>
          <w:sz w:val="28"/>
          <w:szCs w:val="28"/>
        </w:rPr>
        <w:t>2.中标方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采购方有权向中标方追究法律责任。中标方应保证加强教育管理，禁止各岗位服务人员随意发表、交流、讨论、传播采购方内部人员信息或工作事项，如有违反，严肃处理。</w:t>
      </w:r>
    </w:p>
    <w:p>
      <w:pPr>
        <w:pStyle w:val="4"/>
        <w:keepNext w:val="0"/>
        <w:spacing w:before="0" w:after="0" w:line="360" w:lineRule="auto"/>
        <w:rPr>
          <w:rFonts w:ascii="仿宋_GB2312" w:hAnsi="仿宋_GB2312" w:eastAsia="仿宋_GB2312" w:cs="仿宋_GB2312"/>
          <w:b/>
          <w:bCs/>
          <w:sz w:val="28"/>
          <w:szCs w:val="28"/>
        </w:rPr>
      </w:pPr>
      <w:bookmarkStart w:id="43" w:name="_Toc256000041"/>
      <w:r>
        <w:rPr>
          <w:rFonts w:ascii="仿宋_GB2312" w:hAnsi="仿宋_GB2312" w:eastAsia="仿宋_GB2312" w:cs="仿宋_GB2312"/>
          <w:sz w:val="28"/>
          <w:szCs w:val="28"/>
        </w:rPr>
        <w:t>8.3.2知识转移要求</w:t>
      </w:r>
      <w:bookmarkEnd w:id="43"/>
    </w:p>
    <w:p>
      <w:pPr>
        <w:pStyle w:val="4"/>
        <w:keepNext w:val="0"/>
        <w:spacing w:before="0" w:after="0" w:line="360" w:lineRule="auto"/>
        <w:rPr>
          <w:rFonts w:ascii="仿宋_GB2312" w:hAnsi="仿宋_GB2312" w:eastAsia="仿宋_GB2312" w:cs="仿宋_GB2312"/>
          <w:b/>
          <w:bCs/>
          <w:sz w:val="28"/>
          <w:szCs w:val="28"/>
        </w:rPr>
      </w:pPr>
      <w:bookmarkStart w:id="44" w:name="_Toc256000042"/>
      <w:r>
        <w:rPr>
          <w:rFonts w:ascii="仿宋_GB2312" w:hAnsi="仿宋_GB2312" w:eastAsia="仿宋_GB2312" w:cs="仿宋_GB2312"/>
          <w:sz w:val="28"/>
          <w:szCs w:val="28"/>
        </w:rPr>
        <w:t>8.3.3知识产权要求</w:t>
      </w:r>
      <w:bookmarkEnd w:id="44"/>
    </w:p>
    <w:p>
      <w:pPr>
        <w:spacing w:before="0" w:after="0" w:line="360" w:lineRule="auto"/>
        <w:jc w:val="left"/>
      </w:pPr>
    </w:p>
    <w:sectPr>
      <w:footerReference r:id="rId3" w:type="default"/>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FangSong_GB2312">
    <w:altName w:val="仿宋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360" w:lineRule="auto"/>
      <w:jc w:val="center"/>
    </w:pPr>
    <w:r>
      <w:fldChar w:fldCharType="begin"/>
    </w:r>
    <w:r>
      <w:instrText xml:space="preserve"> PAGE </w:instrText>
    </w:r>
    <w:r>
      <w:fldChar w:fldCharType="separate"/>
    </w:r>
    <w:r>
      <w:t>11</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0C8F32F6"/>
    <w:rsid w:val="2D1538E6"/>
    <w:rsid w:val="325C3D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qFormat/>
    <w:uiPriority w:val="0"/>
    <w:pPr>
      <w:keepNext/>
      <w:spacing w:before="240" w:after="60"/>
      <w:outlineLvl w:val="1"/>
    </w:pPr>
    <w:rPr>
      <w:rFonts w:ascii="Arial" w:hAnsi="Arial" w:cs="Arial"/>
      <w:b/>
      <w:bCs/>
      <w:i/>
      <w:iCs/>
      <w:sz w:val="28"/>
      <w:szCs w:val="28"/>
    </w:rPr>
  </w:style>
  <w:style w:type="paragraph" w:styleId="4">
    <w:name w:val="heading 3"/>
    <w:basedOn w:val="1"/>
    <w:next w:val="1"/>
    <w:qFormat/>
    <w:uiPriority w:val="0"/>
    <w:pPr>
      <w:keepNext/>
      <w:spacing w:before="240" w:after="60"/>
      <w:outlineLvl w:val="2"/>
    </w:pPr>
    <w:rPr>
      <w:rFonts w:ascii="Arial" w:hAnsi="Arial" w:cs="Arial"/>
      <w:b/>
      <w:bCs/>
      <w:sz w:val="26"/>
      <w:szCs w:val="26"/>
    </w:rPr>
  </w:style>
  <w:style w:type="paragraph" w:styleId="5">
    <w:name w:val="heading 4"/>
    <w:basedOn w:val="1"/>
    <w:next w:val="1"/>
    <w:qFormat/>
    <w:uiPriority w:val="0"/>
    <w:pPr>
      <w:keepNext/>
      <w:spacing w:before="240" w:after="60"/>
      <w:outlineLvl w:val="3"/>
    </w:pPr>
    <w:rPr>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toc 3"/>
    <w:basedOn w:val="1"/>
    <w:next w:val="1"/>
    <w:qFormat/>
    <w:uiPriority w:val="0"/>
    <w:pPr>
      <w:ind w:left="480"/>
    </w:pPr>
  </w:style>
  <w:style w:type="paragraph" w:styleId="7">
    <w:name w:val="toc 1"/>
    <w:basedOn w:val="1"/>
    <w:next w:val="1"/>
    <w:qFormat/>
    <w:uiPriority w:val="0"/>
  </w:style>
  <w:style w:type="paragraph" w:styleId="8">
    <w:name w:val="toc 2"/>
    <w:basedOn w:val="1"/>
    <w:next w:val="1"/>
    <w:qFormat/>
    <w:uiPriority w:val="0"/>
    <w:pPr>
      <w:ind w:left="240"/>
    </w:pPr>
  </w:style>
  <w:style w:type="character" w:styleId="11">
    <w:name w:val="Hyperlink"/>
    <w:basedOn w:val="10"/>
    <w:qFormat/>
    <w:uiPriority w:val="0"/>
    <w:rPr>
      <w:color w:val="0000FF"/>
      <w:u w:val="single"/>
    </w:rPr>
  </w:style>
  <w:style w:type="paragraph" w:customStyle="1" w:styleId="12">
    <w:name w:val="MsoNormal"/>
    <w:basedOn w:val="1"/>
    <w:qFormat/>
    <w:uiPriority w:val="0"/>
  </w:style>
  <w:style w:type="paragraph" w:customStyle="1" w:styleId="13">
    <w:name w:val="15"/>
    <w:basedOn w:val="1"/>
    <w:qFormat/>
    <w:uiPriority w:val="0"/>
  </w:style>
  <w:style w:type="paragraph" w:customStyle="1" w:styleId="14">
    <w:name w:val="16"/>
    <w:basedOn w:v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11</Pages>
  <Words>0</Words>
  <Characters>0</Characters>
  <Lines>1</Lines>
  <Paragraphs>1</Paragraphs>
  <TotalTime>1</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2026-03-27T04:24:00Z</dcterms:created>
  <dc:creator>Administrator</dc:creator>
  <cp:lastModifiedBy>孔琪</cp:lastModifiedBy>
  <dcterms:modified xsi:type="dcterms:W3CDTF">2026-04-02T07:03:48Z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