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autoSpaceDE w:val="0"/>
        <w:autoSpaceDN w:val="0"/>
        <w:spacing w:before="0" w:after="0" w:line="360" w:lineRule="auto"/>
        <w:jc w:val="center"/>
        <w:rPr>
          <w:rFonts w:hint="eastAsia" w:ascii="宋体" w:hAnsi="宋体" w:eastAsia="宋体" w:cs="宋体"/>
          <w:b/>
          <w:sz w:val="96"/>
          <w:szCs w:val="96"/>
          <w:lang w:eastAsia="zh-CN"/>
        </w:rPr>
      </w:pPr>
    </w:p>
    <w:p>
      <w:pPr>
        <w:widowControl w:val="0"/>
        <w:topLinePunct/>
        <w:autoSpaceDE w:val="0"/>
        <w:autoSpaceDN w:val="0"/>
        <w:spacing w:before="0" w:after="0" w:line="360" w:lineRule="auto"/>
        <w:jc w:val="center"/>
        <w:rPr>
          <w:rFonts w:hint="eastAsia" w:ascii="宋体" w:hAnsi="宋体" w:eastAsia="宋体" w:cs="宋体"/>
          <w:b/>
          <w:sz w:val="96"/>
          <w:szCs w:val="96"/>
          <w:lang w:eastAsia="zh-CN"/>
        </w:rPr>
      </w:pPr>
      <w:r>
        <w:rPr>
          <w:rFonts w:hint="eastAsia" w:ascii="宋体" w:hAnsi="宋体" w:eastAsia="宋体" w:cs="宋体"/>
          <w:b/>
          <w:sz w:val="96"/>
          <w:szCs w:val="96"/>
          <w:lang w:eastAsia="zh-CN"/>
        </w:rPr>
        <w:t>采 购 需 求</w:t>
      </w: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lang w:eastAsia="zh-CN"/>
        </w:rPr>
        <w:t>项目名称：</w:t>
      </w:r>
      <w:bookmarkStart w:id="0" w:name="项目名称_projectName"/>
      <w:r>
        <w:rPr>
          <w:rFonts w:hint="eastAsia" w:ascii="宋体" w:hAnsi="宋体" w:eastAsia="宋体" w:cs="宋体"/>
          <w:b/>
          <w:sz w:val="30"/>
          <w:szCs w:val="30"/>
          <w:lang w:eastAsia="zh-CN"/>
        </w:rPr>
        <w:t>国家税务总局天津经济技术开发区税务局12366纳税缴费服务热线远程座席服务</w:t>
      </w:r>
      <w:bookmarkEnd w:id="0"/>
    </w:p>
    <w:p>
      <w:pPr>
        <w:widowControl w:val="0"/>
        <w:spacing w:before="0" w:after="0" w:line="360" w:lineRule="auto"/>
        <w:jc w:val="both"/>
        <w:rPr>
          <w:rFonts w:hint="eastAsia" w:ascii="宋体" w:hAnsi="宋体" w:eastAsia="宋体" w:cs="宋体"/>
          <w:kern w:val="2"/>
          <w:sz w:val="32"/>
          <w:szCs w:val="32"/>
          <w:lang w:eastAsia="zh-CN"/>
        </w:rPr>
      </w:pPr>
    </w:p>
    <w:p>
      <w:pPr>
        <w:widowControl w:val="0"/>
        <w:spacing w:before="0" w:after="0" w:line="360" w:lineRule="auto"/>
        <w:jc w:val="both"/>
        <w:rPr>
          <w:rFonts w:ascii="宋体" w:hAnsi="宋体" w:eastAsia="宋体" w:cs="宋体"/>
          <w:kern w:val="2"/>
          <w:sz w:val="32"/>
          <w:szCs w:val="32"/>
          <w:lang w:eastAsia="zh-CN"/>
        </w:rPr>
      </w:pPr>
    </w:p>
    <w:p>
      <w:pPr>
        <w:widowControl w:val="0"/>
        <w:spacing w:before="0" w:after="0" w:line="360" w:lineRule="auto"/>
        <w:jc w:val="both"/>
        <w:rPr>
          <w:rFonts w:hint="eastAsia" w:ascii="宋体" w:hAnsi="宋体" w:eastAsia="宋体" w:cs="宋体"/>
          <w:kern w:val="2"/>
          <w:sz w:val="32"/>
          <w:szCs w:val="32"/>
          <w:lang w:eastAsia="zh-CN"/>
        </w:rPr>
      </w:pPr>
    </w:p>
    <w:p>
      <w:pPr>
        <w:widowControl w:val="0"/>
        <w:topLinePunct/>
        <w:autoSpaceDE w:val="0"/>
        <w:autoSpaceDN w:val="0"/>
        <w:spacing w:before="0" w:after="0" w:line="360" w:lineRule="auto"/>
        <w:jc w:val="both"/>
        <w:rPr>
          <w:rFonts w:hint="eastAsia" w:ascii="宋体" w:hAnsi="宋体" w:eastAsia="宋体" w:cs="宋体"/>
          <w:sz w:val="32"/>
          <w:szCs w:val="32"/>
          <w:lang w:eastAsia="zh-CN"/>
        </w:rPr>
      </w:pPr>
    </w:p>
    <w:p>
      <w:pPr>
        <w:spacing w:before="0" w:after="0" w:line="360" w:lineRule="auto"/>
        <w:jc w:val="center"/>
        <w:rPr>
          <w:rFonts w:eastAsia="宋体"/>
        </w:rPr>
      </w:pPr>
      <w:bookmarkStart w:id="1" w:name="生成日期_currentDateTime_ym"/>
      <w:r>
        <w:rPr>
          <w:rFonts w:hint="eastAsia" w:ascii="宋体" w:hAnsi="宋体" w:eastAsia="宋体" w:cs="宋体"/>
          <w:sz w:val="36"/>
          <w:szCs w:val="36"/>
          <w:lang w:eastAsia="zh-CN"/>
        </w:rPr>
        <w:t>2026年03月</w:t>
      </w:r>
      <w:bookmarkEnd w:id="1"/>
    </w:p>
    <w:p>
      <w:pPr>
        <w:spacing w:before="0" w:after="0" w:line="360" w:lineRule="auto"/>
        <w:jc w:val="center"/>
        <w:rPr>
          <w:rFonts w:ascii="宋体" w:hAnsi="宋体" w:eastAsia="宋体" w:cs="宋体"/>
          <w:sz w:val="32"/>
        </w:rPr>
      </w:pPr>
      <w:r>
        <w:br w:type="page"/>
      </w:r>
      <w:r>
        <w:rPr>
          <w:rFonts w:ascii="宋体" w:hAnsi="宋体" w:eastAsia="宋体" w:cs="宋体"/>
          <w:sz w:val="32"/>
        </w:rPr>
        <w:t>目 录</w:t>
      </w:r>
    </w:p>
    <w:p>
      <w:pPr>
        <w:pStyle w:val="7"/>
        <w:tabs>
          <w:tab w:val="right" w:leader="dot" w:pos="9016"/>
        </w:tabs>
        <w:spacing w:before="0" w:after="0" w:line="360" w:lineRule="auto"/>
        <w:rPr>
          <w:rFonts w:asciiTheme="minorHAnsi" w:hAnsiTheme="minorHAnsi"/>
          <w:sz w:val="22"/>
        </w:rPr>
      </w:pPr>
      <w:r>
        <w:rPr>
          <w:rFonts w:ascii="宋体" w:hAnsi="宋体" w:eastAsia="宋体" w:cs="宋体"/>
          <w:sz w:val="32"/>
        </w:rPr>
        <w:fldChar w:fldCharType="begin"/>
      </w:r>
      <w:r>
        <w:rPr>
          <w:rFonts w:ascii="宋体" w:hAnsi="宋体" w:eastAsia="宋体" w:cs="宋体"/>
          <w:sz w:val="32"/>
        </w:rPr>
        <w:instrText xml:space="preserve">TOC \o "1-3" \h \z \u</w:instrText>
      </w:r>
      <w:r>
        <w:rPr>
          <w:rFonts w:ascii="宋体" w:hAnsi="宋体" w:eastAsia="宋体" w:cs="宋体"/>
          <w:sz w:val="32"/>
        </w:rPr>
        <w:fldChar w:fldCharType="separate"/>
      </w:r>
      <w:r>
        <w:fldChar w:fldCharType="begin"/>
      </w:r>
      <w:r>
        <w:instrText xml:space="preserve"> HYPERLINK \l "_Toc256000000" </w:instrText>
      </w:r>
      <w:r>
        <w:fldChar w:fldCharType="separate"/>
      </w:r>
      <w:r>
        <w:rPr>
          <w:rStyle w:val="11"/>
          <w:rFonts w:ascii="仿宋_GB2312" w:hAnsi="仿宋_GB2312" w:eastAsia="仿宋_GB2312" w:cs="仿宋_GB2312"/>
          <w:kern w:val="36"/>
        </w:rPr>
        <w:t>1项目概述</w:t>
      </w:r>
      <w:r>
        <w:tab/>
      </w:r>
      <w:r>
        <w:fldChar w:fldCharType="begin"/>
      </w:r>
      <w:r>
        <w:instrText xml:space="preserve"> PAGEREF _Toc256000000 \h </w:instrText>
      </w:r>
      <w:r>
        <w:fldChar w:fldCharType="separate"/>
      </w:r>
      <w:r>
        <w:t>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"_Toc256000001" </w:instrText>
      </w:r>
      <w:r>
        <w:fldChar w:fldCharType="separate"/>
      </w:r>
      <w:r>
        <w:rPr>
          <w:rStyle w:val="11"/>
          <w:rFonts w:ascii="仿宋_GB2312" w:hAnsi="仿宋_GB2312" w:eastAsia="仿宋_GB2312" w:cs="仿宋_GB2312"/>
        </w:rPr>
        <w:t>1.1项目背景</w:t>
      </w:r>
      <w:r>
        <w:tab/>
      </w:r>
      <w:r>
        <w:fldChar w:fldCharType="begin"/>
      </w:r>
      <w:r>
        <w:instrText xml:space="preserve"> PAGEREF _Toc256000001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"_Toc256000002" </w:instrText>
      </w:r>
      <w:r>
        <w:fldChar w:fldCharType="separate"/>
      </w:r>
      <w:r>
        <w:rPr>
          <w:rStyle w:val="11"/>
          <w:rFonts w:ascii="仿宋_GB2312" w:hAnsi="仿宋_GB2312" w:eastAsia="仿宋_GB2312" w:cs="仿宋_GB2312"/>
        </w:rPr>
        <w:t>1.1.1项目目的、意义及背景</w:t>
      </w:r>
      <w:r>
        <w:tab/>
      </w:r>
      <w:r>
        <w:fldChar w:fldCharType="begin"/>
      </w:r>
      <w:r>
        <w:instrText xml:space="preserve"> PAGEREF _Toc256000002 \h </w:instrText>
      </w:r>
      <w:r>
        <w:fldChar w:fldCharType="separate"/>
      </w:r>
      <w:r>
        <w:t>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"_Toc256000003" </w:instrText>
      </w:r>
      <w:r>
        <w:fldChar w:fldCharType="separate"/>
      </w:r>
      <w:r>
        <w:rPr>
          <w:rStyle w:val="11"/>
          <w:rFonts w:ascii="仿宋_GB2312" w:hAnsi="仿宋_GB2312" w:eastAsia="仿宋_GB2312" w:cs="仿宋_GB2312"/>
        </w:rPr>
        <w:t>1.2项目内容</w:t>
      </w:r>
      <w:r>
        <w:tab/>
      </w:r>
      <w:r>
        <w:fldChar w:fldCharType="begin"/>
      </w:r>
      <w:r>
        <w:instrText xml:space="preserve"> PAGEREF _Toc256000003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"_Toc256000004" </w:instrText>
      </w:r>
      <w:r>
        <w:fldChar w:fldCharType="separate"/>
      </w:r>
      <w:r>
        <w:rPr>
          <w:rStyle w:val="11"/>
          <w:rFonts w:ascii="仿宋_GB2312" w:hAnsi="仿宋_GB2312" w:eastAsia="仿宋_GB2312" w:cs="仿宋_GB2312"/>
        </w:rPr>
        <w:t>1.2.1项目建设思路</w:t>
      </w:r>
      <w:r>
        <w:tab/>
      </w:r>
      <w:r>
        <w:fldChar w:fldCharType="begin"/>
      </w:r>
      <w:r>
        <w:instrText xml:space="preserve"> PAGEREF _Toc256000004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"_Toc256000005" </w:instrText>
      </w:r>
      <w:r>
        <w:fldChar w:fldCharType="separate"/>
      </w:r>
      <w:r>
        <w:rPr>
          <w:rStyle w:val="11"/>
          <w:rFonts w:ascii="仿宋_GB2312" w:hAnsi="仿宋_GB2312" w:eastAsia="仿宋_GB2312" w:cs="仿宋_GB2312"/>
        </w:rPr>
        <w:t>1.2.2采购内容</w:t>
      </w:r>
      <w:r>
        <w:tab/>
      </w:r>
      <w:r>
        <w:fldChar w:fldCharType="begin"/>
      </w:r>
      <w:r>
        <w:instrText xml:space="preserve"> PAGEREF _Toc256000005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"_Toc256000006" </w:instrText>
      </w:r>
      <w:r>
        <w:fldChar w:fldCharType="separate"/>
      </w:r>
      <w:r>
        <w:rPr>
          <w:rStyle w:val="11"/>
          <w:rFonts w:ascii="仿宋_GB2312" w:hAnsi="仿宋_GB2312" w:eastAsia="仿宋_GB2312" w:cs="仿宋_GB2312"/>
        </w:rPr>
        <w:t>1.2.3项目实施要求</w:t>
      </w:r>
      <w:r>
        <w:tab/>
      </w:r>
      <w:r>
        <w:fldChar w:fldCharType="begin"/>
      </w:r>
      <w:r>
        <w:instrText xml:space="preserve"> PAGEREF _Toc256000006 \h </w:instrText>
      </w:r>
      <w:r>
        <w:fldChar w:fldCharType="separate"/>
      </w:r>
      <w:r>
        <w:t>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"_Toc256000007" </w:instrText>
      </w:r>
      <w:r>
        <w:fldChar w:fldCharType="separate"/>
      </w:r>
      <w:r>
        <w:rPr>
          <w:rStyle w:val="11"/>
          <w:rFonts w:ascii="仿宋_GB2312" w:hAnsi="仿宋_GB2312" w:eastAsia="仿宋_GB2312" w:cs="仿宋_GB2312"/>
        </w:rPr>
        <w:t>1.3其他要求</w:t>
      </w:r>
      <w:r>
        <w:tab/>
      </w:r>
      <w:r>
        <w:fldChar w:fldCharType="begin"/>
      </w:r>
      <w:r>
        <w:instrText xml:space="preserve"> PAGEREF _Toc256000007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"_Toc256000008" </w:instrText>
      </w:r>
      <w:r>
        <w:fldChar w:fldCharType="separate"/>
      </w:r>
      <w:r>
        <w:rPr>
          <w:rStyle w:val="11"/>
          <w:rFonts w:ascii="仿宋_GB2312" w:hAnsi="仿宋_GB2312" w:eastAsia="仿宋_GB2312" w:cs="仿宋_GB2312"/>
        </w:rPr>
        <w:t>1.3.1采购标的需执行的相关标准规范</w:t>
      </w:r>
      <w:r>
        <w:tab/>
      </w:r>
      <w:r>
        <w:fldChar w:fldCharType="begin"/>
      </w:r>
      <w:r>
        <w:instrText xml:space="preserve"> PAGEREF _Toc256000008 \h </w:instrText>
      </w:r>
      <w:r>
        <w:fldChar w:fldCharType="separate"/>
      </w:r>
      <w:r>
        <w:t>5</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"_Toc256000009" </w:instrText>
      </w:r>
      <w:r>
        <w:fldChar w:fldCharType="separate"/>
      </w:r>
      <w:r>
        <w:rPr>
          <w:rStyle w:val="11"/>
          <w:rFonts w:ascii="仿宋_GB2312" w:hAnsi="仿宋_GB2312" w:eastAsia="仿宋_GB2312" w:cs="仿宋_GB2312"/>
          <w:kern w:val="36"/>
        </w:rPr>
        <w:t>2投标/响应要求</w:t>
      </w:r>
      <w:r>
        <w:tab/>
      </w:r>
      <w:r>
        <w:fldChar w:fldCharType="begin"/>
      </w:r>
      <w:r>
        <w:instrText xml:space="preserve"> PAGEREF _Toc256000009 \h </w:instrText>
      </w:r>
      <w:r>
        <w:fldChar w:fldCharType="separate"/>
      </w:r>
      <w:r>
        <w:t>5</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"_Toc256000010" </w:instrText>
      </w:r>
      <w:r>
        <w:fldChar w:fldCharType="separate"/>
      </w:r>
      <w:r>
        <w:rPr>
          <w:rStyle w:val="11"/>
          <w:rFonts w:ascii="仿宋_GB2312" w:hAnsi="仿宋_GB2312" w:eastAsia="仿宋_GB2312" w:cs="仿宋_GB2312"/>
        </w:rPr>
        <w:t>2.1对供应商的要求</w:t>
      </w:r>
      <w:r>
        <w:tab/>
      </w:r>
      <w:r>
        <w:fldChar w:fldCharType="begin"/>
      </w:r>
      <w:r>
        <w:instrText xml:space="preserve"> PAGEREF _Toc256000010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"_Toc256000011" </w:instrText>
      </w:r>
      <w:r>
        <w:fldChar w:fldCharType="separate"/>
      </w:r>
      <w:r>
        <w:rPr>
          <w:rStyle w:val="11"/>
          <w:rFonts w:ascii="仿宋_GB2312" w:hAnsi="仿宋_GB2312" w:eastAsia="仿宋_GB2312" w:cs="仿宋_GB2312"/>
        </w:rPr>
        <w:t>2.1.1必备资质</w:t>
      </w:r>
      <w:r>
        <w:tab/>
      </w:r>
      <w:r>
        <w:fldChar w:fldCharType="begin"/>
      </w:r>
      <w:r>
        <w:instrText xml:space="preserve"> PAGEREF _Toc256000011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"_Toc256000012" </w:instrText>
      </w:r>
      <w:r>
        <w:fldChar w:fldCharType="separate"/>
      </w:r>
      <w:r>
        <w:rPr>
          <w:rStyle w:val="11"/>
          <w:rFonts w:ascii="仿宋_GB2312" w:hAnsi="仿宋_GB2312" w:eastAsia="仿宋_GB2312" w:cs="仿宋_GB2312"/>
        </w:rPr>
        <w:t>2.1.2优选资质/优选指标</w:t>
      </w:r>
      <w:r>
        <w:tab/>
      </w:r>
      <w:r>
        <w:fldChar w:fldCharType="begin"/>
      </w:r>
      <w:r>
        <w:instrText xml:space="preserve"> PAGEREF _Toc256000012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"_Toc256000013" </w:instrText>
      </w:r>
      <w:r>
        <w:fldChar w:fldCharType="separate"/>
      </w:r>
      <w:r>
        <w:rPr>
          <w:rStyle w:val="11"/>
          <w:rFonts w:ascii="仿宋_GB2312" w:hAnsi="仿宋_GB2312" w:eastAsia="仿宋_GB2312" w:cs="仿宋_GB2312"/>
        </w:rPr>
        <w:t>2.1.3是否允许联合体</w:t>
      </w:r>
      <w:r>
        <w:tab/>
      </w:r>
      <w:r>
        <w:fldChar w:fldCharType="begin"/>
      </w:r>
      <w:r>
        <w:instrText xml:space="preserve"> PAGEREF _Toc256000013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"_Toc256000014" </w:instrText>
      </w:r>
      <w:r>
        <w:fldChar w:fldCharType="separate"/>
      </w:r>
      <w:r>
        <w:rPr>
          <w:rStyle w:val="11"/>
          <w:rFonts w:ascii="仿宋_GB2312" w:hAnsi="仿宋_GB2312" w:eastAsia="仿宋_GB2312" w:cs="仿宋_GB2312"/>
        </w:rPr>
        <w:t>2.1.4是否专门面向中小企业</w:t>
      </w:r>
      <w:r>
        <w:tab/>
      </w:r>
      <w:r>
        <w:fldChar w:fldCharType="begin"/>
      </w:r>
      <w:r>
        <w:instrText xml:space="preserve"> PAGEREF _Toc256000014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"_Toc256000015" </w:instrText>
      </w:r>
      <w:r>
        <w:fldChar w:fldCharType="separate"/>
      </w:r>
      <w:r>
        <w:rPr>
          <w:rStyle w:val="11"/>
          <w:rFonts w:ascii="仿宋_GB2312" w:hAnsi="仿宋_GB2312" w:eastAsia="仿宋_GB2312" w:cs="仿宋_GB2312"/>
        </w:rPr>
        <w:t>2.1.5其他要求</w:t>
      </w:r>
      <w:r>
        <w:tab/>
      </w:r>
      <w:r>
        <w:fldChar w:fldCharType="begin"/>
      </w:r>
      <w:r>
        <w:instrText xml:space="preserve"> PAGEREF _Toc256000015 \h </w:instrText>
      </w:r>
      <w:r>
        <w:fldChar w:fldCharType="separate"/>
      </w:r>
      <w:r>
        <w:t>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"_Toc256000016" </w:instrText>
      </w:r>
      <w:r>
        <w:fldChar w:fldCharType="separate"/>
      </w:r>
      <w:r>
        <w:rPr>
          <w:rStyle w:val="11"/>
          <w:rFonts w:ascii="仿宋_GB2312" w:hAnsi="仿宋_GB2312" w:eastAsia="仿宋_GB2312" w:cs="仿宋_GB2312"/>
        </w:rPr>
        <w:t>2.2技术部分投标/响应内容</w:t>
      </w:r>
      <w:r>
        <w:tab/>
      </w:r>
      <w:r>
        <w:fldChar w:fldCharType="begin"/>
      </w:r>
      <w:r>
        <w:instrText xml:space="preserve"> PAGEREF _Toc256000016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"_Toc256000017" </w:instrText>
      </w:r>
      <w:r>
        <w:fldChar w:fldCharType="separate"/>
      </w:r>
      <w:r>
        <w:rPr>
          <w:rStyle w:val="11"/>
          <w:rFonts w:ascii="仿宋_GB2312" w:hAnsi="仿宋_GB2312" w:eastAsia="仿宋_GB2312" w:cs="仿宋_GB2312"/>
        </w:rPr>
        <w:t>2.2.1技术投标/响应总要求</w:t>
      </w:r>
      <w:r>
        <w:tab/>
      </w:r>
      <w:r>
        <w:fldChar w:fldCharType="begin"/>
      </w:r>
      <w:r>
        <w:instrText xml:space="preserve"> PAGEREF _Toc256000017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"_Toc256000018" </w:instrText>
      </w:r>
      <w:r>
        <w:fldChar w:fldCharType="separate"/>
      </w:r>
      <w:r>
        <w:rPr>
          <w:rStyle w:val="11"/>
          <w:rFonts w:ascii="仿宋_GB2312" w:hAnsi="仿宋_GB2312" w:eastAsia="仿宋_GB2312" w:cs="仿宋_GB2312"/>
        </w:rPr>
        <w:t>2.2.2投标/响应方案要求</w:t>
      </w:r>
      <w:r>
        <w:tab/>
      </w:r>
      <w:r>
        <w:fldChar w:fldCharType="begin"/>
      </w:r>
      <w:r>
        <w:instrText xml:space="preserve"> PAGEREF _Toc256000018 \h </w:instrText>
      </w:r>
      <w:r>
        <w:fldChar w:fldCharType="separate"/>
      </w:r>
      <w:r>
        <w:t>6</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"_Toc256000019" </w:instrText>
      </w:r>
      <w:r>
        <w:fldChar w:fldCharType="separate"/>
      </w:r>
      <w:r>
        <w:rPr>
          <w:rStyle w:val="11"/>
          <w:rFonts w:ascii="仿宋_GB2312" w:hAnsi="仿宋_GB2312" w:eastAsia="仿宋_GB2312" w:cs="仿宋_GB2312"/>
          <w:kern w:val="36"/>
        </w:rPr>
        <w:t>3项目需求</w:t>
      </w:r>
      <w:r>
        <w:tab/>
      </w:r>
      <w:r>
        <w:fldChar w:fldCharType="begin"/>
      </w:r>
      <w:r>
        <w:instrText xml:space="preserve"> PAGEREF _Toc256000019 \h </w:instrText>
      </w:r>
      <w:r>
        <w:fldChar w:fldCharType="separate"/>
      </w:r>
      <w:r>
        <w:t>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"_Toc256000020" </w:instrText>
      </w:r>
      <w:r>
        <w:fldChar w:fldCharType="separate"/>
      </w:r>
      <w:r>
        <w:rPr>
          <w:rStyle w:val="11"/>
          <w:rFonts w:ascii="仿宋_GB2312" w:hAnsi="仿宋_GB2312" w:eastAsia="仿宋_GB2312" w:cs="仿宋_GB2312"/>
        </w:rPr>
        <w:t>3.1总体要求</w:t>
      </w:r>
      <w:r>
        <w:tab/>
      </w:r>
      <w:r>
        <w:fldChar w:fldCharType="begin"/>
      </w:r>
      <w:r>
        <w:instrText xml:space="preserve"> PAGEREF _Toc256000020 \h </w:instrText>
      </w:r>
      <w:r>
        <w:fldChar w:fldCharType="separate"/>
      </w:r>
      <w:r>
        <w:t>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"_Toc256000021" </w:instrText>
      </w:r>
      <w:r>
        <w:fldChar w:fldCharType="separate"/>
      </w:r>
      <w:r>
        <w:rPr>
          <w:rStyle w:val="11"/>
          <w:rFonts w:ascii="仿宋_GB2312" w:hAnsi="仿宋_GB2312" w:eastAsia="仿宋_GB2312" w:cs="仿宋_GB2312"/>
        </w:rPr>
        <w:t>3.2服务内容和要求</w:t>
      </w:r>
      <w:r>
        <w:tab/>
      </w:r>
      <w:r>
        <w:fldChar w:fldCharType="begin"/>
      </w:r>
      <w:r>
        <w:instrText xml:space="preserve"> PAGEREF _Toc256000021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"_Toc256000022" </w:instrText>
      </w:r>
      <w:r>
        <w:fldChar w:fldCharType="separate"/>
      </w:r>
      <w:r>
        <w:rPr>
          <w:rStyle w:val="11"/>
          <w:rFonts w:ascii="仿宋_GB2312" w:hAnsi="仿宋_GB2312" w:eastAsia="仿宋_GB2312" w:cs="仿宋_GB2312"/>
        </w:rPr>
        <w:t>3.2.1技术和服务客观指标</w:t>
      </w:r>
      <w:r>
        <w:tab/>
      </w:r>
      <w:r>
        <w:fldChar w:fldCharType="begin"/>
      </w:r>
      <w:r>
        <w:instrText xml:space="preserve"> PAGEREF _Toc256000022 \h </w:instrText>
      </w:r>
      <w:r>
        <w:fldChar w:fldCharType="separate"/>
      </w:r>
      <w:r>
        <w:t>7</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"_Toc256000023" </w:instrText>
      </w:r>
      <w:r>
        <w:fldChar w:fldCharType="separate"/>
      </w:r>
      <w:r>
        <w:rPr>
          <w:rStyle w:val="11"/>
          <w:rFonts w:ascii="仿宋_GB2312" w:hAnsi="仿宋_GB2312" w:eastAsia="仿宋_GB2312" w:cs="仿宋_GB2312"/>
        </w:rPr>
        <w:t>3.2.2技术和服务其他要求</w:t>
      </w:r>
      <w:r>
        <w:tab/>
      </w:r>
      <w:r>
        <w:fldChar w:fldCharType="begin"/>
      </w:r>
      <w:r>
        <w:instrText xml:space="preserve"> PAGEREF _Toc256000023 \h </w:instrText>
      </w:r>
      <w:r>
        <w:fldChar w:fldCharType="separate"/>
      </w:r>
      <w:r>
        <w:t>7</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"_Toc256000024" </w:instrText>
      </w:r>
      <w:r>
        <w:fldChar w:fldCharType="separate"/>
      </w:r>
      <w:r>
        <w:rPr>
          <w:rStyle w:val="11"/>
          <w:rFonts w:ascii="仿宋_GB2312" w:hAnsi="仿宋_GB2312" w:eastAsia="仿宋_GB2312" w:cs="仿宋_GB2312"/>
          <w:kern w:val="36"/>
        </w:rPr>
        <w:t>4人员要求</w:t>
      </w:r>
      <w:r>
        <w:tab/>
      </w:r>
      <w:r>
        <w:fldChar w:fldCharType="begin"/>
      </w:r>
      <w:r>
        <w:instrText xml:space="preserve"> PAGEREF _Toc256000024 \h </w:instrText>
      </w:r>
      <w:r>
        <w:fldChar w:fldCharType="separate"/>
      </w:r>
      <w:r>
        <w:t>7</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"_Toc256000025" </w:instrText>
      </w:r>
      <w:r>
        <w:fldChar w:fldCharType="separate"/>
      </w:r>
      <w:r>
        <w:rPr>
          <w:rStyle w:val="11"/>
          <w:rFonts w:ascii="仿宋_GB2312" w:hAnsi="仿宋_GB2312" w:eastAsia="仿宋_GB2312" w:cs="仿宋_GB2312"/>
        </w:rPr>
        <w:t>4.1总体要求</w:t>
      </w:r>
      <w:r>
        <w:tab/>
      </w:r>
      <w:r>
        <w:fldChar w:fldCharType="begin"/>
      </w:r>
      <w:r>
        <w:instrText xml:space="preserve"> PAGEREF _Toc256000025 \h </w:instrText>
      </w:r>
      <w:r>
        <w:fldChar w:fldCharType="separate"/>
      </w:r>
      <w:r>
        <w:t>7</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"_Toc256000026" </w:instrText>
      </w:r>
      <w:r>
        <w:fldChar w:fldCharType="separate"/>
      </w:r>
      <w:r>
        <w:rPr>
          <w:rStyle w:val="11"/>
          <w:rFonts w:ascii="仿宋_GB2312" w:hAnsi="仿宋_GB2312" w:eastAsia="仿宋_GB2312" w:cs="仿宋_GB2312"/>
        </w:rPr>
        <w:t>4.2管理团队</w:t>
      </w:r>
      <w:r>
        <w:tab/>
      </w:r>
      <w:r>
        <w:fldChar w:fldCharType="begin"/>
      </w:r>
      <w:r>
        <w:instrText xml:space="preserve"> PAGEREF _Toc256000026 \h </w:instrText>
      </w:r>
      <w:r>
        <w:fldChar w:fldCharType="separate"/>
      </w:r>
      <w:r>
        <w:t>8</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"_Toc256000027" </w:instrText>
      </w:r>
      <w:r>
        <w:fldChar w:fldCharType="separate"/>
      </w:r>
      <w:r>
        <w:rPr>
          <w:rStyle w:val="11"/>
          <w:rFonts w:ascii="仿宋_GB2312" w:hAnsi="仿宋_GB2312" w:eastAsia="仿宋_GB2312" w:cs="仿宋_GB2312"/>
        </w:rPr>
        <w:t>4.2.1组长</w:t>
      </w:r>
      <w:r>
        <w:tab/>
      </w:r>
      <w:r>
        <w:fldChar w:fldCharType="begin"/>
      </w:r>
      <w:r>
        <w:instrText xml:space="preserve"> PAGEREF _Toc256000027 \h </w:instrText>
      </w:r>
      <w:r>
        <w:fldChar w:fldCharType="separate"/>
      </w:r>
      <w:r>
        <w:t>8</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"_Toc256000028" </w:instrText>
      </w:r>
      <w:r>
        <w:fldChar w:fldCharType="separate"/>
      </w:r>
      <w:r>
        <w:rPr>
          <w:rStyle w:val="11"/>
          <w:rFonts w:ascii="仿宋_GB2312" w:hAnsi="仿宋_GB2312" w:eastAsia="仿宋_GB2312" w:cs="仿宋_GB2312"/>
        </w:rPr>
        <w:t>4.3技术团队</w:t>
      </w:r>
      <w:r>
        <w:tab/>
      </w:r>
      <w:r>
        <w:fldChar w:fldCharType="begin"/>
      </w:r>
      <w:r>
        <w:instrText xml:space="preserve"> PAGEREF _Toc256000028 \h </w:instrText>
      </w:r>
      <w:r>
        <w:fldChar w:fldCharType="separate"/>
      </w:r>
      <w:r>
        <w:t>8</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"_Toc256000029" </w:instrText>
      </w:r>
      <w:r>
        <w:fldChar w:fldCharType="separate"/>
      </w:r>
      <w:r>
        <w:rPr>
          <w:rStyle w:val="11"/>
          <w:rFonts w:ascii="仿宋_GB2312" w:hAnsi="仿宋_GB2312" w:eastAsia="仿宋_GB2312" w:cs="仿宋_GB2312"/>
        </w:rPr>
        <w:t>4.4人员具体要求</w:t>
      </w:r>
      <w:r>
        <w:tab/>
      </w:r>
      <w:r>
        <w:fldChar w:fldCharType="begin"/>
      </w:r>
      <w:r>
        <w:instrText xml:space="preserve"> PAGEREF _Toc256000029 \h </w:instrText>
      </w:r>
      <w:r>
        <w:fldChar w:fldCharType="separate"/>
      </w:r>
      <w:r>
        <w:t>8</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"_Toc256000030" </w:instrText>
      </w:r>
      <w:r>
        <w:fldChar w:fldCharType="separate"/>
      </w:r>
      <w:r>
        <w:rPr>
          <w:rStyle w:val="11"/>
          <w:rFonts w:ascii="仿宋_GB2312" w:hAnsi="仿宋_GB2312" w:eastAsia="仿宋_GB2312" w:cs="仿宋_GB2312"/>
        </w:rPr>
        <w:t>4.5优选资质/优选指标</w:t>
      </w:r>
      <w:r>
        <w:tab/>
      </w:r>
      <w:r>
        <w:fldChar w:fldCharType="begin"/>
      </w:r>
      <w:r>
        <w:instrText xml:space="preserve"> PAGEREF _Toc256000030 \h </w:instrText>
      </w:r>
      <w:r>
        <w:fldChar w:fldCharType="separate"/>
      </w:r>
      <w:r>
        <w:t>8</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"_Toc256000031" </w:instrText>
      </w:r>
      <w:r>
        <w:fldChar w:fldCharType="separate"/>
      </w:r>
      <w:r>
        <w:rPr>
          <w:rStyle w:val="11"/>
          <w:rFonts w:ascii="仿宋_GB2312" w:hAnsi="仿宋_GB2312" w:eastAsia="仿宋_GB2312" w:cs="仿宋_GB2312"/>
          <w:kern w:val="36"/>
        </w:rPr>
        <w:t>5管理实施要求</w:t>
      </w:r>
      <w:r>
        <w:tab/>
      </w:r>
      <w:r>
        <w:fldChar w:fldCharType="begin"/>
      </w:r>
      <w:r>
        <w:instrText xml:space="preserve"> PAGEREF _Toc256000031 \h </w:instrText>
      </w:r>
      <w:r>
        <w:fldChar w:fldCharType="separate"/>
      </w:r>
      <w:r>
        <w:t>9</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"_Toc256000032" </w:instrText>
      </w:r>
      <w:r>
        <w:fldChar w:fldCharType="separate"/>
      </w:r>
      <w:r>
        <w:rPr>
          <w:rStyle w:val="11"/>
          <w:rFonts w:ascii="仿宋_GB2312" w:hAnsi="仿宋_GB2312" w:eastAsia="仿宋_GB2312" w:cs="仿宋_GB2312"/>
          <w:kern w:val="36"/>
        </w:rPr>
        <w:t>6风险管控要求</w:t>
      </w:r>
      <w:r>
        <w:tab/>
      </w:r>
      <w:r>
        <w:fldChar w:fldCharType="begin"/>
      </w:r>
      <w:r>
        <w:instrText xml:space="preserve"> PAGEREF _Toc256000032 \h </w:instrText>
      </w:r>
      <w:r>
        <w:fldChar w:fldCharType="separate"/>
      </w:r>
      <w:r>
        <w:t>11</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"_Toc256000033" </w:instrText>
      </w:r>
      <w:r>
        <w:fldChar w:fldCharType="separate"/>
      </w:r>
      <w:r>
        <w:rPr>
          <w:rStyle w:val="11"/>
          <w:rFonts w:ascii="仿宋_GB2312" w:hAnsi="仿宋_GB2312" w:eastAsia="仿宋_GB2312" w:cs="仿宋_GB2312"/>
          <w:kern w:val="36"/>
        </w:rPr>
        <w:t>7履约验收要求</w:t>
      </w:r>
      <w:r>
        <w:tab/>
      </w:r>
      <w:r>
        <w:fldChar w:fldCharType="begin"/>
      </w:r>
      <w:r>
        <w:instrText xml:space="preserve"> PAGEREF _Toc256000033 \h </w:instrText>
      </w:r>
      <w:r>
        <w:fldChar w:fldCharType="separate"/>
      </w:r>
      <w:r>
        <w:t>11</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"_Toc256000034" </w:instrText>
      </w:r>
      <w:r>
        <w:fldChar w:fldCharType="separate"/>
      </w:r>
      <w:r>
        <w:rPr>
          <w:rStyle w:val="11"/>
          <w:rFonts w:ascii="仿宋_GB2312" w:hAnsi="仿宋_GB2312" w:eastAsia="仿宋_GB2312" w:cs="仿宋_GB2312"/>
        </w:rPr>
        <w:t>7.1总体要求</w:t>
      </w:r>
      <w:r>
        <w:tab/>
      </w:r>
      <w:r>
        <w:fldChar w:fldCharType="begin"/>
      </w:r>
      <w:r>
        <w:instrText xml:space="preserve"> PAGEREF _Toc256000034 \h </w:instrText>
      </w:r>
      <w:r>
        <w:fldChar w:fldCharType="separate"/>
      </w:r>
      <w:r>
        <w:t>11</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"_Toc256000035" </w:instrText>
      </w:r>
      <w:r>
        <w:fldChar w:fldCharType="separate"/>
      </w:r>
      <w:r>
        <w:rPr>
          <w:rStyle w:val="11"/>
          <w:rFonts w:ascii="仿宋_GB2312" w:hAnsi="仿宋_GB2312" w:eastAsia="仿宋_GB2312" w:cs="仿宋_GB2312"/>
        </w:rPr>
        <w:t>7.2具体要求</w:t>
      </w:r>
      <w:r>
        <w:tab/>
      </w:r>
      <w:r>
        <w:fldChar w:fldCharType="begin"/>
      </w:r>
      <w:r>
        <w:instrText xml:space="preserve"> PAGEREF _Toc256000035 \h </w:instrText>
      </w:r>
      <w:r>
        <w:fldChar w:fldCharType="separate"/>
      </w:r>
      <w:r>
        <w:t>11</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"_Toc256000036" </w:instrText>
      </w:r>
      <w:r>
        <w:fldChar w:fldCharType="separate"/>
      </w:r>
      <w:r>
        <w:rPr>
          <w:rStyle w:val="11"/>
          <w:rFonts w:ascii="仿宋_GB2312" w:hAnsi="仿宋_GB2312" w:eastAsia="仿宋_GB2312" w:cs="仿宋_GB2312"/>
          <w:kern w:val="36"/>
        </w:rPr>
        <w:t>8其他要求</w:t>
      </w:r>
      <w:r>
        <w:tab/>
      </w:r>
      <w:r>
        <w:fldChar w:fldCharType="begin"/>
      </w:r>
      <w:r>
        <w:instrText xml:space="preserve"> PAGEREF _Toc256000036 \h </w:instrText>
      </w:r>
      <w:r>
        <w:fldChar w:fldCharType="separate"/>
      </w:r>
      <w:r>
        <w:t>12</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"_Toc256000037" </w:instrText>
      </w:r>
      <w:r>
        <w:fldChar w:fldCharType="separate"/>
      </w:r>
      <w:r>
        <w:rPr>
          <w:rStyle w:val="11"/>
          <w:rFonts w:ascii="仿宋_GB2312" w:hAnsi="仿宋_GB2312" w:eastAsia="仿宋_GB2312" w:cs="仿宋_GB2312"/>
        </w:rPr>
        <w:t>8.1必备要求</w:t>
      </w:r>
      <w:r>
        <w:tab/>
      </w:r>
      <w:r>
        <w:fldChar w:fldCharType="begin"/>
      </w:r>
      <w:r>
        <w:instrText xml:space="preserve"> PAGEREF _Toc256000037 \h </w:instrText>
      </w:r>
      <w:r>
        <w:fldChar w:fldCharType="separate"/>
      </w:r>
      <w:r>
        <w:t>12</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"_Toc256000038" </w:instrText>
      </w:r>
      <w:r>
        <w:fldChar w:fldCharType="separate"/>
      </w:r>
      <w:r>
        <w:rPr>
          <w:rStyle w:val="11"/>
          <w:rFonts w:ascii="仿宋_GB2312" w:hAnsi="仿宋_GB2312" w:eastAsia="仿宋_GB2312" w:cs="仿宋_GB2312"/>
        </w:rPr>
        <w:t>8.1.1通用必备要求</w:t>
      </w:r>
      <w:r>
        <w:tab/>
      </w:r>
      <w:r>
        <w:fldChar w:fldCharType="begin"/>
      </w:r>
      <w:r>
        <w:instrText xml:space="preserve"> PAGEREF _Toc256000038 \h </w:instrText>
      </w:r>
      <w:r>
        <w:fldChar w:fldCharType="separate"/>
      </w:r>
      <w:r>
        <w:t>12</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"_Toc256000039" </w:instrText>
      </w:r>
      <w:r>
        <w:fldChar w:fldCharType="separate"/>
      </w:r>
      <w:r>
        <w:rPr>
          <w:rStyle w:val="11"/>
          <w:rFonts w:ascii="仿宋_GB2312" w:hAnsi="仿宋_GB2312" w:eastAsia="仿宋_GB2312" w:cs="仿宋_GB2312"/>
        </w:rPr>
        <w:t>8.2付款安排建议</w:t>
      </w:r>
      <w:r>
        <w:tab/>
      </w:r>
      <w:r>
        <w:fldChar w:fldCharType="begin"/>
      </w:r>
      <w:r>
        <w:instrText xml:space="preserve"> PAGEREF _Toc256000039 \h </w:instrText>
      </w:r>
      <w:r>
        <w:fldChar w:fldCharType="separate"/>
      </w:r>
      <w:r>
        <w:t>12</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"_Toc256000040" </w:instrText>
      </w:r>
      <w:r>
        <w:fldChar w:fldCharType="separate"/>
      </w:r>
      <w:r>
        <w:rPr>
          <w:rStyle w:val="11"/>
          <w:rFonts w:ascii="仿宋_GB2312" w:hAnsi="仿宋_GB2312" w:eastAsia="仿宋_GB2312" w:cs="仿宋_GB2312"/>
        </w:rPr>
        <w:t>8.3其他要求</w:t>
      </w:r>
      <w:r>
        <w:tab/>
      </w:r>
      <w:r>
        <w:fldChar w:fldCharType="begin"/>
      </w:r>
      <w:r>
        <w:instrText xml:space="preserve"> PAGEREF _Toc256000040 \h </w:instrText>
      </w:r>
      <w:r>
        <w:fldChar w:fldCharType="separate"/>
      </w:r>
      <w:r>
        <w:t>13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"_Toc256000041" </w:instrText>
      </w:r>
      <w:r>
        <w:fldChar w:fldCharType="separate"/>
      </w:r>
      <w:r>
        <w:rPr>
          <w:rStyle w:val="11"/>
          <w:rFonts w:ascii="仿宋_GB2312" w:hAnsi="仿宋_GB2312" w:eastAsia="仿宋_GB2312" w:cs="仿宋_GB2312"/>
        </w:rPr>
        <w:t>8.3.1保密要求</w:t>
      </w:r>
      <w:r>
        <w:tab/>
      </w:r>
      <w:r>
        <w:fldChar w:fldCharType="begin"/>
      </w:r>
      <w:r>
        <w:instrText xml:space="preserve"> PAGEREF _Toc256000041 \h </w:instrText>
      </w:r>
      <w:r>
        <w:fldChar w:fldCharType="separate"/>
      </w:r>
      <w:r>
        <w:t>13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"_Toc256000042" </w:instrText>
      </w:r>
      <w:r>
        <w:fldChar w:fldCharType="separate"/>
      </w:r>
      <w:r>
        <w:rPr>
          <w:rStyle w:val="11"/>
          <w:rFonts w:ascii="仿宋_GB2312" w:hAnsi="仿宋_GB2312" w:eastAsia="仿宋_GB2312" w:cs="仿宋_GB2312"/>
        </w:rPr>
        <w:t>8.3.2知识转移要求</w:t>
      </w:r>
      <w:r>
        <w:tab/>
      </w:r>
      <w:r>
        <w:fldChar w:fldCharType="begin"/>
      </w:r>
      <w:r>
        <w:instrText xml:space="preserve"> PAGEREF _Toc256000042 \h </w:instrText>
      </w:r>
      <w:r>
        <w:fldChar w:fldCharType="separate"/>
      </w:r>
      <w:r>
        <w:t>13</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"_Toc256000043" </w:instrText>
      </w:r>
      <w:r>
        <w:fldChar w:fldCharType="separate"/>
      </w:r>
      <w:r>
        <w:rPr>
          <w:rStyle w:val="11"/>
          <w:rFonts w:ascii="仿宋_GB2312" w:hAnsi="仿宋_GB2312" w:eastAsia="仿宋_GB2312" w:cs="仿宋_GB2312"/>
        </w:rPr>
        <w:t>8.3.3知识产权要求</w:t>
      </w:r>
      <w:r>
        <w:tab/>
      </w:r>
      <w:r>
        <w:fldChar w:fldCharType="begin"/>
      </w:r>
      <w:r>
        <w:instrText xml:space="preserve"> PAGEREF _Toc256000043 \h </w:instrText>
      </w:r>
      <w:r>
        <w:fldChar w:fldCharType="separate"/>
      </w:r>
      <w:r>
        <w:t>13</w:t>
      </w:r>
      <w:r>
        <w:fldChar w:fldCharType="end"/>
      </w:r>
      <w:r>
        <w:fldChar w:fldCharType="end"/>
      </w:r>
    </w:p>
    <w:p>
      <w:pPr>
        <w:spacing w:before="0" w:after="0" w:line="360" w:lineRule="auto"/>
        <w:jc w:val="left"/>
      </w:pPr>
      <w:r>
        <w:rPr>
          <w:rFonts w:ascii="宋体" w:hAnsi="宋体" w:eastAsia="宋体" w:cs="宋体"/>
          <w:sz w:val="32"/>
        </w:rPr>
        <w:fldChar w:fldCharType="end"/>
      </w:r>
      <w:r>
        <w:br w:type="page"/>
      </w:r>
    </w:p>
    <w:p>
      <w:pPr>
        <w:pStyle w:val="2"/>
        <w:keepNext w:val="0"/>
        <w:spacing w:before="0" w:after="0" w:line="360" w:lineRule="auto"/>
        <w:jc w:val="center"/>
        <w:rPr>
          <w:rFonts w:ascii="仿宋_GB2312" w:hAnsi="仿宋_GB2312" w:eastAsia="仿宋_GB2312" w:cs="仿宋_GB2312"/>
          <w:b/>
          <w:bCs/>
          <w:sz w:val="32"/>
          <w:szCs w:val="32"/>
        </w:rPr>
      </w:pPr>
      <w:bookmarkStart w:id="2" w:name="_Toc256000000"/>
      <w:r>
        <w:rPr>
          <w:rFonts w:ascii="仿宋_GB2312" w:hAnsi="仿宋_GB2312" w:eastAsia="仿宋_GB2312" w:cs="仿宋_GB2312"/>
          <w:kern w:val="36"/>
        </w:rPr>
        <w:t>1项目概述</w:t>
      </w:r>
      <w:bookmarkEnd w:id="2"/>
    </w:p>
    <w:p>
      <w:pPr>
        <w:pStyle w:val="3"/>
        <w:keepNext w:val="0"/>
        <w:spacing w:before="0" w:after="0" w:line="360" w:lineRule="auto"/>
        <w:rPr>
          <w:rFonts w:ascii="仿宋_GB2312" w:hAnsi="仿宋_GB2312" w:eastAsia="仿宋_GB2312" w:cs="仿宋_GB2312"/>
          <w:b/>
          <w:bCs/>
          <w:sz w:val="28"/>
          <w:szCs w:val="28"/>
        </w:rPr>
      </w:pPr>
      <w:bookmarkStart w:id="3" w:name="_Toc256000001"/>
      <w:r>
        <w:rPr>
          <w:rFonts w:ascii="仿宋_GB2312" w:hAnsi="仿宋_GB2312" w:eastAsia="仿宋_GB2312" w:cs="仿宋_GB2312"/>
          <w:i w:val="0"/>
          <w:iCs w:val="0"/>
        </w:rPr>
        <w:t>1.1项目背景</w:t>
      </w:r>
      <w:bookmarkEnd w:id="3"/>
    </w:p>
    <w:p>
      <w:pPr>
        <w:pStyle w:val="4"/>
        <w:keepNext w:val="0"/>
        <w:spacing w:before="0" w:after="0" w:line="360" w:lineRule="auto"/>
        <w:rPr>
          <w:rFonts w:ascii="仿宋_GB2312" w:hAnsi="仿宋_GB2312" w:eastAsia="仿宋_GB2312" w:cs="仿宋_GB2312"/>
          <w:b/>
          <w:bCs/>
          <w:sz w:val="28"/>
          <w:szCs w:val="28"/>
        </w:rPr>
      </w:pPr>
      <w:bookmarkStart w:id="4" w:name="_Toc256000002"/>
      <w:r>
        <w:rPr>
          <w:rFonts w:ascii="仿宋_GB2312" w:hAnsi="仿宋_GB2312" w:eastAsia="仿宋_GB2312" w:cs="仿宋_GB2312"/>
          <w:sz w:val="28"/>
          <w:szCs w:val="28"/>
        </w:rPr>
        <w:t>1.1.1项目目的、意义及背景</w:t>
      </w:r>
      <w:bookmarkEnd w:id="4"/>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国家税务总局天津经济技术开发区税务局为构建天津税务系统“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国家税务总局天津经济技术开发区税务局通过政府采购方式采购12366热线及其他咨询服务。</w:t>
      </w:r>
    </w:p>
    <w:p>
      <w:pPr>
        <w:pStyle w:val="3"/>
        <w:keepNext w:val="0"/>
        <w:spacing w:before="0" w:after="0" w:line="360" w:lineRule="auto"/>
        <w:rPr>
          <w:rFonts w:ascii="仿宋_GB2312" w:hAnsi="仿宋_GB2312" w:eastAsia="仿宋_GB2312" w:cs="仿宋_GB2312"/>
          <w:b/>
          <w:bCs/>
          <w:sz w:val="28"/>
          <w:szCs w:val="28"/>
        </w:rPr>
      </w:pPr>
      <w:bookmarkStart w:id="5" w:name="_Toc256000003"/>
      <w:r>
        <w:rPr>
          <w:rFonts w:ascii="仿宋_GB2312" w:hAnsi="仿宋_GB2312" w:eastAsia="仿宋_GB2312" w:cs="仿宋_GB2312"/>
          <w:i w:val="0"/>
          <w:iCs w:val="0"/>
        </w:rPr>
        <w:t>1.2项目内容</w:t>
      </w:r>
      <w:bookmarkEnd w:id="5"/>
    </w:p>
    <w:p>
      <w:pPr>
        <w:pStyle w:val="4"/>
        <w:keepNext w:val="0"/>
        <w:spacing w:before="0" w:after="0" w:line="360" w:lineRule="auto"/>
        <w:rPr>
          <w:rFonts w:ascii="仿宋_GB2312" w:hAnsi="仿宋_GB2312" w:eastAsia="仿宋_GB2312" w:cs="仿宋_GB2312"/>
          <w:b/>
          <w:bCs/>
          <w:sz w:val="28"/>
          <w:szCs w:val="28"/>
        </w:rPr>
      </w:pPr>
      <w:bookmarkStart w:id="6" w:name="_Toc256000004"/>
      <w:r>
        <w:rPr>
          <w:rFonts w:ascii="仿宋_GB2312" w:hAnsi="仿宋_GB2312" w:eastAsia="仿宋_GB2312" w:cs="仿宋_GB2312"/>
          <w:sz w:val="28"/>
          <w:szCs w:val="28"/>
        </w:rPr>
        <w:t>1.2.1项目建设思路</w:t>
      </w:r>
      <w:bookmarkEnd w:id="6"/>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本项目为纳税人缴费人提供专业化、规范化、标准化服务，持续提升纳税人缴费人的满意度和获得感。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以接听、回拨等方式受理纳税人缴费人的电话咨询、意见建议，对“好差评”结果为不满意的电话进行回访等相关服务。</w:t>
      </w:r>
    </w:p>
    <w:p>
      <w:pPr>
        <w:pStyle w:val="4"/>
        <w:keepNext w:val="0"/>
        <w:spacing w:before="0" w:after="0" w:line="360" w:lineRule="auto"/>
        <w:rPr>
          <w:rFonts w:ascii="仿宋_GB2312" w:hAnsi="仿宋_GB2312" w:eastAsia="仿宋_GB2312" w:cs="仿宋_GB2312"/>
          <w:b/>
          <w:bCs/>
          <w:sz w:val="28"/>
          <w:szCs w:val="28"/>
        </w:rPr>
      </w:pPr>
      <w:bookmarkStart w:id="7" w:name="_Toc256000005"/>
      <w:r>
        <w:rPr>
          <w:rFonts w:ascii="仿宋_GB2312" w:hAnsi="仿宋_GB2312" w:eastAsia="仿宋_GB2312" w:cs="仿宋_GB2312"/>
          <w:sz w:val="28"/>
          <w:szCs w:val="28"/>
        </w:rPr>
        <w:t>1.2.2采购内容</w:t>
      </w:r>
      <w:bookmarkEnd w:id="7"/>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本项目采购内容为12366热线咨询服务，国家税务总局天津经济技术开发区税务局提供办公场地、人员工位及相关办公设备，中标供应商提供服务人员及接听设备。本项目需要服务人员11人，中标供应商按照国家税务总局天津经济技术开发区税务局要求培训、管理服务人员，配合国家税务总局天津经济技术开发区税务局对12366热线的日常管理工作，共同落实服务规范和绩效管理办法等制度体系。</w:t>
      </w:r>
    </w:p>
    <w:p>
      <w:pPr>
        <w:pStyle w:val="4"/>
        <w:keepNext w:val="0"/>
        <w:spacing w:before="0" w:after="0" w:line="360" w:lineRule="auto"/>
        <w:rPr>
          <w:rFonts w:ascii="仿宋_GB2312" w:hAnsi="仿宋_GB2312" w:eastAsia="仿宋_GB2312" w:cs="仿宋_GB2312"/>
          <w:b/>
          <w:bCs/>
          <w:sz w:val="28"/>
          <w:szCs w:val="28"/>
        </w:rPr>
      </w:pPr>
      <w:bookmarkStart w:id="8" w:name="_Toc256000006"/>
      <w:r>
        <w:rPr>
          <w:rFonts w:ascii="仿宋_GB2312" w:hAnsi="仿宋_GB2312" w:eastAsia="仿宋_GB2312" w:cs="仿宋_GB2312"/>
          <w:sz w:val="28"/>
          <w:szCs w:val="28"/>
        </w:rPr>
        <w:t>1.2.3项目实施要求</w:t>
      </w:r>
      <w:bookmarkEnd w:id="8"/>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1.2.3.1实施范围要求</w:t>
      </w:r>
    </w:p>
    <w:p>
      <w:pPr>
        <w:pStyle w:val="13"/>
        <w:spacing w:before="0" w:after="0" w:line="360" w:lineRule="auto"/>
        <w:ind w:left="0" w:right="0" w:firstLine="480"/>
      </w:pPr>
      <w:r>
        <w:rPr>
          <w:rFonts w:ascii="仿宋_GB2312" w:hAnsi="仿宋_GB2312" w:eastAsia="仿宋_GB2312" w:cs="仿宋_GB2312"/>
          <w:sz w:val="28"/>
          <w:szCs w:val="28"/>
        </w:rPr>
        <w:t>按照国家税务总局天津市税务局对12366热线及征纳互动咨询服务的要求，须为12366热线提供工作日人工座席服务。</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1.2.3.2实施时间要求</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自合同规定的服务起始之日起1年。</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1.2.3.3实施地点要求</w:t>
      </w:r>
    </w:p>
    <w:p>
      <w:pPr>
        <w:pStyle w:val="13"/>
        <w:spacing w:before="0" w:after="0" w:line="360" w:lineRule="auto"/>
        <w:ind w:left="0" w:right="0" w:firstLine="480"/>
      </w:pPr>
      <w:r>
        <w:rPr>
          <w:rFonts w:ascii="仿宋_GB2312" w:hAnsi="仿宋_GB2312" w:eastAsia="仿宋_GB2312" w:cs="仿宋_GB2312"/>
          <w:sz w:val="28"/>
          <w:szCs w:val="28"/>
        </w:rPr>
        <w:t>国家税务总局天津经济技术开发区税务局，地址天津市经济技术开发区宏达街19号。</w:t>
      </w:r>
    </w:p>
    <w:p>
      <w:pPr>
        <w:pStyle w:val="3"/>
        <w:keepNext w:val="0"/>
        <w:spacing w:before="0" w:after="0" w:line="360" w:lineRule="auto"/>
        <w:rPr>
          <w:rFonts w:ascii="仿宋_GB2312" w:hAnsi="仿宋_GB2312" w:eastAsia="仿宋_GB2312" w:cs="仿宋_GB2312"/>
          <w:b/>
          <w:bCs/>
          <w:sz w:val="28"/>
          <w:szCs w:val="28"/>
        </w:rPr>
      </w:pPr>
      <w:bookmarkStart w:id="9" w:name="_Toc256000007"/>
      <w:r>
        <w:rPr>
          <w:rFonts w:ascii="仿宋_GB2312" w:hAnsi="仿宋_GB2312" w:eastAsia="仿宋_GB2312" w:cs="仿宋_GB2312"/>
          <w:i w:val="0"/>
          <w:iCs w:val="0"/>
        </w:rPr>
        <w:t>1.3其他要求</w:t>
      </w:r>
      <w:bookmarkEnd w:id="9"/>
    </w:p>
    <w:p>
      <w:pPr>
        <w:pStyle w:val="4"/>
        <w:keepNext w:val="0"/>
        <w:spacing w:before="0" w:after="0" w:line="360" w:lineRule="auto"/>
        <w:rPr>
          <w:rFonts w:ascii="仿宋_GB2312" w:hAnsi="仿宋_GB2312" w:eastAsia="仿宋_GB2312" w:cs="仿宋_GB2312"/>
          <w:b/>
          <w:bCs/>
          <w:sz w:val="28"/>
          <w:szCs w:val="28"/>
        </w:rPr>
      </w:pPr>
      <w:bookmarkStart w:id="10" w:name="_Toc256000008"/>
      <w:r>
        <w:rPr>
          <w:rFonts w:ascii="仿宋_GB2312" w:hAnsi="仿宋_GB2312" w:eastAsia="仿宋_GB2312" w:cs="仿宋_GB2312"/>
          <w:sz w:val="28"/>
          <w:szCs w:val="28"/>
        </w:rPr>
        <w:t>1.3.1采购标的需执行的相关标准规范</w:t>
      </w:r>
      <w:bookmarkEnd w:id="10"/>
    </w:p>
    <w:p>
      <w:pPr>
        <w:pStyle w:val="2"/>
        <w:keepNext w:val="0"/>
        <w:spacing w:before="0" w:after="0" w:line="360" w:lineRule="auto"/>
        <w:jc w:val="center"/>
        <w:rPr>
          <w:rFonts w:ascii="仿宋_GB2312" w:hAnsi="仿宋_GB2312" w:eastAsia="仿宋_GB2312" w:cs="仿宋_GB2312"/>
          <w:b/>
          <w:bCs/>
          <w:sz w:val="32"/>
          <w:szCs w:val="32"/>
        </w:rPr>
      </w:pPr>
      <w:bookmarkStart w:id="11" w:name="_Toc256000009"/>
      <w:r>
        <w:rPr>
          <w:rFonts w:ascii="仿宋_GB2312" w:hAnsi="仿宋_GB2312" w:eastAsia="仿宋_GB2312" w:cs="仿宋_GB2312"/>
          <w:kern w:val="36"/>
        </w:rPr>
        <w:t>2投标/响应要求</w:t>
      </w:r>
      <w:bookmarkEnd w:id="11"/>
    </w:p>
    <w:p>
      <w:pPr>
        <w:pStyle w:val="3"/>
        <w:keepNext w:val="0"/>
        <w:spacing w:before="0" w:after="0" w:line="360" w:lineRule="auto"/>
        <w:rPr>
          <w:rFonts w:ascii="仿宋_GB2312" w:hAnsi="仿宋_GB2312" w:eastAsia="仿宋_GB2312" w:cs="仿宋_GB2312"/>
          <w:b/>
          <w:bCs/>
          <w:sz w:val="28"/>
          <w:szCs w:val="28"/>
        </w:rPr>
      </w:pPr>
      <w:bookmarkStart w:id="12" w:name="_Toc256000010"/>
      <w:r>
        <w:rPr>
          <w:rFonts w:ascii="仿宋_GB2312" w:hAnsi="仿宋_GB2312" w:eastAsia="仿宋_GB2312" w:cs="仿宋_GB2312"/>
          <w:i w:val="0"/>
          <w:iCs w:val="0"/>
        </w:rPr>
        <w:t>2.1对供应商的要求</w:t>
      </w:r>
      <w:bookmarkEnd w:id="12"/>
    </w:p>
    <w:p>
      <w:pPr>
        <w:pStyle w:val="4"/>
        <w:keepNext w:val="0"/>
        <w:spacing w:before="0" w:after="0" w:line="360" w:lineRule="auto"/>
        <w:rPr>
          <w:rFonts w:ascii="仿宋_GB2312" w:hAnsi="仿宋_GB2312" w:eastAsia="仿宋_GB2312" w:cs="仿宋_GB2312"/>
          <w:b/>
          <w:bCs/>
          <w:sz w:val="28"/>
          <w:szCs w:val="28"/>
        </w:rPr>
      </w:pPr>
      <w:bookmarkStart w:id="13" w:name="_Toc256000011"/>
      <w:r>
        <w:rPr>
          <w:rFonts w:ascii="仿宋_GB2312" w:hAnsi="仿宋_GB2312" w:eastAsia="仿宋_GB2312" w:cs="仿宋_GB2312"/>
          <w:sz w:val="28"/>
          <w:szCs w:val="28"/>
        </w:rPr>
        <w:t>2.1.1必备资质</w:t>
      </w:r>
      <w:bookmarkEnd w:id="13"/>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2.1.1.1投标人应遵守有关国家法律、法规和条例,具备《中华人民共和国政府采购法》第二十二条的规定和本文件中规定的条件。</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2.1.1.2本项目的特定资格要求</w:t>
      </w:r>
    </w:p>
    <w:p>
      <w:pPr>
        <w:pStyle w:val="4"/>
        <w:keepNext w:val="0"/>
        <w:spacing w:before="0" w:after="0" w:line="360" w:lineRule="auto"/>
        <w:rPr>
          <w:rFonts w:ascii="仿宋_GB2312" w:hAnsi="仿宋_GB2312" w:eastAsia="仿宋_GB2312" w:cs="仿宋_GB2312"/>
          <w:b/>
          <w:bCs/>
          <w:sz w:val="28"/>
          <w:szCs w:val="28"/>
        </w:rPr>
      </w:pPr>
      <w:bookmarkStart w:id="14" w:name="_Toc256000012"/>
      <w:r>
        <w:rPr>
          <w:rFonts w:ascii="仿宋_GB2312" w:hAnsi="仿宋_GB2312" w:eastAsia="仿宋_GB2312" w:cs="仿宋_GB2312"/>
          <w:sz w:val="28"/>
          <w:szCs w:val="28"/>
        </w:rPr>
        <w:t>2.1.2优选资质/优选指标</w:t>
      </w:r>
      <w:bookmarkEnd w:id="14"/>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2.1.2.1相关证书</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2.1.2.2成功案例</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有效案例为有效案例为2023年1月1日以来（以合同签订日期为准）,供应商独立承担的与本项目相类似项目案例。</w:t>
      </w:r>
    </w:p>
    <w:p>
      <w:pPr>
        <w:pStyle w:val="4"/>
        <w:keepNext w:val="0"/>
        <w:spacing w:before="0" w:after="0" w:line="360" w:lineRule="auto"/>
        <w:rPr>
          <w:rFonts w:ascii="仿宋_GB2312" w:hAnsi="仿宋_GB2312" w:eastAsia="仿宋_GB2312" w:cs="仿宋_GB2312"/>
          <w:b/>
          <w:bCs/>
          <w:sz w:val="28"/>
          <w:szCs w:val="28"/>
        </w:rPr>
      </w:pPr>
      <w:bookmarkStart w:id="15" w:name="_Toc256000013"/>
      <w:r>
        <w:rPr>
          <w:rFonts w:ascii="仿宋_GB2312" w:hAnsi="仿宋_GB2312" w:eastAsia="仿宋_GB2312" w:cs="仿宋_GB2312"/>
          <w:sz w:val="28"/>
          <w:szCs w:val="28"/>
        </w:rPr>
        <w:t>2.1.3是否允许联合体</w:t>
      </w:r>
      <w:bookmarkEnd w:id="15"/>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否</w:t>
      </w:r>
    </w:p>
    <w:p>
      <w:pPr>
        <w:pStyle w:val="4"/>
        <w:keepNext w:val="0"/>
        <w:spacing w:before="0" w:after="0" w:line="360" w:lineRule="auto"/>
        <w:rPr>
          <w:rFonts w:ascii="仿宋_GB2312" w:hAnsi="仿宋_GB2312" w:eastAsia="仿宋_GB2312" w:cs="仿宋_GB2312"/>
          <w:b/>
          <w:bCs/>
          <w:sz w:val="28"/>
          <w:szCs w:val="28"/>
        </w:rPr>
      </w:pPr>
      <w:bookmarkStart w:id="16" w:name="_Toc256000014"/>
      <w:r>
        <w:rPr>
          <w:rFonts w:ascii="仿宋_GB2312" w:hAnsi="仿宋_GB2312" w:eastAsia="仿宋_GB2312" w:cs="仿宋_GB2312"/>
          <w:sz w:val="28"/>
          <w:szCs w:val="28"/>
        </w:rPr>
        <w:t>2.1.4是否专门面向中小企业</w:t>
      </w:r>
      <w:bookmarkEnd w:id="16"/>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本项目不专门面向中小企业采购项目</w:t>
      </w:r>
    </w:p>
    <w:p>
      <w:pPr>
        <w:pStyle w:val="4"/>
        <w:keepNext w:val="0"/>
        <w:spacing w:before="0" w:after="0" w:line="360" w:lineRule="auto"/>
        <w:rPr>
          <w:rFonts w:ascii="仿宋_GB2312" w:hAnsi="仿宋_GB2312" w:eastAsia="仿宋_GB2312" w:cs="仿宋_GB2312"/>
          <w:b/>
          <w:bCs/>
          <w:sz w:val="28"/>
          <w:szCs w:val="28"/>
        </w:rPr>
      </w:pPr>
      <w:bookmarkStart w:id="17" w:name="_Toc256000015"/>
      <w:r>
        <w:rPr>
          <w:rFonts w:ascii="仿宋_GB2312" w:hAnsi="仿宋_GB2312" w:eastAsia="仿宋_GB2312" w:cs="仿宋_GB2312"/>
          <w:sz w:val="28"/>
          <w:szCs w:val="28"/>
        </w:rPr>
        <w:t>2.1.5其他要求</w:t>
      </w:r>
      <w:bookmarkEnd w:id="17"/>
    </w:p>
    <w:p>
      <w:pPr>
        <w:pStyle w:val="3"/>
        <w:keepNext w:val="0"/>
        <w:spacing w:before="0" w:after="0" w:line="360" w:lineRule="auto"/>
        <w:rPr>
          <w:rFonts w:ascii="仿宋_GB2312" w:hAnsi="仿宋_GB2312" w:eastAsia="仿宋_GB2312" w:cs="仿宋_GB2312"/>
          <w:b/>
          <w:bCs/>
          <w:sz w:val="28"/>
          <w:szCs w:val="28"/>
        </w:rPr>
      </w:pPr>
      <w:bookmarkStart w:id="18" w:name="_Toc256000016"/>
      <w:r>
        <w:rPr>
          <w:rFonts w:ascii="仿宋_GB2312" w:hAnsi="仿宋_GB2312" w:eastAsia="仿宋_GB2312" w:cs="仿宋_GB2312"/>
          <w:i w:val="0"/>
          <w:iCs w:val="0"/>
        </w:rPr>
        <w:t>2.2技术部分投标/响应内容</w:t>
      </w:r>
      <w:bookmarkEnd w:id="18"/>
    </w:p>
    <w:p>
      <w:pPr>
        <w:pStyle w:val="4"/>
        <w:keepNext w:val="0"/>
        <w:spacing w:before="0" w:after="0" w:line="360" w:lineRule="auto"/>
        <w:rPr>
          <w:rFonts w:ascii="仿宋_GB2312" w:hAnsi="仿宋_GB2312" w:eastAsia="仿宋_GB2312" w:cs="仿宋_GB2312"/>
          <w:b/>
          <w:bCs/>
          <w:sz w:val="28"/>
          <w:szCs w:val="28"/>
        </w:rPr>
      </w:pPr>
      <w:bookmarkStart w:id="19" w:name="_Toc256000017"/>
      <w:r>
        <w:rPr>
          <w:rFonts w:ascii="仿宋_GB2312" w:hAnsi="仿宋_GB2312" w:eastAsia="仿宋_GB2312" w:cs="仿宋_GB2312"/>
          <w:sz w:val="28"/>
          <w:szCs w:val="28"/>
        </w:rPr>
        <w:t>2.2.1技术投标/响应总要求</w:t>
      </w:r>
      <w:bookmarkEnd w:id="19"/>
    </w:p>
    <w:p>
      <w:pPr>
        <w:pStyle w:val="13"/>
        <w:spacing w:before="0" w:after="0" w:line="360" w:lineRule="auto"/>
        <w:ind w:left="0" w:right="0" w:firstLine="480"/>
      </w:pPr>
      <w:r>
        <w:rPr>
          <w:rFonts w:ascii="仿宋_GB2312" w:hAnsi="仿宋_GB2312" w:eastAsia="仿宋_GB2312" w:cs="仿宋_GB2312"/>
          <w:sz w:val="28"/>
          <w:szCs w:val="28"/>
        </w:rPr>
        <w:t>投标人应根据项目需求对服务方案及内容、项目需求理解、实施方案、保密管理、培训方案、应急保障方案等内容进行响应。</w:t>
      </w:r>
    </w:p>
    <w:p>
      <w:pPr>
        <w:pStyle w:val="4"/>
        <w:keepNext w:val="0"/>
        <w:spacing w:before="0" w:after="0" w:line="360" w:lineRule="auto"/>
        <w:rPr>
          <w:rFonts w:ascii="仿宋_GB2312" w:hAnsi="仿宋_GB2312" w:eastAsia="仿宋_GB2312" w:cs="仿宋_GB2312"/>
          <w:b/>
          <w:bCs/>
          <w:sz w:val="28"/>
          <w:szCs w:val="28"/>
        </w:rPr>
      </w:pPr>
      <w:bookmarkStart w:id="20" w:name="_Toc256000018"/>
      <w:r>
        <w:rPr>
          <w:rFonts w:ascii="仿宋_GB2312" w:hAnsi="仿宋_GB2312" w:eastAsia="仿宋_GB2312" w:cs="仿宋_GB2312"/>
          <w:sz w:val="28"/>
          <w:szCs w:val="28"/>
        </w:rPr>
        <w:t>2.2.2投标/响应方案要求</w:t>
      </w:r>
      <w:bookmarkEnd w:id="20"/>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以下相关方案，若作为评审因素，则投标人应在满足★必备指标项要求的前提下，根据项目特点和采购需求，制定更为完整、详细、可操作性强的方案。</w:t>
      </w:r>
    </w:p>
    <w:p>
      <w:pPr>
        <w:pStyle w:val="12"/>
        <w:spacing w:before="0" w:after="0" w:line="360" w:lineRule="auto"/>
        <w:ind w:left="0" w:right="0" w:firstLine="480"/>
        <w:jc w:val="both"/>
        <w:rPr>
          <w:rFonts w:ascii="Times New Roman" w:hAnsi="Times New Roman" w:eastAsia="Times New Roman" w:cs="Times New Roman"/>
        </w:rPr>
      </w:pPr>
      <w:r>
        <w:rPr>
          <w:rFonts w:ascii="Times New Roman" w:hAnsi="Times New Roman" w:eastAsia="Times New Roman" w:cs="Times New Roman"/>
          <w:sz w:val="28"/>
          <w:szCs w:val="28"/>
        </w:rPr>
        <w:t>投标人应根据项目需求对整体运行方案、项目需求理解、保密管理方案、培训方案、应急处理方案等内容进行响应。</w:t>
      </w:r>
    </w:p>
    <w:p>
      <w:pPr>
        <w:pStyle w:val="12"/>
        <w:spacing w:before="0" w:after="0" w:line="360" w:lineRule="auto"/>
        <w:ind w:left="0" w:right="0" w:firstLine="480"/>
        <w:jc w:val="both"/>
        <w:rPr>
          <w:rFonts w:ascii="Times New Roman" w:hAnsi="Times New Roman" w:eastAsia="Times New Roman" w:cs="Times New Roman"/>
        </w:rPr>
      </w:pPr>
      <w:r>
        <w:rPr>
          <w:rFonts w:ascii="Times New Roman" w:hAnsi="Times New Roman" w:eastAsia="Times New Roman" w:cs="Times New Roman"/>
          <w:sz w:val="28"/>
          <w:szCs w:val="28"/>
        </w:rPr>
        <w:t>（</w:t>
      </w:r>
      <w:r>
        <w:rPr>
          <w:sz w:val="28"/>
          <w:szCs w:val="28"/>
        </w:rPr>
        <w:t>1</w:t>
      </w:r>
      <w:r>
        <w:rPr>
          <w:rFonts w:ascii="Times New Roman" w:hAnsi="Times New Roman" w:eastAsia="Times New Roman" w:cs="Times New Roman"/>
          <w:sz w:val="28"/>
          <w:szCs w:val="28"/>
        </w:rPr>
        <w:t>）整体运行方案：至少包含针对本项目的人员管理、现场管理、业务管理等方面的整体运行方案。</w:t>
      </w:r>
    </w:p>
    <w:p>
      <w:pPr>
        <w:pStyle w:val="12"/>
        <w:spacing w:before="0" w:after="0" w:line="360" w:lineRule="auto"/>
        <w:ind w:left="0" w:right="0" w:firstLine="480"/>
        <w:jc w:val="both"/>
        <w:rPr>
          <w:rFonts w:ascii="Times New Roman" w:hAnsi="Times New Roman" w:eastAsia="Times New Roman" w:cs="Times New Roman"/>
        </w:rPr>
      </w:pPr>
      <w:r>
        <w:rPr>
          <w:rFonts w:ascii="Times New Roman" w:hAnsi="Times New Roman" w:eastAsia="Times New Roman" w:cs="Times New Roman"/>
          <w:sz w:val="28"/>
          <w:szCs w:val="28"/>
        </w:rPr>
        <w:t>（</w:t>
      </w:r>
      <w:r>
        <w:rPr>
          <w:sz w:val="28"/>
          <w:szCs w:val="28"/>
        </w:rPr>
        <w:t>2</w:t>
      </w:r>
      <w:r>
        <w:rPr>
          <w:rFonts w:ascii="Times New Roman" w:hAnsi="Times New Roman" w:eastAsia="Times New Roman" w:cs="Times New Roman"/>
          <w:sz w:val="28"/>
          <w:szCs w:val="28"/>
        </w:rPr>
        <w:t>）项目需求理解：至少包含投标人对本服务项目任务及需求的理解、用户现状分析、实施要求等方面的内容。</w:t>
      </w:r>
    </w:p>
    <w:p>
      <w:pPr>
        <w:pStyle w:val="12"/>
        <w:spacing w:before="0" w:after="0" w:line="360" w:lineRule="auto"/>
        <w:ind w:left="0" w:right="0" w:firstLine="480"/>
        <w:jc w:val="both"/>
        <w:rPr>
          <w:rFonts w:ascii="Times New Roman" w:hAnsi="Times New Roman" w:eastAsia="Times New Roman" w:cs="Times New Roman"/>
        </w:rPr>
      </w:pPr>
      <w:r>
        <w:rPr>
          <w:rFonts w:ascii="Times New Roman" w:hAnsi="Times New Roman" w:eastAsia="Times New Roman" w:cs="Times New Roman"/>
          <w:sz w:val="28"/>
          <w:szCs w:val="28"/>
        </w:rPr>
        <w:t>（</w:t>
      </w:r>
      <w:r>
        <w:rPr>
          <w:sz w:val="28"/>
          <w:szCs w:val="28"/>
        </w:rPr>
        <w:t>3</w:t>
      </w:r>
      <w:r>
        <w:rPr>
          <w:rFonts w:ascii="Times New Roman" w:hAnsi="Times New Roman" w:eastAsia="Times New Roman" w:cs="Times New Roman"/>
          <w:sz w:val="28"/>
          <w:szCs w:val="28"/>
        </w:rPr>
        <w:t>）保密管理方案：从用户角度出发，至少包含有针对性地的信息安全管理制度、信息保密措施等方面的内容。</w:t>
      </w:r>
    </w:p>
    <w:p>
      <w:pPr>
        <w:pStyle w:val="12"/>
        <w:spacing w:before="0" w:after="0" w:line="360" w:lineRule="auto"/>
        <w:ind w:left="0" w:right="0" w:firstLine="480"/>
        <w:jc w:val="both"/>
        <w:rPr>
          <w:rFonts w:ascii="Times New Roman" w:hAnsi="Times New Roman" w:eastAsia="Times New Roman" w:cs="Times New Roman"/>
        </w:rPr>
      </w:pPr>
      <w:r>
        <w:rPr>
          <w:rFonts w:ascii="Times New Roman" w:hAnsi="Times New Roman" w:eastAsia="Times New Roman" w:cs="Times New Roman"/>
          <w:sz w:val="28"/>
          <w:szCs w:val="28"/>
        </w:rPr>
        <w:t>（</w:t>
      </w:r>
      <w:r>
        <w:rPr>
          <w:sz w:val="28"/>
          <w:szCs w:val="28"/>
        </w:rPr>
        <w:t>4</w:t>
      </w:r>
      <w:r>
        <w:rPr>
          <w:rFonts w:ascii="Times New Roman" w:hAnsi="Times New Roman" w:eastAsia="Times New Roman" w:cs="Times New Roman"/>
          <w:sz w:val="28"/>
          <w:szCs w:val="28"/>
        </w:rPr>
        <w:t>）培训方案：至少包含针对本项目服务人员的培训计划、培训资料、培训师资、培训方式等方面的内容。</w:t>
      </w:r>
    </w:p>
    <w:p>
      <w:pPr>
        <w:pStyle w:val="13"/>
        <w:spacing w:before="0" w:after="0" w:line="360" w:lineRule="auto"/>
        <w:ind w:left="0" w:right="0" w:firstLine="480"/>
      </w:pPr>
      <w:r>
        <w:rPr>
          <w:rFonts w:ascii="FangSong_GB2312" w:hAnsi="FangSong_GB2312" w:eastAsia="FangSong_GB2312" w:cs="FangSong_GB2312"/>
          <w:sz w:val="28"/>
          <w:szCs w:val="28"/>
        </w:rPr>
        <w:t>（</w:t>
      </w:r>
      <w:r>
        <w:rPr>
          <w:sz w:val="28"/>
          <w:szCs w:val="28"/>
        </w:rPr>
        <w:t>5</w:t>
      </w:r>
      <w:r>
        <w:rPr>
          <w:rFonts w:ascii="FangSong_GB2312" w:hAnsi="FangSong_GB2312" w:eastAsia="FangSong_GB2312" w:cs="FangSong_GB2312"/>
          <w:sz w:val="28"/>
          <w:szCs w:val="28"/>
        </w:rPr>
        <w:t>）应急处理方案：至少包含针对本项目实施过程中可能出现的系统故障、话务服务激增、人员流失等方面的突发情况，建立突发事件、应急事件处理制度。</w:t>
      </w:r>
    </w:p>
    <w:p>
      <w:pPr>
        <w:pStyle w:val="2"/>
        <w:keepNext w:val="0"/>
        <w:spacing w:before="0" w:after="0" w:line="360" w:lineRule="auto"/>
        <w:jc w:val="center"/>
        <w:rPr>
          <w:rFonts w:ascii="仿宋_GB2312" w:hAnsi="仿宋_GB2312" w:eastAsia="仿宋_GB2312" w:cs="仿宋_GB2312"/>
          <w:b/>
          <w:bCs/>
          <w:sz w:val="32"/>
          <w:szCs w:val="32"/>
        </w:rPr>
      </w:pPr>
      <w:bookmarkStart w:id="21" w:name="_Toc256000019"/>
      <w:r>
        <w:rPr>
          <w:rFonts w:ascii="仿宋_GB2312" w:hAnsi="仿宋_GB2312" w:eastAsia="仿宋_GB2312" w:cs="仿宋_GB2312"/>
          <w:kern w:val="36"/>
        </w:rPr>
        <w:t>3项目需求</w:t>
      </w:r>
      <w:bookmarkEnd w:id="21"/>
    </w:p>
    <w:p>
      <w:pPr>
        <w:pStyle w:val="3"/>
        <w:keepNext w:val="0"/>
        <w:spacing w:before="0" w:after="0" w:line="360" w:lineRule="auto"/>
        <w:rPr>
          <w:rFonts w:ascii="仿宋_GB2312" w:hAnsi="仿宋_GB2312" w:eastAsia="仿宋_GB2312" w:cs="仿宋_GB2312"/>
          <w:b/>
          <w:bCs/>
          <w:sz w:val="28"/>
          <w:szCs w:val="28"/>
        </w:rPr>
      </w:pPr>
      <w:bookmarkStart w:id="22" w:name="_Toc256000020"/>
      <w:r>
        <w:rPr>
          <w:rFonts w:ascii="仿宋_GB2312" w:hAnsi="仿宋_GB2312" w:eastAsia="仿宋_GB2312" w:cs="仿宋_GB2312"/>
          <w:i w:val="0"/>
          <w:iCs w:val="0"/>
        </w:rPr>
        <w:t>3.1总体要求</w:t>
      </w:r>
      <w:bookmarkEnd w:id="22"/>
    </w:p>
    <w:p>
      <w:pPr>
        <w:pStyle w:val="13"/>
        <w:spacing w:before="0" w:after="0" w:line="360" w:lineRule="auto"/>
        <w:ind w:left="0" w:right="0" w:firstLine="480"/>
      </w:pPr>
      <w:r>
        <w:rPr>
          <w:rFonts w:ascii="仿宋_GB2312" w:hAnsi="仿宋_GB2312" w:eastAsia="仿宋_GB2312" w:cs="仿宋_GB2312"/>
          <w:sz w:val="28"/>
          <w:szCs w:val="28"/>
        </w:rPr>
        <w:t>为构建天津税务系统“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pPr>
        <w:pStyle w:val="3"/>
        <w:keepNext w:val="0"/>
        <w:spacing w:before="0" w:after="0" w:line="360" w:lineRule="auto"/>
        <w:rPr>
          <w:rFonts w:ascii="仿宋_GB2312" w:hAnsi="仿宋_GB2312" w:eastAsia="仿宋_GB2312" w:cs="仿宋_GB2312"/>
          <w:b/>
          <w:bCs/>
          <w:sz w:val="28"/>
          <w:szCs w:val="28"/>
        </w:rPr>
      </w:pPr>
      <w:bookmarkStart w:id="23" w:name="_Toc256000021"/>
      <w:r>
        <w:rPr>
          <w:rFonts w:ascii="仿宋_GB2312" w:hAnsi="仿宋_GB2312" w:eastAsia="仿宋_GB2312" w:cs="仿宋_GB2312"/>
          <w:i w:val="0"/>
          <w:iCs w:val="0"/>
        </w:rPr>
        <w:t>3.2服务内容和要求</w:t>
      </w:r>
      <w:bookmarkEnd w:id="23"/>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采购文件（技术部分）中有标注★号的，为必备要求，必须满足，如未作出响应，将导致响应无效；#为重要内容、△为一般内容。</w:t>
      </w:r>
    </w:p>
    <w:p>
      <w:pPr>
        <w:pStyle w:val="4"/>
        <w:keepNext w:val="0"/>
        <w:spacing w:before="0" w:after="0" w:line="360" w:lineRule="auto"/>
        <w:rPr>
          <w:rFonts w:ascii="仿宋_GB2312" w:hAnsi="仿宋_GB2312" w:eastAsia="仿宋_GB2312" w:cs="仿宋_GB2312"/>
          <w:b/>
          <w:bCs/>
          <w:sz w:val="28"/>
          <w:szCs w:val="28"/>
        </w:rPr>
      </w:pPr>
      <w:bookmarkStart w:id="24" w:name="_Toc256000022"/>
      <w:r>
        <w:rPr>
          <w:rFonts w:ascii="仿宋_GB2312" w:hAnsi="仿宋_GB2312" w:eastAsia="仿宋_GB2312" w:cs="仿宋_GB2312"/>
          <w:sz w:val="28"/>
          <w:szCs w:val="28"/>
        </w:rPr>
        <w:t>3.2.1技术和服务客观指标</w:t>
      </w:r>
      <w:bookmarkEnd w:id="24"/>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3.2.1.1服务1</w:t>
      </w:r>
    </w:p>
    <w:p>
      <w:pPr>
        <w:pStyle w:val="4"/>
        <w:keepNext w:val="0"/>
        <w:spacing w:before="0" w:after="0" w:line="360" w:lineRule="auto"/>
        <w:rPr>
          <w:rFonts w:ascii="仿宋_GB2312" w:hAnsi="仿宋_GB2312" w:eastAsia="仿宋_GB2312" w:cs="仿宋_GB2312"/>
          <w:b/>
          <w:bCs/>
          <w:sz w:val="28"/>
          <w:szCs w:val="28"/>
        </w:rPr>
      </w:pPr>
      <w:bookmarkStart w:id="25" w:name="_Toc256000023"/>
      <w:r>
        <w:rPr>
          <w:rFonts w:ascii="仿宋_GB2312" w:hAnsi="仿宋_GB2312" w:eastAsia="仿宋_GB2312" w:cs="仿宋_GB2312"/>
          <w:sz w:val="28"/>
          <w:szCs w:val="28"/>
        </w:rPr>
        <w:t>3.2.2技术和服务其他要求</w:t>
      </w:r>
      <w:bookmarkEnd w:id="25"/>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2.电话回呼。通过人工主动呼出的方式向纳税人缴费人提供涉税费咨询服务。电话回呼包括留言回呼、纠错回呼、承诺回呼、遇忙（呼损）回呼等。</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3.征纳互动服务。通过征纳互动受理纳税人缴费人咨询，对通过12366热线发起咨询的符合条件的纳税人，根据业务需要为其提供反向拉起服务，提升咨询效率。</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4.后台支撑服务。主要解决热线人员无法及时回复或解决的问题，包括但不限于疑难问题的解答、业务工单等。</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5.宣传培训服务。包括相关涉税涉费热点问题的整理、编辑以及配合宣传和发布服务。</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6.需求采集服务。作为税务局和纳税人缴费人之间的沟通桥梁，了解纳税人缴费人的实际需求，利用服务纳税人缴费人时获得的需求信息和数据，定期提供需求报告，为税务局提高纳税服务水平提供决策依据。</w:t>
      </w:r>
    </w:p>
    <w:p>
      <w:pPr>
        <w:pStyle w:val="2"/>
        <w:keepNext w:val="0"/>
        <w:spacing w:before="0" w:after="0" w:line="360" w:lineRule="auto"/>
        <w:jc w:val="center"/>
        <w:rPr>
          <w:rFonts w:ascii="仿宋_GB2312" w:hAnsi="仿宋_GB2312" w:eastAsia="仿宋_GB2312" w:cs="仿宋_GB2312"/>
          <w:b/>
          <w:bCs/>
          <w:sz w:val="32"/>
          <w:szCs w:val="32"/>
        </w:rPr>
      </w:pPr>
      <w:bookmarkStart w:id="26" w:name="_Toc256000024"/>
      <w:r>
        <w:rPr>
          <w:rFonts w:ascii="仿宋_GB2312" w:hAnsi="仿宋_GB2312" w:eastAsia="仿宋_GB2312" w:cs="仿宋_GB2312"/>
          <w:kern w:val="36"/>
        </w:rPr>
        <w:t>4人员要求</w:t>
      </w:r>
      <w:bookmarkEnd w:id="26"/>
    </w:p>
    <w:p>
      <w:pPr>
        <w:pStyle w:val="3"/>
        <w:keepNext w:val="0"/>
        <w:spacing w:before="0" w:after="0" w:line="360" w:lineRule="auto"/>
        <w:rPr>
          <w:rFonts w:ascii="仿宋_GB2312" w:hAnsi="仿宋_GB2312" w:eastAsia="仿宋_GB2312" w:cs="仿宋_GB2312"/>
          <w:b/>
          <w:bCs/>
          <w:sz w:val="28"/>
          <w:szCs w:val="28"/>
        </w:rPr>
      </w:pPr>
      <w:bookmarkStart w:id="27" w:name="_Toc256000025"/>
      <w:r>
        <w:rPr>
          <w:rFonts w:ascii="仿宋_GB2312" w:hAnsi="仿宋_GB2312" w:eastAsia="仿宋_GB2312" w:cs="仿宋_GB2312"/>
          <w:i w:val="0"/>
          <w:iCs w:val="0"/>
        </w:rPr>
        <w:t>4.1总体要求</w:t>
      </w:r>
      <w:bookmarkEnd w:id="27"/>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12366热线绩效管理要求。</w:t>
      </w:r>
    </w:p>
    <w:p>
      <w:pPr>
        <w:pStyle w:val="13"/>
        <w:spacing w:before="0" w:after="0" w:line="360" w:lineRule="auto"/>
        <w:ind w:left="0" w:right="0" w:firstLine="480"/>
      </w:pPr>
      <w:r>
        <w:rPr>
          <w:rFonts w:ascii="仿宋_GB2312" w:hAnsi="仿宋_GB2312" w:eastAsia="仿宋_GB2312" w:cs="仿宋_GB2312"/>
          <w:sz w:val="28"/>
          <w:szCs w:val="28"/>
        </w:rPr>
        <w:t>为本项目提供热线咨询服务人员11人，指定其中1人为组长。</w:t>
      </w:r>
    </w:p>
    <w:p>
      <w:pPr>
        <w:pStyle w:val="3"/>
        <w:keepNext w:val="0"/>
        <w:spacing w:before="0" w:after="0" w:line="360" w:lineRule="auto"/>
        <w:rPr>
          <w:rFonts w:ascii="仿宋_GB2312" w:hAnsi="仿宋_GB2312" w:eastAsia="仿宋_GB2312" w:cs="仿宋_GB2312"/>
          <w:b/>
          <w:bCs/>
          <w:sz w:val="28"/>
          <w:szCs w:val="28"/>
        </w:rPr>
      </w:pPr>
      <w:bookmarkStart w:id="28" w:name="_Toc256000026"/>
      <w:r>
        <w:rPr>
          <w:rFonts w:ascii="仿宋_GB2312" w:hAnsi="仿宋_GB2312" w:eastAsia="仿宋_GB2312" w:cs="仿宋_GB2312"/>
          <w:i w:val="0"/>
          <w:iCs w:val="0"/>
        </w:rPr>
        <w:t>4.2管理团队</w:t>
      </w:r>
      <w:bookmarkEnd w:id="28"/>
    </w:p>
    <w:p>
      <w:pPr>
        <w:pStyle w:val="4"/>
        <w:keepNext w:val="0"/>
        <w:spacing w:before="0" w:after="0" w:line="360" w:lineRule="auto"/>
        <w:rPr>
          <w:rFonts w:ascii="仿宋_GB2312" w:hAnsi="仿宋_GB2312" w:eastAsia="仿宋_GB2312" w:cs="仿宋_GB2312"/>
          <w:b/>
          <w:bCs/>
          <w:sz w:val="28"/>
          <w:szCs w:val="28"/>
        </w:rPr>
      </w:pPr>
      <w:bookmarkStart w:id="29" w:name="_Toc256000027"/>
      <w:r>
        <w:rPr>
          <w:rFonts w:ascii="仿宋_GB2312" w:hAnsi="仿宋_GB2312" w:eastAsia="仿宋_GB2312" w:cs="仿宋_GB2312"/>
          <w:sz w:val="28"/>
          <w:szCs w:val="28"/>
        </w:rPr>
        <w:t>4.2.1组长</w:t>
      </w:r>
      <w:bookmarkEnd w:id="29"/>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w:t>
      </w:r>
    </w:p>
    <w:p>
      <w:pPr>
        <w:pStyle w:val="3"/>
        <w:keepNext w:val="0"/>
        <w:spacing w:before="0" w:after="0" w:line="360" w:lineRule="auto"/>
        <w:rPr>
          <w:rFonts w:ascii="仿宋_GB2312" w:hAnsi="仿宋_GB2312" w:eastAsia="仿宋_GB2312" w:cs="仿宋_GB2312"/>
          <w:b/>
          <w:bCs/>
          <w:sz w:val="28"/>
          <w:szCs w:val="28"/>
        </w:rPr>
      </w:pPr>
      <w:bookmarkStart w:id="30" w:name="_Toc256000028"/>
      <w:r>
        <w:rPr>
          <w:rFonts w:ascii="仿宋_GB2312" w:hAnsi="仿宋_GB2312" w:eastAsia="仿宋_GB2312" w:cs="仿宋_GB2312"/>
          <w:i w:val="0"/>
          <w:iCs w:val="0"/>
        </w:rPr>
        <w:t>4.3技术团队</w:t>
      </w:r>
      <w:bookmarkEnd w:id="30"/>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其他12366热线咨询服务人员负责通过12366热线电话向纳税人解答关于税收法律、行政法规、纳税程序以及社会保险费和税务机关管辖的非税收入征管有关问题等。</w:t>
      </w:r>
    </w:p>
    <w:p>
      <w:pPr>
        <w:pStyle w:val="3"/>
        <w:keepNext w:val="0"/>
        <w:spacing w:before="0" w:after="0" w:line="360" w:lineRule="auto"/>
        <w:rPr>
          <w:rFonts w:ascii="仿宋_GB2312" w:hAnsi="仿宋_GB2312" w:eastAsia="仿宋_GB2312" w:cs="仿宋_GB2312"/>
          <w:b/>
          <w:bCs/>
          <w:sz w:val="28"/>
          <w:szCs w:val="28"/>
        </w:rPr>
      </w:pPr>
      <w:bookmarkStart w:id="31" w:name="_Toc256000029"/>
      <w:r>
        <w:rPr>
          <w:rFonts w:ascii="仿宋_GB2312" w:hAnsi="仿宋_GB2312" w:eastAsia="仿宋_GB2312" w:cs="仿宋_GB2312"/>
          <w:i w:val="0"/>
          <w:iCs w:val="0"/>
        </w:rPr>
        <w:t>4.4人员具体要求</w:t>
      </w:r>
      <w:bookmarkEnd w:id="31"/>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中标供应商提供的服务人员需要符合以下条件：</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1.遵纪守法，具有良好的思想品德，作风正派，无违法犯罪记录，家庭成员以及近亲属无服刑，能严格遵守办税服务有关的规章制度和工作纪律；</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2.身体健康，无传染病；具有正常履行职责的身体条件和工作能力，工作责任感强，能吃苦耐劳，承受工作压力，有良好的团队合作精神，服从安排，按时保质保量完成单位所安排的各项工作任务；</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3.爱岗敬业，服从管理。注重言谈举止，积极参与各项文明创建活动，严格执行文明礼仪规范；</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4.有较娴熟的计算机操作技能，汉字录入速度不低于80字/分钟；</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5.普通话发音基本标准，语调自然，表达流畅，具备较强的服务意识和良好的语言表达能力、沟通能力、记忆能力、心理承受能力和学习能力；</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6.具有一定的税收基本业务知识，具备一年以上电话热线工作经验，其中财会、税收等财税经济类专业大专（或以上）学历或具有一年（或以上）相关财税工作经验的人员，不得少于</w:t>
      </w:r>
      <w:r>
        <w:rPr>
          <w:rFonts w:hint="eastAsia" w:ascii="仿宋_GB2312" w:hAnsi="仿宋_GB2312" w:eastAsia="仿宋_GB2312" w:cs="仿宋_GB2312"/>
          <w:sz w:val="28"/>
          <w:szCs w:val="28"/>
          <w:lang w:val="en-US" w:eastAsia="zh-CN"/>
        </w:rPr>
        <w:t>9</w:t>
      </w:r>
      <w:r>
        <w:rPr>
          <w:rFonts w:ascii="仿宋_GB2312" w:hAnsi="仿宋_GB2312" w:eastAsia="仿宋_GB2312" w:cs="仿宋_GB2312"/>
          <w:sz w:val="28"/>
          <w:szCs w:val="28"/>
        </w:rPr>
        <w:t>人；其中组长具备财会、税收等财税经济类专业大学本科（或以上）学历或具备三年（或以上）相关财税工作经验。</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7.遵守保密协议。无论何种原因，必须对局内在服务期内所掌握的与本服务有关的文件、资料、数据、信息做好保密措施，否则有权追究相关人员责任。</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8.接受采购方的工作安排和培训安排。</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9.符合采购方要求及日常管理工作规范。</w:t>
      </w:r>
    </w:p>
    <w:p>
      <w:pPr>
        <w:pStyle w:val="3"/>
        <w:keepNext w:val="0"/>
        <w:spacing w:before="0" w:after="0" w:line="360" w:lineRule="auto"/>
        <w:rPr>
          <w:rFonts w:ascii="仿宋_GB2312" w:hAnsi="仿宋_GB2312" w:eastAsia="仿宋_GB2312" w:cs="仿宋_GB2312"/>
          <w:b/>
          <w:bCs/>
          <w:sz w:val="28"/>
          <w:szCs w:val="28"/>
        </w:rPr>
      </w:pPr>
      <w:bookmarkStart w:id="32" w:name="_Toc256000030"/>
      <w:r>
        <w:rPr>
          <w:rFonts w:ascii="仿宋_GB2312" w:hAnsi="仿宋_GB2312" w:eastAsia="仿宋_GB2312" w:cs="仿宋_GB2312"/>
          <w:i w:val="0"/>
          <w:iCs w:val="0"/>
        </w:rPr>
        <w:t>4.5优选资质/优选指标</w:t>
      </w:r>
      <w:bookmarkEnd w:id="32"/>
    </w:p>
    <w:p>
      <w:pPr>
        <w:pStyle w:val="2"/>
        <w:keepNext w:val="0"/>
        <w:spacing w:before="0" w:after="0" w:line="360" w:lineRule="auto"/>
        <w:jc w:val="center"/>
        <w:rPr>
          <w:rFonts w:ascii="仿宋_GB2312" w:hAnsi="仿宋_GB2312" w:eastAsia="仿宋_GB2312" w:cs="仿宋_GB2312"/>
          <w:b/>
          <w:bCs/>
          <w:sz w:val="32"/>
          <w:szCs w:val="32"/>
        </w:rPr>
      </w:pPr>
      <w:bookmarkStart w:id="33" w:name="_Toc256000031"/>
      <w:r>
        <w:rPr>
          <w:rFonts w:ascii="仿宋_GB2312" w:hAnsi="仿宋_GB2312" w:eastAsia="仿宋_GB2312" w:cs="仿宋_GB2312"/>
          <w:kern w:val="36"/>
        </w:rPr>
        <w:t>5管理实施要求</w:t>
      </w:r>
      <w:bookmarkEnd w:id="33"/>
    </w:p>
    <w:p>
      <w:pPr>
        <w:pStyle w:val="14"/>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（一）实施要求</w:t>
      </w:r>
    </w:p>
    <w:p>
      <w:pPr>
        <w:pStyle w:val="14"/>
        <w:spacing w:before="0" w:after="0" w:line="360" w:lineRule="auto"/>
        <w:ind w:left="0" w:firstLine="480"/>
        <w:rPr>
          <w:rFonts w:ascii="Times New Roman" w:hAnsi="Times New Roman" w:eastAsia="Times New Roman" w:cs="Times New Roman"/>
        </w:rPr>
      </w:pPr>
      <w:r>
        <w:t>1.</w:t>
      </w:r>
      <w:r>
        <w:rPr>
          <w:sz w:val="14"/>
          <w:szCs w:val="14"/>
        </w:rPr>
        <w:t xml:space="preserve">    </w:t>
      </w:r>
      <w:r>
        <w:rPr>
          <w:rFonts w:ascii="仿宋_GB2312" w:hAnsi="仿宋_GB2312" w:eastAsia="仿宋_GB2312" w:cs="仿宋_GB2312"/>
          <w:sz w:val="28"/>
          <w:szCs w:val="28"/>
        </w:rPr>
        <w:t>中标供应商应提供所有座席人员的身份信息资料。</w:t>
      </w:r>
    </w:p>
    <w:p>
      <w:pPr>
        <w:pStyle w:val="14"/>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2.</w:t>
      </w:r>
      <w:r>
        <w:rPr>
          <w:sz w:val="14"/>
          <w:szCs w:val="14"/>
        </w:rPr>
        <w:t>   </w:t>
      </w:r>
      <w:r>
        <w:rPr>
          <w:rFonts w:ascii="仿宋_GB2312" w:hAnsi="仿宋_GB2312" w:eastAsia="仿宋_GB2312" w:cs="仿宋_GB2312"/>
          <w:sz w:val="28"/>
          <w:szCs w:val="28"/>
        </w:rPr>
        <w:t>服务期内发生各种事故：包括安全、交通、防火和劳资纠纷等事故，由中标供应商承担相应责任。</w:t>
      </w:r>
    </w:p>
    <w:p>
      <w:pPr>
        <w:pStyle w:val="14"/>
        <w:spacing w:before="0" w:after="0" w:line="360" w:lineRule="auto"/>
        <w:ind w:left="0" w:firstLine="480"/>
        <w:rPr>
          <w:rFonts w:ascii="Times New Roman" w:hAnsi="Times New Roman" w:eastAsia="Times New Roman" w:cs="Times New Roman"/>
        </w:rPr>
      </w:pPr>
      <w:r>
        <w:t>3.</w:t>
      </w:r>
      <w:r>
        <w:rPr>
          <w:sz w:val="14"/>
          <w:szCs w:val="14"/>
        </w:rPr>
        <w:t xml:space="preserve">    </w:t>
      </w:r>
      <w:r>
        <w:rPr>
          <w:rFonts w:ascii="仿宋_GB2312" w:hAnsi="仿宋_GB2312" w:eastAsia="仿宋_GB2312" w:cs="仿宋_GB2312"/>
          <w:sz w:val="28"/>
          <w:szCs w:val="28"/>
        </w:rPr>
        <w:t>中标供应商需确保所提供服务的工作时长，工作期间不得擅离职守，注重仪容仪表、工作态度，保证为纳税人提供准确、快捷的纳税服务。</w:t>
      </w:r>
    </w:p>
    <w:p>
      <w:pPr>
        <w:pStyle w:val="14"/>
        <w:spacing w:before="0" w:after="0" w:line="360" w:lineRule="auto"/>
        <w:ind w:left="0" w:firstLine="480"/>
        <w:rPr>
          <w:rFonts w:ascii="Times New Roman" w:hAnsi="Times New Roman" w:eastAsia="Times New Roman" w:cs="Times New Roman"/>
        </w:rPr>
      </w:pPr>
      <w:r>
        <w:t>4.</w:t>
      </w:r>
      <w:r>
        <w:rPr>
          <w:sz w:val="14"/>
          <w:szCs w:val="14"/>
        </w:rPr>
        <w:t xml:space="preserve">    </w:t>
      </w:r>
      <w:r>
        <w:rPr>
          <w:rFonts w:ascii="仿宋_GB2312" w:hAnsi="仿宋_GB2312" w:eastAsia="仿宋_GB2312" w:cs="仿宋_GB2312"/>
          <w:sz w:val="28"/>
          <w:szCs w:val="28"/>
        </w:rPr>
        <w:t>中标供应商需确保提供座席服务过程中遵守采购方各项廉洁纪律，做到认真履行工作职责，谨言慎行，坚决不做损害纳税人利益和损害税务机关形象的事情。</w:t>
      </w:r>
    </w:p>
    <w:p>
      <w:pPr>
        <w:pStyle w:val="14"/>
        <w:spacing w:before="0" w:after="0" w:line="360" w:lineRule="auto"/>
        <w:ind w:left="0" w:firstLine="480"/>
        <w:rPr>
          <w:rFonts w:ascii="Times New Roman" w:hAnsi="Times New Roman" w:eastAsia="Times New Roman" w:cs="Times New Roman"/>
        </w:rPr>
      </w:pPr>
      <w:r>
        <w:t>5.</w:t>
      </w:r>
      <w:r>
        <w:rPr>
          <w:sz w:val="14"/>
          <w:szCs w:val="14"/>
        </w:rPr>
        <w:t xml:space="preserve">    </w:t>
      </w:r>
      <w:r>
        <w:rPr>
          <w:rFonts w:ascii="仿宋_GB2312" w:hAnsi="仿宋_GB2312" w:eastAsia="仿宋_GB2312" w:cs="仿宋_GB2312"/>
          <w:sz w:val="28"/>
          <w:szCs w:val="28"/>
        </w:rPr>
        <w:t>如采购方对中标供应商提供的人员出现3次不服从管理、违反采购方制定的相关规章制度，采购方可以要求更换，中标供应商必须及时且无条件的为采购方更换合格的人员。</w:t>
      </w:r>
    </w:p>
    <w:p>
      <w:pPr>
        <w:pStyle w:val="14"/>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6.</w:t>
      </w:r>
      <w:r>
        <w:rPr>
          <w:sz w:val="14"/>
          <w:szCs w:val="14"/>
        </w:rPr>
        <w:t>   </w:t>
      </w:r>
      <w:r>
        <w:rPr>
          <w:rFonts w:ascii="仿宋_GB2312" w:hAnsi="仿宋_GB2312" w:eastAsia="仿宋_GB2312" w:cs="仿宋_GB2312"/>
          <w:sz w:val="28"/>
          <w:szCs w:val="28"/>
        </w:rPr>
        <w:t>服务期内，采购方按月对中标供应商的工作质量、履约情况、工作配合度等进行综合评价，评价合格则继续履行服务合同。如项目服务未达到要求，则采购方上报监管部门终止服务合同。</w:t>
      </w:r>
    </w:p>
    <w:p>
      <w:pPr>
        <w:pStyle w:val="14"/>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7.</w:t>
      </w:r>
      <w:r>
        <w:rPr>
          <w:sz w:val="14"/>
          <w:szCs w:val="14"/>
        </w:rPr>
        <w:t>   </w:t>
      </w:r>
      <w:r>
        <w:rPr>
          <w:rFonts w:ascii="仿宋_GB2312" w:hAnsi="仿宋_GB2312" w:eastAsia="仿宋_GB2312" w:cs="仿宋_GB2312"/>
          <w:sz w:val="28"/>
          <w:szCs w:val="28"/>
        </w:rPr>
        <w:t>对服务人员的撤换或辞退等须经采购方同意认可。</w:t>
      </w:r>
    </w:p>
    <w:p>
      <w:pPr>
        <w:pStyle w:val="14"/>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（二）应急服务要求</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要求中标供应商必须建立和完善突发事件的应急预案和处理机制，防患于未然。当出现不可预知的紧急情况时，保证服务正常开展。</w:t>
      </w:r>
    </w:p>
    <w:p>
      <w:pPr>
        <w:pStyle w:val="14"/>
        <w:spacing w:before="0" w:after="0" w:line="360" w:lineRule="auto"/>
        <w:ind w:left="0" w:firstLine="480"/>
        <w:rPr>
          <w:rFonts w:ascii="Times New Roman" w:hAnsi="Times New Roman" w:eastAsia="Times New Roman" w:cs="Times New Roman"/>
        </w:rPr>
      </w:pPr>
      <w:r>
        <w:rPr>
          <w:rFonts w:ascii="仿宋_GB2312" w:hAnsi="仿宋_GB2312" w:eastAsia="仿宋_GB2312" w:cs="仿宋_GB2312"/>
          <w:sz w:val="28"/>
          <w:szCs w:val="28"/>
        </w:rPr>
        <w:t>（三）人员保密要求</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中标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（四）人员稳定性要求</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在服务期间，未经采购方同意，中标供应商不得随意更换座席人员。座席人员因为请假、调走、辞职或被中标供应商辞退等原因导致座席人员不足时，需及时安排替接人员以满足区局接听需求。服务人员因为调走、辞职或被中标供应商辞退等原因导致服务人员不足时，需在3天内补充，缺席人数不能同时超过2人，中标供应商在3天内未能及时补齐符合完成项目需求的服务人员，每月不得超过2次，否则视为中标供应商违约，采购方有权终止合同。如采购方因服务内容变化造成服务人员减少，采购方应与中标供应商协商，按照实际工作人员支付相关费用。</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（五）保密要求</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pPr>
        <w:pStyle w:val="14"/>
        <w:spacing w:before="0" w:after="0" w:line="360" w:lineRule="auto"/>
        <w:ind w:left="77" w:firstLine="480"/>
        <w:rPr>
          <w:rFonts w:ascii="Times New Roman" w:hAnsi="Times New Roman" w:eastAsia="Times New Roman" w:cs="Times New Roman"/>
        </w:rPr>
      </w:pPr>
      <w:r>
        <w:rPr>
          <w:rFonts w:ascii="仿宋_GB2312" w:hAnsi="仿宋_GB2312" w:eastAsia="仿宋_GB2312" w:cs="仿宋_GB2312"/>
          <w:sz w:val="28"/>
          <w:szCs w:val="28"/>
        </w:rPr>
        <w:t>（六）进驻和接管要求</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pPr>
        <w:pStyle w:val="14"/>
        <w:spacing w:before="0" w:after="0" w:line="360" w:lineRule="auto"/>
        <w:ind w:left="77" w:firstLine="480"/>
        <w:rPr>
          <w:rFonts w:ascii="Times New Roman" w:hAnsi="Times New Roman" w:eastAsia="Times New Roman" w:cs="Times New Roman"/>
        </w:rPr>
      </w:pPr>
      <w:r>
        <w:rPr>
          <w:rFonts w:ascii="仿宋_GB2312" w:hAnsi="仿宋_GB2312" w:eastAsia="仿宋_GB2312" w:cs="仿宋_GB2312"/>
          <w:sz w:val="28"/>
          <w:szCs w:val="28"/>
        </w:rPr>
        <w:t>（七）费用分割</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1.如因中标供应商引起的劳资纠纷问题，影响正常工作的，采购方有权另行聘请人员确保正常工作，所产生的费用由中标供应商承担，采购方不承担所产生的任何费用。</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中标供应商在合同生效前对全部座席人员完成岗前培训，保障本项目在合同生效后顺利开展。培训实施后，对参加培训的座席人员进行考核，要求事先编制详细的考核计划和考核标准，考核通过后方可正式上岗。</w:t>
      </w:r>
    </w:p>
    <w:p>
      <w:pPr>
        <w:pStyle w:val="15"/>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3.本项目开展工作所需的场地、办公家具、软硬件设备、水电费用、网络费用等由采购人承担。</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4.项目座席人员工装费用、接听设备(能进行网络连接和IP地址配置的IP话机)及对应耳机设备由中标供应商承担。</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（八）履约责任</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中标供应商在服务过程中应满足本需求书提出的运行质量标准，若出现重大失误或重大事故并给国家税务总局天津经济技术开发区税务局造成损失，国家税务总局天津经济技术开发区税务局有权终止合同，停止付款并要求中标供应商赔偿实际造成的损失。</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2.中标供应商</w:t>
      </w:r>
      <w:r>
        <w:rPr>
          <w:rFonts w:ascii="仿宋_GB2312" w:hAnsi="仿宋_GB2312" w:eastAsia="仿宋_GB2312" w:cs="仿宋_GB2312"/>
          <w:color w:val="auto"/>
          <w:sz w:val="28"/>
          <w:szCs w:val="28"/>
        </w:rPr>
        <w:t>每</w:t>
      </w:r>
      <w:r>
        <w:rPr>
          <w:rFonts w:hint="eastAsia" w:ascii="仿宋_GB2312" w:hAnsi="仿宋_GB2312" w:eastAsia="仿宋_GB2312" w:cs="仿宋_GB2312"/>
          <w:color w:val="auto"/>
          <w:sz w:val="28"/>
          <w:szCs w:val="28"/>
          <w:lang w:eastAsia="zh-CN"/>
        </w:rPr>
        <w:t>月</w:t>
      </w:r>
      <w:r>
        <w:rPr>
          <w:rFonts w:ascii="仿宋_GB2312" w:hAnsi="仿宋_GB2312" w:eastAsia="仿宋_GB2312" w:cs="仿宋_GB2312"/>
          <w:sz w:val="28"/>
          <w:szCs w:val="28"/>
        </w:rPr>
        <w:t>服务质效考核验收未达到规定标准的，国家税务总局天津经济技术开发区税务局按照供应商月服务费的1‰-5‰进行扣减。</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3.中标供应商每月评价满意率低于要求的，国家税务总局天津经济技术开发区税务局按照供应商月服务费的1‰-5‰进行扣减。</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4.中标供应商每月被投诉数量超过来电总量的万分之一，经国家税务总局天津经济技术开发区税务局调查属实且认为投诉合理则按照供应商月服务费的1‰-5‰进行扣减。</w:t>
      </w:r>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5.中标供应商运行管理不到位、服务不规范、未按照要求履行工作职责产生负面影响的，或被通报批评产生负面影响的，国家税务总局天津经济技术开发区税务局按照供应商月服务费的1‰-5‰进行扣减。</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6.未经采购方同意，中标供应商不得将承包项目发包或转包，否则，视为中标供应商违约，采购方有权解除服务合同。</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7.若中标供应商在1年内违反其服务承诺或以下情况三次或以上，则视为中标供应商违约，采购方有权拒绝支付本期项目服务费，并终止合同。</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（1）非税务机关责任，导致服务出现质量问题。</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（2）没有按照采购方要求对服务人员进行管理、培训、调配。</w:t>
      </w:r>
    </w:p>
    <w:p>
      <w:pPr>
        <w:pStyle w:val="2"/>
        <w:keepNext w:val="0"/>
        <w:spacing w:before="0" w:after="0" w:line="360" w:lineRule="auto"/>
        <w:jc w:val="center"/>
        <w:rPr>
          <w:rFonts w:ascii="仿宋_GB2312" w:hAnsi="仿宋_GB2312" w:eastAsia="仿宋_GB2312" w:cs="仿宋_GB2312"/>
          <w:b/>
          <w:bCs/>
          <w:sz w:val="32"/>
          <w:szCs w:val="32"/>
        </w:rPr>
      </w:pPr>
      <w:bookmarkStart w:id="34" w:name="_Toc256000032"/>
      <w:r>
        <w:rPr>
          <w:rFonts w:ascii="仿宋_GB2312" w:hAnsi="仿宋_GB2312" w:eastAsia="仿宋_GB2312" w:cs="仿宋_GB2312"/>
          <w:kern w:val="36"/>
        </w:rPr>
        <w:t>6风险管控要求</w:t>
      </w:r>
      <w:bookmarkEnd w:id="34"/>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采取应急措施,最大限度减少各方损失。</w:t>
      </w:r>
    </w:p>
    <w:p>
      <w:pPr>
        <w:pStyle w:val="2"/>
        <w:keepNext w:val="0"/>
        <w:spacing w:before="0" w:after="0" w:line="360" w:lineRule="auto"/>
        <w:jc w:val="center"/>
        <w:rPr>
          <w:rFonts w:ascii="仿宋_GB2312" w:hAnsi="仿宋_GB2312" w:eastAsia="仿宋_GB2312" w:cs="仿宋_GB2312"/>
          <w:b/>
          <w:bCs/>
          <w:sz w:val="32"/>
          <w:szCs w:val="32"/>
        </w:rPr>
      </w:pPr>
      <w:bookmarkStart w:id="35" w:name="_Toc256000033"/>
      <w:r>
        <w:rPr>
          <w:rFonts w:ascii="仿宋_GB2312" w:hAnsi="仿宋_GB2312" w:eastAsia="仿宋_GB2312" w:cs="仿宋_GB2312"/>
          <w:kern w:val="36"/>
        </w:rPr>
        <w:t>7履约验收要求</w:t>
      </w:r>
      <w:bookmarkEnd w:id="35"/>
    </w:p>
    <w:p>
      <w:pPr>
        <w:pStyle w:val="3"/>
        <w:keepNext w:val="0"/>
        <w:spacing w:before="0" w:after="0" w:line="360" w:lineRule="auto"/>
        <w:rPr>
          <w:rFonts w:ascii="仿宋_GB2312" w:hAnsi="仿宋_GB2312" w:eastAsia="仿宋_GB2312" w:cs="仿宋_GB2312"/>
          <w:b/>
          <w:bCs/>
          <w:sz w:val="28"/>
          <w:szCs w:val="28"/>
        </w:rPr>
      </w:pPr>
      <w:bookmarkStart w:id="36" w:name="_Toc256000034"/>
      <w:r>
        <w:rPr>
          <w:rFonts w:ascii="仿宋_GB2312" w:hAnsi="仿宋_GB2312" w:eastAsia="仿宋_GB2312" w:cs="仿宋_GB2312"/>
          <w:i w:val="0"/>
          <w:iCs w:val="0"/>
        </w:rPr>
        <w:t>7.1总体要求</w:t>
      </w:r>
      <w:bookmarkEnd w:id="36"/>
    </w:p>
    <w:tbl>
      <w:tblPr>
        <w:tblStyle w:val="9"/>
        <w:tblW w:w="5000" w:type="pct"/>
        <w:tblInd w:w="30" w:type="dxa"/>
        <w:tblLayout w:type="autofit"/>
        <w:tblCellMar>
          <w:top w:w="15" w:type="dxa"/>
          <w:left w:w="15" w:type="dxa"/>
          <w:bottom w:w="15" w:type="dxa"/>
          <w:right w:w="15" w:type="dxa"/>
        </w:tblCellMar>
      </w:tblPr>
      <w:tblGrid>
        <w:gridCol w:w="4535"/>
        <w:gridCol w:w="4535"/>
      </w:tblGrid>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验收要求</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按月验收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按月，每月进行验收，服务方应按期按要求提供服务。</w:t>
            </w:r>
          </w:p>
        </w:tc>
      </w:tr>
    </w:tbl>
    <w:p>
      <w:pPr>
        <w:pStyle w:val="3"/>
        <w:keepNext w:val="0"/>
        <w:spacing w:before="0" w:after="0" w:line="360" w:lineRule="auto"/>
        <w:rPr>
          <w:rFonts w:ascii="仿宋_GB2312" w:hAnsi="仿宋_GB2312" w:eastAsia="仿宋_GB2312" w:cs="仿宋_GB2312"/>
          <w:b/>
          <w:bCs/>
          <w:sz w:val="28"/>
          <w:szCs w:val="28"/>
        </w:rPr>
      </w:pPr>
      <w:bookmarkStart w:id="37" w:name="_Toc256000035"/>
      <w:r>
        <w:rPr>
          <w:rFonts w:ascii="仿宋_GB2312" w:hAnsi="仿宋_GB2312" w:eastAsia="仿宋_GB2312" w:cs="仿宋_GB2312"/>
          <w:i w:val="0"/>
          <w:iCs w:val="0"/>
        </w:rPr>
        <w:t>7.2具体要求</w:t>
      </w:r>
      <w:bookmarkEnd w:id="37"/>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严格按照法律法规和采购合同</w:t>
      </w:r>
      <w:r>
        <w:rPr>
          <w:rFonts w:ascii="仿宋_GB2312" w:hAnsi="仿宋_GB2312" w:eastAsia="仿宋_GB2312" w:cs="仿宋_GB2312"/>
          <w:color w:val="auto"/>
          <w:sz w:val="28"/>
          <w:szCs w:val="28"/>
        </w:rPr>
        <w:t>按</w:t>
      </w:r>
      <w:r>
        <w:rPr>
          <w:rFonts w:hint="eastAsia" w:ascii="仿宋_GB2312" w:hAnsi="仿宋_GB2312" w:eastAsia="仿宋_GB2312" w:cs="仿宋_GB2312"/>
          <w:color w:val="auto"/>
          <w:sz w:val="28"/>
          <w:szCs w:val="28"/>
          <w:lang w:eastAsia="zh-CN"/>
        </w:rPr>
        <w:t>月</w:t>
      </w:r>
      <w:r>
        <w:rPr>
          <w:rFonts w:ascii="仿宋_GB2312" w:hAnsi="仿宋_GB2312" w:eastAsia="仿宋_GB2312" w:cs="仿宋_GB2312"/>
          <w:sz w:val="28"/>
          <w:szCs w:val="28"/>
        </w:rPr>
        <w:t>进行验收。确保验收工作在法律框架内进行，遵守国家和地方有关政府采购、合同管理等方面的法规政策。遵循公平、公正、公开的原则。验收过程应保持客观、中立，不受任何外部因素干扰，确保验收</w:t>
      </w:r>
      <w:bookmarkStart w:id="46" w:name="_GoBack"/>
      <w:bookmarkEnd w:id="46"/>
      <w:r>
        <w:rPr>
          <w:rFonts w:ascii="仿宋_GB2312" w:hAnsi="仿宋_GB2312" w:eastAsia="仿宋_GB2312" w:cs="仿宋_GB2312"/>
          <w:sz w:val="28"/>
          <w:szCs w:val="28"/>
        </w:rPr>
        <w:t>结果真实反映供应商的履约情况。</w:t>
      </w:r>
    </w:p>
    <w:p>
      <w:pPr>
        <w:pStyle w:val="13"/>
        <w:spacing w:before="0" w:after="0" w:line="360" w:lineRule="auto"/>
        <w:ind w:left="0" w:right="0" w:firstLine="480"/>
      </w:pPr>
      <w:r>
        <w:rPr>
          <w:rFonts w:ascii="仿宋_GB2312" w:hAnsi="仿宋_GB2312" w:eastAsia="仿宋_GB2312" w:cs="仿宋_GB2312"/>
          <w:sz w:val="28"/>
          <w:szCs w:val="28"/>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pStyle w:val="2"/>
        <w:keepNext w:val="0"/>
        <w:spacing w:before="0" w:after="0" w:line="360" w:lineRule="auto"/>
        <w:jc w:val="center"/>
        <w:rPr>
          <w:rFonts w:ascii="仿宋_GB2312" w:hAnsi="仿宋_GB2312" w:eastAsia="仿宋_GB2312" w:cs="仿宋_GB2312"/>
          <w:b/>
          <w:bCs/>
          <w:sz w:val="32"/>
          <w:szCs w:val="32"/>
        </w:rPr>
      </w:pPr>
      <w:bookmarkStart w:id="38" w:name="_Toc256000036"/>
      <w:r>
        <w:rPr>
          <w:rFonts w:ascii="仿宋_GB2312" w:hAnsi="仿宋_GB2312" w:eastAsia="仿宋_GB2312" w:cs="仿宋_GB2312"/>
          <w:kern w:val="36"/>
        </w:rPr>
        <w:t>8其他要求</w:t>
      </w:r>
      <w:bookmarkEnd w:id="38"/>
    </w:p>
    <w:p>
      <w:pPr>
        <w:pStyle w:val="3"/>
        <w:keepNext w:val="0"/>
        <w:spacing w:before="0" w:after="0" w:line="360" w:lineRule="auto"/>
        <w:rPr>
          <w:rFonts w:ascii="仿宋_GB2312" w:hAnsi="仿宋_GB2312" w:eastAsia="仿宋_GB2312" w:cs="仿宋_GB2312"/>
          <w:b/>
          <w:bCs/>
          <w:sz w:val="28"/>
          <w:szCs w:val="28"/>
        </w:rPr>
      </w:pPr>
      <w:bookmarkStart w:id="39" w:name="_Toc256000037"/>
      <w:r>
        <w:rPr>
          <w:rFonts w:ascii="仿宋_GB2312" w:hAnsi="仿宋_GB2312" w:eastAsia="仿宋_GB2312" w:cs="仿宋_GB2312"/>
          <w:i w:val="0"/>
          <w:iCs w:val="0"/>
        </w:rPr>
        <w:t>8.1必备要求</w:t>
      </w:r>
      <w:bookmarkEnd w:id="39"/>
    </w:p>
    <w:p>
      <w:pPr>
        <w:pStyle w:val="4"/>
        <w:keepNext w:val="0"/>
        <w:spacing w:before="0" w:after="0" w:line="360" w:lineRule="auto"/>
        <w:rPr>
          <w:rFonts w:ascii="仿宋_GB2312" w:hAnsi="仿宋_GB2312" w:eastAsia="仿宋_GB2312" w:cs="仿宋_GB2312"/>
          <w:b/>
          <w:bCs/>
          <w:sz w:val="28"/>
          <w:szCs w:val="28"/>
        </w:rPr>
      </w:pPr>
      <w:bookmarkStart w:id="40" w:name="_Toc256000038"/>
      <w:r>
        <w:rPr>
          <w:rFonts w:ascii="仿宋_GB2312" w:hAnsi="仿宋_GB2312" w:eastAsia="仿宋_GB2312" w:cs="仿宋_GB2312"/>
          <w:sz w:val="28"/>
          <w:szCs w:val="28"/>
        </w:rPr>
        <w:t>8.1.1通用必备要求</w:t>
      </w:r>
      <w:bookmarkEnd w:id="40"/>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3"/>
        <w:keepNext w:val="0"/>
        <w:spacing w:before="0" w:after="0" w:line="360" w:lineRule="auto"/>
        <w:rPr>
          <w:rFonts w:ascii="仿宋_GB2312" w:hAnsi="仿宋_GB2312" w:eastAsia="仿宋_GB2312" w:cs="仿宋_GB2312"/>
          <w:b/>
          <w:bCs/>
          <w:sz w:val="28"/>
          <w:szCs w:val="28"/>
        </w:rPr>
      </w:pPr>
      <w:bookmarkStart w:id="41" w:name="_Toc256000039"/>
      <w:r>
        <w:rPr>
          <w:rFonts w:ascii="仿宋_GB2312" w:hAnsi="仿宋_GB2312" w:eastAsia="仿宋_GB2312" w:cs="仿宋_GB2312"/>
          <w:i w:val="0"/>
          <w:iCs w:val="0"/>
        </w:rPr>
        <w:t>8.2付款安排建议</w:t>
      </w:r>
      <w:bookmarkEnd w:id="41"/>
    </w:p>
    <w:tbl>
      <w:tblPr>
        <w:tblStyle w:val="9"/>
        <w:tblW w:w="5000" w:type="pct"/>
        <w:tblInd w:w="30" w:type="dxa"/>
        <w:tblLayout w:type="autofit"/>
        <w:tblCellMar>
          <w:top w:w="15" w:type="dxa"/>
          <w:left w:w="15" w:type="dxa"/>
          <w:bottom w:w="15" w:type="dxa"/>
          <w:right w:w="15" w:type="dxa"/>
        </w:tblCellMar>
      </w:tblPr>
      <w:tblGrid>
        <w:gridCol w:w="1814"/>
        <w:gridCol w:w="5442"/>
        <w:gridCol w:w="1814"/>
      </w:tblGrid>
      <w:tr>
        <w:tblPrEx>
          <w:tblCellMar>
            <w:top w:w="15" w:type="dxa"/>
            <w:left w:w="15" w:type="dxa"/>
            <w:bottom w:w="15" w:type="dxa"/>
            <w:right w:w="15"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付款名称</w:t>
            </w:r>
          </w:p>
        </w:tc>
        <w:tc>
          <w:tcPr>
            <w:tcW w:w="3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付款要求</w:t>
            </w:r>
          </w:p>
        </w:tc>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付款比例(%)</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第2次付款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第3次付款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第4次付款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第5次付款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第6次付款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第7次付款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第8次付款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第9次付款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第10次付款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第11次付款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第12次付款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情况下，每月服务完成，经验收合格后，于次月月初支付上月服务费用。国家税务总局天津经济技术开发区税务局在完成对中标供应商本月的考核后，如需扣减支付费用的，在次月初支付上月合同价款时扣减。付款过程中如遇特殊情况，双方协商解决。</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8.37</w:t>
            </w:r>
          </w:p>
        </w:tc>
      </w:tr>
    </w:tbl>
    <w:p>
      <w:pPr>
        <w:pStyle w:val="3"/>
        <w:keepNext w:val="0"/>
        <w:spacing w:before="0" w:after="0" w:line="360" w:lineRule="auto"/>
        <w:rPr>
          <w:rFonts w:ascii="仿宋_GB2312" w:hAnsi="仿宋_GB2312" w:eastAsia="仿宋_GB2312" w:cs="仿宋_GB2312"/>
          <w:b/>
          <w:bCs/>
          <w:sz w:val="28"/>
          <w:szCs w:val="28"/>
        </w:rPr>
      </w:pPr>
      <w:bookmarkStart w:id="42" w:name="_Toc256000040"/>
      <w:r>
        <w:rPr>
          <w:rFonts w:ascii="仿宋_GB2312" w:hAnsi="仿宋_GB2312" w:eastAsia="仿宋_GB2312" w:cs="仿宋_GB2312"/>
          <w:i w:val="0"/>
          <w:iCs w:val="0"/>
        </w:rPr>
        <w:t>8.3其他要求</w:t>
      </w:r>
      <w:bookmarkEnd w:id="42"/>
    </w:p>
    <w:p>
      <w:pPr>
        <w:pStyle w:val="4"/>
        <w:keepNext w:val="0"/>
        <w:spacing w:before="0" w:after="0" w:line="360" w:lineRule="auto"/>
        <w:rPr>
          <w:rFonts w:ascii="仿宋_GB2312" w:hAnsi="仿宋_GB2312" w:eastAsia="仿宋_GB2312" w:cs="仿宋_GB2312"/>
          <w:b/>
          <w:bCs/>
          <w:sz w:val="28"/>
          <w:szCs w:val="28"/>
        </w:rPr>
      </w:pPr>
      <w:bookmarkStart w:id="43" w:name="_Toc256000041"/>
      <w:r>
        <w:rPr>
          <w:rFonts w:ascii="仿宋_GB2312" w:hAnsi="仿宋_GB2312" w:eastAsia="仿宋_GB2312" w:cs="仿宋_GB2312"/>
          <w:sz w:val="28"/>
          <w:szCs w:val="28"/>
        </w:rPr>
        <w:t>8.3.1保密要求</w:t>
      </w:r>
      <w:bookmarkEnd w:id="43"/>
    </w:p>
    <w:p>
      <w:pPr>
        <w:pStyle w:val="12"/>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pPr>
        <w:pStyle w:val="14"/>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2.中标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pPr>
        <w:pStyle w:val="4"/>
        <w:keepNext w:val="0"/>
        <w:spacing w:before="0" w:after="0" w:line="360" w:lineRule="auto"/>
        <w:rPr>
          <w:rFonts w:ascii="仿宋_GB2312" w:hAnsi="仿宋_GB2312" w:eastAsia="仿宋_GB2312" w:cs="仿宋_GB2312"/>
          <w:b/>
          <w:bCs/>
          <w:sz w:val="28"/>
          <w:szCs w:val="28"/>
        </w:rPr>
      </w:pPr>
      <w:bookmarkStart w:id="44" w:name="_Toc256000042"/>
      <w:r>
        <w:rPr>
          <w:rFonts w:ascii="仿宋_GB2312" w:hAnsi="仿宋_GB2312" w:eastAsia="仿宋_GB2312" w:cs="仿宋_GB2312"/>
          <w:sz w:val="28"/>
          <w:szCs w:val="28"/>
        </w:rPr>
        <w:t>8.3.2知识转移要求</w:t>
      </w:r>
      <w:bookmarkEnd w:id="44"/>
    </w:p>
    <w:p>
      <w:pPr>
        <w:pStyle w:val="4"/>
        <w:keepNext w:val="0"/>
        <w:spacing w:before="0" w:after="0" w:line="360" w:lineRule="auto"/>
        <w:rPr>
          <w:rFonts w:ascii="仿宋_GB2312" w:hAnsi="仿宋_GB2312" w:eastAsia="仿宋_GB2312" w:cs="仿宋_GB2312"/>
          <w:b/>
          <w:bCs/>
          <w:sz w:val="28"/>
          <w:szCs w:val="28"/>
        </w:rPr>
      </w:pPr>
      <w:bookmarkStart w:id="45" w:name="_Toc256000043"/>
      <w:r>
        <w:rPr>
          <w:rFonts w:ascii="仿宋_GB2312" w:hAnsi="仿宋_GB2312" w:eastAsia="仿宋_GB2312" w:cs="仿宋_GB2312"/>
          <w:sz w:val="28"/>
          <w:szCs w:val="28"/>
        </w:rPr>
        <w:t>8.3.3知识产权要求</w:t>
      </w:r>
      <w:bookmarkEnd w:id="45"/>
    </w:p>
    <w:p>
      <w:pPr>
        <w:spacing w:before="0" w:after="0" w:line="360" w:lineRule="auto"/>
        <w:ind w:firstLine="561"/>
        <w:rPr>
          <w:rFonts w:ascii="仿宋_GB2312" w:hAnsi="仿宋_GB2312" w:eastAsia="仿宋_GB2312" w:cs="仿宋_GB2312"/>
          <w:sz w:val="28"/>
          <w:szCs w:val="28"/>
        </w:rPr>
      </w:pPr>
    </w:p>
    <w:sectPr>
      <w:footerReference r:id="rId3" w:type="default"/>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FangSong_GB2312">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360" w:lineRule="auto"/>
      <w:jc w:val="center"/>
    </w:pPr>
    <w:r>
      <w:fldChar w:fldCharType="begin"/>
    </w:r>
    <w:r>
      <w:instrText xml:space="preserve"> PAGE </w:instrText>
    </w:r>
    <w:r>
      <w:fldChar w:fldCharType="separate"/>
    </w:r>
    <w:r>
      <w:t>13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FFFCBB7"/>
    <w:rsid w:val="44AE0712"/>
    <w:rsid w:val="4B0A73DA"/>
    <w:rsid w:val="7F73C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spacing w:before="240" w:after="60"/>
      <w:outlineLvl w:val="1"/>
    </w:pPr>
    <w:rPr>
      <w:rFonts w:ascii="Arial" w:hAnsi="Arial" w:cs="Arial"/>
      <w:b/>
      <w:bCs/>
      <w:i/>
      <w:iCs/>
      <w:sz w:val="28"/>
      <w:szCs w:val="28"/>
    </w:rPr>
  </w:style>
  <w:style w:type="paragraph" w:styleId="4">
    <w:name w:val="heading 3"/>
    <w:basedOn w:val="1"/>
    <w:next w:val="1"/>
    <w:qFormat/>
    <w:uiPriority w:val="0"/>
    <w:pPr>
      <w:keepNext/>
      <w:spacing w:before="240" w:after="60"/>
      <w:outlineLvl w:val="2"/>
    </w:pPr>
    <w:rPr>
      <w:rFonts w:ascii="Arial" w:hAnsi="Arial" w:cs="Arial"/>
      <w:b/>
      <w:bCs/>
      <w:sz w:val="26"/>
      <w:szCs w:val="26"/>
    </w:rPr>
  </w:style>
  <w:style w:type="paragraph" w:styleId="5">
    <w:name w:val="heading 4"/>
    <w:basedOn w:val="1"/>
    <w:next w:val="1"/>
    <w:qFormat/>
    <w:uiPriority w:val="0"/>
    <w:pPr>
      <w:keepNext/>
      <w:spacing w:before="240" w:after="60"/>
      <w:outlineLvl w:val="3"/>
    </w:pPr>
    <w:rPr>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toc 3"/>
    <w:basedOn w:val="1"/>
    <w:next w:val="1"/>
    <w:qFormat/>
    <w:uiPriority w:val="0"/>
    <w:pPr>
      <w:ind w:left="480"/>
    </w:pPr>
  </w:style>
  <w:style w:type="paragraph" w:styleId="7">
    <w:name w:val="toc 1"/>
    <w:basedOn w:val="1"/>
    <w:next w:val="1"/>
    <w:qFormat/>
    <w:uiPriority w:val="0"/>
  </w:style>
  <w:style w:type="paragraph" w:styleId="8">
    <w:name w:val="toc 2"/>
    <w:basedOn w:val="1"/>
    <w:next w:val="1"/>
    <w:qFormat/>
    <w:uiPriority w:val="0"/>
    <w:pPr>
      <w:ind w:left="240"/>
    </w:pPr>
  </w:style>
  <w:style w:type="character" w:styleId="11">
    <w:name w:val="Hyperlink"/>
    <w:basedOn w:val="10"/>
    <w:qFormat/>
    <w:uiPriority w:val="0"/>
    <w:rPr>
      <w:color w:val="0000FF"/>
      <w:u w:val="single"/>
    </w:rPr>
  </w:style>
  <w:style w:type="paragraph" w:customStyle="1" w:styleId="12">
    <w:name w:val="15"/>
    <w:basedOn w:val="1"/>
    <w:qFormat/>
    <w:uiPriority w:val="0"/>
  </w:style>
  <w:style w:type="paragraph" w:customStyle="1" w:styleId="13">
    <w:name w:val="MsoNormal"/>
    <w:basedOn w:val="1"/>
    <w:qFormat/>
    <w:uiPriority w:val="0"/>
  </w:style>
  <w:style w:type="paragraph" w:customStyle="1" w:styleId="14">
    <w:name w:val="16"/>
    <w:basedOn w:val="1"/>
    <w:qFormat/>
    <w:uiPriority w:val="0"/>
  </w:style>
  <w:style w:type="paragraph" w:customStyle="1" w:styleId="15">
    <w:name w:val="17"/>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13</Pages>
  <Words>0</Words>
  <Characters>0</Characters>
  <Lines>1</Lines>
  <Paragraphs>1</Paragraphs>
  <TotalTime>12</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2026-03-17T22:15:00Z</dcterms:created>
  <dc:creator>user02</dc:creator>
  <cp:lastModifiedBy>孔琪</cp:lastModifiedBy>
  <dcterms:modified xsi:type="dcterms:W3CDTF">2026-04-02T07:03:02Z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