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中新天津生态城税务局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2026年IT耗材</w:t>
            </w:r>
            <w:bookmarkStart w:id="0" w:name="_GoBack"/>
            <w:bookmarkEnd w:id="0"/>
            <w:r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项目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参与报名表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9E138EF"/>
    <w:rsid w:val="0AAD0E68"/>
    <w:rsid w:val="1D6827A3"/>
    <w:rsid w:val="29130653"/>
    <w:rsid w:val="466948CD"/>
    <w:rsid w:val="5CAB3BA5"/>
    <w:rsid w:val="5E523DEC"/>
    <w:rsid w:val="689E467A"/>
    <w:rsid w:val="68C50C6B"/>
    <w:rsid w:val="6DFEE8FC"/>
    <w:rsid w:val="7DFB8967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0</TotalTime>
  <ScaleCrop>false</ScaleCrop>
  <LinksUpToDate>false</LinksUpToDate>
  <CharactersWithSpaces>85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2025-03-25T22:53:00Z</dcterms:created>
  <dc:creator> </dc:creator>
  <cp:lastModifiedBy>刘承宇</cp:lastModifiedBy>
  <cp:lastPrinted>2026-01-19T19:45:00Z</cp:lastPrinted>
  <dcterms:modified xsi:type="dcterms:W3CDTF">2026-04-09T06:10:37Z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00F022EADA4A4A8FAF261D0A45C922AF_13</vt:lpwstr>
  </property>
</Properties>
</file>