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国家税务总局天津市税务局机关食堂主副食调料等其他类食材项目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2026年04月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kern w:val="36"/>
          </w:rPr>
          <w:t>2投标/响应要求</w:t>
        </w:r>
        <w:r>
          <w:tab/>
        </w:r>
        <w:r>
          <w:fldChar w:fldCharType="begin"/>
        </w:r>
        <w:r>
          <w:instrText xml:space="preserve"> PAGEREF _Toc256000007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2.1对供应商的要求</w:t>
        </w:r>
        <w:r>
          <w:tab/>
        </w:r>
        <w:r>
          <w:fldChar w:fldCharType="begin"/>
        </w:r>
        <w:r>
          <w:instrText xml:space="preserve"> PAGEREF _Toc256000008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rPr>
          <w:t>2.1.1必备资质</w:t>
        </w:r>
        <w:r>
          <w:tab/>
        </w:r>
        <w:r>
          <w:fldChar w:fldCharType="begin"/>
        </w:r>
        <w:r>
          <w:instrText xml:space="preserve"> PAGEREF _Toc256000009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2.1.2优选资质/优选指标</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2.1.3是否允许联合体</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2.1.4是否专门面向中小企业</w:t>
        </w:r>
        <w:r>
          <w:tab/>
        </w:r>
        <w:r>
          <w:fldChar w:fldCharType="begin"/>
        </w:r>
        <w:r>
          <w:instrText xml:space="preserve"> PAGEREF _Toc256000012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2.2技术部分投标/响应内容</w:t>
        </w:r>
        <w:r>
          <w:tab/>
        </w:r>
        <w:r>
          <w:fldChar w:fldCharType="begin"/>
        </w:r>
        <w:r>
          <w:instrText xml:space="preserve"> PAGEREF _Toc256000013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2.2.1投标/响应方案要求</w:t>
        </w:r>
        <w:r>
          <w:tab/>
        </w:r>
        <w:r>
          <w:fldChar w:fldCharType="begin"/>
        </w:r>
        <w:r>
          <w:instrText xml:space="preserve"> PAGEREF _Toc256000014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2.3投标报价规则</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2.4异常低价审查</w:t>
        </w:r>
        <w:r>
          <w:tab/>
        </w:r>
        <w:r>
          <w:fldChar w:fldCharType="begin"/>
        </w:r>
        <w:r>
          <w:instrText xml:space="preserve"> PAGEREF _Toc256000016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kern w:val="36"/>
          </w:rPr>
          <w:t>3项目需求</w:t>
        </w:r>
        <w:r>
          <w:tab/>
        </w:r>
        <w:r>
          <w:fldChar w:fldCharType="begin"/>
        </w:r>
        <w:r>
          <w:instrText xml:space="preserve"> PAGEREF _Toc256000017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3.1总体要求</w:t>
        </w:r>
        <w:r>
          <w:tab/>
        </w:r>
        <w:r>
          <w:fldChar w:fldCharType="begin"/>
        </w:r>
        <w:r>
          <w:instrText xml:space="preserve"> PAGEREF _Toc256000018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rPr>
          <w:t>3.2采购产品一览表</w:t>
        </w:r>
        <w:r>
          <w:tab/>
        </w:r>
        <w:r>
          <w:fldChar w:fldCharType="begin"/>
        </w:r>
        <w:r>
          <w:instrText xml:space="preserve"> PAGEREF _Toc256000019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3.3采购产品详细清单及技术指标</w:t>
        </w:r>
        <w:r>
          <w:tab/>
        </w:r>
        <w:r>
          <w:fldChar w:fldCharType="begin"/>
        </w:r>
        <w:r>
          <w:instrText xml:space="preserve"> PAGEREF _Toc256000020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3.4服务要求</w:t>
        </w:r>
        <w:r>
          <w:tab/>
        </w:r>
        <w:r>
          <w:fldChar w:fldCharType="begin"/>
        </w:r>
        <w:r>
          <w:instrText xml:space="preserve"> PAGEREF _Toc256000021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3.5其他要求</w:t>
        </w:r>
        <w:r>
          <w:tab/>
        </w:r>
        <w:r>
          <w:fldChar w:fldCharType="begin"/>
        </w:r>
        <w:r>
          <w:instrText xml:space="preserve"> PAGEREF _Toc256000022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kern w:val="36"/>
          </w:rPr>
          <w:t>4人员要求</w:t>
        </w:r>
        <w:r>
          <w:tab/>
        </w:r>
        <w:r>
          <w:fldChar w:fldCharType="begin"/>
        </w:r>
        <w:r>
          <w:instrText xml:space="preserve"> PAGEREF _Toc256000023 \h </w:instrText>
        </w:r>
        <w:r>
          <w:fldChar w:fldCharType="separate"/>
        </w:r>
        <w:r>
          <w:t>9</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4.1团队要求</w:t>
        </w:r>
        <w:r>
          <w:tab/>
        </w:r>
        <w:r>
          <w:fldChar w:fldCharType="begin"/>
        </w:r>
        <w:r>
          <w:instrText xml:space="preserve"> PAGEREF _Toc256000024 \h </w:instrText>
        </w:r>
        <w:r>
          <w:fldChar w:fldCharType="separate"/>
        </w:r>
        <w:r>
          <w:t>9</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4.1.1基本要求</w:t>
        </w:r>
        <w:r>
          <w:tab/>
        </w:r>
        <w:r>
          <w:fldChar w:fldCharType="begin"/>
        </w:r>
        <w:r>
          <w:instrText xml:space="preserve"> PAGEREF _Toc256000025 \h </w:instrText>
        </w:r>
        <w:r>
          <w:fldChar w:fldCharType="separate"/>
        </w:r>
        <w:r>
          <w:t>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kern w:val="36"/>
          </w:rPr>
          <w:t>5管理实施要求</w:t>
        </w:r>
        <w:r>
          <w:tab/>
        </w:r>
        <w:r>
          <w:fldChar w:fldCharType="begin"/>
        </w:r>
        <w:r>
          <w:instrText xml:space="preserve"> PAGEREF _Toc256000026 \h </w:instrText>
        </w:r>
        <w:r>
          <w:fldChar w:fldCharType="separate"/>
        </w:r>
        <w:r>
          <w:t>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kern w:val="36"/>
          </w:rPr>
          <w:t>6风险管控要求</w:t>
        </w:r>
        <w:r>
          <w:tab/>
        </w:r>
        <w:r>
          <w:fldChar w:fldCharType="begin"/>
        </w:r>
        <w:r>
          <w:instrText xml:space="preserve"> PAGEREF _Toc256000027 \h </w:instrText>
        </w:r>
        <w:r>
          <w:fldChar w:fldCharType="separate"/>
        </w:r>
        <w:r>
          <w:t>10</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kern w:val="36"/>
          </w:rPr>
          <w:t>7履约验收要求</w:t>
        </w:r>
        <w:r>
          <w:tab/>
        </w:r>
        <w:r>
          <w:fldChar w:fldCharType="begin"/>
        </w:r>
        <w:r>
          <w:instrText xml:space="preserve"> PAGEREF _Toc256000028 \h </w:instrText>
        </w:r>
        <w:r>
          <w:fldChar w:fldCharType="separate"/>
        </w:r>
        <w:r>
          <w:t>10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7.1总体要求</w:t>
        </w:r>
        <w:r>
          <w:tab/>
        </w:r>
        <w:r>
          <w:fldChar w:fldCharType="begin"/>
        </w:r>
        <w:r>
          <w:instrText xml:space="preserve"> PAGEREF _Toc256000029 \h </w:instrText>
        </w:r>
        <w:r>
          <w:fldChar w:fldCharType="separate"/>
        </w:r>
        <w:r>
          <w:t>10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7.2具体要求</w:t>
        </w:r>
        <w:r>
          <w:tab/>
        </w:r>
        <w:r>
          <w:fldChar w:fldCharType="begin"/>
        </w:r>
        <w:r>
          <w:instrText xml:space="preserve"> PAGEREF _Toc256000030 \h </w:instrText>
        </w:r>
        <w:r>
          <w:fldChar w:fldCharType="separate"/>
        </w:r>
        <w:r>
          <w:t>11</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8其他要求</w:t>
        </w:r>
        <w:r>
          <w:tab/>
        </w:r>
        <w:r>
          <w:fldChar w:fldCharType="begin"/>
        </w:r>
        <w:r>
          <w:instrText xml:space="preserve"> PAGEREF _Toc256000031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rPr>
          <w:t>8.1必备要求</w:t>
        </w:r>
        <w:r>
          <w:tab/>
        </w:r>
        <w:r>
          <w:fldChar w:fldCharType="begin"/>
        </w:r>
        <w:r>
          <w:instrText xml:space="preserve"> PAGEREF _Toc256000032 \h </w:instrText>
        </w:r>
        <w:r>
          <w:fldChar w:fldCharType="separate"/>
        </w:r>
        <w:r>
          <w:t>12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8.1.1通用必备要求</w:t>
        </w:r>
        <w:r>
          <w:tab/>
        </w:r>
        <w:r>
          <w:fldChar w:fldCharType="begin"/>
        </w:r>
        <w:r>
          <w:instrText xml:space="preserve"> PAGEREF _Toc256000033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8.2付款安排建议</w:t>
        </w:r>
        <w:r>
          <w:tab/>
        </w:r>
        <w:r>
          <w:fldChar w:fldCharType="begin"/>
        </w:r>
        <w:r>
          <w:instrText xml:space="preserve"> PAGEREF _Toc256000034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8.3其他要求</w:t>
        </w:r>
        <w:r>
          <w:tab/>
        </w:r>
        <w:r>
          <w:fldChar w:fldCharType="begin"/>
        </w:r>
        <w:r>
          <w:instrText xml:space="preserve"> PAGEREF _Toc256000035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8.3.1保密要求</w:t>
        </w:r>
        <w:r>
          <w:tab/>
        </w:r>
        <w:r>
          <w:fldChar w:fldCharType="begin"/>
        </w:r>
        <w:r>
          <w:instrText xml:space="preserve"> PAGEREF _Toc256000036 \h </w:instrText>
        </w:r>
        <w:r>
          <w:fldChar w:fldCharType="separate"/>
        </w:r>
        <w:r>
          <w:t>13</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left="0" w:right="0" w:firstLine="420"/>
        <w:jc w:val="both"/>
        <w:rPr>
          <w:rFonts w:ascii="Times New Roman" w:eastAsia="Times New Roman" w:hAnsi="Times New Roman" w:cs="Times New Roman"/>
        </w:rPr>
      </w:pPr>
      <w:r>
        <w:rPr>
          <w:rFonts w:ascii="仿宋_GB2312" w:eastAsia="仿宋_GB2312" w:hAnsi="仿宋_GB2312" w:cs="仿宋_GB2312"/>
          <w:sz w:val="28"/>
          <w:szCs w:val="28"/>
        </w:rPr>
        <w:t>国家税务总局天津市税务局机关食堂主副食调料等其他类食材项目，包含米、面、杂粮、油、鸡蛋及调料等，采购预算为人民币</w:t>
      </w:r>
      <w:r>
        <w:rPr>
          <w:rFonts w:ascii="仿宋_GB2312" w:eastAsia="仿宋_GB2312" w:hAnsi="仿宋_GB2312" w:cs="仿宋_GB2312"/>
          <w:sz w:val="28"/>
          <w:szCs w:val="28"/>
        </w:rPr>
        <w:t>136.00万元。供应商按照</w:t>
      </w:r>
      <w:r>
        <w:rPr>
          <w:rFonts w:ascii="仿宋_GB2312" w:eastAsia="仿宋_GB2312" w:hAnsi="仿宋_GB2312" w:cs="仿宋_GB2312"/>
          <w:sz w:val="28"/>
          <w:szCs w:val="28"/>
        </w:rPr>
        <w:t>费率投标报价</w:t>
      </w:r>
      <w:r>
        <w:rPr>
          <w:rFonts w:ascii="仿宋_GB2312" w:eastAsia="仿宋_GB2312" w:hAnsi="仿宋_GB2312" w:cs="仿宋_GB2312"/>
          <w:sz w:val="28"/>
          <w:szCs w:val="28"/>
        </w:rPr>
        <w:t>，按实际采购量进行结算，总结算金额不超过采购预算。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pacing w:val="0"/>
          <w:sz w:val="28"/>
          <w:szCs w:val="28"/>
        </w:rPr>
        <w:t>本项目旨在为机关食堂提供质优价廉的</w:t>
      </w:r>
      <w:r>
        <w:rPr>
          <w:rFonts w:ascii="仿宋_GB2312" w:eastAsia="仿宋_GB2312" w:hAnsi="仿宋_GB2312" w:cs="仿宋_GB2312"/>
          <w:sz w:val="28"/>
          <w:szCs w:val="28"/>
        </w:rPr>
        <w:t>米、面、杂粮、油、鸡蛋及调料</w:t>
      </w:r>
      <w:r>
        <w:rPr>
          <w:rFonts w:ascii="仿宋_GB2312" w:eastAsia="仿宋_GB2312" w:hAnsi="仿宋_GB2312" w:cs="仿宋_GB2312"/>
          <w:spacing w:val="0"/>
          <w:sz w:val="28"/>
          <w:szCs w:val="28"/>
        </w:rPr>
        <w:t>等食材，在确保机关食品安全的基础上，提供高效便捷的服务。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本包采购国家税务总局天津市税务局机关食堂所需的主副食调料等其他食材，含相应配送。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640"/>
        <w:jc w:val="both"/>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按照采购人需求，为国家税务总局天津市税务局机关提供</w:t>
      </w:r>
      <w:r>
        <w:rPr>
          <w:rFonts w:ascii="仿宋_GB2312" w:eastAsia="仿宋_GB2312" w:hAnsi="仿宋_GB2312" w:cs="仿宋_GB2312"/>
          <w:sz w:val="28"/>
          <w:szCs w:val="28"/>
        </w:rPr>
        <w:t>主副食调料等其他类</w:t>
      </w:r>
      <w:r>
        <w:rPr>
          <w:rFonts w:ascii="仿宋_GB2312" w:eastAsia="仿宋_GB2312" w:hAnsi="仿宋_GB2312" w:cs="仿宋_GB2312"/>
          <w:spacing w:val="0"/>
          <w:sz w:val="28"/>
          <w:szCs w:val="28"/>
        </w:rPr>
        <w:t>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MsoNormal"/>
        <w:spacing w:before="0" w:after="0" w:line="360" w:lineRule="auto"/>
        <w:ind w:left="0" w:right="0"/>
        <w:jc w:val="both"/>
        <w:rPr>
          <w:rFonts w:ascii="Calibri" w:eastAsia="Calibri" w:hAnsi="Calibri" w:cs="Calibri"/>
          <w:sz w:val="21"/>
          <w:szCs w:val="21"/>
        </w:rPr>
      </w:pPr>
      <w:r>
        <w:rPr>
          <w:rFonts w:ascii="仿宋_GB2312" w:eastAsia="仿宋_GB2312" w:hAnsi="仿宋_GB2312" w:cs="仿宋_GB2312"/>
          <w:sz w:val="28"/>
          <w:szCs w:val="28"/>
        </w:rPr>
        <w:t>服务期限自2026年7月至2027年5月。</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1.</w:t>
      </w:r>
      <w:r>
        <w:rPr>
          <w:rFonts w:ascii="仿宋_GB2312" w:eastAsia="仿宋_GB2312" w:hAnsi="仿宋_GB2312" w:cs="仿宋_GB2312"/>
          <w:sz w:val="28"/>
          <w:szCs w:val="28"/>
        </w:rPr>
        <w:t>民主道办公区：位于天津市河北区民主道</w:t>
      </w:r>
      <w:r>
        <w:rPr>
          <w:rFonts w:ascii="仿宋_GB2312" w:eastAsia="仿宋_GB2312" w:hAnsi="仿宋_GB2312" w:cs="仿宋_GB2312"/>
          <w:sz w:val="28"/>
          <w:szCs w:val="28"/>
        </w:rPr>
        <w:t>16号；</w:t>
      </w:r>
    </w:p>
    <w:p>
      <w:pPr>
        <w:spacing w:before="0" w:after="0" w:line="360" w:lineRule="auto"/>
        <w:rPr>
          <w:rFonts w:ascii="FangSong_GB2312" w:eastAsia="FangSong_GB2312" w:hAnsi="FangSong_GB2312" w:cs="FangSong_GB2312"/>
          <w:sz w:val="28"/>
          <w:szCs w:val="28"/>
        </w:rPr>
      </w:pPr>
      <w:r>
        <w:rPr>
          <w:rFonts w:ascii="仿宋_GB2312" w:eastAsia="仿宋_GB2312" w:hAnsi="仿宋_GB2312" w:cs="仿宋_GB2312"/>
          <w:sz w:val="28"/>
          <w:szCs w:val="28"/>
        </w:rPr>
        <w:t>2.北安道办公区：位于天津市河北区北安道38号；</w:t>
      </w:r>
    </w:p>
    <w:p>
      <w:pPr>
        <w:spacing w:before="0" w:after="0" w:line="360" w:lineRule="auto"/>
        <w:rPr>
          <w:rFonts w:ascii="FangSong_GB2312" w:eastAsia="FangSong_GB2312" w:hAnsi="FangSong_GB2312" w:cs="FangSong_GB2312"/>
          <w:sz w:val="28"/>
          <w:szCs w:val="28"/>
        </w:rPr>
      </w:pPr>
      <w:r>
        <w:rPr>
          <w:rFonts w:ascii="仿宋_GB2312" w:eastAsia="仿宋_GB2312" w:hAnsi="仿宋_GB2312" w:cs="仿宋_GB2312"/>
          <w:sz w:val="28"/>
          <w:szCs w:val="28"/>
        </w:rPr>
        <w:t>3.流霞路办公区：位于天津市空港国际物流经济区流霞路50号。</w:t>
      </w:r>
    </w:p>
    <w:p>
      <w:pPr>
        <w:pStyle w:val="15"/>
        <w:spacing w:before="0" w:after="0" w:line="360" w:lineRule="auto"/>
        <w:ind w:left="0" w:right="0" w:firstLine="420"/>
        <w:jc w:val="both"/>
        <w:rPr>
          <w:rFonts w:ascii="Times New Roman" w:eastAsia="Times New Roman" w:hAnsi="Times New Roman" w:cs="Times New Roman"/>
        </w:rPr>
      </w:pPr>
      <w:r>
        <w:rPr>
          <w:rFonts w:ascii="Times New Roman" w:eastAsia="Times New Roman" w:hAnsi="Times New Roman" w:cs="Times New Roman"/>
        </w:rPr>
        <w:t> </w:t>
      </w:r>
    </w:p>
    <w:p>
      <w:pPr>
        <w:pStyle w:val="Heading1"/>
        <w:keepNext w:val="0"/>
        <w:spacing w:before="0" w:after="0" w:line="360" w:lineRule="auto"/>
        <w:jc w:val="center"/>
        <w:rPr>
          <w:rFonts w:ascii="仿宋_GB2312" w:eastAsia="仿宋_GB2312" w:hAnsi="仿宋_GB2312" w:cs="仿宋_GB2312"/>
          <w:b/>
          <w:bCs/>
          <w:sz w:val="32"/>
          <w:szCs w:val="32"/>
        </w:rPr>
      </w:pPr>
      <w:bookmarkStart w:id="10" w:name="_Toc256000007"/>
      <w:r>
        <w:rPr>
          <w:rFonts w:ascii="仿宋_GB2312" w:eastAsia="仿宋_GB2312" w:hAnsi="仿宋_GB2312" w:cs="仿宋_GB2312"/>
          <w:kern w:val="36"/>
        </w:rPr>
        <w:t>2投标/响应要求</w:t>
      </w:r>
      <w:bookmarkEnd w:id="10"/>
    </w:p>
    <w:p>
      <w:pPr>
        <w:pStyle w:val="Heading2"/>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i w:val="0"/>
          <w:iCs w:val="0"/>
        </w:rPr>
        <w:t>2.1对供应商的要求</w:t>
      </w:r>
      <w:bookmarkEnd w:id="11"/>
    </w:p>
    <w:p>
      <w:pPr>
        <w:pStyle w:val="Heading3"/>
        <w:keepNext w:val="0"/>
        <w:spacing w:before="0" w:after="0" w:line="360" w:lineRule="auto"/>
        <w:rPr>
          <w:rFonts w:ascii="仿宋_GB2312" w:eastAsia="仿宋_GB2312" w:hAnsi="仿宋_GB2312" w:cs="仿宋_GB2312"/>
          <w:b/>
          <w:bCs/>
          <w:sz w:val="28"/>
          <w:szCs w:val="28"/>
        </w:rPr>
      </w:pPr>
      <w:bookmarkStart w:id="12" w:name="_Toc256000009"/>
      <w:r>
        <w:rPr>
          <w:rFonts w:ascii="仿宋_GB2312" w:eastAsia="仿宋_GB2312" w:hAnsi="仿宋_GB2312" w:cs="仿宋_GB2312"/>
          <w:sz w:val="28"/>
          <w:szCs w:val="28"/>
        </w:rPr>
        <w:t>2.1.1必备资质</w:t>
      </w:r>
      <w:bookmarkEnd w:id="12"/>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MsoNormal"/>
        <w:spacing w:before="0" w:after="0" w:line="360" w:lineRule="auto"/>
        <w:ind w:left="0" w:right="0" w:firstLine="480"/>
      </w:pPr>
      <w:r>
        <w:rPr>
          <w:rFonts w:ascii="仿宋_GB2312" w:eastAsia="仿宋_GB2312" w:hAnsi="仿宋_GB2312" w:cs="仿宋_GB2312"/>
          <w:sz w:val="28"/>
          <w:szCs w:val="28"/>
        </w:rPr>
        <w:t>供应商具有《食品经营许可证》或《食品生产许可证》。仅提供《食品生产许可证》的，许可范围应包括本包中除食用农产品外的全部供应品类。</w:t>
      </w:r>
    </w:p>
    <w:p>
      <w:pPr>
        <w:pStyle w:val="Heading3"/>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sz w:val="28"/>
          <w:szCs w:val="28"/>
        </w:rPr>
        <w:t>2.1.2优选资质/优选指标</w:t>
      </w:r>
      <w:bookmarkEnd w:id="13"/>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25"/>
        <w:gridCol w:w="4274"/>
        <w:gridCol w:w="413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MsoNormal"/>
        <w:spacing w:before="0" w:after="0" w:line="360" w:lineRule="auto"/>
        <w:ind w:left="0" w:right="0" w:firstLine="480"/>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2023年1月1日以来（以合同签订日期为准），供应商独立承担的食材供应项目案例（必须包含本包采购的米、面、杂粮、油、鸡蛋及调料等其中至少一项），予以加分考虑。</w:t>
      </w:r>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2.1.3是否允许联合体</w:t>
      </w:r>
      <w:bookmarkEnd w:id="1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2.1.4是否专门面向中小企业</w:t>
      </w:r>
      <w:bookmarkEnd w:id="1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本项目不专门面向中小企业采购项目</w:t>
      </w:r>
    </w:p>
    <w:p>
      <w:pPr>
        <w:pStyle w:val="Heading2"/>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i w:val="0"/>
          <w:iCs w:val="0"/>
        </w:rPr>
        <w:t>2.2技术部分投标/响应内容</w:t>
      </w:r>
      <w:bookmarkEnd w:id="16"/>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2.2.1投标/响应方案要求</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15"/>
        <w:spacing w:before="0" w:after="0" w:line="360" w:lineRule="auto"/>
        <w:ind w:firstLine="480"/>
        <w:jc w:val="both"/>
        <w:rPr>
          <w:rFonts w:ascii="Times New Roman" w:eastAsia="Times New Roman" w:hAnsi="Times New Roman" w:cs="Times New Roman"/>
        </w:rPr>
      </w:pPr>
      <w:r>
        <w:rPr>
          <w:rFonts w:ascii="FangSong_GB2312" w:eastAsia="FangSong_GB2312" w:hAnsi="FangSong_GB2312" w:cs="FangSong_GB2312"/>
          <w:sz w:val="28"/>
          <w:szCs w:val="28"/>
        </w:rPr>
        <w:t>供应商须承诺所提供的</w:t>
      </w:r>
      <w:r>
        <w:rPr>
          <w:sz w:val="28"/>
          <w:szCs w:val="28"/>
        </w:rPr>
        <w:t>货物</w:t>
      </w:r>
      <w:r>
        <w:rPr>
          <w:rFonts w:ascii="FangSong_GB2312" w:eastAsia="FangSong_GB2312" w:hAnsi="FangSong_GB2312" w:cs="FangSong_GB2312"/>
          <w:sz w:val="28"/>
          <w:szCs w:val="28"/>
        </w:rPr>
        <w:t>、人员符合相关国家强制性规定。具体需求详见项目需求、人员要求、管理实施要求、风险管控要求、履约验收要求及其他要求。</w:t>
      </w:r>
    </w:p>
    <w:p>
      <w:pPr>
        <w:pStyle w:val="Heading2"/>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i w:val="0"/>
          <w:iCs w:val="0"/>
        </w:rPr>
        <w:t>2.3投标报价规则</w:t>
      </w:r>
      <w:bookmarkEnd w:id="18"/>
    </w:p>
    <w:p>
      <w:pPr>
        <w:pStyle w:val="MsoNormal"/>
        <w:spacing w:before="0" w:after="0" w:line="360" w:lineRule="auto"/>
        <w:ind w:left="0" w:right="0" w:firstLine="480"/>
        <w:jc w:val="both"/>
        <w:rPr>
          <w:sz w:val="21"/>
          <w:szCs w:val="21"/>
        </w:rPr>
      </w:pPr>
      <w:r>
        <w:rPr>
          <w:rFonts w:ascii="......." w:eastAsia="......." w:hAnsi="......." w:cs="......."/>
          <w:spacing w:val="0"/>
        </w:rPr>
        <w:t>（</w:t>
      </w:r>
      <w:r>
        <w:rPr>
          <w:spacing w:val="0"/>
        </w:rPr>
        <w:t>1</w:t>
      </w:r>
      <w:r>
        <w:rPr>
          <w:rFonts w:ascii="......." w:eastAsia="......." w:hAnsi="......." w:cs="......."/>
          <w:spacing w:val="0"/>
        </w:rPr>
        <w:t>）投标报价以费率填列。</w:t>
      </w:r>
    </w:p>
    <w:p>
      <w:pPr>
        <w:pStyle w:val="MsoNormal"/>
        <w:spacing w:before="0" w:after="0" w:line="360" w:lineRule="auto"/>
        <w:ind w:left="0" w:right="0" w:firstLine="480"/>
        <w:jc w:val="both"/>
        <w:rPr>
          <w:sz w:val="21"/>
          <w:szCs w:val="21"/>
        </w:rPr>
      </w:pPr>
      <w:r>
        <w:rPr>
          <w:rFonts w:ascii="......." w:eastAsia="......." w:hAnsi="......." w:cs="......."/>
          <w:spacing w:val="0"/>
        </w:rPr>
        <w:t>（</w:t>
      </w:r>
      <w:r>
        <w:rPr>
          <w:spacing w:val="0"/>
        </w:rPr>
        <w:t>2</w:t>
      </w:r>
      <w:r>
        <w:rPr>
          <w:rFonts w:ascii="......." w:eastAsia="......." w:hAnsi="......." w:cs="......."/>
          <w:spacing w:val="0"/>
        </w:rPr>
        <w:t>）在服务期内，采购人有权在不超过采购预算的前提下，向中标供应商下达每日具体采购订单。</w:t>
      </w:r>
    </w:p>
    <w:p>
      <w:pPr>
        <w:pStyle w:val="MsoNormal"/>
        <w:spacing w:before="0" w:after="0" w:line="360" w:lineRule="auto"/>
        <w:ind w:left="0" w:right="0" w:firstLine="480"/>
        <w:jc w:val="both"/>
        <w:rPr>
          <w:sz w:val="21"/>
          <w:szCs w:val="21"/>
        </w:rPr>
      </w:pPr>
      <w:r>
        <w:rPr>
          <w:rFonts w:ascii="......." w:eastAsia="......." w:hAnsi="......." w:cs="......."/>
          <w:spacing w:val="0"/>
        </w:rPr>
        <w:t>（</w:t>
      </w:r>
      <w:r>
        <w:rPr>
          <w:spacing w:val="0"/>
        </w:rPr>
        <w:t>3</w:t>
      </w:r>
      <w:r>
        <w:rPr>
          <w:rFonts w:ascii="......." w:eastAsia="......." w:hAnsi="......." w:cs="......."/>
          <w:spacing w:val="0"/>
        </w:rPr>
        <w:t>）按以下原则确定结算价格</w:t>
      </w:r>
    </w:p>
    <w:p>
      <w:pPr>
        <w:pStyle w:val="MsoNormal"/>
        <w:spacing w:before="0" w:after="0" w:line="360" w:lineRule="auto"/>
        <w:ind w:left="0" w:right="0" w:firstLine="480"/>
        <w:jc w:val="both"/>
        <w:rPr>
          <w:sz w:val="21"/>
          <w:szCs w:val="21"/>
        </w:rPr>
      </w:pPr>
      <w:r>
        <w:rPr>
          <w:rFonts w:ascii="......." w:eastAsia="......." w:hAnsi="......." w:cs="......."/>
          <w:spacing w:val="0"/>
        </w:rPr>
        <w:t>结算价格</w:t>
      </w:r>
      <w:r>
        <w:rPr>
          <w:spacing w:val="0"/>
        </w:rPr>
        <w:t>=</w:t>
      </w:r>
      <w:r>
        <w:rPr>
          <w:rFonts w:ascii="......." w:eastAsia="......." w:hAnsi="......." w:cs="......."/>
          <w:spacing w:val="0"/>
        </w:rPr>
        <w:t>中标供应商所报费率</w:t>
      </w:r>
      <w:r>
        <w:rPr>
          <w:rFonts w:ascii="......." w:eastAsia="......." w:hAnsi="......." w:cs="......."/>
          <w:spacing w:val="0"/>
        </w:rPr>
        <w:t>×基础价格。</w:t>
      </w:r>
    </w:p>
    <w:p>
      <w:pPr>
        <w:pStyle w:val="MsoNormal"/>
        <w:spacing w:before="0" w:after="0" w:line="360" w:lineRule="auto"/>
        <w:ind w:left="0" w:right="0" w:firstLine="480"/>
        <w:jc w:val="both"/>
        <w:rPr>
          <w:sz w:val="21"/>
          <w:szCs w:val="21"/>
        </w:rPr>
      </w:pPr>
      <w:r>
        <w:rPr>
          <w:rFonts w:ascii="......." w:eastAsia="......." w:hAnsi="......." w:cs="......."/>
          <w:spacing w:val="0"/>
        </w:rPr>
        <w:t>基础价格：参照食材配送当日的天津市金钟河蔬菜贸易中心等菜市场以及多点等线上超市</w:t>
      </w:r>
      <w:r>
        <w:rPr>
          <w:rFonts w:ascii="......." w:eastAsia="......." w:hAnsi="......." w:cs="......."/>
          <w:spacing w:val="0"/>
        </w:rPr>
        <w:t>同等食材价格确定，定价单位为</w:t>
      </w:r>
      <w:r>
        <w:rPr>
          <w:spacing w:val="0"/>
        </w:rPr>
        <w:t>500</w:t>
      </w:r>
      <w:r>
        <w:rPr>
          <w:rFonts w:ascii="......." w:eastAsia="......." w:hAnsi="......." w:cs="......."/>
          <w:spacing w:val="0"/>
        </w:rPr>
        <w:t>克。零售商品有多个规格的，以最大规格的每</w:t>
      </w:r>
      <w:r>
        <w:rPr>
          <w:spacing w:val="0"/>
        </w:rPr>
        <w:t>500</w:t>
      </w:r>
      <w:r>
        <w:rPr>
          <w:rFonts w:ascii="......." w:eastAsia="......." w:hAnsi="......." w:cs="......."/>
          <w:spacing w:val="0"/>
        </w:rPr>
        <w:t>克价格为定价依据。</w:t>
      </w:r>
    </w:p>
    <w:p>
      <w:pPr>
        <w:pStyle w:val="MsoNormal"/>
        <w:spacing w:before="0" w:after="0" w:line="360" w:lineRule="auto"/>
        <w:ind w:left="0" w:right="0" w:firstLine="480"/>
        <w:jc w:val="both"/>
        <w:rPr>
          <w:sz w:val="21"/>
          <w:szCs w:val="21"/>
        </w:rPr>
      </w:pPr>
      <w:r>
        <w:rPr>
          <w:rFonts w:ascii="......." w:eastAsia="......." w:hAnsi="......." w:cs="......."/>
          <w:spacing w:val="0"/>
        </w:rPr>
        <w:t>所报费率＞</w:t>
      </w:r>
      <w:r>
        <w:rPr>
          <w:spacing w:val="0"/>
        </w:rPr>
        <w:t>100%</w:t>
      </w:r>
      <w:r>
        <w:rPr>
          <w:rFonts w:ascii="......." w:eastAsia="......." w:hAnsi="......." w:cs="......."/>
          <w:spacing w:val="0"/>
        </w:rPr>
        <w:t>的，视为无效投标。</w:t>
      </w:r>
    </w:p>
    <w:p>
      <w:pPr>
        <w:pStyle w:val="MsoNormal"/>
        <w:spacing w:before="0" w:after="0" w:line="360" w:lineRule="auto"/>
        <w:ind w:left="0" w:right="0"/>
        <w:jc w:val="both"/>
        <w:rPr>
          <w:sz w:val="21"/>
          <w:szCs w:val="21"/>
        </w:rPr>
      </w:pPr>
      <w:r>
        <w:rPr>
          <w:sz w:val="21"/>
          <w:szCs w:val="21"/>
        </w:rPr>
        <w:t> </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2.4异常低价审查</w:t>
      </w:r>
      <w:bookmarkEnd w:id="19"/>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政府采购评审中出现下列情形之一的，评审委员会应当启动异常低价投标（响应）审查程序：</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1. </w:t>
      </w:r>
      <w:r>
        <w:rPr>
          <w:rFonts w:ascii="SimSun" w:eastAsia="SimSun" w:hAnsi="SimSun" w:cs="SimSun"/>
        </w:rPr>
        <w:t>投标（响应）报价低于全部通过符合性审查供应商投标（响应）报价平均值</w:t>
      </w:r>
      <w:r>
        <w:rPr>
          <w:rFonts w:ascii="SimSun" w:eastAsia="SimSun" w:hAnsi="SimSun" w:cs="SimSun"/>
        </w:rPr>
        <w:t>65</w:t>
      </w:r>
      <w:r>
        <w:rPr>
          <w:rFonts w:ascii="SimSun" w:eastAsia="SimSun" w:hAnsi="SimSun" w:cs="SimSun"/>
        </w:rPr>
        <w:t>%的，即投标（响应）报价小于全部通过符合性审查供应商投标（响应）报价平均值×</w:t>
      </w:r>
      <w:r>
        <w:rPr>
          <w:rFonts w:ascii="SimSun" w:eastAsia="SimSun" w:hAnsi="SimSun" w:cs="SimSun"/>
        </w:rPr>
        <w:t>65</w:t>
      </w:r>
      <w:r>
        <w:rPr>
          <w:rFonts w:ascii="SimSun" w:eastAsia="SimSun" w:hAnsi="SimSun" w:cs="SimSun"/>
        </w:rPr>
        <w:t>%；</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2. </w:t>
      </w:r>
      <w:r>
        <w:rPr>
          <w:rFonts w:ascii="SimSun" w:eastAsia="SimSun" w:hAnsi="SimSun" w:cs="SimSun"/>
        </w:rPr>
        <w:t>投标（响应）报价低于通过符合性审查的次低报价供应商投标（响应）报价</w:t>
      </w:r>
      <w:r>
        <w:rPr>
          <w:rFonts w:ascii="SimSun" w:eastAsia="SimSun" w:hAnsi="SimSun" w:cs="SimSun"/>
        </w:rPr>
        <w:t>65</w:t>
      </w:r>
      <w:r>
        <w:rPr>
          <w:rFonts w:ascii="SimSun" w:eastAsia="SimSun" w:hAnsi="SimSun" w:cs="SimSun"/>
        </w:rPr>
        <w:t>%的，即投标（响应）报价小于通过符合性审查的次低报价供应商投标（响应）报价×</w:t>
      </w:r>
      <w:r>
        <w:rPr>
          <w:rFonts w:ascii="SimSun" w:eastAsia="SimSun" w:hAnsi="SimSun" w:cs="SimSun"/>
        </w:rPr>
        <w:t>65</w:t>
      </w:r>
      <w:r>
        <w:rPr>
          <w:rFonts w:ascii="SimSun" w:eastAsia="SimSun" w:hAnsi="SimSun" w:cs="SimSun"/>
        </w:rPr>
        <w:t>%；</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3. </w:t>
      </w:r>
      <w:r>
        <w:rPr>
          <w:rFonts w:ascii="SimSun" w:eastAsia="SimSun" w:hAnsi="SimSun" w:cs="SimSun"/>
        </w:rPr>
        <w:t>投标（响应）报价低于采购项目最高限价</w:t>
      </w:r>
      <w:r>
        <w:rPr>
          <w:rFonts w:ascii="SimSun" w:eastAsia="SimSun" w:hAnsi="SimSun" w:cs="SimSun"/>
        </w:rPr>
        <w:t>65</w:t>
      </w:r>
      <w:r>
        <w:rPr>
          <w:rFonts w:ascii="SimSun" w:eastAsia="SimSun" w:hAnsi="SimSun" w:cs="SimSun"/>
        </w:rPr>
        <w:t>%的，即投标（响应）报价小于采购项目最高限价×</w:t>
      </w:r>
      <w:r>
        <w:rPr>
          <w:rFonts w:ascii="SimSun" w:eastAsia="SimSun" w:hAnsi="SimSun" w:cs="SimSun"/>
        </w:rPr>
        <w:t>6</w:t>
      </w:r>
      <w:r>
        <w:rPr>
          <w:rFonts w:ascii="SimSun" w:eastAsia="SimSun" w:hAnsi="SimSun" w:cs="SimSun"/>
        </w:rPr>
        <w:t>5%；</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4.评审委员会基于专业判断，认为供应商报价过低，有可能影响产品质量或者不能诚信履约的其他情形。</w:t>
      </w:r>
    </w:p>
    <w:p>
      <w:pPr>
        <w:pStyle w:val="Heading1"/>
        <w:keepNext w:val="0"/>
        <w:spacing w:before="0" w:after="0" w:line="360" w:lineRule="auto"/>
        <w:jc w:val="center"/>
        <w:rPr>
          <w:rFonts w:ascii="仿宋_GB2312" w:eastAsia="仿宋_GB2312" w:hAnsi="仿宋_GB2312" w:cs="仿宋_GB2312"/>
          <w:b/>
          <w:bCs/>
          <w:sz w:val="32"/>
          <w:szCs w:val="32"/>
        </w:rPr>
      </w:pPr>
      <w:bookmarkStart w:id="20" w:name="_Toc256000017"/>
      <w:r>
        <w:rPr>
          <w:rFonts w:ascii="仿宋_GB2312" w:eastAsia="仿宋_GB2312" w:hAnsi="仿宋_GB2312" w:cs="仿宋_GB2312"/>
          <w:kern w:val="36"/>
        </w:rPr>
        <w:t>3项目需求</w:t>
      </w:r>
      <w:bookmarkEnd w:id="20"/>
    </w:p>
    <w:p>
      <w:pPr>
        <w:pStyle w:val="Heading2"/>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i w:val="0"/>
          <w:iCs w:val="0"/>
        </w:rPr>
        <w:t>3.1总体要求</w:t>
      </w:r>
      <w:bookmarkEnd w:id="21"/>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2" w:name="_Toc256000019"/>
      <w:r>
        <w:rPr>
          <w:rFonts w:ascii="仿宋_GB2312" w:eastAsia="仿宋_GB2312" w:hAnsi="仿宋_GB2312" w:cs="仿宋_GB2312"/>
          <w:i w:val="0"/>
          <w:iCs w:val="0"/>
        </w:rPr>
        <w:t>3.2采购产品一览表</w:t>
      </w:r>
      <w:bookmarkEnd w:id="22"/>
    </w:p>
    <w:tbl>
      <w:tblPr>
        <w:tblW w:w="5000" w:type="pct"/>
        <w:tblInd w:w="30" w:type="dxa"/>
        <w:tblCellMar>
          <w:top w:w="15" w:type="dxa"/>
          <w:left w:w="15" w:type="dxa"/>
          <w:bottom w:w="15" w:type="dxa"/>
          <w:right w:w="15" w:type="dxa"/>
        </w:tblCellMar>
      </w:tblPr>
      <w:tblGrid>
        <w:gridCol w:w="933"/>
        <w:gridCol w:w="1679"/>
        <w:gridCol w:w="1679"/>
        <w:gridCol w:w="1679"/>
        <w:gridCol w:w="1679"/>
        <w:gridCol w:w="1679"/>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麻将蛋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皮蛋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窝头面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地瓜粉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其他杂粮粉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糙米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其他杂粮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熟面条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锅巴菜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饺子皮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拉皮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云吞皮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凉皮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其他酱料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炖肉料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腌菜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奥尔良料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腌杏仁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油醋汁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菌汤包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其他汤底料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韭花酱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涮肉料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耗油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甜面酱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辣鲜露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郫县豆瓣酱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沙拉酱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蘑菇干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核桃仁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燕麦片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烘焙油脂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红腰豆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黑芝麻碎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点心配料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其他烘焙辅料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3.3采购产品详细清单及技术指标</w:t>
      </w:r>
      <w:bookmarkEnd w:id="23"/>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96"/>
        <w:gridCol w:w="1754"/>
        <w:gridCol w:w="2804"/>
        <w:gridCol w:w="2065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 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4）配送食材送达时不超过食材生产日期至保质期限日的 1/3（例如：食材保质期限为10天以内的，送达时间不能超过3天；食材保质期为6个月以内的，送达时间不能超过2个月，其他同理以此类推）。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不含非食品用化学物质、无杂质。米线颜色呈白色、乳白色、奶黄色，色亮不发灰发暗。表面结构细密、光滑。软硬适中，爽口不粘牙，口感光滑，具有清香，无异味。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国家对实行食品质量（SC）安全市场准入制的食品，须在验收时向采购人提供SC认证的相关证明资料。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投标人自有或租赁库房，面积不小于300平米。能够满足按采购人需求完成配送任务，确保三个办公区同时送货。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投标人应自有或固定租赁2台以上冷藏车辆，确保24小时响应，按采购人需求完成配送任务，确保三个办公区同时送货。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新鲜鸡蛋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3.4服务要求</w:t>
      </w:r>
      <w:bookmarkEnd w:id="24"/>
    </w:p>
    <w:tbl>
      <w:tblPr>
        <w:tblW w:w="5000" w:type="pct"/>
        <w:tblInd w:w="30" w:type="dxa"/>
        <w:tblCellMar>
          <w:top w:w="15" w:type="dxa"/>
          <w:left w:w="15" w:type="dxa"/>
          <w:bottom w:w="15" w:type="dxa"/>
          <w:right w:w="15" w:type="dxa"/>
        </w:tblCellMar>
      </w:tblPr>
      <w:tblGrid>
        <w:gridCol w:w="496"/>
        <w:gridCol w:w="917"/>
        <w:gridCol w:w="1334"/>
        <w:gridCol w:w="14039"/>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服务要求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采购人按期（周）向投标人发布采购内容，投标人应在送货前一个工作日与采购人核对确认采购内容无误后，在次日6点前配送至采购人指定验收地点。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服务要求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3.5其他要求</w:t>
      </w:r>
      <w:bookmarkEnd w:id="25"/>
    </w:p>
    <w:p>
      <w:pPr>
        <w:pStyle w:val="16"/>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1.投标人应提供质量安全把控方案。</w:t>
      </w:r>
      <w:r>
        <w:rPr>
          <w:rFonts w:ascii="仿宋_GB2312" w:eastAsia="仿宋_GB2312" w:hAnsi="仿宋_GB2312" w:cs="仿宋_GB2312"/>
          <w:sz w:val="28"/>
          <w:szCs w:val="28"/>
        </w:rPr>
        <w:t>方案内容详细描述供应货物质量把控措施、检验检疫关键环节把控、不符合质量标准货品处置等内容，确保提供食材安全可靠。</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5）用非食品原料加工的，加入非食品用化学物质或者将非食品当作食品的；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6）超过保质期限的；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7）使用有色、有毒塑料制品、包装食材的；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8）其他不符合《食品安全法》和《产品质量法》等相关规定的。</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1"/>
        <w:keepNext w:val="0"/>
        <w:spacing w:before="0" w:after="0" w:line="360" w:lineRule="auto"/>
        <w:jc w:val="center"/>
        <w:rPr>
          <w:rFonts w:ascii="仿宋_GB2312" w:eastAsia="仿宋_GB2312" w:hAnsi="仿宋_GB2312" w:cs="仿宋_GB2312"/>
          <w:b/>
          <w:bCs/>
          <w:sz w:val="32"/>
          <w:szCs w:val="32"/>
        </w:rPr>
      </w:pPr>
      <w:bookmarkStart w:id="26" w:name="_Toc256000023"/>
      <w:r>
        <w:rPr>
          <w:rFonts w:ascii="仿宋_GB2312" w:eastAsia="仿宋_GB2312" w:hAnsi="仿宋_GB2312" w:cs="仿宋_GB2312"/>
          <w:kern w:val="36"/>
        </w:rPr>
        <w:t>4人员要求</w:t>
      </w:r>
      <w:bookmarkEnd w:id="26"/>
    </w:p>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4.1团队要求</w:t>
      </w:r>
      <w:bookmarkEnd w:id="27"/>
    </w:p>
    <w:p>
      <w:pPr>
        <w:pStyle w:val="Heading3"/>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sz w:val="28"/>
          <w:szCs w:val="28"/>
        </w:rPr>
        <w:t>4.1.1基本要求</w:t>
      </w:r>
      <w:bookmarkEnd w:id="28"/>
    </w:p>
    <w:p>
      <w:pPr>
        <w:pStyle w:val="MsoNormal"/>
        <w:spacing w:before="0" w:after="0" w:line="360" w:lineRule="auto"/>
        <w:ind w:left="0" w:right="0" w:firstLine="480"/>
        <w:rPr>
          <w:sz w:val="21"/>
          <w:szCs w:val="21"/>
        </w:rPr>
      </w:pPr>
      <w:r>
        <w:t xml:space="preserve">1. </w:t>
      </w:r>
      <w:r>
        <w:rPr>
          <w:rFonts w:ascii="SimSun" w:eastAsia="SimSun" w:hAnsi="SimSun" w:cs="SimSun"/>
        </w:rPr>
        <w:t>投标人应提供专业的管理和采购团队，团队编制和人员资质务必保证运营服务质量。提供的服务团队应保持稳定，项目执行期间人员变动不超过</w:t>
      </w:r>
      <w:r>
        <w:t>20%</w:t>
      </w:r>
      <w:r>
        <w:rPr>
          <w:rFonts w:ascii="SimSun" w:eastAsia="SimSun" w:hAnsi="SimSun" w:cs="SimSun"/>
        </w:rPr>
        <w:t>。</w:t>
      </w:r>
    </w:p>
    <w:p>
      <w:pPr>
        <w:pStyle w:val="MsoNormal"/>
        <w:spacing w:before="0" w:after="0" w:line="360" w:lineRule="auto"/>
        <w:ind w:left="0" w:right="0" w:firstLine="480"/>
        <w:rPr>
          <w:sz w:val="21"/>
          <w:szCs w:val="21"/>
        </w:rPr>
      </w:pPr>
      <w:r>
        <w:t xml:space="preserve">2. </w:t>
      </w:r>
      <w:r>
        <w:rPr>
          <w:rFonts w:ascii="SimSun" w:eastAsia="SimSun" w:hAnsi="SimSun" w:cs="SimSun"/>
        </w:rPr>
        <w:t>投入以下人员：</w:t>
      </w:r>
    </w:p>
    <w:p>
      <w:pPr>
        <w:pStyle w:val="MsoNormal"/>
        <w:spacing w:before="0" w:after="0" w:line="360" w:lineRule="auto"/>
        <w:ind w:left="0" w:right="0" w:firstLine="480"/>
        <w:rPr>
          <w:sz w:val="21"/>
          <w:szCs w:val="21"/>
        </w:rPr>
      </w:pPr>
      <w:r>
        <w:rPr>
          <w:rFonts w:ascii="SimSun" w:eastAsia="SimSun" w:hAnsi="SimSun" w:cs="SimSun"/>
        </w:rPr>
        <w:t>（</w:t>
      </w:r>
      <w:r>
        <w:t>1</w:t>
      </w:r>
      <w:r>
        <w:rPr>
          <w:rFonts w:ascii="SimSun" w:eastAsia="SimSun" w:hAnsi="SimSun" w:cs="SimSun"/>
        </w:rPr>
        <w:t>）经理</w:t>
      </w:r>
      <w:r>
        <w:t>1</w:t>
      </w:r>
      <w:r>
        <w:rPr>
          <w:rFonts w:ascii="SimSun" w:eastAsia="SimSun" w:hAnsi="SimSun" w:cs="SimSun"/>
        </w:rPr>
        <w:t>人，具有</w:t>
      </w:r>
      <w:r>
        <w:t>5</w:t>
      </w:r>
      <w:r>
        <w:rPr>
          <w:rFonts w:ascii="SimSun" w:eastAsia="SimSun" w:hAnsi="SimSun" w:cs="SimSun"/>
        </w:rPr>
        <w:t>年以上食材供应项目管理工作经验，具备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2</w:t>
      </w:r>
      <w:r>
        <w:rPr>
          <w:rFonts w:ascii="SimSun" w:eastAsia="SimSun" w:hAnsi="SimSun" w:cs="SimSun"/>
        </w:rPr>
        <w:t>）供应业务员</w:t>
      </w:r>
      <w:r>
        <w:t>2</w:t>
      </w:r>
      <w:r>
        <w:rPr>
          <w:rFonts w:ascii="SimSun" w:eastAsia="SimSun" w:hAnsi="SimSun" w:cs="SimSun"/>
        </w:rPr>
        <w:t>人，具有</w:t>
      </w:r>
      <w:r>
        <w:t>3</w:t>
      </w:r>
      <w:r>
        <w:rPr>
          <w:rFonts w:ascii="SimSun" w:eastAsia="SimSun" w:hAnsi="SimSun" w:cs="SimSun"/>
        </w:rPr>
        <w:t>年及以上食材供应项目工作经验，具备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3</w:t>
      </w:r>
      <w:r>
        <w:rPr>
          <w:rFonts w:ascii="SimSun" w:eastAsia="SimSun" w:hAnsi="SimSun" w:cs="SimSun"/>
        </w:rPr>
        <w:t>）食品安全管理员</w:t>
      </w:r>
      <w:r>
        <w:t>1</w:t>
      </w:r>
      <w:r>
        <w:rPr>
          <w:rFonts w:ascii="SimSun" w:eastAsia="SimSun" w:hAnsi="SimSun" w:cs="SimSun"/>
        </w:rPr>
        <w:t>人，具有</w:t>
      </w:r>
      <w:r>
        <w:t>3</w:t>
      </w:r>
      <w:r>
        <w:rPr>
          <w:rFonts w:ascii="SimSun" w:eastAsia="SimSun" w:hAnsi="SimSun" w:cs="SimSun"/>
        </w:rPr>
        <w:t>年及以上食品安全管理工作经验，具备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4</w:t>
      </w:r>
      <w:r>
        <w:rPr>
          <w:rFonts w:ascii="SimSun" w:eastAsia="SimSun" w:hAnsi="SimSun" w:cs="SimSun"/>
        </w:rPr>
        <w:t>）采购员</w:t>
      </w:r>
      <w:r>
        <w:t>2</w:t>
      </w:r>
      <w:r>
        <w:rPr>
          <w:rFonts w:ascii="SimSun" w:eastAsia="SimSun" w:hAnsi="SimSun" w:cs="SimSun"/>
        </w:rPr>
        <w:t>人，具有</w:t>
      </w:r>
      <w:r>
        <w:t>3</w:t>
      </w:r>
      <w:r>
        <w:rPr>
          <w:rFonts w:ascii="SimSun" w:eastAsia="SimSun" w:hAnsi="SimSun" w:cs="SimSun"/>
        </w:rPr>
        <w:t>年及以上食材采购工作经验，具备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5</w:t>
      </w:r>
      <w:r>
        <w:rPr>
          <w:rFonts w:ascii="SimSun" w:eastAsia="SimSun" w:hAnsi="SimSun" w:cs="SimSun"/>
        </w:rPr>
        <w:t>）配送司机</w:t>
      </w:r>
      <w:r>
        <w:t>2</w:t>
      </w:r>
      <w:r>
        <w:rPr>
          <w:rFonts w:ascii="SimSun" w:eastAsia="SimSun" w:hAnsi="SimSun" w:cs="SimSun"/>
        </w:rPr>
        <w:t>名，具有</w:t>
      </w:r>
      <w:r>
        <w:t>3</w:t>
      </w:r>
      <w:r>
        <w:rPr>
          <w:rFonts w:ascii="SimSun" w:eastAsia="SimSun" w:hAnsi="SimSun" w:cs="SimSun"/>
        </w:rPr>
        <w:t>年以上相关工作经验，具备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以上人员在服务过程中应热情服务、遵规守法，具备较强的沟通能力和临时紧急配送调换的处置能力。</w:t>
      </w:r>
    </w:p>
    <w:p>
      <w:pPr>
        <w:pStyle w:val="MsoNormal"/>
        <w:spacing w:before="0" w:after="0" w:line="360" w:lineRule="auto"/>
        <w:ind w:left="0" w:right="0" w:firstLine="480"/>
        <w:rPr>
          <w:sz w:val="21"/>
          <w:szCs w:val="21"/>
        </w:rPr>
      </w:pPr>
      <w:r>
        <w:rPr>
          <w:rFonts w:ascii="SimSun" w:eastAsia="SimSun" w:hAnsi="SimSun" w:cs="SimSun"/>
        </w:rPr>
        <w:t>建立成熟完善的透明化责任体系，明确以上各岗位工作职责，制定岗位工作说明，确保制度能有效运转。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29" w:name="_Toc256000026"/>
      <w:r>
        <w:rPr>
          <w:rFonts w:ascii="仿宋_GB2312" w:eastAsia="仿宋_GB2312" w:hAnsi="仿宋_GB2312" w:cs="仿宋_GB2312"/>
          <w:kern w:val="36"/>
        </w:rPr>
        <w:t>5管理实施要求</w:t>
      </w:r>
      <w:bookmarkEnd w:id="29"/>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0" w:name="_Toc256000027"/>
      <w:r>
        <w:rPr>
          <w:rFonts w:ascii="仿宋_GB2312" w:eastAsia="仿宋_GB2312" w:hAnsi="仿宋_GB2312" w:cs="仿宋_GB2312"/>
          <w:kern w:val="36"/>
        </w:rPr>
        <w:t>6风险管控要求</w:t>
      </w:r>
      <w:bookmarkEnd w:id="30"/>
    </w:p>
    <w:p>
      <w:pPr>
        <w:pStyle w:val="17"/>
        <w:spacing w:before="0" w:after="0" w:line="360" w:lineRule="auto"/>
        <w:ind w:firstLine="642"/>
        <w:rPr>
          <w:rFonts w:ascii="Times New Roman" w:eastAsia="Times New Roman" w:hAnsi="Times New Roman" w:cs="Times New Roman"/>
        </w:rPr>
      </w:pPr>
      <w:r>
        <w:rPr>
          <w:rFonts w:ascii="FangSong" w:eastAsia="FangSong" w:hAnsi="FangSong" w:cs="FangSong"/>
          <w:b/>
          <w:bCs/>
          <w:sz w:val="28"/>
          <w:szCs w:val="28"/>
        </w:rPr>
        <w:t>（一）应急保障方案要求</w:t>
      </w:r>
    </w:p>
    <w:p>
      <w:pPr>
        <w:pStyle w:val="17"/>
        <w:spacing w:before="0" w:after="0" w:line="360" w:lineRule="auto"/>
        <w:ind w:firstLine="640"/>
        <w:rPr>
          <w:rFonts w:ascii="Times New Roman" w:eastAsia="Times New Roman" w:hAnsi="Times New Roman" w:cs="Times New Roman"/>
        </w:rPr>
      </w:pPr>
      <w:r>
        <w:rPr>
          <w:rFonts w:ascii="FangSong" w:eastAsia="FangSong" w:hAnsi="FangSong" w:cs="FangSong"/>
          <w:sz w:val="28"/>
          <w:szCs w:val="28"/>
        </w:rPr>
        <w:t>投标人应提供在自然灾害、极端事件、市场关闭、物资紧缺等突发紧急情况下拟采取的应急保障方案，包括充分供应、按时保障、质量管控等措施，确保采购人食材及时供应不间断。</w:t>
      </w:r>
    </w:p>
    <w:p>
      <w:pPr>
        <w:pStyle w:val="18"/>
        <w:spacing w:before="0" w:after="0" w:line="360" w:lineRule="auto"/>
        <w:rPr>
          <w:rFonts w:ascii="Times New Roman" w:eastAsia="Times New Roman" w:hAnsi="Times New Roman" w:cs="Times New Roman"/>
        </w:rPr>
      </w:pPr>
      <w:r>
        <w:rPr>
          <w:rFonts w:ascii="FangSong" w:eastAsia="FangSong" w:hAnsi="FangSong" w:cs="FangSong"/>
          <w:b/>
          <w:bCs/>
          <w:sz w:val="28"/>
          <w:szCs w:val="28"/>
        </w:rPr>
        <w:t>（二）违约风险管控要求</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w:t>
      </w:r>
      <w:r>
        <w:rPr>
          <w:rFonts w:ascii="FangSong" w:eastAsia="FangSong" w:hAnsi="FangSong" w:cs="FangSong"/>
          <w:sz w:val="28"/>
          <w:szCs w:val="28"/>
        </w:rPr>
        <w:t>不收取履约保证金。有下列情形之一的，采购人有权按照以下约定及合同违约相关条款处理：</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1）</w:t>
      </w:r>
      <w:r>
        <w:rPr>
          <w:rFonts w:ascii="FangSong" w:eastAsia="FangSong" w:hAnsi="FangSong" w:cs="FangSong"/>
          <w:sz w:val="28"/>
          <w:szCs w:val="28"/>
        </w:rPr>
        <w:t>因投标人配送不及时导致采购人供餐延误并造成重大影响的；</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2）</w:t>
      </w:r>
      <w:r>
        <w:rPr>
          <w:rFonts w:ascii="FangSong" w:eastAsia="FangSong" w:hAnsi="FangSong" w:cs="FangSong"/>
          <w:sz w:val="28"/>
          <w:szCs w:val="28"/>
        </w:rPr>
        <w:t>凡经相关部门认定，因投标人所提供的原料原因造成采购人食堂出现食物中毒等卫生安全事故的，投标人除必须承担全部的法律责任外，还要全额承担因食物中毒发生所造成后果的一切费用；</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3）</w:t>
      </w:r>
      <w:r>
        <w:rPr>
          <w:rFonts w:ascii="FangSong" w:eastAsia="FangSong" w:hAnsi="FangSong" w:cs="FangSong"/>
          <w:sz w:val="28"/>
          <w:szCs w:val="28"/>
        </w:rPr>
        <w:t>除不可抗力及采购人原因外，因投标人配送不及时导致采购人伙食供应延时，但经投标人采取补救措施未造成采购人不良影响的，出现三次终止供货合同；</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4）</w:t>
      </w:r>
      <w:r>
        <w:rPr>
          <w:rFonts w:ascii="FangSong" w:eastAsia="FangSong" w:hAnsi="FangSong" w:cs="FangSong"/>
          <w:sz w:val="28"/>
          <w:szCs w:val="28"/>
        </w:rPr>
        <w:t>凡投标人向采购人提供产品发生质量问题影响食用，并拒绝退换的；</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5）</w:t>
      </w:r>
      <w:r>
        <w:rPr>
          <w:rFonts w:ascii="FangSong" w:eastAsia="FangSong" w:hAnsi="FangSong" w:cs="FangSong"/>
          <w:sz w:val="28"/>
          <w:szCs w:val="28"/>
        </w:rPr>
        <w:t>采购人将不定期组织专人对食材进行抽检，若发现质量不符，采购人有权要求予以退换货。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FangSong" w:eastAsia="FangSong" w:hAnsi="FangSong" w:cs="FangSong"/>
          <w:sz w:val="28"/>
          <w:szCs w:val="28"/>
        </w:rPr>
        <w:t>投标人有下列情形之一的，采购人有权解除合同，由投标人承担全部经济损失和相关责任：</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1）</w:t>
      </w:r>
      <w:r>
        <w:rPr>
          <w:rFonts w:ascii="FangSong" w:eastAsia="FangSong" w:hAnsi="FangSong" w:cs="FangSong"/>
          <w:sz w:val="28"/>
          <w:szCs w:val="28"/>
        </w:rPr>
        <w:t>投标人以书面、微信、短信等方式通知采购人不再供货，包括对部分食材不再供货；</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2）</w:t>
      </w:r>
      <w:r>
        <w:rPr>
          <w:rFonts w:ascii="FangSong" w:eastAsia="FangSong" w:hAnsi="FangSong" w:cs="FangSong"/>
          <w:sz w:val="28"/>
          <w:szCs w:val="28"/>
        </w:rPr>
        <w:t>投标人虽未通知采购人不再供货，但</w:t>
      </w:r>
      <w:r>
        <w:rPr>
          <w:rFonts w:ascii="FangSong" w:eastAsia="FangSong" w:hAnsi="FangSong" w:cs="FangSong"/>
          <w:sz w:val="28"/>
          <w:szCs w:val="28"/>
        </w:rPr>
        <w:t>1天没有供应采购人采购的货物，包括对部分食材没有供货；</w:t>
      </w:r>
    </w:p>
    <w:p>
      <w:pPr>
        <w:pStyle w:val="19"/>
        <w:spacing w:before="0" w:after="0" w:line="360" w:lineRule="auto"/>
        <w:ind w:firstLine="48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3）</w:t>
      </w:r>
      <w:r>
        <w:rPr>
          <w:rFonts w:ascii="FangSong" w:eastAsia="FangSong" w:hAnsi="FangSong" w:cs="FangSong"/>
          <w:sz w:val="28"/>
          <w:szCs w:val="28"/>
        </w:rPr>
        <w:t>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bookmarkStart w:id="31" w:name="_Toc256000028"/>
      <w:r>
        <w:rPr>
          <w:rFonts w:ascii="仿宋_GB2312" w:eastAsia="仿宋_GB2312" w:hAnsi="仿宋_GB2312" w:cs="仿宋_GB2312"/>
          <w:kern w:val="36"/>
        </w:rPr>
        <w:t>7履约验收要求</w:t>
      </w:r>
      <w:bookmarkEnd w:id="31"/>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7.1总体要求</w:t>
      </w:r>
      <w:bookmarkEnd w:id="32"/>
    </w:p>
    <w:tbl>
      <w:tblPr>
        <w:tblW w:w="5000" w:type="pct"/>
        <w:tblInd w:w="30" w:type="dxa"/>
        <w:tblCellMar>
          <w:top w:w="15" w:type="dxa"/>
          <w:left w:w="15" w:type="dxa"/>
          <w:bottom w:w="15" w:type="dxa"/>
          <w:right w:w="15" w:type="dxa"/>
        </w:tblCellMar>
      </w:tblPr>
      <w:tblGrid>
        <w:gridCol w:w="917"/>
        <w:gridCol w:w="29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收货验收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（一）总体要求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（2）验收地点：民主道办公区：位于天津市河北区民主道16号；北安道办公区：位于天津市河北区北安道38号；流霞路办公区：位于天津市空港国际物流经济区流霞路50号。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（b）重量、数量、价格是否与采购人的预定量一致。</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（1）投标人应在验收时提供与送货内容一致的送货单，并加盖公章。</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（2）卸货前的检查。验收人员卸货前应对货物的外观质量进行初步了解。</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（3）采取当场验收的方式，验收人认真检查货物，按核对品种→索证→抽查(检测）→数量、重量、质量、价格验收→签名确认→入库的程序完成验收。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要求投标人提供产品质量检测报告及卫生合格报告书，肉类产品应提供当地卫生部门开具的动物检验检疫合格票、产品检疫合格证，证明内容与产品内容要一致。投标人以提供原件为主，不能留原件的提供复印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（4）发现食品安全质量问题的处理：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抽查时发现食品质量不过关或影响食用安全的，对当日所送同批次产品全部退货。</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若抽查未发现问题，按储藏要求储藏后在加工食用前发现产品质量问题的，投标人必须退货或更换。</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4.退（补）货流程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包装带箱、筐的食材按照去除箱、筐后的重量计算。投标人需配合采购人库管人员进行倒筐称重，共同签字确认。</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（二）货物验收方案。</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pPr>
        <w:pStyle w:val="Heading2"/>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i w:val="0"/>
          <w:iCs w:val="0"/>
        </w:rPr>
        <w:t>7.2具体要求</w:t>
      </w:r>
      <w:bookmarkEnd w:id="33"/>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1.</w:t>
      </w:r>
      <w:r>
        <w:rPr>
          <w:rFonts w:ascii="FangSong" w:eastAsia="FangSong" w:hAnsi="FangSong" w:cs="FangSong"/>
          <w:sz w:val="28"/>
          <w:szCs w:val="28"/>
        </w:rPr>
        <w:t>验收场所的准备</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应当在固定的场所进行验收，采购人定期清扫消毒，保持清洁，保证无积尘、无食品残渣，无霉斑、鼠迹、苍蝇、蟑螂，验收场所不准存放有毒、有害物品及个人生活用品。</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FangSong" w:eastAsia="FangSong" w:hAnsi="FangSong" w:cs="FangSong"/>
          <w:sz w:val="28"/>
          <w:szCs w:val="28"/>
        </w:rPr>
        <w:t>验收小组按订单对采购货物的品种、质量、数量进行检查验收，对货不对版、质量不好、价格明显过于偏高的食材不予验收，对于数量不足的食材，按照实际数量入账，填制验收记录和验收单。</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w:t>
      </w:r>
      <w:r>
        <w:rPr>
          <w:rFonts w:ascii="FangSong" w:eastAsia="FangSong" w:hAnsi="FangSong" w:cs="FangSong"/>
          <w:sz w:val="28"/>
          <w:szCs w:val="28"/>
        </w:rPr>
        <w:t>验收流程</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1</w:t>
      </w:r>
      <w:r>
        <w:rPr>
          <w:rFonts w:ascii="FangSong" w:eastAsia="FangSong" w:hAnsi="FangSong" w:cs="FangSong"/>
          <w:sz w:val="28"/>
          <w:szCs w:val="28"/>
        </w:rPr>
        <w:t>）投标人应在验收时提供与送货内容一致的送货单，并加盖公章。</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2）</w:t>
      </w:r>
      <w:r>
        <w:rPr>
          <w:rFonts w:ascii="FangSong" w:eastAsia="FangSong" w:hAnsi="FangSong" w:cs="FangSong"/>
          <w:sz w:val="28"/>
          <w:szCs w:val="28"/>
        </w:rPr>
        <w:t>卸货前的检查。验收人员卸货前应对货物的外观质量进行初步了解。</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3）</w:t>
      </w:r>
      <w:r>
        <w:rPr>
          <w:rFonts w:ascii="FangSong" w:eastAsia="FangSong" w:hAnsi="FangSong" w:cs="FangSong"/>
          <w:sz w:val="28"/>
          <w:szCs w:val="28"/>
        </w:rPr>
        <w:t>采取当场验收的方式，验收人认真检查货物，按核对品种</w:t>
      </w:r>
      <w:r>
        <w:rPr>
          <w:rFonts w:ascii="FangSong" w:eastAsia="FangSong" w:hAnsi="FangSong" w:cs="FangSong"/>
          <w:sz w:val="28"/>
          <w:szCs w:val="28"/>
        </w:rPr>
        <w:t>→索证→抽查(检测）→数量、重量、质量、价格验收→签名确认→入库的程序完成验收。</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要求投标人提供产品质量检测报告及卫生合格报告书，证明内容与产品内容要一致。投标人以提供原件为主，不能留原件的提供复印件。</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4）</w:t>
      </w:r>
      <w:r>
        <w:rPr>
          <w:rFonts w:ascii="FangSong" w:eastAsia="FangSong" w:hAnsi="FangSong" w:cs="FangSong"/>
          <w:sz w:val="28"/>
          <w:szCs w:val="28"/>
        </w:rPr>
        <w:t>发现食品质量安全问题的处理：</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抽查时发现食品质量不过关或影响食用安全的，对当日所送同批次产品全部退货。</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若抽查未发现问题，按储藏要求储藏后在加工食用前发现产品质量问题的，投标人必须退货或更换。</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4.</w:t>
      </w:r>
      <w:r>
        <w:rPr>
          <w:rFonts w:ascii="FangSong" w:eastAsia="FangSong" w:hAnsi="FangSong" w:cs="FangSong"/>
          <w:sz w:val="28"/>
          <w:szCs w:val="28"/>
        </w:rPr>
        <w:t>退（补）货流程</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FangSong" w:eastAsia="FangSong" w:hAnsi="FangSong" w:cs="FangSong"/>
          <w:sz w:val="28"/>
          <w:szCs w:val="28"/>
        </w:rPr>
        <w:t>1小时内补送订单品种。</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5.</w:t>
      </w:r>
      <w:r>
        <w:rPr>
          <w:rFonts w:ascii="FangSong" w:eastAsia="FangSong" w:hAnsi="FangSong" w:cs="FangSong"/>
          <w:sz w:val="28"/>
          <w:szCs w:val="28"/>
        </w:rPr>
        <w:t>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8其他要求</w:t>
      </w:r>
      <w:bookmarkEnd w:id="34"/>
    </w:p>
    <w:p>
      <w:pPr>
        <w:pStyle w:val="Heading2"/>
        <w:keepNext w:val="0"/>
        <w:spacing w:before="0" w:after="0" w:line="360" w:lineRule="auto"/>
        <w:rPr>
          <w:rFonts w:ascii="仿宋_GB2312" w:eastAsia="仿宋_GB2312" w:hAnsi="仿宋_GB2312" w:cs="仿宋_GB2312"/>
          <w:b/>
          <w:bCs/>
          <w:sz w:val="28"/>
          <w:szCs w:val="28"/>
        </w:rPr>
      </w:pPr>
      <w:bookmarkStart w:id="35" w:name="_Toc256000032"/>
      <w:r>
        <w:rPr>
          <w:rFonts w:ascii="仿宋_GB2312" w:eastAsia="仿宋_GB2312" w:hAnsi="仿宋_GB2312" w:cs="仿宋_GB2312"/>
          <w:i w:val="0"/>
          <w:iCs w:val="0"/>
        </w:rPr>
        <w:t>8.1必备要求</w:t>
      </w:r>
      <w:bookmarkEnd w:id="35"/>
    </w:p>
    <w:p>
      <w:pPr>
        <w:pStyle w:val="Heading3"/>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sz w:val="28"/>
          <w:szCs w:val="28"/>
        </w:rPr>
        <w:t>8.1.1通用必备要求</w:t>
      </w:r>
      <w:bookmarkEnd w:id="3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8.2付款安排建议</w:t>
      </w:r>
      <w:bookmarkEnd w:id="37"/>
    </w:p>
    <w:tbl>
      <w:tblPr>
        <w:tblW w:w="5000" w:type="pct"/>
        <w:tblInd w:w="30" w:type="dxa"/>
        <w:tblCellMar>
          <w:top w:w="15" w:type="dxa"/>
          <w:left w:w="15" w:type="dxa"/>
          <w:bottom w:w="15" w:type="dxa"/>
          <w:right w:w="15" w:type="dxa"/>
        </w:tblCellMar>
      </w:tblPr>
      <w:tblGrid>
        <w:gridCol w:w="859"/>
        <w:gridCol w:w="29665"/>
        <w:gridCol w:w="1156"/>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1.核对货款</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2.付款方式</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8.3其他要求</w:t>
      </w:r>
      <w:bookmarkEnd w:id="38"/>
    </w:p>
    <w:p>
      <w:pPr>
        <w:pStyle w:val="Heading3"/>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sz w:val="28"/>
          <w:szCs w:val="28"/>
        </w:rPr>
        <w:t>8.3.1保密要求</w:t>
      </w:r>
      <w:bookmarkEnd w:id="39"/>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pacing w:val="0"/>
          <w:sz w:val="32"/>
          <w:szCs w:val="32"/>
        </w:rPr>
        <w:t>中标供应商应提供遵守国家税务总局天津市税务局相关安全保密制度规定的承诺函，并签订保密协议。若中标供应商服务人员违反信息安全保密制度相关规定，对税务机关造成利益损害的，中标供应商应承担相关法律责任。</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13</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6">
    <w:name w:val="16"/>
    <w:basedOn w:val="Normal"/>
  </w:style>
  <w:style w:type="paragraph" w:customStyle="1" w:styleId="17">
    <w:name w:val="17"/>
    <w:basedOn w:val="Normal"/>
  </w:style>
  <w:style w:type="paragraph" w:customStyle="1" w:styleId="18">
    <w:name w:val="18"/>
    <w:basedOn w:val="Normal"/>
  </w:style>
  <w:style w:type="paragraph" w:customStyle="1" w:styleId="19">
    <w:name w:val="19"/>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13</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