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2F772">
      <w:pPr>
        <w:pStyle w:val="4"/>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157" w:afterLines="50" w:afterAutospacing="0" w:line="360" w:lineRule="auto"/>
        <w:ind w:right="0" w:rightChars="0"/>
        <w:jc w:val="center"/>
        <w:textAlignment w:val="auto"/>
        <w:rPr>
          <w:rFonts w:hint="default" w:ascii="微软雅黑" w:hAnsi="微软雅黑" w:eastAsia="微软雅黑" w:cs="微软雅黑"/>
          <w:b/>
          <w:bCs/>
          <w:i w:val="0"/>
          <w:iCs w:val="0"/>
          <w:caps w:val="0"/>
          <w:color w:val="333333"/>
          <w:spacing w:val="0"/>
          <w:kern w:val="0"/>
          <w:sz w:val="36"/>
          <w:szCs w:val="36"/>
          <w:shd w:val="clear" w:color="auto" w:fill="FFFFFF"/>
          <w:lang w:val="en-US" w:eastAsia="zh-CN" w:bidi="ar"/>
        </w:rPr>
      </w:pPr>
      <w:r>
        <w:rPr>
          <w:rFonts w:hint="default" w:ascii="微软雅黑" w:hAnsi="微软雅黑" w:eastAsia="微软雅黑" w:cs="微软雅黑"/>
          <w:b/>
          <w:bCs/>
          <w:i w:val="0"/>
          <w:iCs w:val="0"/>
          <w:caps w:val="0"/>
          <w:color w:val="333333"/>
          <w:spacing w:val="0"/>
          <w:kern w:val="0"/>
          <w:sz w:val="36"/>
          <w:szCs w:val="36"/>
          <w:shd w:val="clear" w:color="auto" w:fill="FFFFFF"/>
          <w:lang w:val="en-US" w:eastAsia="zh-CN" w:bidi="ar"/>
        </w:rPr>
        <w:t>国家税务总局天津市</w:t>
      </w:r>
      <w:r>
        <w:rPr>
          <w:rFonts w:hint="eastAsia" w:ascii="微软雅黑" w:hAnsi="微软雅黑" w:eastAsia="微软雅黑" w:cs="微软雅黑"/>
          <w:b/>
          <w:bCs/>
          <w:i w:val="0"/>
          <w:iCs w:val="0"/>
          <w:caps w:val="0"/>
          <w:color w:val="333333"/>
          <w:spacing w:val="0"/>
          <w:kern w:val="0"/>
          <w:sz w:val="36"/>
          <w:szCs w:val="36"/>
          <w:shd w:val="clear" w:color="auto" w:fill="FFFFFF"/>
          <w:lang w:val="en-US" w:eastAsia="zh-CN" w:bidi="ar"/>
        </w:rPr>
        <w:t>滨海新</w:t>
      </w:r>
      <w:r>
        <w:rPr>
          <w:rFonts w:hint="default" w:ascii="微软雅黑" w:hAnsi="微软雅黑" w:eastAsia="微软雅黑" w:cs="微软雅黑"/>
          <w:b/>
          <w:bCs/>
          <w:i w:val="0"/>
          <w:iCs w:val="0"/>
          <w:caps w:val="0"/>
          <w:color w:val="333333"/>
          <w:spacing w:val="0"/>
          <w:kern w:val="0"/>
          <w:sz w:val="36"/>
          <w:szCs w:val="36"/>
          <w:shd w:val="clear" w:color="auto" w:fill="FFFFFF"/>
          <w:lang w:val="en-US" w:eastAsia="zh-CN" w:bidi="ar"/>
        </w:rPr>
        <w:t>区税务局信息化、服务类项目预算评审项目采购文件</w:t>
      </w:r>
    </w:p>
    <w:p w14:paraId="1AA8ECCD">
      <w:pPr>
        <w:spacing w:line="600" w:lineRule="exact"/>
        <w:ind w:firstLine="640" w:firstLineChars="200"/>
        <w:rPr>
          <w:rFonts w:hint="eastAsia" w:ascii="黑体" w:hAnsi="黑体" w:eastAsia="黑体" w:cs="Courier New"/>
          <w:sz w:val="32"/>
          <w:szCs w:val="32"/>
          <w:shd w:val="clear" w:color="auto" w:fill="FFFFFF"/>
        </w:rPr>
      </w:pPr>
    </w:p>
    <w:p w14:paraId="2453E3E2">
      <w:pPr>
        <w:spacing w:line="600" w:lineRule="exact"/>
        <w:ind w:firstLine="640" w:firstLineChars="200"/>
        <w:rPr>
          <w:rFonts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rPr>
        <w:t>一、项目概述</w:t>
      </w:r>
    </w:p>
    <w:p w14:paraId="010588C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为贯彻落实过“紧日子”要求，进一步严格财务收支管理，统筹资金保障重点项目，提高采购效率，优化服务水平，国家税务总局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区税务局对信息化、服务类项目预算评审实施采购。</w:t>
      </w:r>
    </w:p>
    <w:p w14:paraId="4848A281">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（一）项目背景：为进一步加强国家税务总局</w:t>
      </w:r>
      <w:r>
        <w:rPr>
          <w:rFonts w:hint="eastAsia" w:ascii="仿宋_GB2312" w:hAnsi="仿宋_GB2312" w:eastAsia="仿宋_GB2312" w:cs="仿宋_GB2312"/>
          <w:sz w:val="32"/>
          <w:szCs w:val="32"/>
          <w:lang w:eastAsia="zh-CN"/>
        </w:rPr>
        <w:t>天津市滨海新区</w:t>
      </w:r>
      <w:r>
        <w:rPr>
          <w:rFonts w:hint="eastAsia" w:ascii="仿宋_GB2312" w:hAnsi="仿宋_GB2312" w:eastAsia="仿宋_GB2312" w:cs="仿宋_GB2312"/>
          <w:sz w:val="32"/>
          <w:szCs w:val="32"/>
        </w:rPr>
        <w:t>税务局信息化、服务类项目建设管理，落实过紧日子要求，促进优化资源配置，提高信息化、服务类项目预算管理质效，根据《中华人民共和国预算法实施条例》、《财政部关于印发</w:t>
      </w:r>
      <w:r>
        <w:rPr>
          <w:rFonts w:ascii="仿宋_GB2312" w:hAnsi="仿宋_GB2312" w:eastAsia="仿宋_GB2312" w:cs="仿宋_GB2312"/>
          <w:sz w:val="32"/>
          <w:szCs w:val="32"/>
        </w:rPr>
        <w:t>&lt;</w:t>
      </w:r>
      <w:r>
        <w:rPr>
          <w:rFonts w:hint="eastAsia" w:ascii="仿宋_GB2312" w:hAnsi="仿宋_GB2312" w:eastAsia="仿宋_GB2312" w:cs="仿宋_GB2312"/>
          <w:sz w:val="32"/>
          <w:szCs w:val="32"/>
        </w:rPr>
        <w:t>预算评审管理暂行办法</w:t>
      </w:r>
      <w:r>
        <w:rPr>
          <w:rFonts w:ascii="仿宋_GB2312" w:hAnsi="仿宋_GB2312" w:eastAsia="仿宋_GB2312" w:cs="仿宋_GB2312"/>
          <w:sz w:val="32"/>
          <w:szCs w:val="32"/>
        </w:rPr>
        <w:t>&gt;</w:t>
      </w:r>
      <w:r>
        <w:rPr>
          <w:rFonts w:hint="eastAsia" w:ascii="仿宋_GB2312" w:hAnsi="仿宋_GB2312" w:eastAsia="仿宋_GB2312" w:cs="仿宋_GB2312"/>
          <w:sz w:val="32"/>
          <w:szCs w:val="32"/>
        </w:rPr>
        <w:t>的通知》（财预〔</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号）等有关规定，国家税务总局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区税务局拟委托有资质的专业评审中介机构对本单位信息化、服务类项目进行预算评审，为国家税务总局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区税务局信息化、服务类项目预算管理提供科学合理的依据；协助完善信息化、服务类项目预算评审制度，不断提高信息化、服务类项目的预算编制水平。</w:t>
      </w:r>
    </w:p>
    <w:p w14:paraId="49751AE5">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建设思路：完善制度建设，明确职责分工，优化评审流程，强化评审质量，推进信息化、服务类项目建设，加强结果运用，注重绩效管理，强化廉政建设。通过规范制度、明确责任、优化流程、提升质量、信息化支撑、结果导向、绩效衔接和廉政保障等措施，确保项目预算评审科学、规范、高效，提升财政资金使用效益，推动税务工作高质量发展。</w:t>
      </w:r>
    </w:p>
    <w:p w14:paraId="03CF6ED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（三）采购内容：根据国家税务总局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区税务局预算评审有关规定对纳入评审范围的信息化、服务类项目进行预算评审，并根据评审工作安排协助完成预算编制辅导、审计资料整理、评审制度完善等其他相关工作。</w:t>
      </w:r>
    </w:p>
    <w:p w14:paraId="244FFE06">
      <w:pPr>
        <w:spacing w:line="600" w:lineRule="exact"/>
        <w:ind w:firstLine="640" w:firstLineChars="200"/>
        <w:rPr>
          <w:rFonts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rPr>
        <w:t>二、项目需求</w:t>
      </w:r>
    </w:p>
    <w:p w14:paraId="178F5849">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供应商应在合同约定的时间内提供本项目规定的全部服务，承诺与本项目涉及相关单位进行积极主动的沟通合作，在实施过程中必须服从国家税务总局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区税务局管理。</w:t>
      </w:r>
    </w:p>
    <w:p w14:paraId="0772677F">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下表中标注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的，为必备服务要求，必须满足，如未作出响应，将导致响应无效；</w:t>
      </w:r>
      <w:r>
        <w:rPr>
          <w:rFonts w:hint="eastAsia" w:ascii="仿宋_GB2312" w:hAnsi="仿宋_GB2312" w:eastAsia="仿宋_GB2312" w:cs="仿宋_GB2312"/>
          <w:sz w:val="32"/>
          <w:szCs w:val="32"/>
          <w:lang w:val="en-US" w:eastAsia="zh-CN"/>
        </w:rPr>
        <w:t>#为重要服务内容。</w:t>
      </w:r>
    </w:p>
    <w:tbl>
      <w:tblPr>
        <w:tblStyle w:val="8"/>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710"/>
        <w:gridCol w:w="4173"/>
        <w:gridCol w:w="1407"/>
      </w:tblGrid>
      <w:tr w14:paraId="69EA3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1D30E">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序号</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2B0F9AF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指标项</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540A742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指标要求</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6C0BE86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重要性</w:t>
            </w:r>
          </w:p>
        </w:tc>
      </w:tr>
      <w:tr w14:paraId="7DA7D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7E50DCFD">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（一）团队组建要求</w:t>
            </w:r>
          </w:p>
        </w:tc>
      </w:tr>
      <w:tr w14:paraId="7B65B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BD5BB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05083FCA">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团队组建</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7ED6491F">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交供应商为评审项目组建专门的项目组，选派工作责任心强、技术水平高、业务熟练、经验丰富的人员参加，同时提供满足预算评审要求的后台支持团队。项目团队必须严格遵守各项政策法规、规章制度，服从管理和调度，认真履行工作职责，圆满完成工作任务。合同签订后3日内成交供应商应与采购人对接；5个工作日内组建项目团队；10个工作日内提交详细的项目管理方案和计划安排，报备专家库组建情况。</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1A2D1D83">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34033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28A7DB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10" w:type="dxa"/>
            <w:tcBorders>
              <w:top w:val="nil"/>
              <w:left w:val="nil"/>
              <w:bottom w:val="single" w:color="000000" w:sz="8" w:space="0"/>
              <w:right w:val="single" w:color="000000" w:sz="8" w:space="0"/>
            </w:tcBorders>
            <w:shd w:val="clear" w:color="auto" w:fill="auto"/>
            <w:vAlign w:val="center"/>
          </w:tcPr>
          <w:p w14:paraId="4F6531A8">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成员要求</w:t>
            </w:r>
          </w:p>
        </w:tc>
        <w:tc>
          <w:tcPr>
            <w:tcW w:w="4173" w:type="dxa"/>
            <w:tcBorders>
              <w:top w:val="nil"/>
              <w:left w:val="nil"/>
              <w:bottom w:val="single" w:color="000000" w:sz="8" w:space="0"/>
              <w:right w:val="single" w:color="000000" w:sz="8" w:space="0"/>
            </w:tcBorders>
            <w:shd w:val="clear" w:color="auto" w:fill="auto"/>
            <w:vAlign w:val="center"/>
          </w:tcPr>
          <w:p w14:paraId="68463B5F">
            <w:pPr>
              <w:keepNext w:val="0"/>
              <w:keepLines w:val="0"/>
              <w:widowControl/>
              <w:suppressLineNumbers w:val="0"/>
              <w:jc w:val="both"/>
              <w:textAlignment w:val="center"/>
              <w:rPr>
                <w:rFonts w:hint="default" w:ascii="仿宋_GB2312" w:hAnsi="宋体" w:eastAsia="仿宋_GB2312" w:cs="仿宋_GB2312"/>
                <w:i w:val="0"/>
                <w:iCs w:val="0"/>
                <w:color w:val="FF0000"/>
                <w:sz w:val="21"/>
                <w:szCs w:val="21"/>
                <w:u w:val="none"/>
              </w:rPr>
            </w:pPr>
            <w:r>
              <w:rPr>
                <w:rStyle w:val="12"/>
                <w:rFonts w:hAnsi="宋体"/>
                <w:color w:val="auto"/>
                <w:lang w:val="en-US" w:eastAsia="zh-CN" w:bidi="ar"/>
              </w:rPr>
              <w:t>投入的人员为投标单位正式员工（提供姓名、开标日前三个月中任意一个月的由投标单位为投入人员缴纳社会保险证明扫描件，否则不予认定加分。）</w:t>
            </w:r>
            <w:r>
              <w:rPr>
                <w:rStyle w:val="13"/>
                <w:rFonts w:hAnsi="宋体"/>
                <w:color w:val="auto"/>
                <w:lang w:val="en-US" w:eastAsia="zh-CN" w:bidi="ar"/>
              </w:rPr>
              <w:t>成交供应商应保证项目人员应保持稳定，项目人员如有变</w:t>
            </w:r>
            <w:r>
              <w:rPr>
                <w:rStyle w:val="13"/>
                <w:rFonts w:hAnsi="宋体"/>
                <w:lang w:val="en-US" w:eastAsia="zh-CN" w:bidi="ar"/>
              </w:rPr>
              <w:t>动，候选人员素质、能力、经验不得低于变动前人员；成交供应商更换人员，应当至少提前10个工作日书面通知采购人，采购人同意后才能安排调整，采购人要求更换的不计在内。</w:t>
            </w:r>
          </w:p>
        </w:tc>
        <w:tc>
          <w:tcPr>
            <w:tcW w:w="1407" w:type="dxa"/>
            <w:tcBorders>
              <w:top w:val="nil"/>
              <w:left w:val="nil"/>
              <w:bottom w:val="single" w:color="000000" w:sz="8" w:space="0"/>
              <w:right w:val="single" w:color="000000" w:sz="8" w:space="0"/>
            </w:tcBorders>
            <w:shd w:val="clear" w:color="auto" w:fill="auto"/>
            <w:vAlign w:val="center"/>
          </w:tcPr>
          <w:p w14:paraId="39ECED35">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089F7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4BA1D2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710" w:type="dxa"/>
            <w:tcBorders>
              <w:top w:val="nil"/>
              <w:left w:val="nil"/>
              <w:bottom w:val="single" w:color="000000" w:sz="8" w:space="0"/>
              <w:right w:val="single" w:color="000000" w:sz="8" w:space="0"/>
            </w:tcBorders>
            <w:shd w:val="clear" w:color="auto" w:fill="auto"/>
            <w:vAlign w:val="center"/>
          </w:tcPr>
          <w:p w14:paraId="3ABC297A">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团队管理</w:t>
            </w:r>
          </w:p>
        </w:tc>
        <w:tc>
          <w:tcPr>
            <w:tcW w:w="4173" w:type="dxa"/>
            <w:tcBorders>
              <w:top w:val="nil"/>
              <w:left w:val="nil"/>
              <w:bottom w:val="single" w:color="000000" w:sz="8" w:space="0"/>
              <w:right w:val="single" w:color="000000" w:sz="8" w:space="0"/>
            </w:tcBorders>
            <w:shd w:val="clear" w:color="auto" w:fill="auto"/>
            <w:vAlign w:val="center"/>
          </w:tcPr>
          <w:p w14:paraId="6E9E43F1">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交供应商的项目团队必须严格遵守各项政策法规、规章制度，服从管理和调度，认真履行工作职责，圆满完成工作任务。成交供应商须规范管理本项目的整个实施过程。成交供应商应制定各类管理制度及工作规范，严格规范工作流程，制定人员管理制度，本项目全部管理工作须符合采购人信息化、服务类项目管理及评估的有关规定。</w:t>
            </w:r>
          </w:p>
        </w:tc>
        <w:tc>
          <w:tcPr>
            <w:tcW w:w="1407" w:type="dxa"/>
            <w:tcBorders>
              <w:top w:val="nil"/>
              <w:left w:val="nil"/>
              <w:bottom w:val="single" w:color="000000" w:sz="8" w:space="0"/>
              <w:right w:val="single" w:color="000000" w:sz="8" w:space="0"/>
            </w:tcBorders>
            <w:shd w:val="clear" w:color="auto" w:fill="auto"/>
            <w:vAlign w:val="center"/>
          </w:tcPr>
          <w:p w14:paraId="5EF8DA73">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0828A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628DC67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（二）评审组织管理：</w:t>
            </w:r>
          </w:p>
        </w:tc>
      </w:tr>
      <w:tr w14:paraId="5CB1D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96CECB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019AF77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方案确定</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27368238">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根据评审任务要求2个工作日内制定评审方案。</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3EC7BFE9">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4EF37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B40FB5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10" w:type="dxa"/>
            <w:tcBorders>
              <w:top w:val="nil"/>
              <w:left w:val="nil"/>
              <w:bottom w:val="single" w:color="000000" w:sz="8" w:space="0"/>
              <w:right w:val="single" w:color="000000" w:sz="8" w:space="0"/>
            </w:tcBorders>
            <w:shd w:val="clear" w:color="auto" w:fill="auto"/>
            <w:vAlign w:val="center"/>
          </w:tcPr>
          <w:p w14:paraId="66FC096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方案内容</w:t>
            </w:r>
          </w:p>
        </w:tc>
        <w:tc>
          <w:tcPr>
            <w:tcW w:w="4173" w:type="dxa"/>
            <w:tcBorders>
              <w:top w:val="nil"/>
              <w:left w:val="nil"/>
              <w:bottom w:val="single" w:color="000000" w:sz="8" w:space="0"/>
              <w:right w:val="single" w:color="000000" w:sz="8" w:space="0"/>
            </w:tcBorders>
            <w:shd w:val="clear" w:color="auto" w:fill="auto"/>
            <w:vAlign w:val="center"/>
          </w:tcPr>
          <w:p w14:paraId="4474D970">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评审方案应包括基本情况、评审重点关注内容、评审方法和依据、评审工作组成员、评审时间及进度安排等。</w:t>
            </w:r>
          </w:p>
        </w:tc>
        <w:tc>
          <w:tcPr>
            <w:tcW w:w="1407" w:type="dxa"/>
            <w:tcBorders>
              <w:top w:val="nil"/>
              <w:left w:val="nil"/>
              <w:bottom w:val="single" w:color="000000" w:sz="8" w:space="0"/>
              <w:right w:val="single" w:color="000000" w:sz="8" w:space="0"/>
            </w:tcBorders>
            <w:shd w:val="clear" w:color="auto" w:fill="auto"/>
            <w:vAlign w:val="center"/>
          </w:tcPr>
          <w:p w14:paraId="7FBF332C">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69DB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0B6302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710" w:type="dxa"/>
            <w:tcBorders>
              <w:top w:val="nil"/>
              <w:left w:val="nil"/>
              <w:bottom w:val="single" w:color="000000" w:sz="8" w:space="0"/>
              <w:right w:val="single" w:color="000000" w:sz="8" w:space="0"/>
            </w:tcBorders>
            <w:shd w:val="clear" w:color="auto" w:fill="auto"/>
            <w:vAlign w:val="center"/>
          </w:tcPr>
          <w:p w14:paraId="5669D75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沟通机制</w:t>
            </w:r>
          </w:p>
        </w:tc>
        <w:tc>
          <w:tcPr>
            <w:tcW w:w="4173" w:type="dxa"/>
            <w:tcBorders>
              <w:top w:val="nil"/>
              <w:left w:val="nil"/>
              <w:bottom w:val="single" w:color="000000" w:sz="8" w:space="0"/>
              <w:right w:val="single" w:color="000000" w:sz="8" w:space="0"/>
            </w:tcBorders>
            <w:shd w:val="clear" w:color="auto" w:fill="auto"/>
            <w:vAlign w:val="center"/>
          </w:tcPr>
          <w:p w14:paraId="5C3B7BC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指定专人进行全流程的沟通反馈，建立评审沟通反馈机制，建立沟通记录台账、对所有送审项目的沟通情况定期反馈。</w:t>
            </w:r>
          </w:p>
        </w:tc>
        <w:tc>
          <w:tcPr>
            <w:tcW w:w="1407" w:type="dxa"/>
            <w:tcBorders>
              <w:top w:val="nil"/>
              <w:left w:val="nil"/>
              <w:bottom w:val="single" w:color="000000" w:sz="8" w:space="0"/>
              <w:right w:val="single" w:color="000000" w:sz="8" w:space="0"/>
            </w:tcBorders>
            <w:shd w:val="clear" w:color="auto" w:fill="auto"/>
            <w:vAlign w:val="center"/>
          </w:tcPr>
          <w:p w14:paraId="2C374CD1">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3BBC9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B97D1C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w:t>
            </w:r>
          </w:p>
        </w:tc>
        <w:tc>
          <w:tcPr>
            <w:tcW w:w="1710" w:type="dxa"/>
            <w:tcBorders>
              <w:top w:val="nil"/>
              <w:left w:val="nil"/>
              <w:bottom w:val="single" w:color="000000" w:sz="8" w:space="0"/>
              <w:right w:val="single" w:color="000000" w:sz="8" w:space="0"/>
            </w:tcBorders>
            <w:shd w:val="clear" w:color="auto" w:fill="auto"/>
            <w:vAlign w:val="center"/>
          </w:tcPr>
          <w:p w14:paraId="6C38B00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进度跟踪</w:t>
            </w:r>
          </w:p>
        </w:tc>
        <w:tc>
          <w:tcPr>
            <w:tcW w:w="4173" w:type="dxa"/>
            <w:tcBorders>
              <w:top w:val="nil"/>
              <w:left w:val="nil"/>
              <w:bottom w:val="single" w:color="000000" w:sz="8" w:space="0"/>
              <w:right w:val="single" w:color="000000" w:sz="8" w:space="0"/>
            </w:tcBorders>
            <w:shd w:val="clear" w:color="auto" w:fill="auto"/>
            <w:vAlign w:val="center"/>
          </w:tcPr>
          <w:p w14:paraId="5A525263">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根据评审方案实施项目评审。明确专人跟进评审进度，初步评审结论形成后，应及时反馈给采购人。经采购人授权后，与项目申报部门交换意见。根据有关意见对评审结论进行完善。</w:t>
            </w:r>
          </w:p>
        </w:tc>
        <w:tc>
          <w:tcPr>
            <w:tcW w:w="1407" w:type="dxa"/>
            <w:tcBorders>
              <w:top w:val="nil"/>
              <w:left w:val="nil"/>
              <w:bottom w:val="single" w:color="000000" w:sz="8" w:space="0"/>
              <w:right w:val="single" w:color="000000" w:sz="8" w:space="0"/>
            </w:tcBorders>
            <w:shd w:val="clear" w:color="auto" w:fill="auto"/>
            <w:vAlign w:val="center"/>
          </w:tcPr>
          <w:p w14:paraId="1D015532">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744F7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3E6CB9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1710" w:type="dxa"/>
            <w:tcBorders>
              <w:top w:val="nil"/>
              <w:left w:val="nil"/>
              <w:bottom w:val="single" w:color="000000" w:sz="8" w:space="0"/>
              <w:right w:val="single" w:color="000000" w:sz="8" w:space="0"/>
            </w:tcBorders>
            <w:shd w:val="clear" w:color="auto" w:fill="auto"/>
            <w:vAlign w:val="center"/>
          </w:tcPr>
          <w:p w14:paraId="04D0DF4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结果反馈</w:t>
            </w:r>
          </w:p>
        </w:tc>
        <w:tc>
          <w:tcPr>
            <w:tcW w:w="4173" w:type="dxa"/>
            <w:tcBorders>
              <w:top w:val="nil"/>
              <w:left w:val="nil"/>
              <w:bottom w:val="single" w:color="000000" w:sz="8" w:space="0"/>
              <w:right w:val="single" w:color="000000" w:sz="8" w:space="0"/>
            </w:tcBorders>
            <w:shd w:val="clear" w:color="auto" w:fill="auto"/>
            <w:vAlign w:val="center"/>
          </w:tcPr>
          <w:p w14:paraId="6B8D7A6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分阶段反馈初评、复评结果，并按时提交预算评审报告。评审报告应包括项目内容概述、评审结论、问题和建议等，有需要特殊说明的，在报告中一并体现。</w:t>
            </w:r>
          </w:p>
        </w:tc>
        <w:tc>
          <w:tcPr>
            <w:tcW w:w="1407" w:type="dxa"/>
            <w:tcBorders>
              <w:top w:val="nil"/>
              <w:left w:val="nil"/>
              <w:bottom w:val="single" w:color="000000" w:sz="8" w:space="0"/>
              <w:right w:val="single" w:color="000000" w:sz="8" w:space="0"/>
            </w:tcBorders>
            <w:shd w:val="clear" w:color="auto" w:fill="auto"/>
            <w:vAlign w:val="center"/>
          </w:tcPr>
          <w:p w14:paraId="607432A8">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63EF2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E6ED0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6</w:t>
            </w:r>
          </w:p>
        </w:tc>
        <w:tc>
          <w:tcPr>
            <w:tcW w:w="1710" w:type="dxa"/>
            <w:tcBorders>
              <w:top w:val="nil"/>
              <w:left w:val="nil"/>
              <w:bottom w:val="single" w:color="000000" w:sz="8" w:space="0"/>
              <w:right w:val="single" w:color="000000" w:sz="8" w:space="0"/>
            </w:tcBorders>
            <w:shd w:val="clear" w:color="auto" w:fill="auto"/>
            <w:vAlign w:val="center"/>
          </w:tcPr>
          <w:p w14:paraId="55D4F12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档案管理</w:t>
            </w:r>
          </w:p>
        </w:tc>
        <w:tc>
          <w:tcPr>
            <w:tcW w:w="4173" w:type="dxa"/>
            <w:tcBorders>
              <w:top w:val="nil"/>
              <w:left w:val="nil"/>
              <w:bottom w:val="single" w:color="000000" w:sz="8" w:space="0"/>
              <w:right w:val="single" w:color="000000" w:sz="8" w:space="0"/>
            </w:tcBorders>
            <w:shd w:val="clear" w:color="auto" w:fill="auto"/>
            <w:vAlign w:val="center"/>
          </w:tcPr>
          <w:p w14:paraId="3C851B47">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出具报告后，评审机构应当及时整理评审资料，建立评审档案，将评审要件完整存入档案。</w:t>
            </w:r>
          </w:p>
        </w:tc>
        <w:tc>
          <w:tcPr>
            <w:tcW w:w="1407" w:type="dxa"/>
            <w:tcBorders>
              <w:top w:val="nil"/>
              <w:left w:val="nil"/>
              <w:bottom w:val="single" w:color="000000" w:sz="8" w:space="0"/>
              <w:right w:val="single" w:color="000000" w:sz="8" w:space="0"/>
            </w:tcBorders>
            <w:shd w:val="clear" w:color="auto" w:fill="auto"/>
            <w:vAlign w:val="center"/>
          </w:tcPr>
          <w:p w14:paraId="099AA061">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757C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3E403F89">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Style w:val="13"/>
                <w:rFonts w:hAnsi="宋体"/>
                <w:lang w:val="en-US" w:eastAsia="zh-CN" w:bidi="ar"/>
              </w:rPr>
              <w:t>（三）进度控制：</w:t>
            </w:r>
          </w:p>
        </w:tc>
      </w:tr>
      <w:tr w14:paraId="49734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D7A0B7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3FA242B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初评要求</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78A6F9B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年度整体立项、集中送审的项目原则上应在10个工作日内完成；执行中的新增立项或追加预算、分散送审的项目原则上应在5个工作日内向采购人反馈初评意见。</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5B33B1D5">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4DF93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C82B6C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10" w:type="dxa"/>
            <w:tcBorders>
              <w:top w:val="nil"/>
              <w:left w:val="nil"/>
              <w:bottom w:val="single" w:color="000000" w:sz="8" w:space="0"/>
              <w:right w:val="single" w:color="000000" w:sz="8" w:space="0"/>
            </w:tcBorders>
            <w:shd w:val="clear" w:color="auto" w:fill="auto"/>
            <w:vAlign w:val="center"/>
          </w:tcPr>
          <w:p w14:paraId="5382171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复评要求</w:t>
            </w:r>
          </w:p>
        </w:tc>
        <w:tc>
          <w:tcPr>
            <w:tcW w:w="4173" w:type="dxa"/>
            <w:tcBorders>
              <w:top w:val="nil"/>
              <w:left w:val="nil"/>
              <w:bottom w:val="single" w:color="000000" w:sz="8" w:space="0"/>
              <w:right w:val="single" w:color="000000" w:sz="8" w:space="0"/>
            </w:tcBorders>
            <w:shd w:val="clear" w:color="auto" w:fill="auto"/>
            <w:vAlign w:val="center"/>
          </w:tcPr>
          <w:p w14:paraId="53DDB7E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集中送审的项目不超过5个工作日，分散送审的项目不超过3个工作日。</w:t>
            </w:r>
          </w:p>
        </w:tc>
        <w:tc>
          <w:tcPr>
            <w:tcW w:w="1407" w:type="dxa"/>
            <w:tcBorders>
              <w:top w:val="nil"/>
              <w:left w:val="nil"/>
              <w:bottom w:val="single" w:color="000000" w:sz="8" w:space="0"/>
              <w:right w:val="single" w:color="000000" w:sz="8" w:space="0"/>
            </w:tcBorders>
            <w:shd w:val="clear" w:color="auto" w:fill="auto"/>
            <w:vAlign w:val="center"/>
          </w:tcPr>
          <w:p w14:paraId="3F692277">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5048C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FA7207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710" w:type="dxa"/>
            <w:tcBorders>
              <w:top w:val="nil"/>
              <w:left w:val="nil"/>
              <w:bottom w:val="single" w:color="000000" w:sz="8" w:space="0"/>
              <w:right w:val="single" w:color="000000" w:sz="8" w:space="0"/>
            </w:tcBorders>
            <w:shd w:val="clear" w:color="auto" w:fill="auto"/>
            <w:vAlign w:val="center"/>
          </w:tcPr>
          <w:p w14:paraId="7628C2B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出具报告要求</w:t>
            </w:r>
          </w:p>
        </w:tc>
        <w:tc>
          <w:tcPr>
            <w:tcW w:w="4173" w:type="dxa"/>
            <w:tcBorders>
              <w:top w:val="nil"/>
              <w:left w:val="nil"/>
              <w:bottom w:val="single" w:color="000000" w:sz="8" w:space="0"/>
              <w:right w:val="single" w:color="000000" w:sz="8" w:space="0"/>
            </w:tcBorders>
            <w:shd w:val="clear" w:color="auto" w:fill="auto"/>
            <w:vAlign w:val="center"/>
          </w:tcPr>
          <w:p w14:paraId="105EB4A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成交供应商应在评审结果确认后2个工作日内出具加盖公章的预算评审报告。</w:t>
            </w:r>
          </w:p>
        </w:tc>
        <w:tc>
          <w:tcPr>
            <w:tcW w:w="1407" w:type="dxa"/>
            <w:tcBorders>
              <w:top w:val="nil"/>
              <w:left w:val="nil"/>
              <w:bottom w:val="single" w:color="000000" w:sz="8" w:space="0"/>
              <w:right w:val="single" w:color="000000" w:sz="8" w:space="0"/>
            </w:tcBorders>
            <w:shd w:val="clear" w:color="auto" w:fill="auto"/>
            <w:vAlign w:val="center"/>
          </w:tcPr>
          <w:p w14:paraId="1AF03D1D">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48912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162C3D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w:t>
            </w:r>
          </w:p>
        </w:tc>
        <w:tc>
          <w:tcPr>
            <w:tcW w:w="1710" w:type="dxa"/>
            <w:tcBorders>
              <w:top w:val="nil"/>
              <w:left w:val="nil"/>
              <w:bottom w:val="single" w:color="000000" w:sz="8" w:space="0"/>
              <w:right w:val="single" w:color="000000" w:sz="8" w:space="0"/>
            </w:tcBorders>
            <w:shd w:val="clear" w:color="auto" w:fill="auto"/>
            <w:vAlign w:val="center"/>
          </w:tcPr>
          <w:p w14:paraId="75CAD5B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争议处理</w:t>
            </w:r>
          </w:p>
        </w:tc>
        <w:tc>
          <w:tcPr>
            <w:tcW w:w="4173" w:type="dxa"/>
            <w:tcBorders>
              <w:top w:val="nil"/>
              <w:left w:val="nil"/>
              <w:bottom w:val="single" w:color="000000" w:sz="8" w:space="0"/>
              <w:right w:val="single" w:color="000000" w:sz="8" w:space="0"/>
            </w:tcBorders>
            <w:shd w:val="clear" w:color="auto" w:fill="auto"/>
            <w:vAlign w:val="center"/>
          </w:tcPr>
          <w:p w14:paraId="76FCDED4">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对于争议较大的项目，复评环节应在初评专家组基础上适当增加专家参与评审。</w:t>
            </w:r>
          </w:p>
        </w:tc>
        <w:tc>
          <w:tcPr>
            <w:tcW w:w="1407" w:type="dxa"/>
            <w:tcBorders>
              <w:top w:val="nil"/>
              <w:left w:val="nil"/>
              <w:bottom w:val="single" w:color="000000" w:sz="8" w:space="0"/>
              <w:right w:val="single" w:color="000000" w:sz="8" w:space="0"/>
            </w:tcBorders>
            <w:shd w:val="clear" w:color="auto" w:fill="auto"/>
            <w:vAlign w:val="center"/>
          </w:tcPr>
          <w:p w14:paraId="043CECBC">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4BBFE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2BEE6891">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Style w:val="13"/>
                <w:rFonts w:hAnsi="宋体"/>
                <w:lang w:val="en-US" w:eastAsia="zh-CN" w:bidi="ar"/>
              </w:rPr>
              <w:t>（四）质量控制：</w:t>
            </w:r>
          </w:p>
        </w:tc>
      </w:tr>
      <w:tr w14:paraId="48CBC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DCA5C8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5EF9F0F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评审内容</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1BE774A0">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重点审核预算的合规性、合理性、经济性，其中延续性项目的评审应当将以前年度项目实施、验收以及评审等情况作为重要参考。</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0296C22F">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3551D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603903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10" w:type="dxa"/>
            <w:tcBorders>
              <w:top w:val="nil"/>
              <w:left w:val="nil"/>
              <w:bottom w:val="single" w:color="000000" w:sz="8" w:space="0"/>
              <w:right w:val="single" w:color="000000" w:sz="8" w:space="0"/>
            </w:tcBorders>
            <w:shd w:val="clear" w:color="auto" w:fill="auto"/>
            <w:vAlign w:val="center"/>
          </w:tcPr>
          <w:p w14:paraId="3815CE9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评审方法</w:t>
            </w:r>
          </w:p>
        </w:tc>
        <w:tc>
          <w:tcPr>
            <w:tcW w:w="4173" w:type="dxa"/>
            <w:tcBorders>
              <w:top w:val="nil"/>
              <w:left w:val="nil"/>
              <w:bottom w:val="single" w:color="000000" w:sz="8" w:space="0"/>
              <w:right w:val="single" w:color="000000" w:sz="8" w:space="0"/>
            </w:tcBorders>
            <w:shd w:val="clear" w:color="auto" w:fill="auto"/>
            <w:vAlign w:val="center"/>
          </w:tcPr>
          <w:p w14:paraId="7EC30D39">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依据税收经济政策和发展规划、年度工作计划和重点工作安排、税收信息化管理和财务管理制度文件等，综合运用政策评估、比较分析、工作量计算、功能点测算、成本效益分析、市场询价等方法实施评审。</w:t>
            </w:r>
          </w:p>
        </w:tc>
        <w:tc>
          <w:tcPr>
            <w:tcW w:w="1407" w:type="dxa"/>
            <w:tcBorders>
              <w:top w:val="nil"/>
              <w:left w:val="nil"/>
              <w:bottom w:val="single" w:color="000000" w:sz="8" w:space="0"/>
              <w:right w:val="single" w:color="000000" w:sz="8" w:space="0"/>
            </w:tcBorders>
            <w:shd w:val="clear" w:color="auto" w:fill="auto"/>
            <w:vAlign w:val="center"/>
          </w:tcPr>
          <w:p w14:paraId="22C96FC6">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7C554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455BCC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710" w:type="dxa"/>
            <w:tcBorders>
              <w:top w:val="nil"/>
              <w:left w:val="nil"/>
              <w:bottom w:val="single" w:color="000000" w:sz="8" w:space="0"/>
              <w:right w:val="single" w:color="000000" w:sz="8" w:space="0"/>
            </w:tcBorders>
            <w:shd w:val="clear" w:color="auto" w:fill="auto"/>
            <w:vAlign w:val="center"/>
          </w:tcPr>
          <w:p w14:paraId="38751D6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建议反馈</w:t>
            </w:r>
          </w:p>
        </w:tc>
        <w:tc>
          <w:tcPr>
            <w:tcW w:w="4173" w:type="dxa"/>
            <w:tcBorders>
              <w:top w:val="nil"/>
              <w:left w:val="nil"/>
              <w:bottom w:val="single" w:color="000000" w:sz="8" w:space="0"/>
              <w:right w:val="single" w:color="000000" w:sz="8" w:space="0"/>
            </w:tcBorders>
            <w:shd w:val="clear" w:color="auto" w:fill="auto"/>
            <w:vAlign w:val="center"/>
          </w:tcPr>
          <w:p w14:paraId="7893923C">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每年根据预算评审发现的问题，提出改进预算编制的意见建议。</w:t>
            </w:r>
          </w:p>
        </w:tc>
        <w:tc>
          <w:tcPr>
            <w:tcW w:w="1407" w:type="dxa"/>
            <w:tcBorders>
              <w:top w:val="nil"/>
              <w:left w:val="nil"/>
              <w:bottom w:val="single" w:color="000000" w:sz="8" w:space="0"/>
              <w:right w:val="single" w:color="000000" w:sz="8" w:space="0"/>
            </w:tcBorders>
            <w:shd w:val="clear" w:color="auto" w:fill="auto"/>
            <w:vAlign w:val="center"/>
          </w:tcPr>
          <w:p w14:paraId="14323BBC">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56DFA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02EF7D6A">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Style w:val="13"/>
                <w:rFonts w:hAnsi="宋体"/>
                <w:lang w:val="en-US" w:eastAsia="zh-CN" w:bidi="ar"/>
              </w:rPr>
              <w:t>（五）项目咨询：</w:t>
            </w:r>
          </w:p>
        </w:tc>
      </w:tr>
      <w:tr w14:paraId="6E1CF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3D57C3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41CF33D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政策咨询</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4A85EB58">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根据需要，对预算评审相关制度、流程等提出合理化建议，收到咨询服务任务后，应在2个工作日内予以响应，并按要求及时完成。</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5312DC51">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215A7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B6BEBB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10" w:type="dxa"/>
            <w:tcBorders>
              <w:top w:val="nil"/>
              <w:left w:val="nil"/>
              <w:bottom w:val="single" w:color="000000" w:sz="8" w:space="0"/>
              <w:right w:val="single" w:color="000000" w:sz="8" w:space="0"/>
            </w:tcBorders>
            <w:shd w:val="clear" w:color="auto" w:fill="auto"/>
            <w:vAlign w:val="center"/>
          </w:tcPr>
          <w:p w14:paraId="600E8E2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问题答疑</w:t>
            </w:r>
          </w:p>
        </w:tc>
        <w:tc>
          <w:tcPr>
            <w:tcW w:w="4173" w:type="dxa"/>
            <w:tcBorders>
              <w:top w:val="nil"/>
              <w:left w:val="nil"/>
              <w:bottom w:val="single" w:color="000000" w:sz="8" w:space="0"/>
              <w:right w:val="single" w:color="000000" w:sz="8" w:space="0"/>
            </w:tcBorders>
            <w:shd w:val="clear" w:color="auto" w:fill="auto"/>
            <w:vAlign w:val="center"/>
          </w:tcPr>
          <w:p w14:paraId="6E544A82">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根据工作需要针对采购人对信息化、服务类项目评审结果提出的相关问题进行答疑，应在1个工作日内予以响应，并按要求及时完成。</w:t>
            </w:r>
          </w:p>
        </w:tc>
        <w:tc>
          <w:tcPr>
            <w:tcW w:w="1407" w:type="dxa"/>
            <w:tcBorders>
              <w:top w:val="nil"/>
              <w:left w:val="nil"/>
              <w:bottom w:val="single" w:color="000000" w:sz="8" w:space="0"/>
              <w:right w:val="single" w:color="000000" w:sz="8" w:space="0"/>
            </w:tcBorders>
            <w:shd w:val="clear" w:color="auto" w:fill="auto"/>
            <w:vAlign w:val="center"/>
          </w:tcPr>
          <w:p w14:paraId="6FE1A329">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4F24D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0ADD8F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710" w:type="dxa"/>
            <w:tcBorders>
              <w:top w:val="nil"/>
              <w:left w:val="nil"/>
              <w:bottom w:val="single" w:color="000000" w:sz="8" w:space="0"/>
              <w:right w:val="single" w:color="000000" w:sz="8" w:space="0"/>
            </w:tcBorders>
            <w:shd w:val="clear" w:color="auto" w:fill="auto"/>
            <w:vAlign w:val="center"/>
          </w:tcPr>
          <w:p w14:paraId="3688C5E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辅导培训</w:t>
            </w:r>
          </w:p>
        </w:tc>
        <w:tc>
          <w:tcPr>
            <w:tcW w:w="4173" w:type="dxa"/>
            <w:tcBorders>
              <w:top w:val="nil"/>
              <w:left w:val="nil"/>
              <w:bottom w:val="single" w:color="000000" w:sz="8" w:space="0"/>
              <w:right w:val="single" w:color="000000" w:sz="8" w:space="0"/>
            </w:tcBorders>
            <w:shd w:val="clear" w:color="auto" w:fill="auto"/>
            <w:vAlign w:val="center"/>
          </w:tcPr>
          <w:p w14:paraId="32E64DF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根据掌握的服务类、信息化行业有关政策、技术标准、发展规划以及税收信息化特点、规律，每年至少协助开展1次信息化、服务类项目预算评审辅导培训。</w:t>
            </w:r>
          </w:p>
        </w:tc>
        <w:tc>
          <w:tcPr>
            <w:tcW w:w="1407" w:type="dxa"/>
            <w:tcBorders>
              <w:top w:val="nil"/>
              <w:left w:val="nil"/>
              <w:bottom w:val="single" w:color="000000" w:sz="8" w:space="0"/>
              <w:right w:val="single" w:color="000000" w:sz="8" w:space="0"/>
            </w:tcBorders>
            <w:shd w:val="clear" w:color="auto" w:fill="auto"/>
            <w:vAlign w:val="center"/>
          </w:tcPr>
          <w:p w14:paraId="274F6CD7">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r w14:paraId="5BE8B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70" w:type="dxa"/>
            <w:gridSpan w:val="4"/>
            <w:tcBorders>
              <w:top w:val="nil"/>
              <w:left w:val="single" w:color="000000" w:sz="8" w:space="0"/>
              <w:bottom w:val="single" w:color="000000" w:sz="8" w:space="0"/>
              <w:right w:val="single" w:color="000000" w:sz="8" w:space="0"/>
            </w:tcBorders>
            <w:shd w:val="clear" w:color="auto" w:fill="auto"/>
            <w:vAlign w:val="center"/>
          </w:tcPr>
          <w:p w14:paraId="48C98F66">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Style w:val="13"/>
                <w:rFonts w:hAnsi="宋体"/>
                <w:lang w:val="en-US" w:eastAsia="zh-CN" w:bidi="ar"/>
              </w:rPr>
              <w:t>（六）其他服务要求：</w:t>
            </w:r>
          </w:p>
        </w:tc>
      </w:tr>
      <w:tr w14:paraId="19E20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A702F3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10" w:type="dxa"/>
            <w:tcBorders>
              <w:top w:val="single" w:color="000000" w:sz="8" w:space="0"/>
              <w:left w:val="nil"/>
              <w:bottom w:val="single" w:color="000000" w:sz="8" w:space="0"/>
              <w:right w:val="single" w:color="000000" w:sz="8" w:space="0"/>
            </w:tcBorders>
            <w:shd w:val="clear" w:color="auto" w:fill="auto"/>
            <w:vAlign w:val="center"/>
          </w:tcPr>
          <w:p w14:paraId="4C80CAA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服务承诺</w:t>
            </w:r>
          </w:p>
        </w:tc>
        <w:tc>
          <w:tcPr>
            <w:tcW w:w="4173" w:type="dxa"/>
            <w:tcBorders>
              <w:top w:val="single" w:color="000000" w:sz="8" w:space="0"/>
              <w:left w:val="nil"/>
              <w:bottom w:val="single" w:color="000000" w:sz="8" w:space="0"/>
              <w:right w:val="single" w:color="000000" w:sz="8" w:space="0"/>
            </w:tcBorders>
            <w:shd w:val="clear" w:color="auto" w:fill="auto"/>
            <w:vAlign w:val="center"/>
          </w:tcPr>
          <w:p w14:paraId="1FF77E71">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承诺参与相关项目评审后，不得向采购人承揽设计、造价、招标代理、监理、审计等有利益关联关系的业务。</w:t>
            </w:r>
          </w:p>
        </w:tc>
        <w:tc>
          <w:tcPr>
            <w:tcW w:w="1407" w:type="dxa"/>
            <w:tcBorders>
              <w:top w:val="single" w:color="000000" w:sz="8" w:space="0"/>
              <w:left w:val="nil"/>
              <w:bottom w:val="single" w:color="000000" w:sz="8" w:space="0"/>
              <w:right w:val="single" w:color="000000" w:sz="8" w:space="0"/>
            </w:tcBorders>
            <w:shd w:val="clear" w:color="auto" w:fill="auto"/>
            <w:vAlign w:val="center"/>
          </w:tcPr>
          <w:p w14:paraId="60EFE390">
            <w:pPr>
              <w:keepNext w:val="0"/>
              <w:keepLines w:val="0"/>
              <w:widowControl/>
              <w:suppressLineNumbers w:val="0"/>
              <w:jc w:val="center"/>
              <w:textAlignment w:val="center"/>
              <w:rPr>
                <w:rFonts w:hint="default" w:ascii="仿宋_GB2312" w:hAnsi="宋体" w:eastAsia="仿宋_GB2312" w:cs="仿宋_GB2312"/>
                <w:i w:val="0"/>
                <w:iCs w:val="0"/>
                <w:color w:val="000000"/>
                <w:sz w:val="32"/>
                <w:szCs w:val="32"/>
                <w:u w:val="none"/>
              </w:rPr>
            </w:pPr>
            <w:r>
              <w:rPr>
                <w:rFonts w:hint="default" w:ascii="仿宋_GB2312" w:hAnsi="宋体" w:eastAsia="仿宋_GB2312" w:cs="仿宋_GB2312"/>
                <w:i w:val="0"/>
                <w:iCs w:val="0"/>
                <w:color w:val="000000"/>
                <w:kern w:val="0"/>
                <w:sz w:val="32"/>
                <w:szCs w:val="32"/>
                <w:u w:val="none"/>
                <w:lang w:val="en-US" w:eastAsia="zh-CN" w:bidi="ar"/>
              </w:rPr>
              <w:t>#</w:t>
            </w:r>
          </w:p>
        </w:tc>
      </w:tr>
    </w:tbl>
    <w:p w14:paraId="617D0536">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）履约验收要求</w:t>
      </w:r>
    </w:p>
    <w:p w14:paraId="32881E1A">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按照国家税务总局天津市滨海新区税务局有关规定进行验收。验收时，按照采购合同的约定对每个项目评审工作的履约情况进行确认。验收资料至少应包括项目评审报告、项目实施过程中要求提交的其他成果物。验收遵循客观公正、全面系统、严格标准、注重实效的原则，依据项目合同、技术标准及相关文件进行。验收通过后出具报告并办理交付；未通过的需整改并重新验收，重大问题及时上报。</w:t>
      </w:r>
    </w:p>
    <w:p w14:paraId="5A1990F2">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）保密要求</w:t>
      </w:r>
    </w:p>
    <w:p w14:paraId="26748E12">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服务商在参与采购过程中知悉的采购人的国家秘密、商业秘密、防伪措施及有关文件信息，均不得泄露或不正当地使用。成交供应商在服务期限内，未经许可，不得将任何采购人认为涉密的文档、印制技术资料、防伪措施、编码规则，向第三方和本单位无关的人员泄露或不正当地使用。如服务商违反此约定，应承担由此引起的诉讼和一切相关责任，并承担由此而给采购人造成的一切损失。成交供应商与采购人终止合同后，须将所有相关技术资料交回，生产专用物资在采购单位监督下销毁，所产生费用全部由成交供应商承担。</w:t>
      </w:r>
    </w:p>
    <w:p w14:paraId="106694F1">
      <w:pPr>
        <w:numPr>
          <w:ilvl w:val="0"/>
          <w:numId w:val="2"/>
        </w:num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知识产权要求</w:t>
      </w:r>
    </w:p>
    <w:p w14:paraId="1C3C603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2"/>
          <w:sz w:val="32"/>
          <w:szCs w:val="32"/>
          <w:lang w:val="en-US" w:eastAsia="zh-CN" w:bidi="ar-SA"/>
        </w:rPr>
        <w:t>本项目涉及的全部知识产权（包含但不限于项目资料、项目评估报告、专家意见）、相关权益，包括本项目相关的且为实施本项目而新形成的商业秘密信息、技术资料等，均归采购人所有。采购人将拥有其在本项目所从事的所有工作（包括各类纸质文档，电子文档及其它可交付物）中所包含的或与之相关的全部版权、专利权、商业秘密、商标权和其它知识产权以及所有权和其他权益。成交供应商应当保证其提交的可交付物及有关参与本项目的任何行为、活动以及本项目合同终止后的任何涉及本项目的任何行为，均不会侵犯任何第三方的知识产权。</w:t>
      </w:r>
    </w:p>
    <w:p w14:paraId="0CD74261">
      <w:pPr>
        <w:pStyle w:val="6"/>
        <w:suppressAutoHyphens/>
        <w:adjustRightInd w:val="0"/>
        <w:snapToGrid w:val="0"/>
        <w:spacing w:line="620" w:lineRule="exact"/>
        <w:ind w:firstLine="640" w:firstLineChars="200"/>
        <w:outlineLvl w:val="0"/>
        <w:rPr>
          <w:rFonts w:ascii="黑体" w:hAnsi="黑体" w:eastAsia="黑体"/>
          <w:sz w:val="32"/>
          <w:szCs w:val="32"/>
          <w:shd w:val="clear" w:color="auto" w:fill="FFFFFF"/>
        </w:rPr>
      </w:pPr>
      <w:r>
        <w:rPr>
          <w:rFonts w:hint="eastAsia" w:ascii="黑体" w:hAnsi="黑体" w:eastAsia="黑体"/>
          <w:sz w:val="32"/>
          <w:szCs w:val="32"/>
          <w:shd w:val="clear" w:color="auto" w:fill="FFFFFF"/>
        </w:rPr>
        <w:t>三、商务要求</w:t>
      </w:r>
    </w:p>
    <w:p w14:paraId="59BA7995">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（一）报价要求</w:t>
      </w:r>
    </w:p>
    <w:p w14:paraId="36CB65E0">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投标报价以单一项目预算的千分比报价，单个项目评审费用最低收费标准以人民币填列。一旦获得成交资格，所报收费比例不变，以实际评审项目预算金额据实结算。</w:t>
      </w:r>
    </w:p>
    <w:p w14:paraId="79E77084">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投标人的报价应包括：人员费用、服务费用、成果编制费用、管理费及税金等为完成采购文件规定的一切工作所需的全部费用。</w:t>
      </w:r>
    </w:p>
    <w:p w14:paraId="0B36982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（二）时间、地点要求：</w:t>
      </w:r>
    </w:p>
    <w:p w14:paraId="37A69DF0">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时间要求：合同规定的服务起始之日起一年（特殊情况以合同为准）。</w:t>
      </w:r>
    </w:p>
    <w:p w14:paraId="32142E56">
      <w:pPr>
        <w:spacing w:line="600" w:lineRule="exact"/>
        <w:ind w:firstLine="640" w:firstLineChars="200"/>
        <w:rPr>
          <w:rFonts w:hint="eastAsia" w:ascii="仿宋_GB2312" w:hAnsi="仿宋_GB2312" w:eastAsia="仿宋_GB2312" w:cs="仿宋_GB2312"/>
          <w:sz w:val="32"/>
          <w:szCs w:val="32"/>
          <w:lang w:val="en-US" w:eastAsia="zh-CN"/>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服务地点：天津市</w:t>
      </w:r>
      <w:r>
        <w:rPr>
          <w:rFonts w:hint="eastAsia" w:ascii="仿宋_GB2312" w:hAnsi="仿宋_GB2312" w:eastAsia="仿宋_GB2312" w:cs="仿宋_GB2312"/>
          <w:sz w:val="32"/>
          <w:szCs w:val="32"/>
          <w:lang w:eastAsia="zh-CN"/>
        </w:rPr>
        <w:t>滨海新区大连道</w:t>
      </w:r>
      <w:r>
        <w:rPr>
          <w:rFonts w:hint="eastAsia" w:ascii="仿宋_GB2312" w:hAnsi="仿宋_GB2312" w:eastAsia="仿宋_GB2312" w:cs="仿宋_GB2312"/>
          <w:sz w:val="32"/>
          <w:szCs w:val="32"/>
          <w:lang w:val="en-US" w:eastAsia="zh-CN"/>
        </w:rPr>
        <w:t>1428号</w:t>
      </w:r>
      <w:r>
        <w:rPr>
          <w:rFonts w:hint="eastAsia" w:ascii="仿宋_GB2312" w:hAnsi="仿宋_GB2312" w:eastAsia="仿宋_GB2312" w:cs="仿宋_GB2312"/>
          <w:sz w:val="32"/>
          <w:szCs w:val="32"/>
        </w:rPr>
        <w:t>（特殊情况以合同为准）。</w:t>
      </w:r>
    </w:p>
    <w:p w14:paraId="0AE08F8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（三）付款方式</w:t>
      </w:r>
    </w:p>
    <w:p w14:paraId="1B39290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每半年据实结算一次。对于初次审核未通过的项目，补充材料再次进行预算评审时，不再另行计费（特殊情况以合同为准）。</w:t>
      </w:r>
    </w:p>
    <w:p w14:paraId="2117E688">
      <w:pPr>
        <w:pStyle w:val="6"/>
        <w:numPr>
          <w:ilvl w:val="0"/>
          <w:numId w:val="3"/>
        </w:numPr>
        <w:suppressAutoHyphens/>
        <w:adjustRightInd w:val="0"/>
        <w:snapToGrid w:val="0"/>
        <w:spacing w:line="620" w:lineRule="exact"/>
        <w:ind w:firstLine="640" w:firstLineChars="200"/>
        <w:outlineLvl w:val="0"/>
        <w:rPr>
          <w:rFonts w:hint="eastAsia" w:ascii="黑体" w:hAnsi="黑体" w:eastAsia="黑体"/>
          <w:sz w:val="32"/>
          <w:szCs w:val="32"/>
          <w:shd w:val="clear" w:color="auto" w:fill="FFFFFF"/>
          <w:lang w:eastAsia="zh-CN"/>
        </w:rPr>
      </w:pPr>
      <w:r>
        <w:rPr>
          <w:rFonts w:hint="eastAsia" w:ascii="黑体" w:hAnsi="黑体" w:eastAsia="黑体"/>
          <w:sz w:val="32"/>
          <w:szCs w:val="32"/>
          <w:shd w:val="clear" w:color="auto" w:fill="FFFFFF"/>
          <w:lang w:eastAsia="zh-CN"/>
        </w:rPr>
        <w:t>评审方法</w:t>
      </w:r>
    </w:p>
    <w:p w14:paraId="371E3CC4">
      <w:pPr>
        <w:pStyle w:val="6"/>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62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（一）评审概述</w:t>
      </w:r>
    </w:p>
    <w:p w14:paraId="7710705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采购人将组建评审小组。评审小组将按照采购文件要求对供应商应答文件进行评审。</w:t>
      </w:r>
    </w:p>
    <w:p w14:paraId="6DDBB86D">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（二）应答文件的有效性、完整性和响应程度审查</w:t>
      </w:r>
    </w:p>
    <w:p w14:paraId="2336F75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评审小组将审查每份应答文件是否实质上响应了采购文件的要求，如果有效性、完整性和响应程度任何一项不合格，按无效应答文件处理。</w:t>
      </w:r>
    </w:p>
    <w:p w14:paraId="395AF62B">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（三）成交候选人</w:t>
      </w:r>
    </w:p>
    <w:p w14:paraId="43D44808">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rPr>
        <w:t>评审小组从质量和服务均能满足采购文件实质性响应要求的供应商中，按照</w:t>
      </w:r>
      <w:r>
        <w:rPr>
          <w:rFonts w:hint="eastAsia" w:ascii="仿宋_GB2312" w:hAnsi="仿宋_GB2312" w:eastAsia="仿宋_GB2312" w:cs="仿宋_GB2312"/>
          <w:color w:val="auto"/>
          <w:sz w:val="32"/>
          <w:szCs w:val="32"/>
          <w:lang w:eastAsia="zh-CN"/>
        </w:rPr>
        <w:t>综合得分</w:t>
      </w:r>
      <w:r>
        <w:rPr>
          <w:rFonts w:hint="eastAsia" w:ascii="仿宋_GB2312" w:hAnsi="仿宋_GB2312" w:eastAsia="仿宋_GB2312" w:cs="仿宋_GB2312"/>
          <w:color w:val="auto"/>
          <w:sz w:val="32"/>
          <w:szCs w:val="32"/>
        </w:rPr>
        <w:t>由高到低的顺序提出成交候选人。</w:t>
      </w:r>
      <w:r>
        <w:rPr>
          <w:rFonts w:hint="eastAsia" w:ascii="仿宋_GB2312" w:hAnsi="仿宋_GB2312" w:eastAsia="仿宋_GB2312" w:cs="仿宋_GB2312"/>
          <w:sz w:val="32"/>
          <w:szCs w:val="32"/>
        </w:rPr>
        <w:t>评分因素及评</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标准</w:t>
      </w:r>
      <w:r>
        <w:rPr>
          <w:rFonts w:hint="eastAsia" w:ascii="仿宋_GB2312" w:hAnsi="仿宋_GB2312" w:eastAsia="仿宋_GB2312" w:cs="仿宋_GB2312"/>
          <w:sz w:val="32"/>
          <w:szCs w:val="32"/>
          <w:lang w:eastAsia="zh-CN"/>
        </w:rPr>
        <w:t>如下表：</w:t>
      </w:r>
    </w:p>
    <w:p w14:paraId="0A82B53B">
      <w:pPr>
        <w:pStyle w:val="2"/>
        <w:numPr>
          <w:ilvl w:val="0"/>
          <w:numId w:val="0"/>
        </w:numPr>
        <w:rPr>
          <w:rFonts w:hint="eastAsia"/>
          <w:lang w:eastAsia="zh-CN"/>
        </w:rPr>
      </w:pPr>
    </w:p>
    <w:tbl>
      <w:tblPr>
        <w:tblStyle w:val="8"/>
        <w:tblW w:w="8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7"/>
        <w:gridCol w:w="2196"/>
        <w:gridCol w:w="4219"/>
        <w:gridCol w:w="1053"/>
      </w:tblGrid>
      <w:tr w14:paraId="6D0FE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FAA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060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评审因素</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AE8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588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r>
      <w:tr w14:paraId="6DA9A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D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BD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价格</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2B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得分S＝（Pmin/P）×10，其中：Pmin为所有供应商的最低有效报价，P为供应商有效报价。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分为两部分：一是基本费率，按照单一项目预算的千分比报价，例5‰，此部分费率得分占投标报价得分的80%；二是最低收费标准，按照单个项目评审费用最低收费标准报价，例5000元/个，此部分费率得分占投标报价得分的20%。即：P=基本费率×80%+最低收费标准×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4D5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3CA5C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7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92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投标人业绩</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B9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完全按照以下要求提供投标人曾实施信息化类项目预算评审服务业绩，提供的证明材料均不得遮挡涂黑，否则不予认定加分。提供合同原件扫描件。包括买卖双方名称及盖章、服务内容、合同签订日期（应为2023年1月1日或以后）。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每个业绩1分，最多5分。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（2）完全按照以下要求提供投标人曾实施服务类项目预算评审服务业绩，提供的证明材料均不得遮挡涂黑，否则不予认定加分。 </w:t>
            </w:r>
            <w:bookmarkStart w:id="10" w:name="_GoBack"/>
            <w:bookmarkEnd w:id="10"/>
            <w:r>
              <w:rPr>
                <w:rFonts w:hint="eastAsia" w:ascii="宋体" w:hAnsi="宋体" w:eastAsia="宋体" w:cs="宋体"/>
                <w:i w:val="0"/>
                <w:iCs w:val="0"/>
                <w:color w:val="000000"/>
                <w:kern w:val="0"/>
                <w:sz w:val="22"/>
                <w:szCs w:val="22"/>
                <w:u w:val="none"/>
                <w:lang w:val="en-US" w:eastAsia="zh-CN" w:bidi="ar"/>
              </w:rPr>
              <w:t xml:space="preserve">提供合同原件扫描件。包括买卖双方名称及盖章、服务内容、合同签订日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期（应为2023年1月1日或以后）。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每个业绩1分，最多5分。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0A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14B3C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3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F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投入人员评价</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62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（1）项目经理具备注册会计师证书或工程咨询（投资）专业技术人员职业资格证书（或注册咨询工程师（投资）证书），提供以上合格的证书扫描件，满足以上要求的项目经理得2分，其他0分；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2）提供项目经理用户服务证明扫描件（加盖用户单位公章），用户服务证明能表明该项目经理近3年（2023年1月1日算起）在信息化或服务类项目预算评审成功案例中担任过项目经理。投入的项目经理每成功实施过1个上述项目1分，最多2分；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（3）项目人员（不含项目经理）具备注册会计师证书，提供合格的证书扫描件，每个满足以上要求的人员得2分，最多8分。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8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65D9D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8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4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满足指标要求情况</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E8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采购文件第二项采购需求中：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★代表最关键指标项，不满足该指标项将导致响应被拒绝；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#代表重要指标项，满足或优于该指标项得2分，共计14项，共28分；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对于同一指标项中的多条（行）描述，有一条（行）描述不满足，该项不得分。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3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FACB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22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E1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项目需求理解</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E1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根据供应商对工作任务、工作目标，以及重点、难点等内容理解分析是否全面、准确、详细等进行打分。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——对项目需求理解全面、准确、阐述的内容针对性强、详细、透彻且有独到的思考和分析，得10分；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——对项目需求理解到位，阐述的内容有一定的分析但不够详尽，得7分；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——对项目需求基本理解，阐述的内容简单重复（响应）采购需求，得4分；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——对项目需求不理解或理解错误，以及未提供需求理解的，得0分。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E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1AA46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EA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5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进度和质量保证方案</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0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根据方案中关于通过制定进度和质量控制措施，促使送审项目按期完成评审，并确保结果科学合理等工作内容的响应情况是否完整、详细、具有可操作性等进行打分。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——方案内容完整、详细、可操作性强，阐述的内容针对性强、具体、透彻，能结合项目特点制定方案，得10分；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——方案内容完整，有具体措施描述，但操作性和针对性不够强，得7分；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——方案内容仅简单重复（响应）采购需求，得4分；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——方案内容不完整、不能满足采购需求、不可行的，以及未提供方案的，得0分。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6A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3AA9F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4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4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组织协调和风险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管理方案</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20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根据采购文件关于评审过程的统筹组织协调，风险管理措施与流程等工作内容的响应情况是否完整、详细、具有可操作性等进行打分。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——方案内容完整、详细、可操作性强，阐述的内容针对性强、具体、透彻，能结合项目特点制定方案，得10分；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——方案内容完整，有具体措施描述，但操作性和针对性不够强，得7分；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——方案内容仅简单重复（响应）采购需求，得4分；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——方案内容不完整、不能满足采购需求、不可行的，以及未提供方案的，得0分。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1F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5722C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F7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F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保密方案</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FB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根据方案中关于提供的相关服务是否严格落实保密要求等工作内容的响应情况是否完整、详细、具有可操作性等进行打分。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——方案内容完整、详细、可操作性强，阐述的内容针对性强、具体、透彻，能结合项目特点制定方案，得10分；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——方案内容完整，有具体措施描述，但操作性和针对性不够强，得7分；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——方案内容仅简单重复（响应）采购需求，得4分；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——方案内容不完整、不能满足采购需求、不可行的，以及未提供方案的，得0分。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03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bl>
    <w:p w14:paraId="070A3140">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（四）确定成交供应商</w:t>
      </w:r>
    </w:p>
    <w:p w14:paraId="6FCD0EEE">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在评审报告提出的成交候选人中，根据质量和服务均能满足采购文件实质性响应要求</w:t>
      </w:r>
      <w:r>
        <w:rPr>
          <w:rFonts w:hint="eastAsia" w:ascii="仿宋_GB2312" w:hAnsi="仿宋_GB2312" w:eastAsia="仿宋_GB2312" w:cs="仿宋_GB2312"/>
          <w:color w:val="auto"/>
          <w:sz w:val="32"/>
          <w:szCs w:val="32"/>
          <w:lang w:eastAsia="zh-CN"/>
        </w:rPr>
        <w:t>，按照综合评选、择优采购</w:t>
      </w:r>
      <w:r>
        <w:rPr>
          <w:rFonts w:hint="eastAsia" w:ascii="仿宋_GB2312" w:hAnsi="仿宋_GB2312" w:eastAsia="仿宋_GB2312" w:cs="仿宋_GB2312"/>
          <w:color w:val="auto"/>
          <w:sz w:val="32"/>
          <w:szCs w:val="32"/>
        </w:rPr>
        <w:t>原则确定成交供应商。</w:t>
      </w:r>
    </w:p>
    <w:p w14:paraId="6A8197C6">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（五）评审过程的保密</w:t>
      </w:r>
    </w:p>
    <w:p w14:paraId="7F42071D">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无论何时，凡与审查、澄清、评价、比较和应答文件有关的资料以及授予合同的意向等，任何人均不得向供应商及其他人员透露。</w:t>
      </w:r>
    </w:p>
    <w:p w14:paraId="46949605">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（六）成交通知</w:t>
      </w:r>
    </w:p>
    <w:p w14:paraId="40F2C74B">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采购人确定成交供应商后，在天津市</w:t>
      </w:r>
      <w:r>
        <w:rPr>
          <w:rFonts w:hint="eastAsia" w:ascii="仿宋_GB2312" w:hAnsi="仿宋_GB2312" w:eastAsia="仿宋_GB2312" w:cs="仿宋_GB2312"/>
          <w:color w:val="auto"/>
          <w:sz w:val="32"/>
          <w:szCs w:val="32"/>
          <w:lang w:eastAsia="zh-CN"/>
        </w:rPr>
        <w:t>滨海新区</w:t>
      </w:r>
      <w:r>
        <w:rPr>
          <w:rFonts w:hint="eastAsia" w:ascii="仿宋_GB2312" w:hAnsi="仿宋_GB2312" w:eastAsia="仿宋_GB2312" w:cs="仿宋_GB2312"/>
          <w:color w:val="auto"/>
          <w:sz w:val="32"/>
          <w:szCs w:val="32"/>
        </w:rPr>
        <w:t>税务局官网“信息公开”栏“通知公告”上公告成交结果，同时将以书面形式向成交供应商发出成交通知书。</w:t>
      </w:r>
    </w:p>
    <w:p w14:paraId="17A50D32">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（七）签署合同</w:t>
      </w:r>
    </w:p>
    <w:p w14:paraId="07DDB38A">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采购人依法与成交供应商签署合同。</w:t>
      </w:r>
    </w:p>
    <w:p w14:paraId="6952C4B7">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br w:type="page"/>
      </w:r>
    </w:p>
    <w:p w14:paraId="1070434D">
      <w:pPr>
        <w:pStyle w:val="6"/>
        <w:numPr>
          <w:ilvl w:val="0"/>
          <w:numId w:val="3"/>
        </w:numPr>
        <w:suppressAutoHyphens/>
        <w:adjustRightInd w:val="0"/>
        <w:snapToGrid w:val="0"/>
        <w:spacing w:line="620" w:lineRule="exact"/>
        <w:ind w:firstLine="640" w:firstLineChars="200"/>
        <w:outlineLvl w:val="0"/>
        <w:rPr>
          <w:rFonts w:hint="eastAsia" w:ascii="黑体" w:hAnsi="黑体" w:eastAsia="黑体"/>
          <w:sz w:val="32"/>
          <w:szCs w:val="32"/>
          <w:shd w:val="clear" w:color="auto" w:fill="FFFFFF"/>
          <w:lang w:eastAsia="zh-CN"/>
        </w:rPr>
      </w:pPr>
      <w:r>
        <w:rPr>
          <w:rFonts w:hint="eastAsia" w:ascii="黑体" w:hAnsi="黑体" w:eastAsia="黑体"/>
          <w:sz w:val="32"/>
          <w:szCs w:val="32"/>
          <w:shd w:val="clear" w:color="auto" w:fill="FFFFFF"/>
          <w:lang w:eastAsia="zh-CN"/>
        </w:rPr>
        <w:t>应答文件格式</w:t>
      </w:r>
    </w:p>
    <w:p w14:paraId="720CC9B3">
      <w:pPr>
        <w:pStyle w:val="6"/>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14:paraId="0A16DB79">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14:paraId="32A0BCC7">
      <w:pPr>
        <w:pStyle w:val="6"/>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14:paraId="27175B27">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75F1F65E">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4E87BAE6">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14:paraId="592DBEB0">
      <w:pPr>
        <w:autoSpaceDE w:val="0"/>
        <w:autoSpaceDN w:val="0"/>
        <w:adjustRightInd w:val="0"/>
        <w:spacing w:line="520" w:lineRule="exact"/>
        <w:rPr>
          <w:b/>
          <w:color w:val="000000"/>
          <w:kern w:val="0"/>
          <w:sz w:val="36"/>
          <w:szCs w:val="36"/>
        </w:rPr>
      </w:pPr>
    </w:p>
    <w:p w14:paraId="6ADAB941">
      <w:pPr>
        <w:autoSpaceDE w:val="0"/>
        <w:autoSpaceDN w:val="0"/>
        <w:adjustRightInd w:val="0"/>
        <w:spacing w:line="520" w:lineRule="exact"/>
        <w:jc w:val="center"/>
        <w:rPr>
          <w:b/>
          <w:color w:val="000000"/>
          <w:kern w:val="0"/>
          <w:sz w:val="24"/>
        </w:rPr>
      </w:pPr>
      <w:r>
        <w:rPr>
          <w:b/>
          <w:color w:val="000000"/>
          <w:kern w:val="0"/>
          <w:sz w:val="24"/>
        </w:rPr>
        <w:t>（加盖签章）</w:t>
      </w:r>
    </w:p>
    <w:p w14:paraId="4D6C3DF5">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14:paraId="6624DFF9">
      <w:pPr>
        <w:spacing w:before="93" w:beforeLines="30" w:after="218" w:afterLines="70" w:line="540" w:lineRule="exact"/>
        <w:ind w:left="630" w:leftChars="300"/>
        <w:rPr>
          <w:b/>
          <w:color w:val="000000"/>
          <w:sz w:val="34"/>
          <w:szCs w:val="34"/>
        </w:rPr>
      </w:pPr>
      <w:r>
        <w:rPr>
          <w:b/>
          <w:color w:val="000000"/>
          <w:sz w:val="34"/>
          <w:szCs w:val="34"/>
        </w:rPr>
        <w:t>单位名称：</w:t>
      </w:r>
    </w:p>
    <w:p w14:paraId="42CD3A21">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14:paraId="3F4978B8">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14:paraId="51B73325">
      <w:pPr>
        <w:rPr>
          <w:rFonts w:hint="eastAsia"/>
          <w:b/>
          <w:bCs/>
          <w:color w:val="000000"/>
          <w:sz w:val="24"/>
          <w:lang w:val="en-US" w:eastAsia="zh-CN"/>
        </w:rPr>
      </w:pPr>
      <w:r>
        <w:rPr>
          <w:rFonts w:hint="eastAsia"/>
          <w:b/>
          <w:bCs/>
          <w:color w:val="000000"/>
          <w:sz w:val="24"/>
          <w:lang w:val="en-US" w:eastAsia="zh-CN"/>
        </w:rPr>
        <w:br w:type="page"/>
      </w:r>
    </w:p>
    <w:p w14:paraId="005E0B91">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4ACF0E63">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27CD5CF6">
      <w:pPr>
        <w:widowControl/>
        <w:jc w:val="center"/>
        <w:rPr>
          <w:b/>
          <w:color w:val="000000"/>
          <w:sz w:val="24"/>
        </w:rPr>
      </w:pPr>
    </w:p>
    <w:p w14:paraId="4B9BC4E1">
      <w:pPr>
        <w:pStyle w:val="6"/>
        <w:bidi w:val="0"/>
        <w:rPr>
          <w:rFonts w:hint="default"/>
          <w:lang w:val="en-US" w:eastAsia="zh-CN"/>
        </w:rPr>
      </w:pPr>
    </w:p>
    <w:p w14:paraId="45E42549">
      <w:pPr>
        <w:pStyle w:val="5"/>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4ACE16FA">
      <w:pPr>
        <w:bidi w:val="0"/>
        <w:rPr>
          <w:rFonts w:hint="eastAsia"/>
        </w:rPr>
      </w:pPr>
    </w:p>
    <w:p w14:paraId="31D8C1AE">
      <w:pPr>
        <w:bidi w:val="0"/>
        <w:rPr>
          <w:rFonts w:hint="eastAsia"/>
        </w:rPr>
      </w:pPr>
    </w:p>
    <w:p w14:paraId="4A504261">
      <w:pPr>
        <w:bidi w:val="0"/>
        <w:rPr>
          <w:rFonts w:hint="eastAsia"/>
        </w:rPr>
      </w:pPr>
    </w:p>
    <w:p w14:paraId="2CB4C3E7">
      <w:pPr>
        <w:bidi w:val="0"/>
        <w:rPr>
          <w:rFonts w:hint="eastAsia"/>
        </w:rPr>
      </w:pPr>
    </w:p>
    <w:p w14:paraId="69F3E409">
      <w:pPr>
        <w:bidi w:val="0"/>
        <w:rPr>
          <w:rFonts w:hint="eastAsia"/>
        </w:rPr>
      </w:pPr>
    </w:p>
    <w:p w14:paraId="05DB1624">
      <w:pPr>
        <w:bidi w:val="0"/>
        <w:rPr>
          <w:rFonts w:hint="eastAsia"/>
        </w:rPr>
      </w:pPr>
    </w:p>
    <w:p w14:paraId="37417AC3">
      <w:pPr>
        <w:bidi w:val="0"/>
        <w:rPr>
          <w:rFonts w:hint="eastAsia"/>
        </w:rPr>
      </w:pPr>
    </w:p>
    <w:p w14:paraId="2B26FBD2">
      <w:pPr>
        <w:bidi w:val="0"/>
        <w:rPr>
          <w:rFonts w:hint="eastAsia"/>
        </w:rPr>
      </w:pPr>
    </w:p>
    <w:p w14:paraId="599B3FA9">
      <w:pPr>
        <w:bidi w:val="0"/>
        <w:rPr>
          <w:rFonts w:hint="eastAsia"/>
        </w:rPr>
      </w:pPr>
    </w:p>
    <w:p w14:paraId="66F77313">
      <w:pPr>
        <w:bidi w:val="0"/>
        <w:rPr>
          <w:rFonts w:hint="eastAsia"/>
        </w:rPr>
      </w:pPr>
    </w:p>
    <w:p w14:paraId="67632CCB">
      <w:pPr>
        <w:bidi w:val="0"/>
        <w:rPr>
          <w:rFonts w:hint="eastAsia"/>
        </w:rPr>
      </w:pPr>
    </w:p>
    <w:p w14:paraId="15FAD547">
      <w:pPr>
        <w:bidi w:val="0"/>
        <w:rPr>
          <w:rFonts w:hint="eastAsia"/>
        </w:rPr>
      </w:pPr>
    </w:p>
    <w:p w14:paraId="7ABD3C89">
      <w:pPr>
        <w:bidi w:val="0"/>
        <w:rPr>
          <w:rFonts w:hint="eastAsia"/>
        </w:rPr>
      </w:pPr>
    </w:p>
    <w:p w14:paraId="045D660B">
      <w:pPr>
        <w:bidi w:val="0"/>
        <w:rPr>
          <w:rFonts w:hint="eastAsia"/>
        </w:rPr>
      </w:pPr>
    </w:p>
    <w:p w14:paraId="5A289761">
      <w:pPr>
        <w:pStyle w:val="2"/>
        <w:numPr>
          <w:ilvl w:val="0"/>
          <w:numId w:val="0"/>
        </w:numPr>
        <w:rPr>
          <w:rFonts w:hint="eastAsia"/>
        </w:rPr>
      </w:pPr>
    </w:p>
    <w:p w14:paraId="12ADFA33">
      <w:pPr>
        <w:pStyle w:val="4"/>
        <w:rPr>
          <w:rFonts w:hint="eastAsia"/>
        </w:rPr>
      </w:pPr>
    </w:p>
    <w:p w14:paraId="3824F81F">
      <w:pPr>
        <w:pStyle w:val="4"/>
        <w:rPr>
          <w:rFonts w:hint="eastAsia"/>
        </w:rPr>
      </w:pPr>
    </w:p>
    <w:p w14:paraId="207E101B">
      <w:pPr>
        <w:pStyle w:val="4"/>
        <w:rPr>
          <w:rFonts w:hint="eastAsia"/>
        </w:rPr>
      </w:pPr>
    </w:p>
    <w:p w14:paraId="010768AA">
      <w:pPr>
        <w:pStyle w:val="4"/>
        <w:rPr>
          <w:rFonts w:hint="eastAsia"/>
        </w:rPr>
      </w:pPr>
    </w:p>
    <w:p w14:paraId="0A2599DE">
      <w:pPr>
        <w:pStyle w:val="4"/>
        <w:rPr>
          <w:rFonts w:hint="eastAsia"/>
        </w:rPr>
      </w:pPr>
    </w:p>
    <w:p w14:paraId="5C329A67">
      <w:pPr>
        <w:pStyle w:val="4"/>
        <w:rPr>
          <w:rFonts w:hint="eastAsia"/>
        </w:rPr>
      </w:pPr>
    </w:p>
    <w:p w14:paraId="1DE31367">
      <w:pPr>
        <w:pStyle w:val="4"/>
        <w:rPr>
          <w:rFonts w:hint="eastAsia"/>
        </w:rPr>
      </w:pPr>
    </w:p>
    <w:p w14:paraId="56E8A2C5">
      <w:pPr>
        <w:pStyle w:val="4"/>
        <w:rPr>
          <w:rFonts w:hint="eastAsia"/>
        </w:rPr>
      </w:pPr>
    </w:p>
    <w:p w14:paraId="3CBEDB2F">
      <w:pPr>
        <w:pStyle w:val="4"/>
        <w:rPr>
          <w:rFonts w:hint="eastAsia"/>
        </w:rPr>
      </w:pPr>
    </w:p>
    <w:p w14:paraId="1694368C">
      <w:pPr>
        <w:bidi w:val="0"/>
        <w:rPr>
          <w:rFonts w:hint="eastAsia"/>
        </w:rPr>
      </w:pPr>
    </w:p>
    <w:p w14:paraId="45889C53">
      <w:pPr>
        <w:bidi w:val="0"/>
        <w:rPr>
          <w:rFonts w:hint="eastAsia"/>
        </w:rPr>
      </w:pPr>
    </w:p>
    <w:p w14:paraId="443C116A">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14:paraId="6EAECF08">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天津市滨海新区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14:paraId="2C3228E2">
      <w:pPr>
        <w:spacing w:line="360" w:lineRule="auto"/>
        <w:ind w:firstLine="420"/>
        <w:rPr>
          <w:rFonts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 xml:space="preserve">   </w:t>
      </w:r>
      <w:r>
        <w:rPr>
          <w:rFonts w:hint="eastAsia" w:ascii="宋体" w:hAnsi="宋体" w:cs="宋体"/>
          <w:sz w:val="24"/>
          <w:szCs w:val="24"/>
          <w:u w:val="single"/>
        </w:rPr>
        <w:t>国家税务总局天津市滨海新区税务局信息化、服务类项目预算评审项目</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eastAsia="zh-CN"/>
        </w:rPr>
        <w:t>报价响应</w:t>
      </w:r>
      <w:r>
        <w:rPr>
          <w:rFonts w:hint="eastAsia" w:ascii="宋体" w:hAnsi="宋体" w:eastAsia="宋体" w:cs="宋体"/>
          <w:sz w:val="24"/>
          <w:szCs w:val="24"/>
        </w:rPr>
        <w:t>邀请，签字代表（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）经正式授权并代表参加人（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）提交</w:t>
      </w:r>
      <w:r>
        <w:rPr>
          <w:rFonts w:hint="eastAsia" w:ascii="宋体" w:hAnsi="宋体" w:cs="宋体"/>
          <w:sz w:val="24"/>
          <w:szCs w:val="24"/>
          <w:lang w:eastAsia="zh-CN"/>
        </w:rPr>
        <w:t>应答文件</w:t>
      </w:r>
      <w:r>
        <w:rPr>
          <w:rFonts w:hint="eastAsia" w:ascii="宋体" w:hAnsi="宋体" w:eastAsia="宋体" w:cs="宋体"/>
          <w:sz w:val="24"/>
          <w:szCs w:val="24"/>
        </w:rPr>
        <w:t>一式三份。</w:t>
      </w:r>
    </w:p>
    <w:p w14:paraId="5B154D70">
      <w:pPr>
        <w:spacing w:line="360" w:lineRule="auto"/>
        <w:ind w:firstLine="420"/>
        <w:rPr>
          <w:rFonts w:ascii="宋体" w:hAnsi="宋体" w:eastAsia="宋体" w:cs="宋体"/>
          <w:sz w:val="24"/>
          <w:szCs w:val="24"/>
        </w:rPr>
      </w:pPr>
      <w:r>
        <w:rPr>
          <w:rFonts w:hint="eastAsia" w:ascii="宋体" w:hAnsi="宋体" w:eastAsia="宋体" w:cs="宋体"/>
          <w:sz w:val="24"/>
          <w:szCs w:val="24"/>
        </w:rPr>
        <w:t>一、我方同意在本项目采购文件中规定的递交应答</w:t>
      </w:r>
      <w:r>
        <w:rPr>
          <w:rFonts w:hint="eastAsia" w:ascii="宋体" w:hAnsi="宋体" w:cs="宋体"/>
          <w:sz w:val="24"/>
          <w:szCs w:val="24"/>
          <w:lang w:eastAsia="zh-CN"/>
        </w:rPr>
        <w:t>文件</w:t>
      </w:r>
      <w:r>
        <w:rPr>
          <w:rFonts w:hint="eastAsia" w:ascii="宋体" w:hAnsi="宋体" w:eastAsia="宋体" w:cs="宋体"/>
          <w:sz w:val="24"/>
          <w:szCs w:val="24"/>
        </w:rPr>
        <w:t>截止时间起90天内遵守本应答报告书中的承诺且在此期限期满之前均具有约束力。</w:t>
      </w:r>
    </w:p>
    <w:p w14:paraId="0DB16753">
      <w:pPr>
        <w:spacing w:line="360" w:lineRule="auto"/>
        <w:ind w:firstLine="420"/>
        <w:rPr>
          <w:rFonts w:ascii="宋体" w:hAnsi="宋体" w:eastAsia="宋体" w:cs="宋体"/>
          <w:sz w:val="24"/>
          <w:szCs w:val="24"/>
        </w:rPr>
      </w:pPr>
      <w:r>
        <w:rPr>
          <w:rFonts w:hint="eastAsia" w:ascii="宋体" w:hAnsi="宋体" w:eastAsia="宋体" w:cs="宋体"/>
          <w:sz w:val="24"/>
          <w:szCs w:val="24"/>
        </w:rPr>
        <w:t>二、我方承诺提交应答报告书截止时间前三年内；</w:t>
      </w:r>
    </w:p>
    <w:p w14:paraId="63991C48">
      <w:pPr>
        <w:spacing w:line="360" w:lineRule="auto"/>
        <w:ind w:firstLine="420"/>
        <w:rPr>
          <w:rFonts w:ascii="宋体" w:hAnsi="宋体" w:eastAsia="宋体" w:cs="宋体"/>
          <w:sz w:val="24"/>
          <w:szCs w:val="24"/>
        </w:rPr>
      </w:pPr>
      <w:r>
        <w:rPr>
          <w:rFonts w:hint="eastAsia" w:ascii="宋体" w:hAnsi="宋体" w:eastAsia="宋体" w:cs="宋体"/>
          <w:sz w:val="24"/>
          <w:szCs w:val="24"/>
        </w:rPr>
        <w:t>（一）我方依法缴纳了各项税费及各项社会保障资金，没有偷税、漏税及欠缴行为。</w:t>
      </w:r>
    </w:p>
    <w:p w14:paraId="022A6560">
      <w:pPr>
        <w:spacing w:line="360" w:lineRule="auto"/>
        <w:ind w:firstLine="420"/>
        <w:rPr>
          <w:rFonts w:ascii="宋体" w:hAnsi="宋体" w:eastAsia="宋体" w:cs="宋体"/>
          <w:sz w:val="24"/>
          <w:szCs w:val="24"/>
        </w:rPr>
      </w:pPr>
      <w:r>
        <w:rPr>
          <w:rFonts w:hint="eastAsia" w:ascii="宋体" w:hAnsi="宋体" w:eastAsia="宋体" w:cs="宋体"/>
          <w:sz w:val="24"/>
          <w:szCs w:val="24"/>
        </w:rPr>
        <w:t>（二）我方在经营活动中没有存在因违法经营受到刑事处罚或者责令停产停业、吊销许可证或者执照、较大数额罚款等行政处罚。</w:t>
      </w:r>
    </w:p>
    <w:p w14:paraId="49BE3DE8">
      <w:pPr>
        <w:spacing w:line="360" w:lineRule="auto"/>
        <w:ind w:firstLine="420"/>
        <w:rPr>
          <w:rFonts w:ascii="宋体" w:hAnsi="宋体" w:eastAsia="宋体" w:cs="宋体"/>
          <w:sz w:val="24"/>
          <w:szCs w:val="24"/>
        </w:rPr>
      </w:pPr>
      <w:r>
        <w:rPr>
          <w:rFonts w:hint="eastAsia" w:ascii="宋体" w:hAnsi="宋体" w:eastAsia="宋体" w:cs="宋体"/>
          <w:sz w:val="24"/>
          <w:szCs w:val="24"/>
        </w:rPr>
        <w:t>三、我方已详细审核全部采购文件，包括采购文件修改文件、参考资料及有关附件，确认无误。我方承诺接受采购文件中的全部条款且无任何异议。</w:t>
      </w:r>
    </w:p>
    <w:p w14:paraId="0FCEFB4E">
      <w:pPr>
        <w:spacing w:line="360" w:lineRule="auto"/>
        <w:ind w:firstLine="420"/>
        <w:rPr>
          <w:rFonts w:ascii="宋体" w:hAnsi="宋体" w:eastAsia="宋体" w:cs="宋体"/>
          <w:sz w:val="24"/>
          <w:szCs w:val="24"/>
        </w:rPr>
      </w:pPr>
      <w:r>
        <w:rPr>
          <w:rFonts w:hint="eastAsia" w:ascii="宋体" w:hAnsi="宋体" w:eastAsia="宋体" w:cs="宋体"/>
          <w:sz w:val="24"/>
          <w:szCs w:val="24"/>
        </w:rPr>
        <w:t>四、我方保证应答报告书提供的数据和材料是真实、合法的。我方愿意向贵方提供任何与本项采购有关的数据、情况和技术资料。若贵方需要，我方愿意提供我方作出的一切承诺的证明材料。</w:t>
      </w:r>
    </w:p>
    <w:p w14:paraId="2177FE17">
      <w:pPr>
        <w:spacing w:line="360" w:lineRule="auto"/>
        <w:ind w:firstLine="420"/>
        <w:rPr>
          <w:rFonts w:ascii="宋体" w:hAnsi="宋体" w:eastAsia="宋体" w:cs="宋体"/>
          <w:sz w:val="24"/>
          <w:szCs w:val="24"/>
        </w:rPr>
      </w:pPr>
      <w:r>
        <w:rPr>
          <w:rFonts w:hint="eastAsia" w:ascii="宋体" w:hAnsi="宋体" w:eastAsia="宋体" w:cs="宋体"/>
          <w:sz w:val="24"/>
          <w:szCs w:val="24"/>
        </w:rPr>
        <w:t>五、我方承诺遵守《中华人民共和国</w:t>
      </w:r>
      <w:r>
        <w:rPr>
          <w:rFonts w:hint="eastAsia" w:ascii="宋体" w:hAnsi="宋体" w:cs="宋体"/>
          <w:sz w:val="24"/>
          <w:szCs w:val="24"/>
          <w:lang w:eastAsia="zh-CN"/>
        </w:rPr>
        <w:t>民法典</w:t>
      </w:r>
      <w:r>
        <w:rPr>
          <w:rFonts w:hint="eastAsia" w:ascii="宋体" w:hAnsi="宋体" w:eastAsia="宋体" w:cs="宋体"/>
          <w:sz w:val="24"/>
          <w:szCs w:val="24"/>
        </w:rPr>
        <w:t>》的有关规定，按照采购文件确定的事项签订采购合同，并承担合同规定的责任和义务。</w:t>
      </w:r>
    </w:p>
    <w:p w14:paraId="30B156D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供应商</w:t>
      </w:r>
      <w:r>
        <w:rPr>
          <w:rFonts w:hint="eastAsia" w:ascii="宋体" w:hAnsi="宋体" w:eastAsia="宋体" w:cs="宋体"/>
          <w:sz w:val="24"/>
          <w:szCs w:val="24"/>
        </w:rPr>
        <w:t>名称(盖章)：</w:t>
      </w:r>
      <w:r>
        <w:rPr>
          <w:rFonts w:hint="eastAsia" w:ascii="宋体" w:hAnsi="宋体" w:eastAsia="宋体" w:cs="宋体"/>
          <w:sz w:val="24"/>
          <w:szCs w:val="24"/>
          <w:u w:val="single"/>
          <w:lang w:val="en-US" w:eastAsia="zh-CN"/>
        </w:rPr>
        <w:t xml:space="preserve">                   </w:t>
      </w:r>
    </w:p>
    <w:p w14:paraId="786BA7B2">
      <w:pPr>
        <w:keepNext w:val="0"/>
        <w:keepLines w:val="0"/>
        <w:pageBreakBefore w:val="0"/>
        <w:widowControl w:val="0"/>
        <w:kinsoku/>
        <w:overflowPunct/>
        <w:topLinePunct w:val="0"/>
        <w:autoSpaceDE/>
        <w:autoSpaceDN/>
        <w:bidi w:val="0"/>
        <w:adjustRightInd/>
        <w:snapToGrid/>
        <w:spacing w:line="360" w:lineRule="auto"/>
        <w:ind w:firstLine="3120" w:firstLineChars="1300"/>
        <w:textAlignment w:val="auto"/>
        <w:rPr>
          <w:rFonts w:ascii="宋体" w:hAnsi="宋体" w:eastAsia="宋体" w:cs="宋体"/>
          <w:sz w:val="24"/>
          <w:szCs w:val="24"/>
        </w:rPr>
      </w:pPr>
      <w:r>
        <w:rPr>
          <w:rFonts w:hint="eastAsia" w:ascii="宋体" w:hAnsi="宋体" w:eastAsia="宋体" w:cs="宋体"/>
          <w:sz w:val="24"/>
          <w:szCs w:val="24"/>
        </w:rPr>
        <w:t>法定代表人(签章)：</w:t>
      </w:r>
      <w:r>
        <w:rPr>
          <w:rFonts w:hint="eastAsia" w:ascii="宋体" w:hAnsi="宋体" w:eastAsia="宋体" w:cs="宋体"/>
          <w:sz w:val="24"/>
          <w:szCs w:val="24"/>
          <w:u w:val="single"/>
        </w:rPr>
        <w:t xml:space="preserve">                     </w:t>
      </w:r>
    </w:p>
    <w:p w14:paraId="695AD031">
      <w:pPr>
        <w:keepNext w:val="0"/>
        <w:keepLines w:val="0"/>
        <w:pageBreakBefore w:val="0"/>
        <w:widowControl w:val="0"/>
        <w:kinsoku/>
        <w:overflowPunct/>
        <w:topLinePunct w:val="0"/>
        <w:autoSpaceDE/>
        <w:autoSpaceDN/>
        <w:bidi w:val="0"/>
        <w:adjustRightInd w:val="0"/>
        <w:snapToGrid w:val="0"/>
        <w:spacing w:line="360" w:lineRule="auto"/>
        <w:ind w:right="420" w:firstLine="3120" w:firstLineChars="1300"/>
        <w:textAlignment w:val="auto"/>
        <w:rPr>
          <w:rFonts w:hint="default" w:ascii="宋体" w:hAnsi="宋体" w:eastAsia="宋体" w:cs="宋体"/>
          <w:sz w:val="24"/>
          <w:szCs w:val="24"/>
          <w:lang w:val="en-US"/>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6346A41F">
      <w:pPr>
        <w:keepNext w:val="0"/>
        <w:keepLines w:val="0"/>
        <w:pageBreakBefore w:val="0"/>
        <w:widowControl w:val="0"/>
        <w:kinsoku/>
        <w:overflowPunct/>
        <w:topLinePunct w:val="0"/>
        <w:autoSpaceDE/>
        <w:autoSpaceDN/>
        <w:bidi w:val="0"/>
        <w:spacing w:line="360" w:lineRule="auto"/>
        <w:textAlignment w:val="auto"/>
        <w:rPr>
          <w:rFonts w:hint="eastAsia"/>
          <w:lang w:eastAsia="zh-CN"/>
        </w:rPr>
      </w:pPr>
      <w:r>
        <w:rPr>
          <w:rFonts w:hint="eastAsia"/>
          <w:lang w:eastAsia="zh-CN"/>
        </w:rPr>
        <w:br w:type="page"/>
      </w:r>
    </w:p>
    <w:p w14:paraId="2B1E74E2">
      <w:pPr>
        <w:ind w:right="84"/>
        <w:jc w:val="both"/>
        <w:rPr>
          <w:rFonts w:hint="eastAsia" w:ascii="宋体" w:hAnsi="宋体" w:eastAsia="宋体" w:cs="宋体"/>
          <w:b/>
          <w:sz w:val="28"/>
          <w:szCs w:val="28"/>
        </w:rPr>
      </w:pPr>
      <w:bookmarkStart w:id="0" w:name="_Toc3960"/>
      <w:bookmarkStart w:id="1" w:name="_Toc421267961"/>
      <w:r>
        <w:rPr>
          <w:rFonts w:hint="eastAsia" w:ascii="宋体" w:hAnsi="宋体" w:eastAsia="宋体" w:cs="宋体"/>
          <w:b/>
          <w:sz w:val="28"/>
          <w:szCs w:val="28"/>
          <w:lang w:val="en-US" w:eastAsia="zh-CN"/>
        </w:rPr>
        <w:t>1.1</w:t>
      </w:r>
      <w:r>
        <w:rPr>
          <w:rFonts w:hint="eastAsia" w:ascii="宋体" w:hAnsi="宋体" w:eastAsia="宋体" w:cs="宋体"/>
          <w:b/>
          <w:sz w:val="28"/>
          <w:szCs w:val="28"/>
        </w:rPr>
        <w:t>供应商资格声明函</w:t>
      </w:r>
    </w:p>
    <w:p w14:paraId="728FDB00">
      <w:pPr>
        <w:spacing w:line="360" w:lineRule="auto"/>
        <w:ind w:firstLine="420"/>
        <w:jc w:val="center"/>
        <w:rPr>
          <w:b/>
          <w:sz w:val="24"/>
        </w:rPr>
      </w:pPr>
    </w:p>
    <w:p w14:paraId="3AADFAF2">
      <w:pPr>
        <w:spacing w:line="360" w:lineRule="auto"/>
        <w:rPr>
          <w:sz w:val="24"/>
        </w:rPr>
      </w:pP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天津市滨海新区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14:paraId="09EBDE84">
      <w:pPr>
        <w:spacing w:line="360" w:lineRule="auto"/>
        <w:ind w:firstLine="480" w:firstLineChars="200"/>
        <w:rPr>
          <w:sz w:val="24"/>
        </w:rPr>
      </w:pPr>
      <w:r>
        <w:rPr>
          <w:rFonts w:hint="eastAsia"/>
          <w:sz w:val="24"/>
        </w:rPr>
        <w:t>我单位自愿参与本项目的政府采购活动，郑重承诺如下：</w:t>
      </w:r>
    </w:p>
    <w:p w14:paraId="6217B86A">
      <w:pPr>
        <w:spacing w:line="360" w:lineRule="auto"/>
        <w:ind w:firstLine="480" w:firstLineChars="200"/>
        <w:rPr>
          <w:sz w:val="24"/>
        </w:rPr>
      </w:pPr>
      <w:r>
        <w:rPr>
          <w:rFonts w:hint="eastAsia"/>
          <w:sz w:val="24"/>
        </w:rPr>
        <w:t>（一）我单位具有良好的商业信誉和健全的财务会计制度；</w:t>
      </w:r>
    </w:p>
    <w:p w14:paraId="7347903C">
      <w:pPr>
        <w:spacing w:line="360" w:lineRule="auto"/>
        <w:ind w:firstLine="480" w:firstLineChars="200"/>
        <w:rPr>
          <w:sz w:val="24"/>
        </w:rPr>
      </w:pPr>
      <w:r>
        <w:rPr>
          <w:rFonts w:hint="eastAsia"/>
          <w:sz w:val="24"/>
        </w:rPr>
        <w:t>（二）我单位依法缴纳税收和社会保障资金；</w:t>
      </w:r>
    </w:p>
    <w:p w14:paraId="6D07FEE2">
      <w:pPr>
        <w:spacing w:line="360" w:lineRule="auto"/>
        <w:ind w:firstLine="480" w:firstLineChars="200"/>
        <w:rPr>
          <w:sz w:val="24"/>
        </w:rPr>
      </w:pPr>
      <w:r>
        <w:rPr>
          <w:rFonts w:hint="eastAsia"/>
          <w:sz w:val="24"/>
        </w:rPr>
        <w:t>（三）我单位具备履行合同所必需的设备和专业技术能力；</w:t>
      </w:r>
    </w:p>
    <w:p w14:paraId="38D073E8">
      <w:pPr>
        <w:spacing w:line="360" w:lineRule="auto"/>
        <w:ind w:firstLine="480" w:firstLineChars="200"/>
        <w:rPr>
          <w:sz w:val="24"/>
        </w:rPr>
      </w:pPr>
      <w:r>
        <w:rPr>
          <w:rFonts w:hint="eastAsia"/>
          <w:sz w:val="24"/>
        </w:rPr>
        <w:t>（四）参加政府采购活动前3年我单位在经营活动中没有重大违法记录；</w:t>
      </w:r>
    </w:p>
    <w:p w14:paraId="4FA878FD">
      <w:pPr>
        <w:spacing w:line="360" w:lineRule="auto"/>
        <w:ind w:firstLine="480" w:firstLineChars="200"/>
        <w:rPr>
          <w:sz w:val="24"/>
        </w:rPr>
      </w:pPr>
      <w:r>
        <w:rPr>
          <w:rFonts w:hint="eastAsia"/>
          <w:sz w:val="24"/>
        </w:rPr>
        <w:t>（五）我单位不存在为采购项目提供整体设计、规范编制或者项目管理、监理、检测等服务后，再参加该采购项目的其他采购活动的情形。</w:t>
      </w:r>
    </w:p>
    <w:p w14:paraId="4431491F">
      <w:pPr>
        <w:spacing w:line="360" w:lineRule="auto"/>
        <w:ind w:firstLine="480" w:firstLineChars="200"/>
        <w:rPr>
          <w:sz w:val="24"/>
        </w:rPr>
      </w:pPr>
      <w:r>
        <w:rPr>
          <w:rFonts w:hint="eastAsia"/>
          <w:sz w:val="24"/>
        </w:rPr>
        <w:t>（六）与我单位存在“单位负责人为同一人或者存在直接控股、管理关系”的其他单位信息如下：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7B4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3765D62E">
            <w:pPr>
              <w:jc w:val="center"/>
              <w:rPr>
                <w:szCs w:val="21"/>
              </w:rPr>
            </w:pPr>
            <w:r>
              <w:rPr>
                <w:rFonts w:hint="eastAsia"/>
                <w:szCs w:val="21"/>
              </w:rPr>
              <w:t>序号</w:t>
            </w:r>
          </w:p>
        </w:tc>
        <w:tc>
          <w:tcPr>
            <w:tcW w:w="2273" w:type="pct"/>
            <w:noWrap w:val="0"/>
            <w:vAlign w:val="center"/>
          </w:tcPr>
          <w:p w14:paraId="38A2D1F1">
            <w:pPr>
              <w:jc w:val="center"/>
              <w:rPr>
                <w:szCs w:val="21"/>
              </w:rPr>
            </w:pPr>
            <w:r>
              <w:rPr>
                <w:rFonts w:hint="eastAsia"/>
                <w:szCs w:val="21"/>
              </w:rPr>
              <w:t>单位名称</w:t>
            </w:r>
          </w:p>
        </w:tc>
        <w:tc>
          <w:tcPr>
            <w:tcW w:w="1667" w:type="pct"/>
            <w:noWrap w:val="0"/>
            <w:vAlign w:val="center"/>
          </w:tcPr>
          <w:p w14:paraId="6E8D136A">
            <w:pPr>
              <w:jc w:val="center"/>
              <w:rPr>
                <w:szCs w:val="21"/>
              </w:rPr>
            </w:pPr>
            <w:r>
              <w:rPr>
                <w:rFonts w:hint="eastAsia"/>
                <w:szCs w:val="21"/>
              </w:rPr>
              <w:t>相互关系类型</w:t>
            </w:r>
          </w:p>
        </w:tc>
      </w:tr>
      <w:tr w14:paraId="550E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20053F8A">
            <w:pPr>
              <w:jc w:val="center"/>
              <w:rPr>
                <w:szCs w:val="21"/>
              </w:rPr>
            </w:pPr>
            <w:r>
              <w:rPr>
                <w:rFonts w:hint="eastAsia"/>
                <w:szCs w:val="21"/>
              </w:rPr>
              <w:t>1</w:t>
            </w:r>
          </w:p>
        </w:tc>
        <w:tc>
          <w:tcPr>
            <w:tcW w:w="2273" w:type="pct"/>
            <w:noWrap w:val="0"/>
            <w:vAlign w:val="center"/>
          </w:tcPr>
          <w:p w14:paraId="4D7772AB">
            <w:pPr>
              <w:jc w:val="center"/>
              <w:rPr>
                <w:szCs w:val="21"/>
              </w:rPr>
            </w:pPr>
          </w:p>
        </w:tc>
        <w:tc>
          <w:tcPr>
            <w:tcW w:w="1667" w:type="pct"/>
            <w:noWrap w:val="0"/>
            <w:vAlign w:val="center"/>
          </w:tcPr>
          <w:p w14:paraId="08E66B06">
            <w:pPr>
              <w:jc w:val="center"/>
              <w:rPr>
                <w:szCs w:val="21"/>
              </w:rPr>
            </w:pPr>
          </w:p>
        </w:tc>
      </w:tr>
      <w:tr w14:paraId="1C57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0CA1A970">
            <w:pPr>
              <w:jc w:val="center"/>
              <w:rPr>
                <w:szCs w:val="21"/>
              </w:rPr>
            </w:pPr>
            <w:r>
              <w:rPr>
                <w:rFonts w:hint="eastAsia"/>
                <w:szCs w:val="21"/>
              </w:rPr>
              <w:t>2</w:t>
            </w:r>
          </w:p>
        </w:tc>
        <w:tc>
          <w:tcPr>
            <w:tcW w:w="2273" w:type="pct"/>
            <w:noWrap w:val="0"/>
            <w:vAlign w:val="center"/>
          </w:tcPr>
          <w:p w14:paraId="7DF0F0E2">
            <w:pPr>
              <w:jc w:val="center"/>
              <w:rPr>
                <w:szCs w:val="21"/>
              </w:rPr>
            </w:pPr>
          </w:p>
        </w:tc>
        <w:tc>
          <w:tcPr>
            <w:tcW w:w="1667" w:type="pct"/>
            <w:noWrap w:val="0"/>
            <w:vAlign w:val="center"/>
          </w:tcPr>
          <w:p w14:paraId="4579C8CB">
            <w:pPr>
              <w:jc w:val="center"/>
              <w:rPr>
                <w:szCs w:val="21"/>
              </w:rPr>
            </w:pPr>
          </w:p>
        </w:tc>
      </w:tr>
      <w:tr w14:paraId="708F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noWrap w:val="0"/>
            <w:vAlign w:val="center"/>
          </w:tcPr>
          <w:p w14:paraId="0A6F9734">
            <w:pPr>
              <w:jc w:val="center"/>
              <w:rPr>
                <w:szCs w:val="21"/>
              </w:rPr>
            </w:pPr>
            <w:r>
              <w:rPr>
                <w:rFonts w:hint="eastAsia"/>
                <w:szCs w:val="21"/>
              </w:rPr>
              <w:t>3</w:t>
            </w:r>
          </w:p>
        </w:tc>
        <w:tc>
          <w:tcPr>
            <w:tcW w:w="2273" w:type="pct"/>
            <w:noWrap w:val="0"/>
            <w:vAlign w:val="center"/>
          </w:tcPr>
          <w:p w14:paraId="47EF4BBE">
            <w:pPr>
              <w:jc w:val="center"/>
              <w:rPr>
                <w:szCs w:val="21"/>
              </w:rPr>
            </w:pPr>
          </w:p>
        </w:tc>
        <w:tc>
          <w:tcPr>
            <w:tcW w:w="1667" w:type="pct"/>
            <w:noWrap w:val="0"/>
            <w:vAlign w:val="center"/>
          </w:tcPr>
          <w:p w14:paraId="5E8035DB">
            <w:pPr>
              <w:jc w:val="center"/>
              <w:rPr>
                <w:szCs w:val="21"/>
              </w:rPr>
            </w:pPr>
          </w:p>
        </w:tc>
      </w:tr>
    </w:tbl>
    <w:p w14:paraId="4D91BAF6">
      <w:pPr>
        <w:spacing w:line="360" w:lineRule="auto"/>
        <w:ind w:firstLine="480" w:firstLineChars="200"/>
        <w:rPr>
          <w:sz w:val="24"/>
        </w:rPr>
      </w:pPr>
      <w:r>
        <w:rPr>
          <w:rFonts w:hint="eastAsia"/>
          <w:sz w:val="24"/>
        </w:rPr>
        <w:t>上表未填写的，视为不存在第（六）条所列情形</w:t>
      </w:r>
    </w:p>
    <w:p w14:paraId="0954951D">
      <w:pPr>
        <w:spacing w:line="360" w:lineRule="auto"/>
        <w:ind w:firstLine="480" w:firstLineChars="200"/>
        <w:rPr>
          <w:sz w:val="24"/>
        </w:rPr>
      </w:pPr>
    </w:p>
    <w:p w14:paraId="1836B41A">
      <w:pPr>
        <w:spacing w:line="360" w:lineRule="auto"/>
        <w:ind w:firstLine="480" w:firstLineChars="200"/>
        <w:rPr>
          <w:sz w:val="24"/>
        </w:rPr>
      </w:pPr>
      <w:r>
        <w:rPr>
          <w:rFonts w:hint="eastAsia"/>
          <w:sz w:val="24"/>
        </w:rPr>
        <w:t>上述声明真实有效，否则我单位承担全部责任和不利后果。</w:t>
      </w:r>
    </w:p>
    <w:p w14:paraId="4E890030">
      <w:pPr>
        <w:spacing w:line="360" w:lineRule="auto"/>
        <w:ind w:firstLine="480" w:firstLineChars="200"/>
        <w:rPr>
          <w:sz w:val="24"/>
        </w:rPr>
      </w:pPr>
    </w:p>
    <w:p w14:paraId="2214ED17">
      <w:pPr>
        <w:spacing w:line="360" w:lineRule="auto"/>
        <w:ind w:firstLine="240" w:firstLineChars="100"/>
        <w:rPr>
          <w:sz w:val="24"/>
        </w:rPr>
      </w:pPr>
      <w:r>
        <w:rPr>
          <w:rFonts w:hint="eastAsia"/>
          <w:sz w:val="24"/>
          <w:lang w:eastAsia="zh-CN"/>
        </w:rPr>
        <w:t>供应商</w:t>
      </w:r>
      <w:r>
        <w:rPr>
          <w:sz w:val="24"/>
        </w:rPr>
        <w:t>名称：</w:t>
      </w:r>
    </w:p>
    <w:p w14:paraId="35C39501">
      <w:pPr>
        <w:spacing w:line="360" w:lineRule="auto"/>
        <w:ind w:firstLine="240" w:firstLineChars="100"/>
        <w:rPr>
          <w:sz w:val="24"/>
        </w:rPr>
      </w:pPr>
    </w:p>
    <w:p w14:paraId="64B4D651">
      <w:pPr>
        <w:spacing w:line="360" w:lineRule="auto"/>
        <w:ind w:firstLine="240" w:firstLineChars="100"/>
      </w:pPr>
      <w:r>
        <w:rPr>
          <w:sz w:val="24"/>
        </w:rPr>
        <w:t xml:space="preserve">日期：  </w:t>
      </w:r>
    </w:p>
    <w:p w14:paraId="1A06C2C0">
      <w:pPr>
        <w:pStyle w:val="4"/>
      </w:pPr>
    </w:p>
    <w:p w14:paraId="2FEF3BC9">
      <w:pPr>
        <w:pStyle w:val="4"/>
      </w:pPr>
    </w:p>
    <w:p w14:paraId="5F9E6FB7">
      <w:pPr>
        <w:pStyle w:val="4"/>
      </w:pPr>
    </w:p>
    <w:p w14:paraId="3AC68C20">
      <w:pPr>
        <w:pStyle w:val="4"/>
      </w:pPr>
    </w:p>
    <w:p w14:paraId="7DB0377A">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2</w:t>
      </w:r>
      <w:r>
        <w:rPr>
          <w:rFonts w:hint="eastAsia" w:ascii="宋体" w:hAnsi="宋体" w:eastAsia="宋体" w:cs="宋体"/>
          <w:b/>
          <w:bCs w:val="0"/>
          <w:snapToGrid w:val="0"/>
          <w:kern w:val="2"/>
          <w:sz w:val="28"/>
          <w:szCs w:val="28"/>
          <w:lang w:val="zh-CN" w:eastAsia="zh-CN" w:bidi="ar-SA"/>
        </w:rPr>
        <w:t>法定代表人身份证明</w:t>
      </w:r>
      <w:bookmarkEnd w:id="0"/>
      <w:bookmarkEnd w:id="1"/>
    </w:p>
    <w:p w14:paraId="53E95E0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9F0A63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51CD7C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84A3B6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10542A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DEC822F">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p>
    <w:p w14:paraId="5B06C0A1">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1F110239">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0DB3E185">
      <w:pPr>
        <w:autoSpaceDE w:val="0"/>
        <w:autoSpaceDN w:val="0"/>
        <w:adjustRightInd w:val="0"/>
        <w:snapToGrid w:val="0"/>
        <w:spacing w:line="360" w:lineRule="auto"/>
        <w:jc w:val="left"/>
        <w:rPr>
          <w:rFonts w:ascii="宋体" w:hAnsi="宋体" w:eastAsia="宋体" w:cs="宋体"/>
          <w:kern w:val="0"/>
          <w:sz w:val="28"/>
          <w:szCs w:val="28"/>
        </w:rPr>
      </w:pPr>
    </w:p>
    <w:p w14:paraId="5803970A">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21D4337B">
      <w:pPr>
        <w:adjustRightInd w:val="0"/>
        <w:snapToGrid w:val="0"/>
        <w:spacing w:line="360" w:lineRule="auto"/>
        <w:rPr>
          <w:rFonts w:ascii="宋体" w:hAnsi="宋体" w:eastAsia="宋体" w:cs="宋体"/>
          <w:sz w:val="28"/>
          <w:szCs w:val="28"/>
        </w:rPr>
      </w:pPr>
    </w:p>
    <w:p w14:paraId="7C70967E">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3D4B0AED">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136D95F2">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3</w:t>
      </w:r>
      <w:r>
        <w:rPr>
          <w:rFonts w:hint="eastAsia" w:ascii="宋体" w:hAnsi="宋体" w:eastAsia="宋体" w:cs="宋体"/>
          <w:b/>
          <w:bCs w:val="0"/>
          <w:snapToGrid w:val="0"/>
          <w:kern w:val="2"/>
          <w:sz w:val="28"/>
          <w:szCs w:val="28"/>
          <w:lang w:val="zh-CN" w:eastAsia="zh-CN" w:bidi="ar-SA"/>
        </w:rPr>
        <w:t>法定代表人授权委托书</w:t>
      </w:r>
      <w:bookmarkEnd w:id="2"/>
    </w:p>
    <w:p w14:paraId="46812FA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国家税务总局天津市</w:t>
      </w:r>
      <w:r>
        <w:rPr>
          <w:rFonts w:hint="eastAsia" w:ascii="宋体" w:hAnsi="宋体" w:eastAsia="宋体" w:cs="宋体"/>
          <w:sz w:val="28"/>
          <w:szCs w:val="28"/>
          <w:u w:val="single"/>
          <w:lang w:eastAsia="zh-CN"/>
        </w:rPr>
        <w:t>滨海新</w:t>
      </w:r>
      <w:r>
        <w:rPr>
          <w:rFonts w:hint="eastAsia" w:ascii="宋体" w:hAnsi="宋体" w:eastAsia="宋体" w:cs="宋体"/>
          <w:sz w:val="28"/>
          <w:szCs w:val="28"/>
          <w:u w:val="single"/>
        </w:rPr>
        <w:t>区税务局信息化、服务类项目预算评审项目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14:paraId="5CFF68A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71F2AC6">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7EA419C5">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6E4C994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6BB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7B5CEC39">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358608B0">
            <w:pPr>
              <w:spacing w:line="360" w:lineRule="auto"/>
              <w:rPr>
                <w:rFonts w:ascii="宋体" w:hAnsi="宋体" w:eastAsia="宋体" w:cs="宋体"/>
                <w:sz w:val="28"/>
                <w:szCs w:val="28"/>
                <w:vertAlign w:val="baseline"/>
              </w:rPr>
            </w:pPr>
            <w:r>
              <w:rPr>
                <w:color w:val="000000"/>
                <w:sz w:val="24"/>
              </w:rPr>
              <w:t>代表人身份证背面</w:t>
            </w:r>
          </w:p>
        </w:tc>
      </w:tr>
    </w:tbl>
    <w:p w14:paraId="1C6ACFA8">
      <w:pPr>
        <w:spacing w:line="360" w:lineRule="auto"/>
        <w:rPr>
          <w:rFonts w:ascii="宋体" w:hAnsi="宋体" w:eastAsia="宋体" w:cs="宋体"/>
          <w:sz w:val="28"/>
          <w:szCs w:val="28"/>
        </w:rPr>
      </w:pPr>
    </w:p>
    <w:p w14:paraId="5C4720FC">
      <w:pPr>
        <w:spacing w:line="360" w:lineRule="auto"/>
        <w:rPr>
          <w:rFonts w:ascii="宋体" w:hAnsi="宋体" w:eastAsia="宋体" w:cs="宋体"/>
          <w:sz w:val="28"/>
          <w:szCs w:val="28"/>
        </w:rPr>
      </w:pPr>
    </w:p>
    <w:p w14:paraId="2D9CEBB0">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6ADD0B1D">
      <w:pPr>
        <w:spacing w:line="360" w:lineRule="auto"/>
        <w:ind w:firstLine="560" w:firstLineChars="200"/>
        <w:jc w:val="right"/>
        <w:rPr>
          <w:rFonts w:ascii="宋体" w:hAnsi="宋体" w:eastAsia="宋体" w:cs="宋体"/>
          <w:sz w:val="28"/>
          <w:szCs w:val="28"/>
        </w:rPr>
      </w:pPr>
    </w:p>
    <w:p w14:paraId="4B5A735A">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14:paraId="2C196244">
      <w:pPr>
        <w:spacing w:line="360" w:lineRule="auto"/>
        <w:ind w:firstLine="560" w:firstLineChars="200"/>
        <w:jc w:val="right"/>
        <w:rPr>
          <w:rFonts w:ascii="宋体" w:hAnsi="宋体" w:eastAsia="宋体" w:cs="宋体"/>
          <w:sz w:val="28"/>
          <w:szCs w:val="28"/>
        </w:rPr>
      </w:pPr>
    </w:p>
    <w:p w14:paraId="7C842E9F">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58E7422B">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14:paraId="0A4BB126">
      <w:pPr>
        <w:spacing w:line="360" w:lineRule="auto"/>
        <w:ind w:firstLine="560" w:firstLineChars="200"/>
        <w:jc w:val="both"/>
        <w:rPr>
          <w:rFonts w:hint="default" w:ascii="宋体" w:hAnsi="宋体" w:eastAsia="宋体" w:cs="宋体"/>
          <w:sz w:val="28"/>
          <w:szCs w:val="28"/>
          <w:lang w:val="en-US" w:eastAsia="zh-CN"/>
        </w:rPr>
      </w:pPr>
    </w:p>
    <w:p w14:paraId="55F04952">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1CB8B326">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二、参加人的资格证明材料</w:t>
      </w:r>
      <w:bookmarkEnd w:id="3"/>
    </w:p>
    <w:p w14:paraId="714CDF92">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18511"/>
      <w:bookmarkStart w:id="5" w:name="_Toc421267964"/>
      <w:r>
        <w:rPr>
          <w:rFonts w:hint="eastAsia" w:ascii="宋体" w:hAnsi="宋体" w:eastAsia="宋体" w:cs="宋体"/>
          <w:b/>
          <w:bCs w:val="0"/>
          <w:snapToGrid w:val="0"/>
          <w:kern w:val="2"/>
          <w:sz w:val="28"/>
          <w:szCs w:val="28"/>
          <w:lang w:val="zh-CN" w:eastAsia="zh-CN" w:bidi="ar-SA"/>
        </w:rPr>
        <w:t>2.1参加人基本情况表</w:t>
      </w:r>
      <w:bookmarkEnd w:id="4"/>
      <w:bookmarkEnd w:id="5"/>
    </w:p>
    <w:tbl>
      <w:tblPr>
        <w:tblStyle w:val="8"/>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14:paraId="498A11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390B907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参加人名称</w:t>
            </w:r>
          </w:p>
        </w:tc>
        <w:tc>
          <w:tcPr>
            <w:tcW w:w="2427" w:type="dxa"/>
            <w:noWrap w:val="0"/>
            <w:vAlign w:val="center"/>
          </w:tcPr>
          <w:p w14:paraId="0F37B3A3">
            <w:pPr>
              <w:topLinePunct/>
              <w:spacing w:line="360" w:lineRule="auto"/>
              <w:jc w:val="center"/>
              <w:rPr>
                <w:rFonts w:ascii="宋体" w:hAnsi="宋体" w:eastAsia="宋体" w:cs="宋体"/>
                <w:sz w:val="28"/>
                <w:szCs w:val="28"/>
              </w:rPr>
            </w:pPr>
          </w:p>
        </w:tc>
        <w:tc>
          <w:tcPr>
            <w:tcW w:w="1714" w:type="dxa"/>
            <w:noWrap w:val="0"/>
            <w:vAlign w:val="center"/>
          </w:tcPr>
          <w:p w14:paraId="51B51C8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3C321F8E">
            <w:pPr>
              <w:topLinePunct/>
              <w:spacing w:line="360" w:lineRule="auto"/>
              <w:jc w:val="center"/>
              <w:rPr>
                <w:rFonts w:ascii="宋体" w:hAnsi="宋体" w:eastAsia="宋体" w:cs="宋体"/>
                <w:sz w:val="28"/>
                <w:szCs w:val="28"/>
              </w:rPr>
            </w:pPr>
          </w:p>
        </w:tc>
      </w:tr>
      <w:tr w14:paraId="6CC377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1F2A8DD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noWrap w:val="0"/>
            <w:vAlign w:val="center"/>
          </w:tcPr>
          <w:p w14:paraId="1E88F7B8">
            <w:pPr>
              <w:topLinePunct/>
              <w:spacing w:line="360" w:lineRule="auto"/>
              <w:jc w:val="center"/>
              <w:rPr>
                <w:rFonts w:ascii="宋体" w:hAnsi="宋体" w:eastAsia="宋体" w:cs="宋体"/>
                <w:sz w:val="28"/>
                <w:szCs w:val="28"/>
              </w:rPr>
            </w:pPr>
          </w:p>
        </w:tc>
        <w:tc>
          <w:tcPr>
            <w:tcW w:w="1714" w:type="dxa"/>
            <w:noWrap w:val="0"/>
            <w:vAlign w:val="center"/>
          </w:tcPr>
          <w:p w14:paraId="417BDF26">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2CE99184">
            <w:pPr>
              <w:topLinePunct/>
              <w:spacing w:line="360" w:lineRule="auto"/>
              <w:jc w:val="center"/>
              <w:rPr>
                <w:rFonts w:ascii="宋体" w:hAnsi="宋体" w:eastAsia="宋体" w:cs="宋体"/>
                <w:sz w:val="28"/>
                <w:szCs w:val="28"/>
              </w:rPr>
            </w:pPr>
          </w:p>
        </w:tc>
      </w:tr>
      <w:tr w14:paraId="13D58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624" w:hRule="atLeast"/>
        </w:trPr>
        <w:tc>
          <w:tcPr>
            <w:tcW w:w="4438" w:type="dxa"/>
            <w:gridSpan w:val="3"/>
            <w:noWrap w:val="0"/>
            <w:vAlign w:val="center"/>
          </w:tcPr>
          <w:p w14:paraId="6C7DD4FC">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2"/>
            <w:noWrap w:val="0"/>
            <w:vAlign w:val="center"/>
          </w:tcPr>
          <w:p w14:paraId="02103144">
            <w:pPr>
              <w:topLinePunct/>
              <w:spacing w:line="360" w:lineRule="auto"/>
              <w:ind w:firstLine="140" w:firstLineChars="50"/>
              <w:jc w:val="center"/>
              <w:rPr>
                <w:rFonts w:ascii="宋体" w:hAnsi="宋体" w:eastAsia="宋体" w:cs="宋体"/>
                <w:sz w:val="28"/>
                <w:szCs w:val="28"/>
              </w:rPr>
            </w:pPr>
          </w:p>
        </w:tc>
      </w:tr>
      <w:tr w14:paraId="58DE5D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49FC6FE4">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3"/>
            <w:noWrap w:val="0"/>
            <w:vAlign w:val="center"/>
          </w:tcPr>
          <w:p w14:paraId="6422FECF">
            <w:pPr>
              <w:topLinePunct/>
              <w:spacing w:line="360" w:lineRule="auto"/>
              <w:ind w:firstLine="140" w:firstLineChars="50"/>
              <w:jc w:val="center"/>
              <w:rPr>
                <w:rFonts w:ascii="宋体" w:hAnsi="宋体" w:eastAsia="宋体" w:cs="宋体"/>
                <w:sz w:val="28"/>
                <w:szCs w:val="28"/>
              </w:rPr>
            </w:pPr>
          </w:p>
        </w:tc>
      </w:tr>
      <w:tr w14:paraId="5636A0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1EAB289D">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3"/>
            <w:noWrap w:val="0"/>
            <w:vAlign w:val="center"/>
          </w:tcPr>
          <w:p w14:paraId="1196224B">
            <w:pPr>
              <w:topLinePunct/>
              <w:spacing w:line="360" w:lineRule="auto"/>
              <w:ind w:firstLine="140" w:firstLineChars="50"/>
              <w:jc w:val="center"/>
              <w:rPr>
                <w:rFonts w:ascii="宋体" w:hAnsi="宋体" w:eastAsia="宋体" w:cs="宋体"/>
                <w:sz w:val="28"/>
                <w:szCs w:val="28"/>
              </w:rPr>
            </w:pPr>
          </w:p>
        </w:tc>
      </w:tr>
      <w:tr w14:paraId="25C188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0C7FAD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3"/>
            <w:noWrap w:val="0"/>
            <w:vAlign w:val="center"/>
          </w:tcPr>
          <w:p w14:paraId="613E6DA7">
            <w:pPr>
              <w:topLinePunct/>
              <w:spacing w:line="360" w:lineRule="auto"/>
              <w:ind w:firstLine="140" w:firstLineChars="50"/>
              <w:jc w:val="center"/>
              <w:rPr>
                <w:rFonts w:ascii="宋体" w:hAnsi="宋体" w:eastAsia="宋体" w:cs="宋体"/>
                <w:sz w:val="28"/>
                <w:szCs w:val="28"/>
              </w:rPr>
            </w:pPr>
          </w:p>
        </w:tc>
      </w:tr>
      <w:tr w14:paraId="78A020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672" w:hRule="atLeast"/>
        </w:trPr>
        <w:tc>
          <w:tcPr>
            <w:tcW w:w="2011" w:type="dxa"/>
            <w:gridSpan w:val="2"/>
            <w:noWrap w:val="0"/>
            <w:vAlign w:val="center"/>
          </w:tcPr>
          <w:p w14:paraId="3899752E">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3"/>
            <w:noWrap w:val="0"/>
            <w:vAlign w:val="center"/>
          </w:tcPr>
          <w:p w14:paraId="0975456F">
            <w:pPr>
              <w:topLinePunct/>
              <w:spacing w:line="360" w:lineRule="auto"/>
              <w:jc w:val="left"/>
              <w:rPr>
                <w:rFonts w:ascii="宋体" w:hAnsi="宋体" w:eastAsia="宋体" w:cs="宋体"/>
                <w:sz w:val="28"/>
                <w:szCs w:val="28"/>
              </w:rPr>
            </w:pPr>
          </w:p>
        </w:tc>
      </w:tr>
      <w:tr w14:paraId="100B18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823" w:hRule="atLeast"/>
        </w:trPr>
        <w:tc>
          <w:tcPr>
            <w:tcW w:w="2011" w:type="dxa"/>
            <w:gridSpan w:val="2"/>
            <w:noWrap w:val="0"/>
            <w:vAlign w:val="center"/>
          </w:tcPr>
          <w:p w14:paraId="31A3D90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3"/>
            <w:noWrap w:val="0"/>
            <w:vAlign w:val="center"/>
          </w:tcPr>
          <w:p w14:paraId="60EC6AD4">
            <w:pPr>
              <w:topLinePunct/>
              <w:spacing w:line="360" w:lineRule="auto"/>
              <w:jc w:val="center"/>
              <w:rPr>
                <w:rFonts w:ascii="宋体" w:hAnsi="宋体" w:eastAsia="宋体" w:cs="宋体"/>
                <w:sz w:val="28"/>
                <w:szCs w:val="28"/>
              </w:rPr>
            </w:pPr>
          </w:p>
        </w:tc>
      </w:tr>
      <w:tr w14:paraId="5B9653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663E4EE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税务登记机关</w:t>
            </w:r>
          </w:p>
        </w:tc>
        <w:tc>
          <w:tcPr>
            <w:tcW w:w="6284" w:type="dxa"/>
            <w:gridSpan w:val="3"/>
            <w:noWrap w:val="0"/>
            <w:vAlign w:val="center"/>
          </w:tcPr>
          <w:p w14:paraId="521EF455">
            <w:pPr>
              <w:topLinePunct/>
              <w:spacing w:line="360" w:lineRule="auto"/>
              <w:jc w:val="center"/>
              <w:rPr>
                <w:rFonts w:ascii="宋体" w:hAnsi="宋体" w:eastAsia="宋体" w:cs="宋体"/>
                <w:sz w:val="28"/>
                <w:szCs w:val="28"/>
              </w:rPr>
            </w:pPr>
          </w:p>
        </w:tc>
      </w:tr>
      <w:tr w14:paraId="05D5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836" w:hRule="atLeast"/>
        </w:trPr>
        <w:tc>
          <w:tcPr>
            <w:tcW w:w="1258" w:type="dxa"/>
            <w:noWrap w:val="0"/>
            <w:vAlign w:val="center"/>
          </w:tcPr>
          <w:p w14:paraId="60DC3C3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4"/>
            <w:noWrap w:val="0"/>
            <w:vAlign w:val="center"/>
          </w:tcPr>
          <w:p w14:paraId="091F9E8C">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14:paraId="5E4491A0">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A6B3C74">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44475BEC">
      <w:pPr>
        <w:spacing w:line="360" w:lineRule="auto"/>
        <w:ind w:firstLine="560" w:firstLineChars="200"/>
        <w:jc w:val="right"/>
        <w:rPr>
          <w:rFonts w:ascii="宋体" w:hAnsi="宋体" w:eastAsia="宋体" w:cs="宋体"/>
          <w:sz w:val="28"/>
          <w:szCs w:val="28"/>
        </w:rPr>
      </w:pPr>
    </w:p>
    <w:p w14:paraId="5F552384">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6" w:name="_Toc31545"/>
    </w:p>
    <w:p w14:paraId="4AA0B715">
      <w:pPr>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br w:type="page"/>
      </w:r>
    </w:p>
    <w:p w14:paraId="2AFAD4F3">
      <w:pPr>
        <w:adjustRightInd w:val="0"/>
        <w:snapToGrid w:val="0"/>
        <w:spacing w:line="360" w:lineRule="auto"/>
        <w:ind w:right="420"/>
        <w:jc w:val="left"/>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三、报价</w:t>
      </w:r>
      <w:bookmarkEnd w:id="6"/>
    </w:p>
    <w:p w14:paraId="4062009F">
      <w:pPr>
        <w:spacing w:line="360" w:lineRule="auto"/>
        <w:rPr>
          <w:rFonts w:hint="eastAsia" w:ascii="宋体" w:hAnsi="宋体" w:eastAsia="宋体" w:cs="宋体"/>
          <w:sz w:val="24"/>
          <w:szCs w:val="24"/>
        </w:rPr>
      </w:pPr>
      <w:bookmarkStart w:id="7" w:name="_Toc421268012"/>
      <w:bookmarkStart w:id="8" w:name="_Toc13869"/>
      <w:r>
        <w:rPr>
          <w:rFonts w:hint="eastAsia" w:ascii="宋体" w:hAnsi="宋体" w:eastAsia="宋体" w:cs="宋体"/>
          <w:sz w:val="28"/>
          <w:szCs w:val="28"/>
        </w:rPr>
        <w:t>3.1报价一览表</w:t>
      </w:r>
      <w:bookmarkEnd w:id="7"/>
      <w:bookmarkEnd w:id="8"/>
    </w:p>
    <w:p w14:paraId="3A20A45B">
      <w:pPr>
        <w:topLinePunct/>
        <w:autoSpaceDE w:val="0"/>
        <w:autoSpaceDN w:val="0"/>
        <w:adjustRightInd w:val="0"/>
        <w:snapToGrid w:val="0"/>
        <w:spacing w:after="0" w:line="360" w:lineRule="auto"/>
        <w:jc w:val="left"/>
        <w:rPr>
          <w:rFonts w:hint="eastAsia" w:ascii="宋体" w:hAnsi="宋体" w:cs="宋体"/>
          <w:color w:val="auto"/>
          <w:sz w:val="24"/>
          <w:szCs w:val="24"/>
          <w:highlight w:val="none"/>
        </w:rPr>
      </w:pPr>
    </w:p>
    <w:p w14:paraId="698CB2F6">
      <w:pPr>
        <w:topLinePunct/>
        <w:autoSpaceDE w:val="0"/>
        <w:autoSpaceDN w:val="0"/>
        <w:adjustRightInd w:val="0"/>
        <w:snapToGrid w:val="0"/>
        <w:spacing w:after="0" w:line="360" w:lineRule="auto"/>
        <w:jc w:val="left"/>
        <w:rPr>
          <w:rFonts w:ascii="宋体" w:hAnsi="宋体" w:cs="宋体"/>
          <w:bCs/>
          <w:color w:val="auto"/>
          <w:w w:val="150"/>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价格单位：人民币   元</w:t>
      </w:r>
    </w:p>
    <w:tbl>
      <w:tblPr>
        <w:tblStyle w:val="8"/>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4918"/>
        <w:gridCol w:w="2553"/>
      </w:tblGrid>
      <w:tr w14:paraId="1833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hRule="atLeast"/>
          <w:jc w:val="center"/>
        </w:trPr>
        <w:tc>
          <w:tcPr>
            <w:tcW w:w="1861" w:type="dxa"/>
            <w:noWrap/>
            <w:vAlign w:val="center"/>
          </w:tcPr>
          <w:p w14:paraId="6CD90AB0">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序号</w:t>
            </w:r>
          </w:p>
        </w:tc>
        <w:tc>
          <w:tcPr>
            <w:tcW w:w="4918" w:type="dxa"/>
            <w:noWrap/>
            <w:vAlign w:val="center"/>
          </w:tcPr>
          <w:p w14:paraId="2F1F7C3B">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内容</w:t>
            </w:r>
          </w:p>
        </w:tc>
        <w:tc>
          <w:tcPr>
            <w:tcW w:w="2553" w:type="dxa"/>
            <w:noWrap/>
            <w:vAlign w:val="center"/>
          </w:tcPr>
          <w:p w14:paraId="3343C8ED">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价格小计</w:t>
            </w:r>
          </w:p>
        </w:tc>
      </w:tr>
      <w:tr w14:paraId="720E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14:paraId="12B6D1C6">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1</w:t>
            </w:r>
          </w:p>
        </w:tc>
        <w:tc>
          <w:tcPr>
            <w:tcW w:w="4918" w:type="dxa"/>
            <w:noWrap/>
            <w:vAlign w:val="center"/>
          </w:tcPr>
          <w:p w14:paraId="7113A020">
            <w:pPr>
              <w:adjustRightInd w:val="0"/>
              <w:snapToGrid w:val="0"/>
              <w:spacing w:after="0" w:line="360" w:lineRule="auto"/>
              <w:jc w:val="both"/>
              <w:rPr>
                <w:rFonts w:hint="default" w:ascii="Times New Roman" w:hAnsi="Times New Roman" w:cs="Times New Roman"/>
                <w:color w:val="auto"/>
                <w:sz w:val="24"/>
                <w:szCs w:val="24"/>
                <w:highlight w:val="none"/>
              </w:rPr>
            </w:pPr>
            <w:r>
              <w:rPr>
                <w:rFonts w:hint="eastAsia"/>
                <w:kern w:val="0"/>
                <w:sz w:val="24"/>
                <w:szCs w:val="24"/>
                <w:lang w:eastAsia="zh-CN"/>
              </w:rPr>
              <w:t>基本费率，按照</w:t>
            </w:r>
            <w:r>
              <w:rPr>
                <w:rFonts w:hint="eastAsia"/>
                <w:kern w:val="0"/>
                <w:sz w:val="24"/>
                <w:szCs w:val="24"/>
              </w:rPr>
              <w:t>单一项目预算的千分比报价</w:t>
            </w:r>
            <w:r>
              <w:rPr>
                <w:rFonts w:hint="eastAsia"/>
                <w:kern w:val="0"/>
                <w:sz w:val="24"/>
                <w:szCs w:val="24"/>
                <w:lang w:eastAsia="zh-CN"/>
              </w:rPr>
              <w:t>，例</w:t>
            </w:r>
            <w:r>
              <w:rPr>
                <w:rFonts w:hint="eastAsia"/>
                <w:kern w:val="0"/>
                <w:sz w:val="24"/>
                <w:szCs w:val="24"/>
                <w:lang w:val="en-US" w:eastAsia="zh-CN"/>
              </w:rPr>
              <w:t>5‰</w:t>
            </w:r>
          </w:p>
        </w:tc>
        <w:tc>
          <w:tcPr>
            <w:tcW w:w="2553" w:type="dxa"/>
            <w:noWrap/>
            <w:vAlign w:val="center"/>
          </w:tcPr>
          <w:p w14:paraId="3FBA15E7">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p>
        </w:tc>
      </w:tr>
      <w:tr w14:paraId="6935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14:paraId="70F85BF6">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p>
        </w:tc>
        <w:tc>
          <w:tcPr>
            <w:tcW w:w="4918" w:type="dxa"/>
            <w:noWrap/>
            <w:vAlign w:val="center"/>
          </w:tcPr>
          <w:p w14:paraId="719A20B7">
            <w:pPr>
              <w:spacing w:line="460" w:lineRule="exact"/>
              <w:jc w:val="both"/>
              <w:rPr>
                <w:rFonts w:hint="default" w:ascii="Times New Roman" w:hAnsi="Times New Roman" w:cs="Times New Roman"/>
                <w:color w:val="auto"/>
                <w:sz w:val="24"/>
                <w:szCs w:val="24"/>
                <w:highlight w:val="none"/>
              </w:rPr>
            </w:pPr>
            <w:r>
              <w:rPr>
                <w:rFonts w:hint="eastAsia"/>
                <w:kern w:val="0"/>
                <w:sz w:val="24"/>
                <w:szCs w:val="24"/>
                <w:lang w:eastAsia="zh-CN"/>
              </w:rPr>
              <w:t>最低收费标准，按照</w:t>
            </w:r>
            <w:r>
              <w:rPr>
                <w:rFonts w:hint="eastAsia"/>
                <w:kern w:val="0"/>
                <w:sz w:val="24"/>
                <w:szCs w:val="24"/>
              </w:rPr>
              <w:t>单个项目评审费用最低收费标准</w:t>
            </w:r>
            <w:r>
              <w:rPr>
                <w:rFonts w:hint="eastAsia"/>
                <w:kern w:val="0"/>
                <w:sz w:val="24"/>
                <w:szCs w:val="24"/>
                <w:lang w:eastAsia="zh-CN"/>
              </w:rPr>
              <w:t>报价，例</w:t>
            </w:r>
            <w:r>
              <w:rPr>
                <w:rFonts w:hint="eastAsia"/>
                <w:kern w:val="0"/>
                <w:sz w:val="24"/>
                <w:szCs w:val="24"/>
                <w:lang w:val="en-US" w:eastAsia="zh-CN"/>
              </w:rPr>
              <w:t>5000元/个</w:t>
            </w:r>
          </w:p>
        </w:tc>
        <w:tc>
          <w:tcPr>
            <w:tcW w:w="2553" w:type="dxa"/>
            <w:noWrap/>
            <w:vAlign w:val="center"/>
          </w:tcPr>
          <w:p w14:paraId="36C5D459">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14:paraId="34AD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hRule="atLeast"/>
          <w:jc w:val="center"/>
        </w:trPr>
        <w:tc>
          <w:tcPr>
            <w:tcW w:w="6779" w:type="dxa"/>
            <w:gridSpan w:val="2"/>
            <w:noWrap/>
            <w:vAlign w:val="center"/>
          </w:tcPr>
          <w:p w14:paraId="12CAE6BF">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服务期</w:t>
            </w:r>
          </w:p>
        </w:tc>
        <w:tc>
          <w:tcPr>
            <w:tcW w:w="2553" w:type="dxa"/>
            <w:noWrap/>
            <w:vAlign w:val="center"/>
          </w:tcPr>
          <w:p w14:paraId="743D1F47">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14:paraId="6A0A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hRule="atLeast"/>
          <w:jc w:val="center"/>
        </w:trPr>
        <w:tc>
          <w:tcPr>
            <w:tcW w:w="6779" w:type="dxa"/>
            <w:gridSpan w:val="2"/>
            <w:noWrap/>
            <w:vAlign w:val="center"/>
          </w:tcPr>
          <w:p w14:paraId="326AB807">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p>
        </w:tc>
        <w:tc>
          <w:tcPr>
            <w:tcW w:w="2553" w:type="dxa"/>
            <w:noWrap/>
            <w:vAlign w:val="center"/>
          </w:tcPr>
          <w:p w14:paraId="14D5B5BB">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bl>
    <w:p w14:paraId="4E2B43C6">
      <w:pPr>
        <w:topLinePunct/>
        <w:autoSpaceDE w:val="0"/>
        <w:autoSpaceDN w:val="0"/>
        <w:spacing w:after="0" w:line="360" w:lineRule="auto"/>
        <w:rPr>
          <w:rFonts w:ascii="宋体" w:hAnsi="宋体" w:cs="宋体"/>
          <w:color w:val="auto"/>
          <w:sz w:val="24"/>
          <w:szCs w:val="24"/>
          <w:highlight w:val="none"/>
        </w:rPr>
      </w:pPr>
      <w:r>
        <w:rPr>
          <w:rFonts w:hint="eastAsia" w:ascii="宋体" w:hAnsi="宋体" w:cs="宋体"/>
          <w:color w:val="auto"/>
          <w:sz w:val="24"/>
          <w:szCs w:val="24"/>
          <w:highlight w:val="none"/>
        </w:rPr>
        <w:t>特别说明：</w:t>
      </w:r>
    </w:p>
    <w:p w14:paraId="5516D68C">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1.本项目总价及分项报价均不接受任何形式的赠送、“零”报价。</w:t>
      </w:r>
    </w:p>
    <w:p w14:paraId="04463CE5">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2.本项目执行中所发生的所有费用均计入报价中，采购人不再另行支付其他任何费用。</w:t>
      </w:r>
    </w:p>
    <w:p w14:paraId="64CA5FAB">
      <w:pPr>
        <w:tabs>
          <w:tab w:val="left" w:pos="1230"/>
        </w:tabs>
        <w:topLinePunct/>
        <w:autoSpaceDE w:val="0"/>
        <w:autoSpaceDN w:val="0"/>
        <w:adjustRightInd w:val="0"/>
        <w:snapToGrid w:val="0"/>
        <w:spacing w:after="0" w:line="360" w:lineRule="auto"/>
        <w:ind w:firstLine="480" w:firstLineChars="200"/>
        <w:rPr>
          <w:rFonts w:hint="eastAsia" w:ascii="Times New Roman" w:hAnsi="Times New Roman" w:cs="Times New Roman"/>
          <w:color w:val="auto"/>
          <w:kern w:val="0"/>
          <w:sz w:val="24"/>
          <w:szCs w:val="24"/>
          <w:highlight w:val="none"/>
          <w:lang w:eastAsia="zh-CN"/>
        </w:rPr>
      </w:pPr>
    </w:p>
    <w:p w14:paraId="7D5671A6">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供应商名称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38C1CF36">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2E8D3480">
      <w:pPr>
        <w:ind w:firstLine="480" w:firstLineChars="200"/>
        <w:rPr>
          <w:rFonts w:hint="eastAsia" w:ascii="宋体" w:hAnsi="宋体" w:eastAsia="宋体" w:cs="宋体"/>
          <w:b/>
          <w:bCs/>
          <w:kern w:val="2"/>
          <w:sz w:val="24"/>
          <w:szCs w:val="24"/>
          <w:lang w:val="en-US" w:eastAsia="zh-CN" w:bidi="ar-SA"/>
        </w:rPr>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br w:type="page"/>
      </w:r>
      <w:bookmarkStart w:id="9" w:name="_Toc29097"/>
      <w:r>
        <w:rPr>
          <w:rFonts w:hint="eastAsia" w:ascii="宋体" w:hAnsi="宋体" w:eastAsia="宋体" w:cs="宋体"/>
          <w:b/>
          <w:bCs/>
          <w:kern w:val="2"/>
          <w:sz w:val="28"/>
          <w:szCs w:val="28"/>
          <w:lang w:val="en-US" w:eastAsia="zh-CN" w:bidi="ar-SA"/>
        </w:rPr>
        <w:t>四、服务方案及履约能力要求</w:t>
      </w:r>
    </w:p>
    <w:p w14:paraId="2210A632">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1.供应商</w:t>
      </w:r>
      <w:r>
        <w:rPr>
          <w:rFonts w:hint="eastAsia" w:ascii="宋体" w:hAnsi="宋体" w:cs="宋体"/>
          <w:color w:val="auto"/>
          <w:sz w:val="24"/>
          <w:szCs w:val="24"/>
          <w:highlight w:val="none"/>
          <w:lang w:val="en-US" w:eastAsia="zh-CN" w:bidi="ar-SA"/>
        </w:rPr>
        <w:t>按照采购文件“四、评审方法”中的“评分因素及评分标准”中的要求，按顺序提供详细方案，自行编排序号。</w:t>
      </w:r>
    </w:p>
    <w:bookmarkEnd w:id="9"/>
    <w:p w14:paraId="3A398B9D">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rPr>
        <w:t>.供应商认为的其他内容。</w:t>
      </w:r>
    </w:p>
    <w:p w14:paraId="479C19A2">
      <w:pPr>
        <w:pStyle w:val="5"/>
        <w:rPr>
          <w:rFonts w:hint="eastAsia"/>
          <w:lang w:eastAsia="zh-CN"/>
        </w:rPr>
      </w:pPr>
    </w:p>
    <w:p w14:paraId="736DE18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14:paraId="4A81F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C6FA8"/>
    <w:multiLevelType w:val="singleLevel"/>
    <w:tmpl w:val="9E4C6FA8"/>
    <w:lvl w:ilvl="0" w:tentative="0">
      <w:start w:val="1"/>
      <w:numFmt w:val="decimal"/>
      <w:pStyle w:val="3"/>
      <w:lvlText w:val="%1."/>
      <w:lvlJc w:val="left"/>
      <w:pPr>
        <w:tabs>
          <w:tab w:val="left" w:pos="780"/>
        </w:tabs>
        <w:ind w:left="780" w:hanging="360"/>
      </w:pPr>
    </w:lvl>
  </w:abstractNum>
  <w:abstractNum w:abstractNumId="1">
    <w:nsid w:val="0C41F9CF"/>
    <w:multiLevelType w:val="singleLevel"/>
    <w:tmpl w:val="0C41F9CF"/>
    <w:lvl w:ilvl="0" w:tentative="0">
      <w:start w:val="4"/>
      <w:numFmt w:val="chineseCounting"/>
      <w:suff w:val="nothing"/>
      <w:lvlText w:val="%1、"/>
      <w:lvlJc w:val="left"/>
      <w:rPr>
        <w:rFonts w:hint="eastAsia"/>
      </w:rPr>
    </w:lvl>
  </w:abstractNum>
  <w:abstractNum w:abstractNumId="2">
    <w:nsid w:val="2AB630F4"/>
    <w:multiLevelType w:val="singleLevel"/>
    <w:tmpl w:val="2AB630F4"/>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4255B"/>
    <w:rsid w:val="00903DFB"/>
    <w:rsid w:val="02F20A11"/>
    <w:rsid w:val="063A707B"/>
    <w:rsid w:val="085605E5"/>
    <w:rsid w:val="09B577BF"/>
    <w:rsid w:val="0C453BB2"/>
    <w:rsid w:val="0CDC29EC"/>
    <w:rsid w:val="0E0F2474"/>
    <w:rsid w:val="0EB34157"/>
    <w:rsid w:val="0ED4255B"/>
    <w:rsid w:val="11B93D7D"/>
    <w:rsid w:val="134F4FF7"/>
    <w:rsid w:val="15106F6F"/>
    <w:rsid w:val="1CD138D2"/>
    <w:rsid w:val="1D970231"/>
    <w:rsid w:val="22117C8E"/>
    <w:rsid w:val="2B471063"/>
    <w:rsid w:val="2BDB22E1"/>
    <w:rsid w:val="2DF46725"/>
    <w:rsid w:val="31386B0F"/>
    <w:rsid w:val="326C3432"/>
    <w:rsid w:val="333E4AC7"/>
    <w:rsid w:val="336D7F90"/>
    <w:rsid w:val="3411780B"/>
    <w:rsid w:val="372AEBB4"/>
    <w:rsid w:val="37A414B0"/>
    <w:rsid w:val="3C5C5B3F"/>
    <w:rsid w:val="3D880732"/>
    <w:rsid w:val="3FC9E40F"/>
    <w:rsid w:val="40C829E7"/>
    <w:rsid w:val="410B3FDF"/>
    <w:rsid w:val="413D0F67"/>
    <w:rsid w:val="438746C0"/>
    <w:rsid w:val="44EB7AC0"/>
    <w:rsid w:val="4686187B"/>
    <w:rsid w:val="49224DC9"/>
    <w:rsid w:val="4931620C"/>
    <w:rsid w:val="4BF073BE"/>
    <w:rsid w:val="4EBB7F4F"/>
    <w:rsid w:val="501B2167"/>
    <w:rsid w:val="50250921"/>
    <w:rsid w:val="543A6D25"/>
    <w:rsid w:val="567B44BD"/>
    <w:rsid w:val="5777140F"/>
    <w:rsid w:val="57C43368"/>
    <w:rsid w:val="5A275A9C"/>
    <w:rsid w:val="5A462E64"/>
    <w:rsid w:val="5AAE7B97"/>
    <w:rsid w:val="5B802127"/>
    <w:rsid w:val="67C0623B"/>
    <w:rsid w:val="67E31136"/>
    <w:rsid w:val="67FD0721"/>
    <w:rsid w:val="6A6C4962"/>
    <w:rsid w:val="6AEB5B2A"/>
    <w:rsid w:val="6C5767B1"/>
    <w:rsid w:val="6E964735"/>
    <w:rsid w:val="6FD72747"/>
    <w:rsid w:val="70082A4B"/>
    <w:rsid w:val="703C59A1"/>
    <w:rsid w:val="70E35AC2"/>
    <w:rsid w:val="74C043BF"/>
    <w:rsid w:val="767DB7B4"/>
    <w:rsid w:val="76DF7C51"/>
    <w:rsid w:val="79465AC0"/>
    <w:rsid w:val="79681319"/>
    <w:rsid w:val="7A5F68DE"/>
    <w:rsid w:val="7CABD8C4"/>
    <w:rsid w:val="7CCC1A72"/>
    <w:rsid w:val="7FF75C66"/>
    <w:rsid w:val="B7FD1DE0"/>
    <w:rsid w:val="BFBB791D"/>
    <w:rsid w:val="BFEFCA08"/>
    <w:rsid w:val="E77DF410"/>
    <w:rsid w:val="E78F153B"/>
    <w:rsid w:val="F55EDE7C"/>
    <w:rsid w:val="F7AF077F"/>
    <w:rsid w:val="FFDBA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5"/>
    <w:basedOn w:val="3"/>
    <w:next w:val="4"/>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1"/>
    <w:basedOn w:val="1"/>
    <w:qFormat/>
    <w:uiPriority w:val="0"/>
    <w:pPr>
      <w:spacing w:line="360" w:lineRule="auto"/>
      <w:ind w:firstLine="640" w:firstLineChars="200"/>
    </w:pPr>
    <w:rPr>
      <w:rFonts w:ascii="仿宋_GB2312" w:hAnsi="仿宋_GB2312" w:eastAsia="仿宋_GB2312" w:cs="仿宋_GB2312"/>
      <w:sz w:val="32"/>
      <w:szCs w:val="32"/>
    </w:rPr>
  </w:style>
  <w:style w:type="character" w:customStyle="1" w:styleId="12">
    <w:name w:val="font31"/>
    <w:basedOn w:val="10"/>
    <w:qFormat/>
    <w:uiPriority w:val="0"/>
    <w:rPr>
      <w:rFonts w:hint="default" w:ascii="仿宋_GB2312" w:eastAsia="仿宋_GB2312" w:cs="仿宋_GB2312"/>
      <w:color w:val="FF0000"/>
      <w:sz w:val="21"/>
      <w:szCs w:val="21"/>
      <w:u w:val="none"/>
    </w:rPr>
  </w:style>
  <w:style w:type="character" w:customStyle="1" w:styleId="13">
    <w:name w:val="font11"/>
    <w:basedOn w:val="10"/>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185</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2026-04-02T23:55:00Z</dcterms:created>
  <dc:creator>许艺珊</dc:creator>
  <cp:lastModifiedBy>greatwall</cp:lastModifiedBy>
  <dcterms:modified xsi:type="dcterms:W3CDTF">2026-05-06T09:41:42Z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DDB3D4DEEC6E25AA044BDC690154B62B_42</vt:lpwstr>
  </property>
</Properties>
</file>