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国家税务总局天津市红桥区税务局2026年机关食堂食材采购项目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2026年04月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3.2采购产品一览表</w:t>
        </w:r>
        <w:r>
          <w:tab/>
        </w:r>
        <w:r>
          <w:fldChar w:fldCharType="begin"/>
        </w:r>
        <w:r>
          <w:instrText xml:space="preserve"> PAGEREF _Toc256000021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3.3采购产品详细清单及技术指标</w:t>
        </w:r>
        <w:r>
          <w:tab/>
        </w:r>
        <w:r>
          <w:fldChar w:fldCharType="begin"/>
        </w:r>
        <w:r>
          <w:instrText xml:space="preserve"> PAGEREF _Toc256000022 \h </w:instrText>
        </w:r>
        <w:r>
          <w:fldChar w:fldCharType="separate"/>
        </w:r>
        <w:r>
          <w:t>10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3.4服务要求</w:t>
        </w:r>
        <w:r>
          <w:tab/>
        </w:r>
        <w:r>
          <w:fldChar w:fldCharType="begin"/>
        </w:r>
        <w:r>
          <w:instrText xml:space="preserve"> PAGEREF _Toc256000023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3.5其他要求</w:t>
        </w:r>
        <w:r>
          <w:tab/>
        </w:r>
        <w:r>
          <w:fldChar w:fldCharType="begin"/>
        </w:r>
        <w:r>
          <w:instrText xml:space="preserve"> PAGEREF _Toc256000024 \h </w:instrText>
        </w:r>
        <w:r>
          <w:fldChar w:fldCharType="separate"/>
        </w:r>
        <w:r>
          <w:t>12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3.5.1质量安全把控服务要求</w:t>
        </w:r>
        <w:r>
          <w:tab/>
        </w:r>
        <w:r>
          <w:fldChar w:fldCharType="begin"/>
        </w:r>
        <w:r>
          <w:instrText xml:space="preserve"> PAGEREF _Toc256000025 \h </w:instrText>
        </w:r>
        <w:r>
          <w:fldChar w:fldCharType="separate"/>
        </w:r>
        <w:r>
          <w:t>12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3.5.2供应方案要求</w:t>
        </w:r>
        <w:r>
          <w:tab/>
        </w:r>
        <w:r>
          <w:fldChar w:fldCharType="begin"/>
        </w:r>
        <w:r>
          <w:instrText xml:space="preserve"> PAGEREF _Toc256000026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kern w:val="36"/>
          </w:rPr>
          <w:t>4人员要求</w:t>
        </w:r>
        <w:r>
          <w:tab/>
        </w:r>
        <w:r>
          <w:fldChar w:fldCharType="begin"/>
        </w:r>
        <w:r>
          <w:instrText xml:space="preserve"> PAGEREF _Toc256000027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4.1团队要求</w:t>
        </w:r>
        <w:r>
          <w:tab/>
        </w:r>
        <w:r>
          <w:fldChar w:fldCharType="begin"/>
        </w:r>
        <w:r>
          <w:instrText xml:space="preserve"> PAGEREF _Toc256000028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4.1.1基本要求</w:t>
        </w:r>
        <w:r>
          <w:tab/>
        </w:r>
        <w:r>
          <w:fldChar w:fldCharType="begin"/>
        </w:r>
        <w:r>
          <w:instrText xml:space="preserve"> PAGEREF _Toc256000029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rPr>
          <w:t>4.1.2优选资质/优选指标</w:t>
        </w:r>
        <w:r>
          <w:tab/>
        </w:r>
        <w:r>
          <w:fldChar w:fldCharType="begin"/>
        </w:r>
        <w:r>
          <w:instrText xml:space="preserve"> PAGEREF _Toc256000030 \h </w:instrText>
        </w:r>
        <w:r>
          <w:fldChar w:fldCharType="separate"/>
        </w:r>
        <w:r>
          <w:t>14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5管理实施要求</w:t>
        </w:r>
        <w:r>
          <w:tab/>
        </w:r>
        <w:r>
          <w:fldChar w:fldCharType="begin"/>
        </w:r>
        <w:r>
          <w:instrText xml:space="preserve"> PAGEREF _Toc256000031 \h </w:instrText>
        </w:r>
        <w:r>
          <w:fldChar w:fldCharType="separate"/>
        </w:r>
        <w:r>
          <w:t>14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6风险管控要求</w:t>
        </w:r>
        <w:r>
          <w:tab/>
        </w:r>
        <w:r>
          <w:fldChar w:fldCharType="begin"/>
        </w:r>
        <w:r>
          <w:instrText xml:space="preserve"> PAGEREF _Toc256000032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6.1</w:t>
        </w:r>
        <w:r>
          <w:rPr>
            <w:rStyle w:val="Hyperlink"/>
            <w:rFonts w:ascii="仿宋_GB2312" w:eastAsia="仿宋_GB2312" w:hAnsi="仿宋_GB2312" w:cs="仿宋_GB2312"/>
          </w:rPr>
          <w:t>应急保障方案要求</w:t>
        </w:r>
        <w:r>
          <w:tab/>
        </w:r>
        <w:r>
          <w:fldChar w:fldCharType="begin"/>
        </w:r>
        <w:r>
          <w:instrText xml:space="preserve"> PAGEREF _Toc256000033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6.2</w:t>
        </w:r>
        <w:r>
          <w:rPr>
            <w:rStyle w:val="Hyperlink"/>
            <w:rFonts w:ascii="仿宋_GB2312" w:eastAsia="仿宋_GB2312" w:hAnsi="仿宋_GB2312" w:cs="仿宋_GB2312"/>
          </w:rPr>
          <w:t>违约风险管控要求</w:t>
        </w:r>
        <w:r>
          <w:tab/>
        </w:r>
        <w:r>
          <w:fldChar w:fldCharType="begin"/>
        </w:r>
        <w:r>
          <w:instrText xml:space="preserve"> PAGEREF _Toc256000034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6.1应急保障方案要求</w:t>
        </w:r>
        <w:r>
          <w:tab/>
        </w:r>
        <w:r>
          <w:fldChar w:fldCharType="begin"/>
        </w:r>
        <w:r>
          <w:instrText xml:space="preserve"> PAGEREF _Toc256000035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6.2违约风险管控要求</w:t>
        </w:r>
        <w:r>
          <w:tab/>
        </w:r>
        <w:r>
          <w:fldChar w:fldCharType="begin"/>
        </w:r>
        <w:r>
          <w:instrText xml:space="preserve"> PAGEREF _Toc256000036 \h </w:instrText>
        </w:r>
        <w:r>
          <w:fldChar w:fldCharType="separate"/>
        </w:r>
        <w:r>
          <w:t>15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kern w:val="36"/>
          </w:rPr>
          <w:t>7履约验收要求</w:t>
        </w:r>
        <w:r>
          <w:tab/>
        </w:r>
        <w:r>
          <w:fldChar w:fldCharType="begin"/>
        </w:r>
        <w:r>
          <w:instrText xml:space="preserve"> PAGEREF _Toc256000037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7.1总体要求</w:t>
        </w:r>
        <w:r>
          <w:tab/>
        </w:r>
        <w:r>
          <w:fldChar w:fldCharType="begin"/>
        </w:r>
        <w:r>
          <w:instrText xml:space="preserve"> PAGEREF _Toc256000038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7.2具体要求</w:t>
        </w:r>
        <w:r>
          <w:tab/>
        </w:r>
        <w:r>
          <w:fldChar w:fldCharType="begin"/>
        </w:r>
        <w:r>
          <w:instrText xml:space="preserve"> PAGEREF _Toc256000039 \h </w:instrText>
        </w:r>
        <w:r>
          <w:fldChar w:fldCharType="separate"/>
        </w:r>
        <w:r>
          <w:t>15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kern w:val="36"/>
          </w:rPr>
          <w:t>8其他要求</w:t>
        </w:r>
        <w:r>
          <w:tab/>
        </w:r>
        <w:r>
          <w:fldChar w:fldCharType="begin"/>
        </w:r>
        <w:r>
          <w:instrText xml:space="preserve"> PAGEREF _Toc256000040 \h </w:instrText>
        </w:r>
        <w:r>
          <w:fldChar w:fldCharType="separate"/>
        </w:r>
        <w:r>
          <w:t>17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8.1定价和结算要求</w:t>
        </w:r>
        <w:r>
          <w:tab/>
        </w:r>
        <w:r>
          <w:fldChar w:fldCharType="begin"/>
        </w:r>
        <w:r>
          <w:instrText xml:space="preserve"> PAGEREF _Toc256000041 \h </w:instrText>
        </w:r>
        <w:r>
          <w:fldChar w:fldCharType="separate"/>
        </w:r>
        <w:r>
          <w:t>17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8.2必备要求</w:t>
        </w:r>
        <w:r>
          <w:tab/>
        </w:r>
        <w:r>
          <w:fldChar w:fldCharType="begin"/>
        </w:r>
        <w:r>
          <w:instrText xml:space="preserve"> PAGEREF _Toc256000042 \h </w:instrText>
        </w:r>
        <w:r>
          <w:fldChar w:fldCharType="separate"/>
        </w:r>
        <w:r>
          <w:t>17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3" w:history="1">
        <w:r>
          <w:rPr>
            <w:rStyle w:val="Hyperlink"/>
            <w:rFonts w:ascii="仿宋_GB2312" w:eastAsia="仿宋_GB2312" w:hAnsi="仿宋_GB2312" w:cs="仿宋_GB2312"/>
          </w:rPr>
          <w:t>8.2.1通用必备要求</w:t>
        </w:r>
        <w:r>
          <w:tab/>
        </w:r>
        <w:r>
          <w:fldChar w:fldCharType="begin"/>
        </w:r>
        <w:r>
          <w:instrText xml:space="preserve"> PAGEREF _Toc256000043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4" w:history="1">
        <w:r>
          <w:rPr>
            <w:rStyle w:val="Hyperlink"/>
            <w:rFonts w:ascii="仿宋_GB2312" w:eastAsia="仿宋_GB2312" w:hAnsi="仿宋_GB2312" w:cs="仿宋_GB2312"/>
          </w:rPr>
          <w:t>8.3付款安排建议</w:t>
        </w:r>
        <w:r>
          <w:tab/>
        </w:r>
        <w:r>
          <w:fldChar w:fldCharType="begin"/>
        </w:r>
        <w:r>
          <w:instrText xml:space="preserve"> PAGEREF _Toc256000044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5" w:history="1">
        <w:r>
          <w:rPr>
            <w:rStyle w:val="Hyperlink"/>
            <w:rFonts w:ascii="仿宋_GB2312" w:eastAsia="仿宋_GB2312" w:hAnsi="仿宋_GB2312" w:cs="仿宋_GB2312"/>
          </w:rPr>
          <w:t>8.4其他要求</w:t>
        </w:r>
        <w:r>
          <w:tab/>
        </w:r>
        <w:r>
          <w:fldChar w:fldCharType="begin"/>
        </w:r>
        <w:r>
          <w:instrText xml:space="preserve"> PAGEREF _Toc256000045 \h </w:instrText>
        </w:r>
        <w:r>
          <w:fldChar w:fldCharType="separate"/>
        </w:r>
        <w:r>
          <w:t>18</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6" w:history="1">
        <w:r>
          <w:rPr>
            <w:rStyle w:val="Hyperlink"/>
            <w:rFonts w:ascii="仿宋_GB2312" w:eastAsia="仿宋_GB2312" w:hAnsi="仿宋_GB2312" w:cs="仿宋_GB2312"/>
          </w:rPr>
          <w:t>8.4.1保密要求</w:t>
        </w:r>
        <w:r>
          <w:tab/>
        </w:r>
        <w:r>
          <w:fldChar w:fldCharType="begin"/>
        </w:r>
        <w:r>
          <w:instrText xml:space="preserve"> PAGEREF _Toc256000046 \h </w:instrText>
        </w:r>
        <w:r>
          <w:fldChar w:fldCharType="separate"/>
        </w:r>
        <w:r>
          <w:t>18</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7" w:history="1">
        <w:r>
          <w:rPr>
            <w:rStyle w:val="Hyperlink"/>
            <w:rFonts w:ascii="仿宋_GB2312" w:eastAsia="仿宋_GB2312" w:hAnsi="仿宋_GB2312" w:cs="仿宋_GB2312"/>
          </w:rPr>
          <w:t>8.4.2知识产权要求</w:t>
        </w:r>
        <w:r>
          <w:tab/>
        </w:r>
        <w:r>
          <w:fldChar w:fldCharType="begin"/>
        </w:r>
        <w:r>
          <w:instrText xml:space="preserve"> PAGEREF _Toc256000047 \h </w:instrText>
        </w:r>
        <w:r>
          <w:fldChar w:fldCharType="separate"/>
        </w:r>
        <w:r>
          <w:t>19</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202</w:t>
      </w:r>
      <w:r>
        <w:rPr>
          <w:rFonts w:ascii="仿宋_GB2312" w:eastAsia="仿宋_GB2312" w:hAnsi="仿宋_GB2312" w:cs="仿宋_GB2312"/>
          <w:sz w:val="28"/>
          <w:szCs w:val="28"/>
        </w:rPr>
        <w:t>6</w:t>
      </w:r>
      <w:r>
        <w:rPr>
          <w:rFonts w:ascii="仿宋_GB2312" w:eastAsia="仿宋_GB2312" w:hAnsi="仿宋_GB2312" w:cs="仿宋_GB2312"/>
          <w:sz w:val="28"/>
          <w:szCs w:val="28"/>
        </w:rPr>
        <w:t>年区局机关食堂食材采购项目，为区局机关食堂提供鲜冻禽畜肉类、果蔬水产奶制品以及主副食调料等，采购预算为</w:t>
      </w:r>
      <w:r>
        <w:rPr>
          <w:rFonts w:ascii="仿宋_GB2312" w:eastAsia="仿宋_GB2312" w:hAnsi="仿宋_GB2312" w:cs="仿宋_GB2312"/>
          <w:sz w:val="28"/>
          <w:szCs w:val="28"/>
        </w:rPr>
        <w:t>人民币</w:t>
      </w:r>
      <w:r>
        <w:rPr>
          <w:rFonts w:ascii="仿宋_GB2312" w:eastAsia="仿宋_GB2312" w:hAnsi="仿宋_GB2312" w:cs="仿宋_GB2312"/>
          <w:sz w:val="28"/>
          <w:szCs w:val="28"/>
        </w:rPr>
        <w:t>268</w:t>
      </w:r>
      <w:r>
        <w:rPr>
          <w:rFonts w:ascii="仿宋_GB2312" w:eastAsia="仿宋_GB2312" w:hAnsi="仿宋_GB2312" w:cs="仿宋_GB2312"/>
          <w:sz w:val="28"/>
          <w:szCs w:val="28"/>
        </w:rPr>
        <w:t>.</w:t>
      </w:r>
      <w:r>
        <w:rPr>
          <w:rFonts w:ascii="仿宋_GB2312" w:eastAsia="仿宋_GB2312" w:hAnsi="仿宋_GB2312" w:cs="仿宋_GB2312"/>
          <w:sz w:val="28"/>
          <w:szCs w:val="28"/>
        </w:rPr>
        <w:t>00</w:t>
      </w:r>
      <w:r>
        <w:rPr>
          <w:rFonts w:ascii="仿宋_GB2312" w:eastAsia="仿宋_GB2312" w:hAnsi="仿宋_GB2312" w:cs="仿宋_GB2312"/>
          <w:sz w:val="28"/>
          <w:szCs w:val="28"/>
        </w:rPr>
        <w:t>万</w:t>
      </w:r>
      <w:r>
        <w:rPr>
          <w:rFonts w:ascii="仿宋_GB2312" w:eastAsia="仿宋_GB2312" w:hAnsi="仿宋_GB2312" w:cs="仿宋_GB2312"/>
          <w:sz w:val="28"/>
          <w:szCs w:val="28"/>
        </w:rPr>
        <w:t>元，供应商按照费率投标报价，按实际采购量进行结算，总结算金额不超过采购预算。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left="0" w:right="0" w:firstLine="497"/>
        <w:jc w:val="both"/>
        <w:rPr>
          <w:rFonts w:ascii="Times New Roman" w:eastAsia="Times New Roman" w:hAnsi="Times New Roman" w:cs="Times New Roman"/>
        </w:rPr>
      </w:pPr>
      <w:r>
        <w:rPr>
          <w:rFonts w:ascii="仿宋_GB2312" w:eastAsia="仿宋_GB2312" w:hAnsi="仿宋_GB2312" w:cs="仿宋_GB2312"/>
          <w:spacing w:val="0"/>
          <w:sz w:val="28"/>
          <w:szCs w:val="28"/>
        </w:rPr>
        <w:t>本项目旨在为区局机关食堂提供质优价廉的鲜冻禽畜肉类、果蔬水产奶制品以及主副食调料等食材，在确保区局机关食品安全的基础上，提供高效便捷的服务。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ind w:firstLine="497"/>
        <w:jc w:val="both"/>
        <w:rPr>
          <w:rFonts w:ascii="Times New Roman" w:eastAsia="Times New Roman" w:hAnsi="Times New Roman" w:cs="Times New Roman"/>
        </w:rPr>
      </w:pPr>
      <w:r>
        <w:rPr>
          <w:rFonts w:ascii="仿宋_GB2312" w:eastAsia="仿宋_GB2312" w:hAnsi="仿宋_GB2312" w:cs="仿宋_GB2312"/>
          <w:sz w:val="28"/>
          <w:szCs w:val="28"/>
        </w:rPr>
        <w:t>采购内容为国家税务总局天津市红桥区税务局机关食堂所需</w:t>
      </w:r>
      <w:r>
        <w:rPr>
          <w:rFonts w:ascii="仿宋_GB2312" w:eastAsia="仿宋_GB2312" w:hAnsi="仿宋_GB2312" w:cs="仿宋_GB2312"/>
          <w:spacing w:val="0"/>
          <w:sz w:val="28"/>
          <w:szCs w:val="28"/>
        </w:rPr>
        <w:t>鲜冻禽畜肉类、果蔬水产奶制品以及主副食调料等食材</w:t>
      </w:r>
      <w:r>
        <w:rPr>
          <w:rFonts w:ascii="仿宋_GB2312" w:eastAsia="仿宋_GB2312" w:hAnsi="仿宋_GB2312" w:cs="仿宋_GB2312"/>
          <w:sz w:val="28"/>
          <w:szCs w:val="28"/>
        </w:rPr>
        <w:t>，含相应配送。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480"/>
        <w:jc w:val="both"/>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按照采购人需求，为区局机关提供</w:t>
      </w:r>
      <w:r>
        <w:rPr>
          <w:rFonts w:ascii="仿宋_GB2312" w:eastAsia="仿宋_GB2312" w:hAnsi="仿宋_GB2312" w:cs="仿宋_GB2312"/>
          <w:spacing w:val="0"/>
          <w:sz w:val="28"/>
          <w:szCs w:val="28"/>
        </w:rPr>
        <w:t>202</w:t>
      </w:r>
      <w:r>
        <w:rPr>
          <w:rFonts w:ascii="仿宋_GB2312" w:eastAsia="仿宋_GB2312" w:hAnsi="仿宋_GB2312" w:cs="仿宋_GB2312"/>
          <w:spacing w:val="0"/>
          <w:sz w:val="28"/>
          <w:szCs w:val="28"/>
        </w:rPr>
        <w:t>6</w:t>
      </w:r>
      <w:r>
        <w:rPr>
          <w:rFonts w:ascii="仿宋_GB2312" w:eastAsia="仿宋_GB2312" w:hAnsi="仿宋_GB2312" w:cs="仿宋_GB2312"/>
          <w:spacing w:val="0"/>
          <w:sz w:val="28"/>
          <w:szCs w:val="28"/>
        </w:rPr>
        <w:t>年度鲜冻禽畜肉类、果蔬水产奶制品以及主副食调料等食材，并提供简单加工及配送服务。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202</w:t>
      </w:r>
      <w:r>
        <w:rPr>
          <w:rFonts w:ascii="仿宋_GB2312" w:eastAsia="仿宋_GB2312" w:hAnsi="仿宋_GB2312" w:cs="仿宋_GB2312"/>
          <w:sz w:val="28"/>
          <w:szCs w:val="28"/>
        </w:rPr>
        <w:t>6</w:t>
      </w:r>
      <w:r>
        <w:rPr>
          <w:rFonts w:ascii="仿宋_GB2312" w:eastAsia="仿宋_GB2312" w:hAnsi="仿宋_GB2312" w:cs="仿宋_GB2312"/>
          <w:sz w:val="28"/>
          <w:szCs w:val="28"/>
        </w:rPr>
        <w:t>年</w:t>
      </w:r>
      <w:r>
        <w:rPr>
          <w:rFonts w:ascii="仿宋_GB2312" w:eastAsia="仿宋_GB2312" w:hAnsi="仿宋_GB2312" w:cs="仿宋_GB2312"/>
          <w:sz w:val="28"/>
          <w:szCs w:val="28"/>
        </w:rPr>
        <w:t>7月1日至202</w:t>
      </w:r>
      <w:r>
        <w:rPr>
          <w:rFonts w:ascii="仿宋_GB2312" w:eastAsia="仿宋_GB2312" w:hAnsi="仿宋_GB2312" w:cs="仿宋_GB2312"/>
          <w:sz w:val="28"/>
          <w:szCs w:val="28"/>
        </w:rPr>
        <w:t>7</w:t>
      </w:r>
      <w:r>
        <w:rPr>
          <w:rFonts w:ascii="仿宋_GB2312" w:eastAsia="仿宋_GB2312" w:hAnsi="仿宋_GB2312" w:cs="仿宋_GB2312"/>
          <w:sz w:val="28"/>
          <w:szCs w:val="28"/>
        </w:rPr>
        <w:t>年</w:t>
      </w:r>
      <w:r>
        <w:rPr>
          <w:rFonts w:ascii="仿宋_GB2312" w:eastAsia="仿宋_GB2312" w:hAnsi="仿宋_GB2312" w:cs="仿宋_GB2312"/>
          <w:sz w:val="28"/>
          <w:szCs w:val="28"/>
        </w:rPr>
        <w:t>6月30日。</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国家税务总局天津市红桥区税务局芥园道办公区机关食堂（天津市红桥区芥园道</w:t>
      </w:r>
      <w:r>
        <w:rPr>
          <w:rFonts w:ascii="仿宋_GB2312" w:eastAsia="仿宋_GB2312" w:hAnsi="仿宋_GB2312" w:cs="仿宋_GB2312"/>
          <w:sz w:val="28"/>
          <w:szCs w:val="28"/>
        </w:rPr>
        <w:t>8号）、国家税务总局天津市红桥区税务局光荣道办公区机关食堂（天津市红桥区光荣道24号）。</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无</w:t>
      </w:r>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供应商具有《食品经营许可证》或《食品生产许可证》。仅提供《食品生产许可证》的，许可范围应包括除食用农产品外的全部供应品类。</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33"/>
        <w:gridCol w:w="4198"/>
        <w:gridCol w:w="419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 ）</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 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w:t>
      </w:r>
      <w:r>
        <w:rPr>
          <w:rFonts w:ascii="仿宋_GB2312" w:eastAsia="仿宋_GB2312" w:hAnsi="仿宋_GB2312" w:cs="仿宋_GB2312"/>
          <w:sz w:val="28"/>
          <w:szCs w:val="28"/>
        </w:rPr>
        <w:t>3</w:t>
      </w:r>
      <w:r>
        <w:rPr>
          <w:rFonts w:ascii="仿宋_GB2312" w:eastAsia="仿宋_GB2312" w:hAnsi="仿宋_GB2312" w:cs="仿宋_GB2312"/>
          <w:sz w:val="28"/>
          <w:szCs w:val="28"/>
        </w:rPr>
        <w:t>年</w:t>
      </w:r>
      <w:r>
        <w:rPr>
          <w:rFonts w:ascii="仿宋_GB2312" w:eastAsia="仿宋_GB2312" w:hAnsi="仿宋_GB2312" w:cs="仿宋_GB2312"/>
          <w:sz w:val="28"/>
          <w:szCs w:val="28"/>
        </w:rPr>
        <w:t>1月1日以来（以合同签订日期为准），供应商独立承担的食材供应项目案例（必须包含鲜冻禽畜肉类、果蔬水产奶制品以及主副食调料等食材），予以加分考虑。</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根据《关于推动解决政府采购异常低价问题的通知》（财库</w:t>
      </w:r>
      <w:r>
        <w:rPr>
          <w:rFonts w:ascii="华文仿宋" w:eastAsia="华文仿宋" w:hAnsi="华文仿宋" w:cs="华文仿宋"/>
          <w:spacing w:val="0"/>
          <w:sz w:val="28"/>
          <w:szCs w:val="28"/>
        </w:rPr>
        <w:t>〔</w:t>
      </w:r>
      <w:r>
        <w:rPr>
          <w:rFonts w:ascii="华文仿宋" w:eastAsia="华文仿宋" w:hAnsi="华文仿宋" w:cs="华文仿宋"/>
          <w:spacing w:val="0"/>
          <w:sz w:val="28"/>
          <w:szCs w:val="28"/>
        </w:rPr>
        <w:t>2026〕2号</w:t>
      </w:r>
      <w:r>
        <w:rPr>
          <w:rFonts w:ascii="仿宋_GB2312" w:eastAsia="仿宋_GB2312" w:hAnsi="仿宋_GB2312" w:cs="仿宋_GB2312"/>
          <w:spacing w:val="0"/>
          <w:sz w:val="28"/>
          <w:szCs w:val="28"/>
        </w:rPr>
        <w:t>）文件要求，</w:t>
      </w:r>
      <w:r>
        <w:rPr>
          <w:rFonts w:ascii="仿宋_GB2312" w:eastAsia="仿宋_GB2312" w:hAnsi="仿宋_GB2312" w:cs="仿宋_GB2312"/>
          <w:spacing w:val="0"/>
          <w:sz w:val="28"/>
          <w:szCs w:val="28"/>
        </w:rPr>
        <w:t>当供应商报价出现以下情形之一时，评标委员会应当启动对该供应商的异常低价审查程序：</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1.供应商报价＜全部通过符合性审查供应商报价平均值</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65%；</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2.供应商报价＜通过符合性审查的次低供应商报价</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65%；</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3.供应商报价＜最高限价</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65%；</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4.评标委员会基于专业判断，认为供应商报价过低，有可能影响产品质量或者不能诚信履约的其他情形。</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本项所称</w:t>
      </w:r>
      <w:r>
        <w:rPr>
          <w:rFonts w:ascii="仿宋_GB2312" w:eastAsia="仿宋_GB2312" w:hAnsi="仿宋_GB2312" w:cs="仿宋_GB2312"/>
          <w:spacing w:val="0"/>
          <w:sz w:val="28"/>
          <w:szCs w:val="28"/>
        </w:rPr>
        <w:t>“最高限价”是指所报费率的最高限价的100%。</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供应商须承诺所提供的货物、人员符合相关国家强制性规定。具体需求详见项目需求、人员要求、管理实施要求、风险管控要求、履约验收要求及其他要求。</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MsoNormal"/>
        <w:spacing w:before="0" w:after="0" w:line="360" w:lineRule="auto"/>
        <w:ind w:left="0" w:right="0" w:firstLine="561"/>
      </w:pPr>
      <w:r>
        <w:rPr>
          <w:rFonts w:ascii="仿宋_GB2312" w:eastAsia="仿宋_GB2312" w:hAnsi="仿宋_GB2312" w:cs="仿宋_GB2312"/>
          <w:sz w:val="28"/>
          <w:szCs w:val="28"/>
        </w:rPr>
        <w:t>以下相关</w:t>
      </w:r>
      <w:r>
        <w:rPr>
          <w:rFonts w:ascii="仿宋_GB2312" w:eastAsia="仿宋_GB2312" w:hAnsi="仿宋_GB2312" w:cs="仿宋_GB2312"/>
          <w:sz w:val="28"/>
          <w:szCs w:val="28"/>
        </w:rPr>
        <w:t>方案，作为评审因素，则投标人应在满足关键指标项要求的前提下，根据项目特点和采购需求，制定更为完整、详细、可操作性强的方案。</w:t>
      </w:r>
    </w:p>
    <w:p>
      <w:pPr>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1.针对本项目特点的专业化服务方案评价:供应商应详细阐述对本项目需求的理解，包含针对本项目的食材配送方案。</w:t>
      </w:r>
    </w:p>
    <w:p>
      <w:pPr>
        <w:pStyle w:val="MsoNormal"/>
        <w:spacing w:before="0" w:after="0" w:line="360" w:lineRule="auto"/>
        <w:ind w:left="0" w:right="0" w:firstLine="561"/>
      </w:pPr>
      <w:r>
        <w:rPr>
          <w:rFonts w:ascii="仿宋_GB2312" w:eastAsia="仿宋_GB2312" w:hAnsi="仿宋_GB2312" w:cs="仿宋_GB2312"/>
          <w:sz w:val="28"/>
          <w:szCs w:val="28"/>
        </w:rPr>
        <w:t>2.配送及时性准时性措施：供应商应详细阐述如何保证本项目准时送达的方案措施，包含日常食材准时送达的方案、采购人紧急采购食材准时送达方案，以及未按时送达时的挽回方案。</w:t>
      </w:r>
    </w:p>
    <w:p>
      <w:pPr>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3.质量安全把控方案：供应商应详细阐述如何供应食材质量把控措施、检验检疫关键环节把控、不符合质量标准货品处置等。</w:t>
      </w:r>
    </w:p>
    <w:p>
      <w:pPr>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4.供应方案：供应商应详细阐述如何提供服务团队管理措施、内部采购管理措施、储存分拣管理措施、科学合理运输措施。</w:t>
      </w:r>
    </w:p>
    <w:p>
      <w:pPr>
        <w:pStyle w:val="MsoNormal"/>
        <w:spacing w:before="0" w:after="0" w:line="360" w:lineRule="auto"/>
        <w:ind w:left="0" w:right="0" w:firstLine="561"/>
      </w:pPr>
      <w:r>
        <w:t> </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3.2采购产品一览表</w:t>
      </w:r>
      <w:bookmarkEnd w:id="24"/>
    </w:p>
    <w:tbl>
      <w:tblPr>
        <w:tblW w:w="5000" w:type="pct"/>
        <w:tblInd w:w="30" w:type="dxa"/>
        <w:tblCellMar>
          <w:top w:w="15" w:type="dxa"/>
          <w:left w:w="15" w:type="dxa"/>
          <w:bottom w:w="15" w:type="dxa"/>
          <w:right w:w="15" w:type="dxa"/>
        </w:tblCellMar>
      </w:tblPr>
      <w:tblGrid>
        <w:gridCol w:w="905"/>
        <w:gridCol w:w="1964"/>
        <w:gridCol w:w="1644"/>
        <w:gridCol w:w="1610"/>
        <w:gridCol w:w="1604"/>
        <w:gridCol w:w="1604"/>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葱头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莴笋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西兰花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西葫芦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金针菇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茼蒿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玉米棒子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芋头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脐橙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芒果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火龙果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哈密瓜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柚子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目鱼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鲅鱼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鲽鱼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猪精瘦肉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猪鲜肉馅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猪五花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牛肋条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牛腱子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羊肋排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整鸭</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骨肉相连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毛肚</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蚕豆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耗油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椒盐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孜然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复合调料粉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酵母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小苏打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泡打粉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吉利丁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点心调味粉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速冻水饺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春卷皮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蛋挞皮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披萨皮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瓜子仁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蜂蜜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3.3采购产品详细清单及技术指标</w:t>
      </w:r>
      <w:bookmarkEnd w:id="2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52"/>
        <w:gridCol w:w="835"/>
        <w:gridCol w:w="2553"/>
        <w:gridCol w:w="25593"/>
        <w:gridCol w:w="644"/>
        <w:gridCol w:w="1603"/>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（1）食品必须符合国家饮食卫生标准，同时保证食品新鲜，不得出现腐烂、变质，以次充好等情况；肉类的理化指标及卫生标准符合国家或采购人所在地区最新标准执行。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 按规定必须经由法定食品检验机构检测的食品，投标人应在交货时向采购人提供同批次食品检验报告或合格证（复印件加盖公章）；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包装食品标注生产厂家，生产日期，并在保质期范围内，保持较好的外观；蔬菜和水果化学药物不超标，保持较好的色泽及新鲜度，无黄叶、泥沙；水产品品质新鲜质量安全；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（5）所有食材的来源清晰，蔬菜来源于受到地方政府部门监管的自有基地、商品菜基地或蔬菜专业流通市场，不供应散户溯源不清的蔬菜；保证所供肉类渠道来源正规可溯，参考正规市场品质及来源。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不含非食品用化学物质、无杂质。以小麦、大米为原料的面条、米线颜色呈白色、乳白色、奶黄色，色亮不发灰发暗。表面结构细密、光滑。软硬适中，爽口不粘牙，口感光滑，具有清香，无异味。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1)供应当季各类新鲜蔬菜以及大棚种植蔬菜，蔬菜类无黄叶、枯死叶，无虫，无杂质，原菜菜面干净、无明显泥土、码放整齐、无破损、大小基本统一、不得过熟或欠熟.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心肝、腰子类：品质新鲜、外形完整、无异味、无病变、无凝血块、无血污、泥污、颜色正常。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肚：品质新鲜、外形完整、无溃疡面及其他病变现象、无内容物、无粘膜、无边油。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大肠、肥肠类：品质新鲜、无破损、无病变组织、无肠头细毛、无内容物、去净粘膜。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舌：品质新鲜、外形完整、无病变、无异物、无舌苔、附肉少、无血污、泥污。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耳：品质新鲜、外形完整、无溃烂、病斑、无破损。</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蹄爪类：品质新鲜、去蹄壳、不带蹄筋、刮除粗毛、细毛及趾间黑垢、无松香残留。</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蹄筋类：品质新鲜、无色透明、表面光亮、无油脂、无精肉、无充血现象、顺直、干燥。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猪心：淡红色，脂肪乳白色稍红色，结实，有弹性，外形完整，心房内无瘀血，无凝血块，无病变，气味正常。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猪肝：红褐色或棕黄色，有光泽，湿润，略有弹性，组织结实微密，肝叶完整，无脂肪，胆囊、粗输、胆管、无寄生虫、炎症水泡、薄膜，无胆汁污染，微有鱼腥味。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猪口条：品质新鲜，外形完整，无根附着的肌肉、舌骨、舌苔、脂肪、无病伤，无异物。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色泽：颜色比冷却肉鲜明，在表面切开处为浅玫瑰色至灰色，用手或热刀触之，立显示鲜红色。脂肪猪、羊为白色，牛为淡黄色。肌腱为白色，石灰色。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外表：无杂质，无肌肉风干现象，无白、黄、绿斑、紫斑、污血、过多冰衣无白霜、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气味：化冻时，有肉的正常味，略潮，没有熟肉味。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包装：按标准部位分割外包装无破损有生产日期。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眼球：无干缩凹陷或晶体状浑浊现象。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外表：具有其固有表皮颜色、肌肉切面有光泽、无绿、紫等异常颜色、无残羽（在脖、翅等处无较长细毛）、无破损、无残缺、新切面不发粘。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气味：具有其固有气味、无异味。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鸡爪：品质新鲜、呈白色或灰白色、无黄皮趾壳、无血污、血水、无残缺、脚趾根上无黑斑、允许有少量红斑。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鸡翅：品质新鲜、无残羽、无黄衣、无伤斑及溃烂、无血水血污、允许有少数斑、允许剪修但最大范围不超转弯关节处。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鸡腿：无残羽、无血水、血污、品质新鲜、无残骨无伤斑及溃烂、炎症、允许有少数红斑、外形美观。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鸡胸肉：品质新鲜、无残羽、无血水、血污、无残骨、无伤斑、溃烂、炎症，允许有少数红斑。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鸡肝：品质新鲜、外形完整、去胆、无寄生虫、炎症、水泡，无胆汁污染无血渍。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鸡胗：品质新鲜、外形完整无内容物、鸡内金、腺胃、肠管及脂肪，无出血、瘀血、病变。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鸡心：品质新鲜、褐红色，脂肪稍红，组织结实，有弹性，心房内无瘀血、病变，气味正常。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鸡脖：品质新鲜、去劲部皮、无羽毛、无血污。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鸡头：品质新鲜、外形完整、无伤斑、无溃烂、无血污。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色泽：外观滋润，呈乳白或微黄色。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外表：基本无血脉、风干现象，无白、黄绿、紫斑、无冰衣，解冻后与鲜禽特征相同。</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气味：无腐臭气味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包装：分割部件应符合标准，外包装完好、商标规格、产品说明清晰完整。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供应非转基因食用油。外观的色泽、透明度、气味滋味等无异常，定型包装。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大豆油质量标准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符合质量标准GB/T1535-2017，质量等级一级，色泽为淡黄至浅黄色，冷冻实验澄清、透明，无异味、口感好，水分及挥发物质含量≤0.10%，不溶性杂质含量≤0.05%，酸价≤0.50ng/g，过氧化值≤5.0mmol/kg,烟点≥190℃。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须保证食品干净，不含非食品用化学物质，按统一标准加工，码放整齐，无须二次处理可以直接进行熟加工。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i w:val="0"/>
          <w:iCs w:val="0"/>
        </w:rPr>
        <w:t>3.4服务要求</w:t>
      </w:r>
      <w:bookmarkEnd w:id="26"/>
    </w:p>
    <w:tbl>
      <w:tblPr>
        <w:tblW w:w="5000" w:type="pct"/>
        <w:tblInd w:w="30" w:type="dxa"/>
        <w:tblCellMar>
          <w:top w:w="15" w:type="dxa"/>
          <w:left w:w="15" w:type="dxa"/>
          <w:bottom w:w="15" w:type="dxa"/>
          <w:right w:w="15" w:type="dxa"/>
        </w:tblCellMar>
      </w:tblPr>
      <w:tblGrid>
        <w:gridCol w:w="496"/>
        <w:gridCol w:w="1754"/>
        <w:gridCol w:w="2174"/>
        <w:gridCol w:w="2086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投标人自有或租赁冷库，冷库面积不小于80平米或容积不少于200吨；能够满足按采购人需求完成配送任务，确保两个办公区同时送货。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投标人自有或租赁配送中心，面积不小于300平米。能够满足按采购人需求完成配送任务，确保两个办公区同时送货。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投标人应自有或固定租赁2台以上冷藏车辆，确保24小时响应，按采购人需求完成配送任务，确保两个办公区同时送货。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果蔬供应链能力要求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投标人具有自有或签约供货的蔬菜、水果基地之一。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具有自有、签约的猪肉屠宰、加工厂或者直销、代理、经销商资格之一。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具有自有、签约的牛肉屠宰、加工厂或者直销、代理、经销商资格之一。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具有自有、签约的羊肉屠宰、加工厂或者直销、代理、经销商资格之一。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具有自有、签约的禽肉屠宰、加工厂或者直销、代理、经销商资格之一。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具有自有或签约的食用油加工厂或者直销、代理、经销商资格之一。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投标人具有自有或签约供货的水产生产工厂或者直销、代理、经销商资格之一。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具有自有或签约的牛奶生产工厂或者直销、代理、经销商资格之一。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1月1日以来具有果蔬水产奶制品类、鲜冻禽畜肉类、主副食调料等其他类食材（含本包拟配送食材）的进货内容。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能够完成本合同采购食材的简易加工，如鲜冻禽畜肉的切丝、丁、块、片等；鱼类宰杀去鳃去鳞去内脏、蔬菜洗净削皮等。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生鲜肉蛋奶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采购人按期（日）向投标人发布采购内容，投标人应在送货前一个工作日与采购人核对确认采购内容无误后，在次日6点前配送至采购人指定验收地点。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3.5其他要求</w:t>
      </w:r>
      <w:bookmarkEnd w:id="27"/>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无</w:t>
      </w:r>
    </w:p>
    <w:p>
      <w:pPr>
        <w:pStyle w:val="Heading3"/>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sz w:val="28"/>
          <w:szCs w:val="28"/>
        </w:rPr>
        <w:t>3.5.1质量安全把控服务要求</w:t>
      </w:r>
      <w:bookmarkEnd w:id="28"/>
    </w:p>
    <w:p>
      <w:pPr>
        <w:pStyle w:val="17"/>
        <w:spacing w:before="0" w:after="0" w:line="360" w:lineRule="auto"/>
        <w:ind w:firstLine="642"/>
        <w:rPr>
          <w:rFonts w:ascii="Times New Roman" w:eastAsia="Times New Roman" w:hAnsi="Times New Roman" w:cs="Times New Roman"/>
        </w:rPr>
      </w:pPr>
      <w:r>
        <w:rPr>
          <w:rFonts w:ascii="仿宋_GB2312" w:eastAsia="仿宋_GB2312" w:hAnsi="仿宋_GB2312" w:cs="仿宋_GB2312"/>
          <w:sz w:val="28"/>
          <w:szCs w:val="28"/>
        </w:rPr>
        <w:t>1.投标人应提供质量安全把控方案。方案内容详细描述供应货物质量把控措施、检验检疫关键环节把控、不符合质量标准货品处置等内容，确保提供食材安全可靠。</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4）掺假、掺杂、伪造，影响营养、卫生的；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5）用非食品原料加工的，加入非食品用化学物质或者将非食品当作食品的；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6）超过保质期限的；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7）使用有色、有毒塑料制品、包装食材的；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8）其他不符合《食品安全法》和《产品质量法》等相关规定的。</w:t>
      </w:r>
    </w:p>
    <w:p>
      <w:pPr>
        <w:pStyle w:val="16"/>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3"/>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sz w:val="28"/>
          <w:szCs w:val="28"/>
        </w:rPr>
        <w:t>3.5.2供应方案要求</w:t>
      </w:r>
      <w:bookmarkEnd w:id="29"/>
    </w:p>
    <w:p>
      <w:pPr>
        <w:pStyle w:val="MsoNormal"/>
        <w:spacing w:before="0" w:after="0" w:line="360" w:lineRule="auto"/>
        <w:ind w:left="0" w:right="0" w:firstLine="560"/>
      </w:pPr>
      <w:r>
        <w:rPr>
          <w:rFonts w:ascii="仿宋_GB2312" w:eastAsia="仿宋_GB2312" w:hAnsi="仿宋_GB2312" w:cs="仿宋_GB2312"/>
          <w:sz w:val="28"/>
          <w:szCs w:val="28"/>
        </w:rPr>
        <w:t>投标人应提交科学合理的供应方案。方案应包含服务团队管理措施、内部采购管理措施、储存分拣管理措施、科学合理运输措施等。</w:t>
      </w:r>
    </w:p>
    <w:p>
      <w:pPr>
        <w:pStyle w:val="Heading1"/>
        <w:keepNext w:val="0"/>
        <w:spacing w:before="0" w:after="0" w:line="360" w:lineRule="auto"/>
        <w:jc w:val="center"/>
        <w:rPr>
          <w:rFonts w:ascii="仿宋_GB2312" w:eastAsia="仿宋_GB2312" w:hAnsi="仿宋_GB2312" w:cs="仿宋_GB2312"/>
          <w:b/>
          <w:bCs/>
          <w:sz w:val="32"/>
          <w:szCs w:val="32"/>
        </w:rPr>
      </w:pPr>
      <w:bookmarkStart w:id="30" w:name="_Toc256000027"/>
      <w:r>
        <w:rPr>
          <w:rFonts w:ascii="仿宋_GB2312" w:eastAsia="仿宋_GB2312" w:hAnsi="仿宋_GB2312" w:cs="仿宋_GB2312"/>
          <w:kern w:val="36"/>
        </w:rPr>
        <w:t>4人员要求</w:t>
      </w:r>
      <w:bookmarkEnd w:id="30"/>
    </w:p>
    <w:p>
      <w:pPr>
        <w:pStyle w:val="Heading2"/>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i w:val="0"/>
          <w:iCs w:val="0"/>
        </w:rPr>
        <w:t>4.1团队要求</w:t>
      </w:r>
      <w:bookmarkEnd w:id="31"/>
    </w:p>
    <w:p>
      <w:pPr>
        <w:pStyle w:val="Heading3"/>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sz w:val="28"/>
          <w:szCs w:val="28"/>
        </w:rPr>
        <w:t>4.1.1基本要求</w:t>
      </w:r>
      <w:bookmarkEnd w:id="32"/>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1.投标人应提供专业的管理和采购团队，团队编制和人员资质务必保证运营服务质量。提供的服务团队应保持稳定，承诺项目执行期间人员变动不超过20%。</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b/>
          <w:bCs/>
          <w:sz w:val="28"/>
          <w:szCs w:val="28"/>
        </w:rPr>
        <w:t>2. 投标人服务团队须配有以下人员，出具盖有投标人公章的服务团队人员名单。</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b/>
          <w:bCs/>
          <w:sz w:val="28"/>
          <w:szCs w:val="28"/>
        </w:rPr>
        <w:t>为本项目提供的服务团队中所有人员必须提供缴纳社保证明材料，除会计外必须具有从业人员健康证明，否则不予认可。</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1）经理1人，具有5年以上食材供应项目管理工作经验。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2）供应业务员2人，具有3年及以上食材供应项目工作经验。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3）食品安全管理员1人，具有3年及以上食品安全管理工作经验。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4）采购员2人，具有3年及以上食材采购工作经验。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5）配送司机2名，具有3年以上相关工作经验。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以上人员在服务过程中应热情服务、遵规守法，具备较强的沟通能力和临时紧急配送调换的处置能力。</w:t>
      </w:r>
    </w:p>
    <w:p>
      <w:pPr>
        <w:pStyle w:val="Heading3"/>
        <w:keepNext w:val="0"/>
        <w:spacing w:before="0" w:after="0" w:line="360" w:lineRule="auto"/>
        <w:rPr>
          <w:rFonts w:ascii="仿宋_GB2312" w:eastAsia="仿宋_GB2312" w:hAnsi="仿宋_GB2312" w:cs="仿宋_GB2312"/>
          <w:b/>
          <w:bCs/>
          <w:sz w:val="28"/>
          <w:szCs w:val="28"/>
        </w:rPr>
      </w:pPr>
      <w:bookmarkStart w:id="33" w:name="_Toc256000030"/>
      <w:r>
        <w:rPr>
          <w:rFonts w:ascii="仿宋_GB2312" w:eastAsia="仿宋_GB2312" w:hAnsi="仿宋_GB2312" w:cs="仿宋_GB2312"/>
          <w:sz w:val="28"/>
          <w:szCs w:val="28"/>
        </w:rPr>
        <w:t>4.1.2优选资质/优选指标</w:t>
      </w:r>
      <w:bookmarkEnd w:id="33"/>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5管理实施要求</w:t>
      </w:r>
      <w:bookmarkEnd w:id="34"/>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6风险管控要求</w:t>
      </w:r>
      <w:bookmarkEnd w:id="35"/>
    </w:p>
    <w:p>
      <w:pPr>
        <w:pStyle w:val="Heading3"/>
        <w:keepNext w:val="0"/>
        <w:spacing w:before="0" w:after="0" w:line="360" w:lineRule="auto"/>
        <w:rPr>
          <w:rFonts w:ascii="Arial" w:eastAsia="Arial" w:hAnsi="Arial" w:cs="Arial"/>
          <w:b/>
          <w:bCs/>
          <w:sz w:val="26"/>
          <w:szCs w:val="26"/>
        </w:rPr>
      </w:pPr>
      <w:bookmarkStart w:id="36" w:name="_Toc256000033"/>
      <w:r>
        <w:rPr>
          <w:rFonts w:ascii="仿宋_GB2312" w:eastAsia="仿宋_GB2312" w:hAnsi="仿宋_GB2312" w:cs="仿宋_GB2312"/>
          <w:sz w:val="28"/>
          <w:szCs w:val="28"/>
        </w:rPr>
        <w:t>6.1</w:t>
      </w:r>
      <w:r>
        <w:rPr>
          <w:rFonts w:ascii="仿宋_GB2312" w:eastAsia="仿宋_GB2312" w:hAnsi="仿宋_GB2312" w:cs="仿宋_GB2312"/>
          <w:sz w:val="28"/>
          <w:szCs w:val="28"/>
        </w:rPr>
        <w:t>应急保障方案要求</w:t>
      </w:r>
      <w:bookmarkEnd w:id="36"/>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投标人应提供在自然灾害、极端事件、市场关闭、物资紧缺等突发紧急情况下拟采取的应急保障方案，包括充分供应、按时保障、质量管控等措施，确保区局食材及时供应不间断。</w:t>
      </w:r>
    </w:p>
    <w:p>
      <w:pPr>
        <w:pStyle w:val="Heading3"/>
        <w:keepNext w:val="0"/>
        <w:spacing w:before="0" w:after="0" w:line="360" w:lineRule="auto"/>
        <w:rPr>
          <w:rFonts w:ascii="Arial" w:eastAsia="Arial" w:hAnsi="Arial" w:cs="Arial"/>
          <w:b/>
          <w:bCs/>
          <w:sz w:val="26"/>
          <w:szCs w:val="26"/>
        </w:rPr>
      </w:pPr>
      <w:bookmarkStart w:id="37" w:name="_Toc256000034"/>
      <w:r>
        <w:rPr>
          <w:rFonts w:ascii="仿宋_GB2312" w:eastAsia="仿宋_GB2312" w:hAnsi="仿宋_GB2312" w:cs="仿宋_GB2312"/>
          <w:sz w:val="28"/>
          <w:szCs w:val="28"/>
        </w:rPr>
        <w:t>6.2</w:t>
      </w:r>
      <w:r>
        <w:rPr>
          <w:rFonts w:ascii="仿宋_GB2312" w:eastAsia="仿宋_GB2312" w:hAnsi="仿宋_GB2312" w:cs="仿宋_GB2312"/>
          <w:sz w:val="28"/>
          <w:szCs w:val="28"/>
        </w:rPr>
        <w:t>违约风险管控要求</w:t>
      </w:r>
      <w:bookmarkEnd w:id="37"/>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1.投标人中标后采用先送货后结账的模式，不收取履约保证金。有下列情形之一的，采购人有权按照以下约定及合同违约相关条款处理：</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1）因投标人配送不及时导致采购人供餐延误并造成重大影响的；</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2）凡经相关部门认定，因投标人所提供的原料原因造成采购人食堂出现食物中毒等卫生安全事故的，投标人除必须承担全部的法律责任外，还要全额承担因食物中毒发生所造成后果的一切费用；</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3）除不可抗力及采购人原因外，因投标人配送不及时导致采购人伙食供应延时，但经投标人采取补救措施未造成采购人不良影响的，出现三次终止供货合同；</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4）凡投标人向采购人提供产品发生质量问题影响食用，并拒绝退换的；</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5）采购人将不定期组织专人对食材进行抽检，若发现质量不符，采购人有权要求予以退换货。</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2.投标人有下列情形之一的，采购人有权解除合同，由投标人承担全部经济损失和相关责任：</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1）投标人以书面、微信、短信等方式通知采购人不再供货，包括对部分食材不再供货；</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2）投标人虽未通知采购人不再供货，但1天没有供应采购人采购的货物，包括对部分食材没有供货；</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3）投标人未经采购人同意单方面提价的。</w:t>
      </w:r>
    </w:p>
    <w:p>
      <w:pPr>
        <w:pStyle w:val="Heading2"/>
        <w:keepNext w:val="0"/>
        <w:spacing w:before="0" w:after="0" w:line="360" w:lineRule="auto"/>
        <w:rPr>
          <w:rFonts w:ascii="仿宋_GB2312" w:eastAsia="仿宋_GB2312" w:hAnsi="仿宋_GB2312" w:cs="仿宋_GB2312"/>
          <w:b/>
          <w:bCs/>
          <w:sz w:val="28"/>
          <w:szCs w:val="28"/>
        </w:rPr>
      </w:pPr>
      <w:bookmarkStart w:id="38" w:name="_Toc256000035"/>
      <w:r>
        <w:rPr>
          <w:rFonts w:ascii="仿宋_GB2312" w:eastAsia="仿宋_GB2312" w:hAnsi="仿宋_GB2312" w:cs="仿宋_GB2312"/>
          <w:i w:val="0"/>
          <w:iCs w:val="0"/>
        </w:rPr>
        <w:t>6.1应急保障方案要求</w:t>
      </w:r>
      <w:bookmarkEnd w:id="38"/>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投标人应提供在自然灾害、极端事件、市场关闭、物资紧缺等突发紧急情况下拟采取的应急保障方案，包括充分供应、按时保障、质量管控等措施，确保区局食材及时供应不间断。</w:t>
      </w:r>
    </w:p>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6.2违约风险管控要求</w:t>
      </w:r>
      <w:bookmarkEnd w:id="39"/>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1.投标人中标后采用先送货后结账的模式，不收取履约保证金。有下列情形之一的，采购人有权按照以下约定及合同违约相关条款处理：</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1）因投标人配送不及时导致采购人供餐延误并造成重大影响的；</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2）凡经相关部门认定，因投标人所提供的原料原因造成采购人食堂出现食物中毒等卫生安全事故的，投标人除必须承担全部的法律责任外，还要全额承担因食物中毒发生所造成后果的一切费用；</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3）除不可抗力及采购人原因外，因投标人配送不及时导致采购人伙食供应延时，但经投标人采取补救措施未造成采购人不良影响的，出现三次终止供货合同；</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4）凡投标人向采购人提供产品发生质量问题影响食用，并拒绝退换的；</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5）采购人将不定期组织专人对食材进行抽检，若发现质量不符，采购人有权要求予以退换货。</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2.投标人有下列情形之一的，采购人有权解除合同，由投标人承担全部经济损失和相关责任：</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1）投标人以书面、微信、短信等方式通知采购人不再供货，包括对部分食材不再供货；</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2）投标人虽未通知采购人不再供货，但1天没有供应采购人采购的货物，包括对部分食材没有供货；</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3）投标人未经采购人同意单方面提价的。</w:t>
      </w:r>
    </w:p>
    <w:p>
      <w:pPr>
        <w:pStyle w:val="Heading1"/>
        <w:keepNext w:val="0"/>
        <w:spacing w:before="0" w:after="0" w:line="360" w:lineRule="auto"/>
        <w:jc w:val="center"/>
        <w:rPr>
          <w:rFonts w:ascii="仿宋_GB2312" w:eastAsia="仿宋_GB2312" w:hAnsi="仿宋_GB2312" w:cs="仿宋_GB2312"/>
          <w:b/>
          <w:bCs/>
          <w:sz w:val="32"/>
          <w:szCs w:val="32"/>
        </w:rPr>
      </w:pPr>
      <w:bookmarkStart w:id="40" w:name="_Toc256000037"/>
      <w:r>
        <w:rPr>
          <w:rFonts w:ascii="仿宋_GB2312" w:eastAsia="仿宋_GB2312" w:hAnsi="仿宋_GB2312" w:cs="仿宋_GB2312"/>
          <w:kern w:val="36"/>
        </w:rPr>
        <w:t>7履约验收要求</w:t>
      </w:r>
      <w:bookmarkEnd w:id="40"/>
    </w:p>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7.1总体要求</w:t>
      </w:r>
      <w:bookmarkEnd w:id="41"/>
    </w:p>
    <w:tbl>
      <w:tblPr>
        <w:tblW w:w="5000" w:type="pct"/>
        <w:tblInd w:w="30" w:type="dxa"/>
        <w:tblCellMar>
          <w:top w:w="15" w:type="dxa"/>
          <w:left w:w="15" w:type="dxa"/>
          <w:bottom w:w="15" w:type="dxa"/>
          <w:right w:w="15" w:type="dxa"/>
        </w:tblCellMar>
      </w:tblPr>
      <w:tblGrid>
        <w:gridCol w:w="917"/>
        <w:gridCol w:w="1666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.验收人员：由采购人食堂管理人员、库房管理人员组成验收小组，投标人送货人员应积极配合验收。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2.验收时间和地点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（1）验收时间：到货当天。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（2）验收地点：国家税务总局天津市红桥区税务局机关食堂（天津市红桥区芥园道8号）、国家税务总局天津市红桥区税务局光荣道办公区机关食堂（天津市红桥区光荣道24号）。</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（3）验收组织形式：采购人组织验收。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（4）验收方式：现场验收。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（5）验收内容: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（a）质量是否符合约定标准；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（b）重量、数量、价格是否与采购人的预定需求一致。</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按月验收。</w:t>
            </w:r>
          </w:p>
        </w:tc>
      </w:tr>
    </w:tbl>
    <w:p>
      <w:pPr>
        <w:pStyle w:val="Heading2"/>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i w:val="0"/>
          <w:iCs w:val="0"/>
        </w:rPr>
        <w:t>7.2具体要求</w:t>
      </w:r>
      <w:bookmarkEnd w:id="42"/>
    </w:p>
    <w:p>
      <w:pPr>
        <w:pStyle w:val="16"/>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1.验收场所的准备</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应当在固定的场所进行验收，采购人定期清扫消毒，保持清洁，保证无积尘、无食品残渣，无霉斑、鼠迹、苍蝇、蟑螂，验收场所不准存放有毒、有害物品及个人生活用品。</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2.验收小组按订单对采购货物的品种、质量、数量进行检查验收，对货不对版、质量不好、价格明显过于偏高的食材不予验收，对于数量不足的食材，按照实际数量入账，填制验收记录和验收单。</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3.验收流程</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1）投标人应在验收时提供与送货内容一致的送货单，并加盖公章。</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2）卸货前的检查。验收人员卸货前应对货物的外观质量进行初步了解。</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3）采取当场验收的方式，验收人认真检查货物，按核对品种→索证→抽查(检测）→数量、重量、质量、价格验收→签名确认→入库的程序完成验收。</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要求投标人提供产品质量检测报告及卫生合格报告书，肉类产品应提供当地卫生部门开具的动物检验检疫合格票、产品检疫合格证，蔬菜类应提供农药残留检测结果，证明内容与产品内容要一致。投标人以提供原件为主，不能留原件的提供复印件。</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4）发现食品质量安全问题的处理：</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抽查时发现食品质量不过关或影响食用安全的，对当日所送同批次产品全部退货。</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若抽查未发现问题，按储藏要求储藏后在加工食用前发现产品质量问题的，投标人必须退货或更换。</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4.退（补）货流程</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仿宋_GB2312" w:eastAsia="仿宋_GB2312" w:hAnsi="仿宋_GB2312" w:cs="仿宋_GB2312"/>
          <w:sz w:val="32"/>
          <w:szCs w:val="32"/>
        </w:rPr>
        <w:t>1小时内补送订单品种。</w:t>
      </w:r>
    </w:p>
    <w:p>
      <w:pPr>
        <w:pStyle w:val="16"/>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32"/>
          <w:szCs w:val="32"/>
        </w:rPr>
        <w:t>5.鲜活鱼类需进行宰杀处理，如去麟去腮去内脏等，净膛的统一按0.8的出成率计算净膛价。</w:t>
      </w:r>
    </w:p>
    <w:p>
      <w:pPr>
        <w:pStyle w:val="16"/>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32"/>
          <w:szCs w:val="32"/>
        </w:rPr>
        <w:t>6.部分蔬菜需进行简易处理，如去皮摘叶摘筋等，统一按0.85的出成率计算净菜价。</w:t>
      </w:r>
    </w:p>
    <w:p>
      <w:pPr>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7.包装带箱、筐的食材按照去除箱、筐后的重量计算。投标人需配合采购人库管人员进行倒筐称重，共同签字确认。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bookmarkStart w:id="43" w:name="_Toc256000040"/>
      <w:r>
        <w:rPr>
          <w:rFonts w:ascii="仿宋_GB2312" w:eastAsia="仿宋_GB2312" w:hAnsi="仿宋_GB2312" w:cs="仿宋_GB2312"/>
          <w:kern w:val="36"/>
        </w:rPr>
        <w:t>8其他要求</w:t>
      </w:r>
      <w:bookmarkEnd w:id="43"/>
    </w:p>
    <w:p>
      <w:pPr>
        <w:pStyle w:val="Heading2"/>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i w:val="0"/>
          <w:iCs w:val="0"/>
        </w:rPr>
        <w:t>8.1定价和结算要求</w:t>
      </w:r>
      <w:bookmarkEnd w:id="44"/>
    </w:p>
    <w:p>
      <w:pPr>
        <w:pStyle w:val="16"/>
        <w:spacing w:before="0" w:after="0" w:line="360" w:lineRule="auto"/>
        <w:ind w:firstLine="560"/>
        <w:textAlignment w:val="baseline"/>
        <w:rPr>
          <w:rFonts w:ascii="Times New Roman" w:eastAsia="Times New Roman" w:hAnsi="Times New Roman" w:cs="Times New Roman"/>
        </w:rPr>
      </w:pPr>
      <w:r>
        <w:rPr>
          <w:rFonts w:ascii="仿宋_GB2312" w:eastAsia="仿宋_GB2312" w:hAnsi="仿宋_GB2312" w:cs="仿宋_GB2312"/>
          <w:sz w:val="28"/>
          <w:szCs w:val="28"/>
        </w:rPr>
        <w:t>1.定价要求</w:t>
      </w:r>
    </w:p>
    <w:p>
      <w:pPr>
        <w:pStyle w:val="16"/>
        <w:spacing w:before="0" w:after="0" w:line="360" w:lineRule="auto"/>
        <w:ind w:firstLine="560"/>
        <w:textAlignment w:val="baseline"/>
        <w:rPr>
          <w:rFonts w:ascii="Times New Roman" w:eastAsia="Times New Roman" w:hAnsi="Times New Roman" w:cs="Times New Roman"/>
        </w:rPr>
      </w:pPr>
      <w:r>
        <w:rPr>
          <w:rFonts w:ascii="仿宋_GB2312" w:eastAsia="仿宋_GB2312" w:hAnsi="仿宋_GB2312" w:cs="仿宋_GB2312"/>
          <w:sz w:val="28"/>
          <w:szCs w:val="28"/>
        </w:rPr>
        <w:t>费率</w:t>
      </w:r>
      <w:r>
        <w:rPr>
          <w:rFonts w:ascii="仿宋_GB2312" w:eastAsia="仿宋_GB2312" w:hAnsi="仿宋_GB2312" w:cs="仿宋_GB2312"/>
          <w:sz w:val="28"/>
          <w:szCs w:val="28"/>
        </w:rPr>
        <w:t>=投标总价/预算金额，</w:t>
      </w:r>
    </w:p>
    <w:p>
      <w:pPr>
        <w:pStyle w:val="16"/>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结算价格</w:t>
      </w:r>
      <w:r>
        <w:rPr>
          <w:rFonts w:ascii="仿宋_GB2312" w:eastAsia="仿宋_GB2312" w:hAnsi="仿宋_GB2312" w:cs="仿宋_GB2312"/>
          <w:sz w:val="28"/>
          <w:szCs w:val="28"/>
        </w:rPr>
        <w:t>=中标供应商所报综合折扣×基础价格×</w:t>
      </w:r>
      <w:r>
        <w:rPr>
          <w:rFonts w:ascii="仿宋_GB2312" w:eastAsia="仿宋_GB2312" w:hAnsi="仿宋_GB2312" w:cs="仿宋_GB2312"/>
          <w:sz w:val="28"/>
          <w:szCs w:val="28"/>
        </w:rPr>
        <w:t>0.9</w:t>
      </w:r>
      <w:r>
        <w:rPr>
          <w:rFonts w:ascii="仿宋_GB2312" w:eastAsia="仿宋_GB2312" w:hAnsi="仿宋_GB2312" w:cs="仿宋_GB2312"/>
          <w:sz w:val="28"/>
          <w:szCs w:val="28"/>
        </w:rPr>
        <w:t>。</w:t>
      </w:r>
    </w:p>
    <w:p>
      <w:pPr>
        <w:pStyle w:val="16"/>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基础价格：依次参照多点</w:t>
      </w:r>
      <w:r>
        <w:rPr>
          <w:rFonts w:ascii="仿宋_GB2312" w:eastAsia="仿宋_GB2312" w:hAnsi="仿宋_GB2312" w:cs="仿宋_GB2312"/>
          <w:sz w:val="28"/>
          <w:szCs w:val="28"/>
        </w:rPr>
        <w:t>APP、七鲜APP、华润万家</w:t>
      </w:r>
      <w:r>
        <w:rPr>
          <w:rFonts w:ascii="仿宋_GB2312" w:eastAsia="仿宋_GB2312" w:hAnsi="仿宋_GB2312" w:cs="仿宋_GB2312"/>
          <w:sz w:val="28"/>
          <w:szCs w:val="28"/>
        </w:rPr>
        <w:t>APP</w:t>
      </w:r>
      <w:r>
        <w:rPr>
          <w:rFonts w:ascii="仿宋_GB2312" w:eastAsia="仿宋_GB2312" w:hAnsi="仿宋_GB2312" w:cs="仿宋_GB2312"/>
          <w:sz w:val="28"/>
          <w:szCs w:val="28"/>
        </w:rPr>
        <w:t>、美团</w:t>
      </w:r>
      <w:r>
        <w:rPr>
          <w:rFonts w:ascii="仿宋_GB2312" w:eastAsia="仿宋_GB2312" w:hAnsi="仿宋_GB2312" w:cs="仿宋_GB2312"/>
          <w:sz w:val="28"/>
          <w:szCs w:val="28"/>
        </w:rPr>
        <w:t>APP</w:t>
      </w:r>
      <w:r>
        <w:rPr>
          <w:rFonts w:ascii="仿宋_GB2312" w:eastAsia="仿宋_GB2312" w:hAnsi="仿宋_GB2312" w:cs="仿宋_GB2312"/>
          <w:sz w:val="28"/>
          <w:szCs w:val="28"/>
        </w:rPr>
        <w:t>进行定价，定价单位为</w:t>
      </w:r>
      <w:r>
        <w:rPr>
          <w:rFonts w:ascii="仿宋_GB2312" w:eastAsia="仿宋_GB2312" w:hAnsi="仿宋_GB2312" w:cs="仿宋_GB2312"/>
          <w:sz w:val="28"/>
          <w:szCs w:val="28"/>
        </w:rPr>
        <w:t>500克，零售商品有多个规格的，以最大规格的每500克价格为定价依据，确定具体的基础价格。基础价格为配送食材当日价格。</w:t>
      </w:r>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所报综合折扣＞</w:t>
      </w:r>
      <w:r>
        <w:rPr>
          <w:rFonts w:ascii="仿宋_GB2312" w:eastAsia="仿宋_GB2312" w:hAnsi="仿宋_GB2312" w:cs="仿宋_GB2312"/>
          <w:sz w:val="28"/>
          <w:szCs w:val="28"/>
        </w:rPr>
        <w:t>100%，视为无效投标。</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各供应商请充分考虑自身情况及本项目要求的前提下，填报折扣。根据本项目实际情况及客观要求，请各供应商理解并充分考虑相关风险。在合同履行过程中，</w:t>
      </w:r>
      <w:r>
        <w:rPr>
          <w:rFonts w:ascii="仿宋_GB2312" w:eastAsia="仿宋_GB2312" w:hAnsi="仿宋_GB2312" w:cs="仿宋_GB2312"/>
          <w:sz w:val="28"/>
          <w:szCs w:val="28"/>
        </w:rPr>
        <w:t>供应商应及时记录并保存上述平台中食材价格截图，</w:t>
      </w:r>
      <w:r>
        <w:rPr>
          <w:rFonts w:ascii="仿宋_GB2312" w:eastAsia="仿宋_GB2312" w:hAnsi="仿宋_GB2312" w:cs="仿宋_GB2312"/>
          <w:sz w:val="28"/>
          <w:szCs w:val="28"/>
        </w:rPr>
        <w:t>采购人将定期对食材价格进行核价</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i w:val="0"/>
          <w:iCs w:val="0"/>
        </w:rPr>
        <w:t>8.2必备要求</w:t>
      </w:r>
      <w:bookmarkEnd w:id="45"/>
    </w:p>
    <w:p>
      <w:pPr>
        <w:pStyle w:val="Heading3"/>
        <w:keepNext w:val="0"/>
        <w:spacing w:before="0" w:after="0" w:line="360" w:lineRule="auto"/>
        <w:rPr>
          <w:rFonts w:ascii="仿宋_GB2312" w:eastAsia="仿宋_GB2312" w:hAnsi="仿宋_GB2312" w:cs="仿宋_GB2312"/>
          <w:b/>
          <w:bCs/>
          <w:sz w:val="28"/>
          <w:szCs w:val="28"/>
        </w:rPr>
      </w:pPr>
      <w:bookmarkStart w:id="46" w:name="_Toc256000043"/>
      <w:r>
        <w:rPr>
          <w:rFonts w:ascii="仿宋_GB2312" w:eastAsia="仿宋_GB2312" w:hAnsi="仿宋_GB2312" w:cs="仿宋_GB2312"/>
          <w:sz w:val="28"/>
          <w:szCs w:val="28"/>
        </w:rPr>
        <w:t>8.2.1通用必备要求</w:t>
      </w:r>
      <w:bookmarkEnd w:id="4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7" w:name="_Toc256000044"/>
      <w:r>
        <w:rPr>
          <w:rFonts w:ascii="仿宋_GB2312" w:eastAsia="仿宋_GB2312" w:hAnsi="仿宋_GB2312" w:cs="仿宋_GB2312"/>
          <w:i w:val="0"/>
          <w:iCs w:val="0"/>
        </w:rPr>
        <w:t>8.3付款安排建议</w:t>
      </w:r>
      <w:bookmarkEnd w:id="47"/>
    </w:p>
    <w:tbl>
      <w:tblPr>
        <w:tblW w:w="5000" w:type="pct"/>
        <w:tblInd w:w="30" w:type="dxa"/>
        <w:tblCellMar>
          <w:top w:w="15" w:type="dxa"/>
          <w:left w:w="15" w:type="dxa"/>
          <w:bottom w:w="15" w:type="dxa"/>
          <w:right w:w="15" w:type="dxa"/>
        </w:tblCellMar>
      </w:tblPr>
      <w:tblGrid>
        <w:gridCol w:w="859"/>
        <w:gridCol w:w="29665"/>
        <w:gridCol w:w="1156"/>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按月付款。</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48" w:name="_Toc256000045"/>
      <w:r>
        <w:rPr>
          <w:rFonts w:ascii="仿宋_GB2312" w:eastAsia="仿宋_GB2312" w:hAnsi="仿宋_GB2312" w:cs="仿宋_GB2312"/>
          <w:i w:val="0"/>
          <w:iCs w:val="0"/>
        </w:rPr>
        <w:t>8.4其他要求</w:t>
      </w:r>
      <w:bookmarkEnd w:id="48"/>
    </w:p>
    <w:p>
      <w:pPr>
        <w:pStyle w:val="Heading3"/>
        <w:keepNext w:val="0"/>
        <w:spacing w:before="0" w:after="0" w:line="360" w:lineRule="auto"/>
        <w:rPr>
          <w:rFonts w:ascii="仿宋_GB2312" w:eastAsia="仿宋_GB2312" w:hAnsi="仿宋_GB2312" w:cs="仿宋_GB2312"/>
          <w:b/>
          <w:bCs/>
          <w:sz w:val="28"/>
          <w:szCs w:val="28"/>
        </w:rPr>
      </w:pPr>
      <w:bookmarkStart w:id="49" w:name="_Toc256000046"/>
      <w:r>
        <w:rPr>
          <w:rFonts w:ascii="仿宋_GB2312" w:eastAsia="仿宋_GB2312" w:hAnsi="仿宋_GB2312" w:cs="仿宋_GB2312"/>
          <w:sz w:val="28"/>
          <w:szCs w:val="28"/>
        </w:rPr>
        <w:t>8.4.1保密要求</w:t>
      </w:r>
      <w:bookmarkEnd w:id="49"/>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pacing w:val="0"/>
          <w:sz w:val="32"/>
          <w:szCs w:val="32"/>
        </w:rPr>
        <w:t>中标供应商应提供遵守国家税务总局天津市红桥区税务局相关安全保密制度规定的承诺函，并签订保密协议。若中标供应商服务人员违反信息安全保密制度相关规定，对税务机关造成利益损害的，中标供应商应承担相关法律责任。</w:t>
      </w:r>
    </w:p>
    <w:p>
      <w:pPr>
        <w:pStyle w:val="Heading3"/>
        <w:keepNext w:val="0"/>
        <w:spacing w:before="0" w:after="0" w:line="360" w:lineRule="auto"/>
        <w:rPr>
          <w:rFonts w:ascii="仿宋_GB2312" w:eastAsia="仿宋_GB2312" w:hAnsi="仿宋_GB2312" w:cs="仿宋_GB2312"/>
          <w:b/>
          <w:bCs/>
          <w:sz w:val="28"/>
          <w:szCs w:val="28"/>
        </w:rPr>
      </w:pPr>
      <w:bookmarkStart w:id="50" w:name="_Toc256000047"/>
      <w:r>
        <w:rPr>
          <w:rFonts w:ascii="仿宋_GB2312" w:eastAsia="仿宋_GB2312" w:hAnsi="仿宋_GB2312" w:cs="仿宋_GB2312"/>
          <w:sz w:val="28"/>
          <w:szCs w:val="28"/>
        </w:rPr>
        <w:t>8.4.2知识产权要求</w:t>
      </w:r>
      <w:bookmarkEnd w:id="50"/>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无</w:t>
      </w:r>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19</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7">
    <w:name w:val="17"/>
    <w:basedOn w:val="Normal"/>
  </w:style>
  <w:style w:type="paragraph" w:customStyle="1" w:styleId="16">
    <w:name w:val="16"/>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19</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