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r>
        <w:rPr>
          <w:rFonts w:ascii="宋体" w:eastAsia="宋体" w:hAnsi="宋体" w:cs="宋体" w:hint="eastAsia"/>
          <w:b/>
          <w:sz w:val="30"/>
          <w:szCs w:val="30"/>
          <w:lang w:eastAsia="zh-CN"/>
        </w:rPr>
        <w:t>国家税务总局天津市宁河区税务局2026-2027年食堂食材采购项目</w:t>
      </w:r>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r>
        <w:rPr>
          <w:rFonts w:ascii="宋体" w:eastAsia="宋体" w:hAnsi="宋体" w:cs="宋体" w:hint="eastAsia"/>
          <w:sz w:val="36"/>
          <w:szCs w:val="36"/>
          <w:lang w:eastAsia="zh-CN"/>
        </w:rPr>
        <w:t>2026年06月</w:t>
      </w:r>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kern w:val="36"/>
          </w:rPr>
          <w:t>4人员要求</w:t>
        </w:r>
        <w:r>
          <w:tab/>
        </w:r>
        <w:r>
          <w:fldChar w:fldCharType="begin"/>
        </w:r>
        <w:r>
          <w:instrText xml:space="preserve"> PAGEREF _Toc256000025 \h </w:instrText>
        </w:r>
        <w:r>
          <w:fldChar w:fldCharType="separate"/>
        </w:r>
        <w:r>
          <w:t>13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4.1团队要求</w:t>
        </w:r>
        <w:r>
          <w:tab/>
        </w:r>
        <w:r>
          <w:fldChar w:fldCharType="begin"/>
        </w:r>
        <w:r>
          <w:instrText xml:space="preserve"> PAGEREF _Toc256000026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rPr>
          <w:t>4.1.1基本要求</w:t>
        </w:r>
        <w:r>
          <w:tab/>
        </w:r>
        <w:r>
          <w:fldChar w:fldCharType="begin"/>
        </w:r>
        <w:r>
          <w:instrText xml:space="preserve"> PAGEREF _Toc256000027 \h </w:instrText>
        </w:r>
        <w:r>
          <w:fldChar w:fldCharType="separate"/>
        </w:r>
        <w:r>
          <w:t>13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4.1.2优选资质/优选指标</w:t>
        </w:r>
        <w:r>
          <w:tab/>
        </w:r>
        <w:r>
          <w:fldChar w:fldCharType="begin"/>
        </w:r>
        <w:r>
          <w:instrText xml:space="preserve"> PAGEREF _Toc256000028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kern w:val="36"/>
          </w:rPr>
          <w:t>5管理实施要求</w:t>
        </w:r>
        <w:r>
          <w:tab/>
        </w:r>
        <w:r>
          <w:fldChar w:fldCharType="begin"/>
        </w:r>
        <w:r>
          <w:instrText xml:space="preserve"> PAGEREF _Toc256000029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kern w:val="36"/>
          </w:rPr>
          <w:t>6风险管控要求</w:t>
        </w:r>
        <w:r>
          <w:tab/>
        </w:r>
        <w:r>
          <w:fldChar w:fldCharType="begin"/>
        </w:r>
        <w:r>
          <w:instrText xml:space="preserve"> PAGEREF _Toc256000030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7履约验收要求</w:t>
        </w:r>
        <w:r>
          <w:tab/>
        </w:r>
        <w:r>
          <w:fldChar w:fldCharType="begin"/>
        </w:r>
        <w:r>
          <w:instrText xml:space="preserve"> PAGEREF _Toc256000031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7.1总体要求</w:t>
        </w:r>
        <w:r>
          <w:tab/>
        </w:r>
        <w:r>
          <w:fldChar w:fldCharType="begin"/>
        </w:r>
        <w:r>
          <w:instrText xml:space="preserve"> PAGEREF _Toc256000032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7.2具体要求</w:t>
        </w:r>
        <w:r>
          <w:tab/>
        </w:r>
        <w:r>
          <w:fldChar w:fldCharType="begin"/>
        </w:r>
        <w:r>
          <w:instrText xml:space="preserve"> PAGEREF _Toc256000033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kern w:val="36"/>
          </w:rPr>
          <w:t>8其他要求</w:t>
        </w:r>
        <w:r>
          <w:tab/>
        </w:r>
        <w:r>
          <w:fldChar w:fldCharType="begin"/>
        </w:r>
        <w:r>
          <w:instrText xml:space="preserve"> PAGEREF _Toc256000034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8.1必备要求</w:t>
        </w:r>
        <w:r>
          <w:tab/>
        </w:r>
        <w:r>
          <w:fldChar w:fldCharType="begin"/>
        </w:r>
        <w:r>
          <w:instrText xml:space="preserve"> PAGEREF _Toc256000035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8.1.1通用必备要求</w:t>
        </w:r>
        <w:r>
          <w:tab/>
        </w:r>
        <w:r>
          <w:fldChar w:fldCharType="begin"/>
        </w:r>
        <w:r>
          <w:instrText xml:space="preserve"> PAGEREF _Toc256000036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8.2付款安排建议</w:t>
        </w:r>
        <w:r>
          <w:tab/>
        </w:r>
        <w:r>
          <w:fldChar w:fldCharType="begin"/>
        </w:r>
        <w:r>
          <w:instrText xml:space="preserve"> PAGEREF _Toc256000037 \h </w:instrText>
        </w:r>
        <w:r>
          <w:fldChar w:fldCharType="separate"/>
        </w:r>
        <w:r>
          <w:t>15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8.3其他要求</w:t>
        </w:r>
        <w:r>
          <w:tab/>
        </w:r>
        <w:r>
          <w:fldChar w:fldCharType="begin"/>
        </w:r>
        <w:r>
          <w:instrText xml:space="preserve"> PAGEREF _Toc256000038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8.3.1保密要求</w:t>
        </w:r>
        <w:r>
          <w:tab/>
        </w:r>
        <w:r>
          <w:fldChar w:fldCharType="begin"/>
        </w:r>
        <w:r>
          <w:instrText xml:space="preserve"> PAGEREF _Toc256000039 \h </w:instrText>
        </w:r>
        <w:r>
          <w:fldChar w:fldCharType="separate"/>
        </w:r>
        <w:r>
          <w:t>16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8.3.2知识产权要求</w:t>
        </w:r>
        <w:r>
          <w:tab/>
        </w:r>
        <w:r>
          <w:fldChar w:fldCharType="begin"/>
        </w:r>
        <w:r>
          <w:instrText xml:space="preserve"> PAGEREF _Toc256000040 \h </w:instrText>
        </w:r>
        <w:r>
          <w:fldChar w:fldCharType="separate"/>
        </w:r>
        <w:r>
          <w:t>16</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1项目概述</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1.1项目背景</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1.1.1项目目的、意义及背景</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为保障国家税务总局天津市宁河区税务局职工食堂规范正常运行，通过公开招标的方式选择资质优良、管理完善、货品新鲜并具有专业技术能力的供应商进行货物供应、配送及售后服务，确保食材采购的透明度、安全性，满足干部职工健康、营养的就餐需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1.2项目内容</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1.2.1项目建设思路</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1、根据食堂的实际需求，明确食材的种类、数量和品质要求；2、通过公开招标方式确定供应商，确保食材品质和安全性；3、建立健全供应商管理制度，确保供应商服务质量。</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1.2.2采购内容</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采购内容为国家税务总局天津市宁河区税务局食堂所需鲜冻禽畜肉类、果蔬水产、奶制品以及主副食调料等食材，含相应配送。</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1.2.3项目实施要求</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实施范围为国家税务总局天津市宁河区税务局机关、光明路办公区、七里海税务所、造甲城税务所、丰台税务所、宁河税务所，共计6个办公场所。</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局机关、光明路办公区项目实施时间为2026年8月4日-2027年8月3日。七里海税务所、造甲城税务所、丰台税务所、宁河税务所项目实施时间为2027年1月1日-2027年8月3日。</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国家税务总局天津市宁河区税务局机关食堂，地址为天津市宁河区芦台街道光明路39号。</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国家税务总局天津市宁河区税务局光明路办公区食堂，地址为天津市宁河区芦台街道光明路68号。</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国家税务总局天津市宁河区税务局七里海税务所食堂，地址为天津市宁河区七里海镇七里海医院东。</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国家税务总局天津市宁河区税务局造甲城税务所食堂，地址为天津市宁河区造甲城镇政府东侧。</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国家税务总局天津市宁河区税务局丰台税务所食堂，地址为天津市宁河区丰台镇南村。</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国家税务总局天津市宁河区税务局宁河税务所食堂，地址为天津市宁河区宁河镇西关村南。</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1.3其他要求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1.3.1采购标的需执行的相关标准规范</w:t>
      </w:r>
    </w:p>
    <w:p>
      <w:pPr>
        <w:pStyle w:val="MsoNormal"/>
        <w:spacing w:before="0" w:after="0" w:line="360" w:lineRule="auto"/>
        <w:ind w:left="0" w:right="0"/>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无</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2投标/响应要求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2.1对供应商的要求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2.1.1必备资质</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（一）不接受联合体投标；</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（二）不组织踏勘现场；不组织标前答疑会</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（三）特定资格要求： 投标人具备质量管理体系认证、环境管理体系认证、职业健康安全管理体系认证证书、食品安全管理体系认证</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2.1.2优选资质/优选指标</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00"/>
        <w:gridCol w:w="4274"/>
        <w:gridCol w:w="4156"/>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 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 xml:space="preserve">国家认监委授权批准的第三方认证机构 </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 xml:space="preserve">国家认监委授权批准的第三方认证机构 </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 xml:space="preserve">职业健康安全管理体系认证证书（ISO45001） </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 xml:space="preserve">中国质量认证中心 </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环境管理体系认证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国家认监委授权批准的第三方认证机构</w:t>
            </w: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有效案例为2023年1月以来（以合同签订日期为准），供应商独立承担的与本项目相类似且已完成的项目、买卖双方名称及盖章、服务期限（合同服务起始日期为2023年1月1日或以后，且履行至少1年的时间）。已完成的合同，提供加盖合同甲方单位公章的成功履行合同的相关证明材料原件扫描件。</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2.1.3是否允许联合体</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2.1.4是否专门面向中小企业</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2.1.5其他要求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1.根据《关于推动解决政府采购异常低价问题的通知》（财库〔2026〕2号）文件要求，当供应商报价出现以下情形之一时，评标委员会应当启动对该供应商的异常低价审查程序：</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①供应商报价＜全部通过符合性审查供应商报价平均值×65%；</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②供应商报价＜通过符合性审查的次低供应商报价×65%；</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③供应商报价＜最高限价×65%；</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④评标委员会基于专业判断，认为供应商报价过低，有可能影响产品质量或者不能诚信履约的其他情形。</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本项所称“最高限价”是指所报费率的100%</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2.在服务期内，采购人有权在不超过采购预算的前提下，向中标供应商下达每日具体采购订单，实际采购食材品种、数量不受项目需求书所列食材限制。中标供应商每日配送食材的单价依次参照七鲜APP、华润万家APP、美团APP、京东自营、多点APP同等食材单价×投标折扣率进行定价。中标供应商每月汇总提供实际供货价格、倒推折扣前价格、线上平台参照价格对比清单，采购人有权要求供应商调整不满足折扣条件（中标费率）的商品价格用于冲抵货款，否则采购人有权拒收对应配送食材，扣除对应配送食品费用并有权向中标供应商要求赔偿，情节严重的，采购人有权终止合同。</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2.2技术部分投标/响应内容</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2.2.1技术投标/响应总要求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供货质量严格按照《中华人民共和国食品安全法》、行业有关规定、招标文件质量要求执行，产品符合国家食品卫生标准，动物检验检疫合格标准。供应商采购配送的食材食用后若导致食物中毒事故发生，供应商应对此承担一切法律责任。</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2.2.2投标/响应方案要求</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以下相关方案，若作为评审因素，则投标人应在满足★必备指标项要求的前提下，基于对优于★指标项及#、△指标项的应答，根据项目特点和采购需求，制定更为完整、详细、可操作性强的方案。</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以下相关方案，若作为评审因素，则投标人应在满足★关键指标项要求的前提下，根据项目特点和采购需求，制定更为完整、详细、可操作性强的方案。 </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1.针对本项目特点的专业化服务方案评价:供应商应详细阐述对本项目需求的理解，包含针对本项目的食材配送方案。</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2.配送及时性准时性措施：供应商应详细阐述如何保证本项目准时送达的方案措施，包含日常食材准时送达的方案、采购人紧急采购食材准时送达方案，以及未按时送达时的挽回方案。</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3</w:t>
      </w:r>
      <w:r>
        <w:rPr>
          <w:rFonts w:ascii="FangSong_GB2312" w:eastAsia="FangSong_GB2312" w:hAnsi="FangSong_GB2312" w:cs="FangSong_GB2312"/>
          <w:sz w:val="28"/>
          <w:szCs w:val="28"/>
        </w:rPr>
        <w:t>.质量安全把控方案：供应商应详细阐述如何供应食材质量把控措施、检验检疫关键环节把控、不符合质量标准货品处置等。</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4.供应方案：供应商应详细阐述如何提供服务团队管理措施、内部采购管理措施、储存分拣管理措施、科学合理运输措施。</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3项目需求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3.1总体要求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供货质量严格按照《中华人民共和国食品安全法》、行业有关规定、招标文件质量要求执行，产品符合国家食品卫生标准，动物检验检疫合格标准。供应商采购配送的食材食用后若导致食物中毒事故发生，供应商应对此承担一切法律责任。</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3.2采购产品一览表</w:t>
      </w:r>
    </w:p>
    <w:tbl>
      <w:tblPr>
        <w:tblW w:w="5000" w:type="pct"/>
        <w:tblInd w:w="30" w:type="dxa"/>
        <w:tblCellMar>
          <w:top w:w="15" w:type="dxa"/>
          <w:left w:w="15" w:type="dxa"/>
          <w:bottom w:w="15" w:type="dxa"/>
          <w:right w:w="15" w:type="dxa"/>
        </w:tblCellMar>
      </w:tblPr>
      <w:tblGrid>
        <w:gridCol w:w="906"/>
        <w:gridCol w:w="1964"/>
        <w:gridCol w:w="1645"/>
        <w:gridCol w:w="1605"/>
        <w:gridCol w:w="1605"/>
        <w:gridCol w:w="1605"/>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草鱼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鲫鱼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鲢鱼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鲽鱼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鳕鱼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蚶子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扇贝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鱿鱼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带鱼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黄花鱼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乌鱼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秋刀鱼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鲜冻禽畜肉主副食类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八带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洋白菜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小白菜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韭菜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白萝卜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葱头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芹菜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莴笋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莲藕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蒜薹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菜花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西红柿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西兰花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茄子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西葫芦</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南瓜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平菇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金针菇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茼蒿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豆芽</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苦瓜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玉米棒子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芋头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山药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土豆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脐橙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芒果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火龙果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西瓜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骨肉相连</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干香菇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银耳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蛋挞皮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披萨皮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瓜子仁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毛肚</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玉米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蚕豆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青豆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豆瓣酱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耗油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蒸鱼豉油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胡椒粉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椒盐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复合调料粉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小苏打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泡打粉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吉利丁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点心调味粉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速冻水饺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春卷皮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虾酱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红瑶蜜薯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咖啡粉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副食类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雪糕</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支</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3.3采购产品详细清单及技术指标</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10"/>
        <w:gridCol w:w="757"/>
        <w:gridCol w:w="2315"/>
        <w:gridCol w:w="26160"/>
        <w:gridCol w:w="584"/>
        <w:gridCol w:w="1454"/>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 按规定必须经由法定食品检验机构检测的食品，投标人应在交货时向采购人提供同批次食品检验报告或合格证（复印件加盖公章）；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包装食品标注生产厂家，生产日期，并在保质期范围内，保持较好的外观；蔬菜和水果化学药物不超标，保持较好的色泽及新鲜度，无黄叶、泥沙；水产品品质新鲜质量安全；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（5）所有食材的来源清晰，蔬菜来源于受到地方政府部门监管的自有基地、商品菜基地或蔬菜专业流通市场，不供应散户溯源不清的蔬菜；保证所供肉类渠道来源正规可溯，参考正规市场品质及来源。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面条米线质量要求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不含非食品用化学物质、无杂质。以小麦、大米为原料的面条、米线颜色呈白色、乳白色、奶黄色，色亮不发灰发暗。表面结构细密、光滑。软硬适中，爽口不粘牙，口感光滑，具有清香，无异味。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一级清洁鸡蛋，蛋壳清洁完整，呈规则卵圆形，具有蛋壳固有的色泽，表面无肉眼可见污物，鸡蛋新鲜，蛋白浓稠、蛋黄圆润，单个鸡蛋重量58～68g。</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鲜冻鱼质量要求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1)供应当季各类新鲜蔬菜以及大棚种植蔬菜，蔬菜类无黄叶、枯死叶，无虫，无杂质，原菜菜面干净、无明显泥土、码放整齐、无破损、大小基本统一、不得过熟或欠熟.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蔬菜质量要求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(2)净菜须保证菜面完全干净、无泥土、按统一标准加工、码放整齐、无须二次处理可以直接进行熟加工。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心肝、腰子类：品质新鲜、外形完整、无异味、无病变、无凝血块、无血污、泥污、颜色正常。肚：品质新鲜、外形完整、无溃疡面及其他病变现象、无内容物、无粘膜、无边油。大肠、肥肠类：品质新鲜、无破损、无病变组织、无肠头细毛、无内容物、去净粘膜。舌：品质新鲜、外形完整、无病变、无异物、无舌苔、附肉少、无血污、泥污。耳：品质新鲜、外形完整、无溃烂、病斑、无破损。蹄爪类：品质新鲜、去蹄壳、不带蹄筋、刮除粗毛、细毛及趾间黑垢、无松香残留。蹄筋类：品质新鲜、无色透明、表面光亮、无油脂、无精肉、无充血现象、顺直、干燥。猪心：淡红色，脂肪乳白色稍红色，结实，有弹性，外形完整，心房内无瘀血，无凝血块，无病变，气味正常。猪肝：红褐色或棕黄色，有光泽，湿润，略有弹性，组织结实微密，肝叶完整，无脂肪，胆囊、粗输、胆管、无寄生虫、炎症水泡、薄膜，无胆汁污染，微有鱼腥味。猪口条：品质新鲜，外形完整，无根附着的肌肉、舌骨、舌苔、脂肪、无病伤，无异物。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颜色比冷却肉鲜明，在表面切开处为浅玫瑰色至灰色，用手或热刀触之，立显示鲜红色。脂肪猪、羊为白色，牛为淡黄色。肌腱为白色，石灰色。外表：无杂质，无肌肉风干现象，无白、黄、绿斑、紫斑、污血、过多冰衣无白霜、气味：化冻时，有肉的正常味，略潮，没有熟肉味。包装：按标准部位分割外包装无破损有生产日期。眼球：无干缩凹陷或晶体状浑浊现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鲜鸡（鸭、鹅）类质量要求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外表：具有其固有表皮颜色、肌肉切面有光泽、无绿、紫等异常颜色、无残羽（在脖、翅等处无较长细毛）、无破损、无残缺、新切面不发粘。气味：具有其固有气味、无异味。弹性：指压后凹陷、能恢复。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品质新鲜、呈白色或灰白色、无黄皮趾壳、无血污、血水、无残缺、脚趾根上无黑斑、允许有少量红斑。鸡翅：品质新鲜、无残羽、无黄衣、无伤斑及溃烂、无血水血污、允许有少数斑、允许剪修但最大范围不超转弯关节处。鸡腿：无残羽、无血水、血污、品质新鲜、无残骨无伤斑及溃烂、炎症、允许有少数红斑、外形美观。鸡胸肉：品质新鲜、无残羽、无血水、血污、无残骨、无伤斑、溃烂、炎症，允许有少数红斑。鸡肝：品质新鲜、外形完整、去胆、无寄生虫、炎症、水泡，无胆汁污染无血渍。鸡胗：品质新鲜、外形完整无内容物、鸡内金、腺胃、肠管及脂肪，无出血、瘀血、病变。鸡心：品质新鲜、褐红色，脂肪稍红，组织结实，有弹性，心房内无瘀血、病变，气味正常。鸡脖：品质新鲜、去劲部皮、无羽毛、无血污。鸡头：品质新鲜、外形完整、无伤斑、无溃烂、无血污。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色泽：外观滋润，呈乳白或微黄色。外表：基本无血脉、风干现象，无白、黄绿、紫斑、无冰衣，解冻后与鲜禽特征相同。气味：无腐臭气味,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水果质量要求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供应当季各类水果，无虫、无杂质。果面干净，无明显泥土，码放整齐，无破损，大小基本统一，不过熟或欠熟。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豆腐及豆制品质量要求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须保证食品干净，不含非食品用化学物质，按统一标准加工，码放整齐，无须二次处理可以直接进行熟加工。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3.4服务要求</w:t>
      </w:r>
    </w:p>
    <w:tbl>
      <w:tblPr>
        <w:tblW w:w="5000" w:type="pct"/>
        <w:tblInd w:w="30" w:type="dxa"/>
        <w:tblCellMar>
          <w:top w:w="15" w:type="dxa"/>
          <w:left w:w="15" w:type="dxa"/>
          <w:bottom w:w="15" w:type="dxa"/>
          <w:right w:w="15" w:type="dxa"/>
        </w:tblCellMar>
      </w:tblPr>
      <w:tblGrid>
        <w:gridCol w:w="490"/>
        <w:gridCol w:w="1733"/>
        <w:gridCol w:w="906"/>
        <w:gridCol w:w="26112"/>
        <w:gridCol w:w="699"/>
        <w:gridCol w:w="1740"/>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配送食材安全要求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（1）投标人所配送的食材必须符合国家食品安全相关的法律、法规和标准的要求。保证所供产品配送到采购人时的质量、卫生和安全。</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（2）投标人必须承诺若发生因食材引发的食品安全事故，由投标人承担全部责任。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（1）所有食材均应做好原辅料出入库登记管理、成品出入库登记管理。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（2）所有食材均须留样，留样地点、时限以国家标准及采购人要求为准。非预包装食材、生鲜食材至少留样保存 48小时，留样品不低于 125克，其余预包装类食材至少留样保存一周。</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（3）所有配送食材在配送前，投标人必须自行查验。预包装食品必须粘贴印有投标人详细信息的封条。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（4）投标人所有的与本项目生产、加工、储存、配送人员等相关的人员应持有效期内的健康证上岗。</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（5）采购人在约定的时间区间（配送前一天 16：00 前）集中下单，由投标人在规定时间内分别批量配送食材至每个食堂。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（1）投标人须严格执行《中华人民共和国食品安全法》及天津市及采购人有关餐饮、食品的卫生制度。</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（2）投标人应具备实施本项目所必需的冷冻冷藏库及食品经营、加工、储存、 配送、检测场所或租赁的固定食材仓储库房，能按时、按需运送货物并保证所配送产品的质量、卫生和安全。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产品必须符合产品加工运输的国家标准，并实行专车专人定点配送，按规定送到采购人指定的库房，并按存放要求堆放整齐。投标人须提供专职联系人员联系方式，负责联系（电话、微信、QQ 信息）并确认食材种类、 数量、配送时间及配送要求，信息交换方式由双方自行商定。</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（2）投标人必须自行提供配送服务，不得将配送项目进行任何方式的分包、 转包。</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（3）配送食材的周转箱应分品分色分筐且符合相关卫生要求，配送工具做到每日清洁、消毒，避免二次污染。应符合相关卫生要求，做到每日清洗、消毒并做好消毒记录。</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（4）投标人在合同期内应切实做到保质保量准时送货。凡所供食材的质量、 品种、数量与要求不符时，采购人有权拒收，并由中标人承担因此造成的直接经济损失。采购人对食材有精加工要求时，投标人须满足采购人的要求。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（5）人员要求：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每辆配送车辆应由专人配送，配送人员应具备卫生防疫部门或医疗机构颁发的健康证，无犯罪、吸毒史。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6）运输要求：投标人应做好运输过程中的食品安全保障工作。运输中要防止雨淋日晒及交叉污染，确保配送的粮油无破损、变质，确保运输安全。若采购人发现配送的粮油存在包装破损或变质，将及时通知投标人进行处理并做好记录，投标人需无偿更换相同品种相同数量的原材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（7）在采购人有补货或当天临时增加配送要求时，补货必须在收到采购人补货通知后3个小时内送达采购人指定地点。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食材溯源要求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投标人须具有食品溯源体系（包括软件使用证明、溯源案例截图、二维码）与召回制度。质量安全指标检测不合格时，应实时予以召回并另行提供符合质量安全标准的产品。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（1）投标人在日常供应时，须保质保量进行配送，若出现食品安全问题、服务质量问题等情况时，采购人将会按照考核办法处理。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（2）投标人中标后，应无条件服从采购人的管理。须按照采购人的相关管理制度进行配送，采购人有权对其日常配送工作及数据报送等工作进行考核，考核结果作为续签合同、付款等的参考依据。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检测报告要求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（1）预包装食品须提供一年一次的具有法定资质的第三方检测机构出具的检测报告且每批次配送时还须提供出厂检测报告；</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（2）猪肉每 6个月提供一次第三方检测机构出具的兽残检测报告；</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（3）投标人承诺所配送的猪肉生产厂家具有《生猪定点屠宰证》、《动物防疫条件合格证》，在取得中标资格后签订合同后提供猪肉生产厂家的《生猪定点屠宰证》、《动物防疫条件合格证》复印件。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（4）鸡蛋每季提供一次第三方检测机构出具的兽残检测报告；</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（5）鸡蛋每批次提供一次《食用农产品合格证》或《承诺达标合格证》及“杀灭致病微生物 ”证明材料；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（6）大宗蔬菜（不超过10种）服务期内提供一次第三方检测机构出具的农残（不超过10种农药）、重金属检测报告，每季提供一个蔬菜品种的农残快检报告，采购人将不定期进行抽检。</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（7）投标人应承诺如中标后接受并参与采购人的不定期抽检，且认可抽检结果。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退出机制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中标人应严格遵守《中华人民共和国食品安全法》和《中华人民共和国产品质量法》等与食品和产品质量相关的法律法规及部门规章等规定，对具有下列情形之一的采购人有权终止合同。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（1）因食品质量引发食品安全事故；</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（2）采购人对中标人服务质量进行评议，考核得分79 分及以下或者累计2个月考核得分不合格（90分以下）、食材配送存在严重安全隐患且整改不到位的；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（3）在配送期间相关资质失效、丧失或出现被相关部门行政处罚的；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（4）经监管部门抽检不达标的。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若因此给采购人造成经济损失应由中标人承担赔偿责任。中标人被终止合同后，采购人在法律法规允许的情况下，可以通过紧急替补等方式，保障办公人员用餐。</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中标人在供货期间，凡因所供货物质量不达标造成食物中毒或其它严重后果，中标人承担一切经济和法律责任。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3.5其他要求</w:t>
      </w:r>
    </w:p>
    <w:p>
      <w:pPr>
        <w:pStyle w:val="15"/>
        <w:spacing w:before="0" w:after="0" w:line="360" w:lineRule="auto"/>
        <w:ind w:firstLine="560"/>
        <w:rPr>
          <w:rFonts w:ascii="Times New Roman" w:eastAsia="Times New Roman" w:hAnsi="Times New Roman" w:cs="Times New Roman"/>
        </w:rPr>
      </w:pPr>
      <w:r>
        <w:rPr>
          <w:rFonts w:ascii="仿宋_GB2312" w:eastAsia="仿宋_GB2312" w:hAnsi="仿宋_GB2312" w:cs="仿宋_GB2312"/>
          <w:sz w:val="28"/>
          <w:szCs w:val="28"/>
        </w:rPr>
        <w:t>一览表中数量为预估，在服务期中，以采购人下达的订单数量为准。采购人有权在不超过采购预算的前提下，向中标供应商下达每日具体采购订单。</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4人员要求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4.1团队要求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4.1.1基本要求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供应商所有的与本项目生产、加工、储存、配送人员等相关的人员应持卫生防疫部门或医疗机构颁发的健康证上岗。每辆配送车辆应由专人配送，配送人员应具备有效的健康证明，无犯罪、吸毒史。团队编制和人员资质务必保证运营服务质量，提供的服务团队应保持稳定，承诺项目执行期间人员变动不超过20%，服务过程中应热情服务、遵规守法，具备较强的沟通能力和临时紧急配送调换的处置能力。</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4.1.2优选资质/优选指标</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5管理实施要求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投标人中标后，应无条件服从采购人的管理。供应商依据采购人制定的采购计划按时按质提供食材采购及配送服务，食材运输必须采用符合卫生要求的外包装和运输工具以及专业的配送司机。</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6风险管控要求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食材随时抽查，发现食品质量不过关或影响食用安全的，对当日所送同批次产品全部退货，若抽查未发现问题，按储藏要求储藏后在加工食用前发现产品质量问题的，投标人也需退货或更换。</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7履约验收要求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7.1总体要求</w:t>
      </w:r>
    </w:p>
    <w:tbl>
      <w:tblPr>
        <w:tblW w:w="5000" w:type="pct"/>
        <w:tblInd w:w="30" w:type="dxa"/>
        <w:tblCellMar>
          <w:top w:w="15" w:type="dxa"/>
          <w:left w:w="15" w:type="dxa"/>
          <w:bottom w:w="15" w:type="dxa"/>
          <w:right w:w="15" w:type="dxa"/>
        </w:tblCellMar>
      </w:tblPr>
      <w:tblGrid>
        <w:gridCol w:w="3586"/>
        <w:gridCol w:w="574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按照本项目招标文件中商务要求及中标人投标文件进行验收。</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7.2具体要求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由采购人食堂管理人员、库房管理人员组成验收小组，查验食材重量、数量、价格是否与采购人的预定需求一致，质量是否符合约定标准，供货商送货人员应积极配合验收。</w:t>
      </w:r>
    </w:p>
    <w:p>
      <w:pPr>
        <w:pStyle w:val="Heading1"/>
        <w:keepNext w:val="0"/>
        <w:spacing w:before="0" w:after="0" w:line="360" w:lineRule="auto"/>
        <w:jc w:val="center"/>
        <w:rPr>
          <w:rFonts w:ascii="仿宋_GB2312" w:eastAsia="仿宋_GB2312" w:hAnsi="仿宋_GB2312" w:cs="仿宋_GB2312"/>
          <w:b/>
          <w:bCs/>
          <w:sz w:val="32"/>
          <w:szCs w:val="32"/>
        </w:rPr>
      </w:pPr>
      <w:r>
        <w:rPr>
          <w:rFonts w:ascii="仿宋_GB2312" w:eastAsia="仿宋_GB2312" w:hAnsi="仿宋_GB2312" w:cs="仿宋_GB2312"/>
          <w:kern w:val="36"/>
        </w:rPr>
        <w:t>8其他要求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8.1必备要求</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8.1.1通用必备要求</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定价要求：</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费率=投标总价/预算金额，</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结算价格=中标供应商所报综合折扣×基础价格。</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基础价格：依次参照多点APP、七鲜APP、华润万家APP、美团APP、京东自营进行定价，定价单位为500克，零售商品有多个规格的，以最大规格的每500克价格为定价依据，确定具体的基础价格。基础价格为配送食材当日价格。</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所报综合折扣＞100%，视为无效投标。</w:t>
      </w:r>
    </w:p>
    <w:p>
      <w:pPr>
        <w:spacing w:before="0" w:after="0" w:line="360" w:lineRule="auto"/>
        <w:rPr>
          <w:rFonts w:ascii="仿宋_GB2312" w:eastAsia="仿宋_GB2312" w:hAnsi="仿宋_GB2312" w:cs="仿宋_GB2312"/>
          <w:sz w:val="28"/>
          <w:szCs w:val="28"/>
        </w:rPr>
      </w:pPr>
      <w:r>
        <w:rPr>
          <w:rFonts w:ascii="仿宋_GB2312" w:eastAsia="仿宋_GB2312" w:hAnsi="仿宋_GB2312" w:cs="仿宋_GB2312"/>
          <w:sz w:val="28"/>
          <w:szCs w:val="28"/>
        </w:rPr>
        <w:t>   </w:t>
      </w:r>
      <w:r>
        <w:rPr>
          <w:rFonts w:ascii="仿宋_GB2312" w:eastAsia="仿宋_GB2312" w:hAnsi="仿宋_GB2312" w:cs="仿宋_GB2312"/>
          <w:sz w:val="28"/>
          <w:szCs w:val="28"/>
        </w:rPr>
        <w:t xml:space="preserve"> </w:t>
      </w:r>
      <w:r>
        <w:rPr>
          <w:rFonts w:ascii="仿宋_GB2312" w:eastAsia="仿宋_GB2312" w:hAnsi="仿宋_GB2312" w:cs="仿宋_GB2312"/>
          <w:sz w:val="28"/>
          <w:szCs w:val="28"/>
        </w:rPr>
        <w:t>各供应商请充分考虑自身情况及本项目要求的前提下，填报折扣。根据本项目实际情况及客观要求，请各供应商理解并充分考虑相关风险。在合同履行过程中，供应商应及时记录并保存上述平台中食材价格截图，采购人将定期对食材价格进行核价。</w:t>
      </w:r>
    </w:p>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8.2付款安排建议</w:t>
      </w:r>
    </w:p>
    <w:tbl>
      <w:tblPr>
        <w:tblW w:w="5000" w:type="pct"/>
        <w:tblInd w:w="30" w:type="dxa"/>
        <w:tblCellMar>
          <w:top w:w="15" w:type="dxa"/>
          <w:left w:w="15" w:type="dxa"/>
          <w:bottom w:w="15" w:type="dxa"/>
          <w:right w:w="15" w:type="dxa"/>
        </w:tblCellMar>
      </w:tblPr>
      <w:tblGrid>
        <w:gridCol w:w="1124"/>
        <w:gridCol w:w="784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本项目按月根据结算价据实结算食材供应费用，年结算价不超过本项目预算总金额。</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r>
    </w:tbl>
    <w:p>
      <w:pPr>
        <w:pStyle w:val="Heading2"/>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i w:val="0"/>
          <w:iCs w:val="0"/>
        </w:rPr>
        <w:t>8.3其他要求</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8.3.1保密要求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由采购人食堂管理人员、库房管理人员组成验收小组，查验食材重量、数量、价格是否与采购人的预定需求一致，质量是否符合约定标准，供货商送货人员应积极配合验收。</w:t>
      </w:r>
    </w:p>
    <w:p>
      <w:pPr>
        <w:pStyle w:val="Heading3"/>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sz w:val="28"/>
          <w:szCs w:val="28"/>
        </w:rPr>
        <w:t>8.3.2知识产权要求</w:t>
      </w:r>
    </w:p>
    <w:p>
      <w:pPr>
        <w:spacing w:before="0" w:after="0" w:line="360" w:lineRule="auto"/>
        <w:rPr>
          <w:rFonts w:ascii="FangSong_GB2312" w:eastAsia="FangSong_GB2312" w:hAnsi="FangSong_GB2312" w:cs="FangSong_GB2312"/>
          <w:sz w:val="28"/>
          <w:szCs w:val="28"/>
        </w:rPr>
      </w:pPr>
      <w:r>
        <w:rPr>
          <w:rFonts w:ascii="FangSong_GB2312" w:eastAsia="FangSong_GB2312" w:hAnsi="FangSong_GB2312" w:cs="FangSong_GB2312"/>
          <w:sz w:val="28"/>
          <w:szCs w:val="28"/>
        </w:rPr>
        <w:t>   </w:t>
      </w:r>
      <w:r>
        <w:rPr>
          <w:rFonts w:ascii="FangSong_GB2312" w:eastAsia="FangSong_GB2312" w:hAnsi="FangSong_GB2312" w:cs="FangSong_GB2312"/>
          <w:sz w:val="28"/>
          <w:szCs w:val="28"/>
        </w:rPr>
        <w:t xml:space="preserve"> </w:t>
      </w:r>
      <w:r>
        <w:rPr>
          <w:rFonts w:ascii="FangSong_GB2312" w:eastAsia="FangSong_GB2312" w:hAnsi="FangSong_GB2312" w:cs="FangSong_GB2312"/>
          <w:sz w:val="28"/>
          <w:szCs w:val="28"/>
        </w:rPr>
        <w:t>无</w:t>
      </w:r>
    </w:p>
    <w:p>
      <w:pPr>
        <w:spacing w:before="0" w:after="0" w:line="360" w:lineRule="auto"/>
        <w:jc w:val="left"/>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16</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16</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