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国家税务总局天津市宝坻区税务局2026年-2027年食堂食材采购项目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2026年06月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rPr>
          <w:t>2.2.3异常低价审查</w:t>
        </w:r>
        <w:r>
          <w:tab/>
        </w:r>
        <w:r>
          <w:fldChar w:fldCharType="begin"/>
        </w:r>
        <w:r>
          <w:instrText xml:space="preserve"> PAGEREF _Toc256000019 \h </w:instrText>
        </w:r>
        <w:r>
          <w:fldChar w:fldCharType="separate"/>
        </w:r>
        <w:r>
          <w:t>7</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kern w:val="36"/>
          </w:rPr>
          <w:t>3项目需求</w:t>
        </w:r>
        <w:r>
          <w:tab/>
        </w:r>
        <w:r>
          <w:fldChar w:fldCharType="begin"/>
        </w:r>
        <w:r>
          <w:instrText xml:space="preserve"> PAGEREF _Toc256000020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3.1总体要求</w:t>
        </w:r>
        <w:r>
          <w:tab/>
        </w:r>
        <w:r>
          <w:fldChar w:fldCharType="begin"/>
        </w:r>
        <w:r>
          <w:instrText xml:space="preserve"> PAGEREF _Toc256000021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3.2采购产品一览表</w:t>
        </w:r>
        <w:r>
          <w:tab/>
        </w:r>
        <w:r>
          <w:fldChar w:fldCharType="begin"/>
        </w:r>
        <w:r>
          <w:instrText xml:space="preserve"> PAGEREF _Toc256000022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3.3采购产品详细清单及技术指标</w:t>
        </w:r>
        <w:r>
          <w:tab/>
        </w:r>
        <w:r>
          <w:fldChar w:fldCharType="begin"/>
        </w:r>
        <w:r>
          <w:instrText xml:space="preserve"> PAGEREF _Toc256000023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3.4服务要求</w:t>
        </w:r>
        <w:r>
          <w:tab/>
        </w:r>
        <w:r>
          <w:fldChar w:fldCharType="begin"/>
        </w:r>
        <w:r>
          <w:instrText xml:space="preserve"> PAGEREF _Toc256000024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3.5其他要求</w:t>
        </w:r>
        <w:r>
          <w:tab/>
        </w:r>
        <w:r>
          <w:fldChar w:fldCharType="begin"/>
        </w:r>
        <w:r>
          <w:instrText xml:space="preserve"> PAGEREF _Toc256000025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质量安全把控服务要求</w:t>
        </w:r>
        <w:r>
          <w:tab/>
        </w:r>
        <w:r>
          <w:fldChar w:fldCharType="begin"/>
        </w:r>
        <w:r>
          <w:instrText xml:space="preserve"> PAGEREF _Toc256000026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供应方案要求</w:t>
        </w:r>
        <w:r>
          <w:tab/>
        </w:r>
        <w:r>
          <w:fldChar w:fldCharType="begin"/>
        </w:r>
        <w:r>
          <w:instrText xml:space="preserve"> PAGEREF _Toc256000027 \h </w:instrText>
        </w:r>
        <w:r>
          <w:fldChar w:fldCharType="separate"/>
        </w:r>
        <w:r>
          <w:t>15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kern w:val="36"/>
          </w:rPr>
          <w:t>4人员要求</w:t>
        </w:r>
        <w:r>
          <w:tab/>
        </w:r>
        <w:r>
          <w:fldChar w:fldCharType="begin"/>
        </w:r>
        <w:r>
          <w:instrText xml:space="preserve"> PAGEREF _Toc256000028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4.1团队要求</w:t>
        </w:r>
        <w:r>
          <w:tab/>
        </w:r>
        <w:r>
          <w:fldChar w:fldCharType="begin"/>
        </w:r>
        <w:r>
          <w:instrText xml:space="preserve"> PAGEREF _Toc256000029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rPr>
          <w:t>4.1.1基本要求</w:t>
        </w:r>
        <w:r>
          <w:tab/>
        </w:r>
        <w:r>
          <w:fldChar w:fldCharType="begin"/>
        </w:r>
        <w:r>
          <w:instrText xml:space="preserve"> PAGEREF _Toc256000030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rPr>
          <w:t>4.1.2优选资质/优选指标</w:t>
        </w:r>
        <w:r>
          <w:tab/>
        </w:r>
        <w:r>
          <w:fldChar w:fldCharType="begin"/>
        </w:r>
        <w:r>
          <w:instrText xml:space="preserve"> PAGEREF _Toc256000031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5管理实施要求</w:t>
        </w:r>
        <w:r>
          <w:tab/>
        </w:r>
        <w:r>
          <w:fldChar w:fldCharType="begin"/>
        </w:r>
        <w:r>
          <w:instrText xml:space="preserve"> PAGEREF _Toc256000032 \h </w:instrText>
        </w:r>
        <w:r>
          <w:fldChar w:fldCharType="separate"/>
        </w:r>
        <w:r>
          <w:t>16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5.1售后要求</w:t>
        </w:r>
        <w:r>
          <w:tab/>
        </w:r>
        <w:r>
          <w:fldChar w:fldCharType="begin"/>
        </w:r>
        <w:r>
          <w:instrText xml:space="preserve"> PAGEREF _Toc256000033 \h </w:instrText>
        </w:r>
        <w:r>
          <w:fldChar w:fldCharType="separate"/>
        </w:r>
        <w:r>
          <w:t>16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5.2退（补）货流程</w:t>
        </w:r>
        <w:r>
          <w:tab/>
        </w:r>
        <w:r>
          <w:fldChar w:fldCharType="begin"/>
        </w:r>
        <w:r>
          <w:instrText xml:space="preserve"> PAGEREF _Toc256000034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kern w:val="36"/>
          </w:rPr>
          <w:t>6风险管控要求</w:t>
        </w:r>
        <w:r>
          <w:tab/>
        </w:r>
        <w:r>
          <w:fldChar w:fldCharType="begin"/>
        </w:r>
        <w:r>
          <w:instrText xml:space="preserve"> PAGEREF _Toc256000035 \h </w:instrText>
        </w:r>
        <w:r>
          <w:fldChar w:fldCharType="separate"/>
        </w:r>
        <w:r>
          <w:t>17</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kern w:val="36"/>
          </w:rPr>
          <w:t>7履约验收要求</w:t>
        </w:r>
        <w:r>
          <w:tab/>
        </w:r>
        <w:r>
          <w:fldChar w:fldCharType="begin"/>
        </w:r>
        <w:r>
          <w:instrText xml:space="preserve"> PAGEREF _Toc256000036 \h </w:instrText>
        </w:r>
        <w:r>
          <w:fldChar w:fldCharType="separate"/>
        </w:r>
        <w:r>
          <w:t>17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7.1总体要求</w:t>
        </w:r>
        <w:r>
          <w:tab/>
        </w:r>
        <w:r>
          <w:fldChar w:fldCharType="begin"/>
        </w:r>
        <w:r>
          <w:instrText xml:space="preserve"> PAGEREF _Toc256000037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7.2具体要求</w:t>
        </w:r>
        <w:r>
          <w:tab/>
        </w:r>
        <w:r>
          <w:fldChar w:fldCharType="begin"/>
        </w:r>
        <w:r>
          <w:instrText xml:space="preserve"> PAGEREF _Toc256000038 \h </w:instrText>
        </w:r>
        <w:r>
          <w:fldChar w:fldCharType="separate"/>
        </w:r>
        <w:r>
          <w:t>18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kern w:val="36"/>
          </w:rPr>
          <w:t>8其他要求</w:t>
        </w:r>
        <w:r>
          <w:tab/>
        </w:r>
        <w:r>
          <w:fldChar w:fldCharType="begin"/>
        </w:r>
        <w:r>
          <w:instrText xml:space="preserve"> PAGEREF _Toc256000039 \h </w:instrText>
        </w:r>
        <w:r>
          <w:fldChar w:fldCharType="separate"/>
        </w:r>
        <w:r>
          <w:t>20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8.1必备要求</w:t>
        </w:r>
        <w:r>
          <w:tab/>
        </w:r>
        <w:r>
          <w:fldChar w:fldCharType="begin"/>
        </w:r>
        <w:r>
          <w:instrText xml:space="preserve"> PAGEREF _Toc256000040 \h </w:instrText>
        </w:r>
        <w:r>
          <w:fldChar w:fldCharType="separate"/>
        </w:r>
        <w:r>
          <w:t>20</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8.1.1通用必备要求</w:t>
        </w:r>
        <w:r>
          <w:tab/>
        </w:r>
        <w:r>
          <w:fldChar w:fldCharType="begin"/>
        </w:r>
        <w:r>
          <w:instrText xml:space="preserve"> PAGEREF _Toc256000041 \h </w:instrText>
        </w:r>
        <w:r>
          <w:fldChar w:fldCharType="separate"/>
        </w:r>
        <w:r>
          <w:t>20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8.2付款安排建议</w:t>
        </w:r>
        <w:r>
          <w:tab/>
        </w:r>
        <w:r>
          <w:fldChar w:fldCharType="begin"/>
        </w:r>
        <w:r>
          <w:instrText xml:space="preserve"> PAGEREF _Toc256000042 \h </w:instrText>
        </w:r>
        <w:r>
          <w:fldChar w:fldCharType="separate"/>
        </w:r>
        <w:r>
          <w:t>22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3" w:history="1">
        <w:r>
          <w:rPr>
            <w:rStyle w:val="Hyperlink"/>
            <w:rFonts w:ascii="仿宋_GB2312" w:eastAsia="仿宋_GB2312" w:hAnsi="仿宋_GB2312" w:cs="仿宋_GB2312"/>
          </w:rPr>
          <w:t>8.3其他要求</w:t>
        </w:r>
        <w:r>
          <w:tab/>
        </w:r>
        <w:r>
          <w:fldChar w:fldCharType="begin"/>
        </w:r>
        <w:r>
          <w:instrText xml:space="preserve"> PAGEREF _Toc256000043 \h </w:instrText>
        </w:r>
        <w:r>
          <w:fldChar w:fldCharType="separate"/>
        </w:r>
        <w:r>
          <w:t>22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4" w:history="1">
        <w:r>
          <w:rPr>
            <w:rStyle w:val="Hyperlink"/>
            <w:rFonts w:ascii="仿宋_GB2312" w:eastAsia="仿宋_GB2312" w:hAnsi="仿宋_GB2312" w:cs="仿宋_GB2312"/>
          </w:rPr>
          <w:t>8.3.1保密要求</w:t>
        </w:r>
        <w:r>
          <w:tab/>
        </w:r>
        <w:r>
          <w:fldChar w:fldCharType="begin"/>
        </w:r>
        <w:r>
          <w:instrText xml:space="preserve"> PAGEREF _Toc256000044 \h </w:instrText>
        </w:r>
        <w:r>
          <w:fldChar w:fldCharType="separate"/>
        </w:r>
        <w:r>
          <w:t>22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5" w:history="1">
        <w:r>
          <w:rPr>
            <w:rStyle w:val="Hyperlink"/>
            <w:rFonts w:ascii="仿宋_GB2312" w:eastAsia="仿宋_GB2312" w:hAnsi="仿宋_GB2312" w:cs="仿宋_GB2312"/>
          </w:rPr>
          <w:t>8.3.2知识产权要求</w:t>
        </w:r>
        <w:r>
          <w:tab/>
        </w:r>
        <w:r>
          <w:fldChar w:fldCharType="begin"/>
        </w:r>
        <w:r>
          <w:instrText xml:space="preserve"> PAGEREF _Toc256000045 \h </w:instrText>
        </w:r>
        <w:r>
          <w:fldChar w:fldCharType="separate"/>
        </w:r>
        <w:r>
          <w:t>22</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MsoNormal"/>
        <w:spacing w:before="0" w:after="0" w:line="360" w:lineRule="auto"/>
        <w:ind w:left="0" w:right="0"/>
      </w:pPr>
      <w:r>
        <w:rPr>
          <w:rFonts w:ascii="仿宋_GB2312" w:eastAsia="仿宋_GB2312" w:hAnsi="仿宋_GB2312" w:cs="仿宋_GB2312"/>
          <w:sz w:val="32"/>
          <w:szCs w:val="32"/>
        </w:rPr>
        <w:t> </w:t>
      </w:r>
      <w:r>
        <w:rPr>
          <w:rFonts w:ascii="SimSun" w:eastAsia="SimSun" w:hAnsi="SimSun" w:cs="SimSun"/>
          <w:sz w:val="32"/>
          <w:szCs w:val="32"/>
        </w:rPr>
        <w:t>国家税务总局天津市宝坻区税务局（以下简称</w:t>
      </w:r>
      <w:r>
        <w:rPr>
          <w:rFonts w:ascii="SimSun" w:eastAsia="SimSun" w:hAnsi="SimSun" w:cs="SimSun"/>
          <w:sz w:val="32"/>
          <w:szCs w:val="32"/>
        </w:rPr>
        <w:t>“区局”）</w:t>
      </w:r>
      <w:r>
        <w:rPr>
          <w:sz w:val="32"/>
          <w:szCs w:val="32"/>
        </w:rPr>
        <w:t>202</w:t>
      </w:r>
      <w:r>
        <w:rPr>
          <w:sz w:val="32"/>
          <w:szCs w:val="32"/>
        </w:rPr>
        <w:t>6</w:t>
      </w:r>
      <w:r>
        <w:rPr>
          <w:rFonts w:ascii="SimSun" w:eastAsia="SimSun" w:hAnsi="SimSun" w:cs="SimSun"/>
          <w:sz w:val="32"/>
          <w:szCs w:val="32"/>
        </w:rPr>
        <w:t>年</w:t>
      </w:r>
      <w:r>
        <w:rPr>
          <w:sz w:val="32"/>
          <w:szCs w:val="32"/>
        </w:rPr>
        <w:t>-202</w:t>
      </w:r>
      <w:r>
        <w:rPr>
          <w:sz w:val="32"/>
          <w:szCs w:val="32"/>
        </w:rPr>
        <w:t>7</w:t>
      </w:r>
      <w:r>
        <w:rPr>
          <w:rFonts w:ascii="SimSun" w:eastAsia="SimSun" w:hAnsi="SimSun" w:cs="SimSun"/>
          <w:sz w:val="32"/>
          <w:szCs w:val="32"/>
        </w:rPr>
        <w:t>年食堂食材采购项目，为区局机关食堂、宝平税务所食堂</w:t>
      </w:r>
      <w:r>
        <w:rPr>
          <w:rFonts w:ascii="SimSun" w:eastAsia="SimSun" w:hAnsi="SimSun" w:cs="SimSun"/>
          <w:sz w:val="32"/>
          <w:szCs w:val="32"/>
        </w:rPr>
        <w:t>、</w:t>
      </w:r>
      <w:r>
        <w:rPr>
          <w:rFonts w:ascii="SimSun" w:eastAsia="SimSun" w:hAnsi="SimSun" w:cs="SimSun"/>
          <w:sz w:val="32"/>
          <w:szCs w:val="32"/>
        </w:rPr>
        <w:t>钰华税务所食堂</w:t>
      </w:r>
      <w:r>
        <w:rPr>
          <w:rFonts w:ascii="SimSun" w:eastAsia="SimSun" w:hAnsi="SimSun" w:cs="SimSun"/>
          <w:sz w:val="32"/>
          <w:szCs w:val="32"/>
        </w:rPr>
        <w:t>及</w:t>
      </w:r>
      <w:r>
        <w:rPr>
          <w:rFonts w:ascii="SimSun" w:eastAsia="SimSun" w:hAnsi="SimSun" w:cs="SimSun"/>
          <w:sz w:val="32"/>
          <w:szCs w:val="32"/>
        </w:rPr>
        <w:t>八个城区外税务所</w:t>
      </w:r>
      <w:r>
        <w:rPr>
          <w:rFonts w:ascii="SimSun" w:eastAsia="SimSun" w:hAnsi="SimSun" w:cs="SimSun"/>
          <w:sz w:val="32"/>
          <w:szCs w:val="32"/>
        </w:rPr>
        <w:t>（</w:t>
      </w:r>
      <w:r>
        <w:rPr>
          <w:rFonts w:ascii="仿宋" w:eastAsia="仿宋" w:hAnsi="仿宋" w:cs="仿宋"/>
          <w:spacing w:val="0"/>
          <w:sz w:val="32"/>
          <w:szCs w:val="32"/>
        </w:rPr>
        <w:t>史各庄税务所、大口屯税务所、潮阳税务所、大白税务所、周良税务所、大钟庄税务所、王卜庄税务所（含张凤庄村帮扶点）和林亭口税务所</w:t>
      </w:r>
      <w:r>
        <w:rPr>
          <w:rFonts w:ascii="SimSun" w:eastAsia="SimSun" w:hAnsi="SimSun" w:cs="SimSun"/>
          <w:sz w:val="32"/>
          <w:szCs w:val="32"/>
        </w:rPr>
        <w:t>）</w:t>
      </w:r>
      <w:r>
        <w:rPr>
          <w:rFonts w:ascii="SimSun" w:eastAsia="SimSun" w:hAnsi="SimSun" w:cs="SimSun"/>
          <w:sz w:val="32"/>
          <w:szCs w:val="32"/>
        </w:rPr>
        <w:t>食堂</w:t>
      </w:r>
      <w:r>
        <w:rPr>
          <w:rFonts w:ascii="SimSun" w:eastAsia="SimSun" w:hAnsi="SimSun" w:cs="SimSun"/>
          <w:sz w:val="32"/>
          <w:szCs w:val="32"/>
        </w:rPr>
        <w:t>提供各类食堂食材，包括（不限于）冻禽畜肉类、主副食鲜蔬、水果、调味品等，采购预算为人民币</w:t>
      </w:r>
      <w:r>
        <w:rPr>
          <w:rFonts w:ascii="SimSun" w:eastAsia="SimSun" w:hAnsi="SimSun" w:cs="SimSun"/>
          <w:sz w:val="32"/>
          <w:szCs w:val="32"/>
        </w:rPr>
        <w:t>1919466.56元</w:t>
      </w:r>
      <w:r>
        <w:rPr>
          <w:rFonts w:ascii="SimSun" w:eastAsia="SimSun" w:hAnsi="SimSun" w:cs="SimSun"/>
          <w:sz w:val="32"/>
          <w:szCs w:val="32"/>
        </w:rPr>
        <w:t>（</w:t>
      </w:r>
      <w:r>
        <w:rPr>
          <w:rFonts w:ascii="SimSun" w:eastAsia="SimSun" w:hAnsi="SimSun" w:cs="SimSun"/>
          <w:sz w:val="32"/>
          <w:szCs w:val="32"/>
        </w:rPr>
        <w:t>不</w:t>
      </w:r>
      <w:r>
        <w:rPr>
          <w:rFonts w:ascii="SimSun" w:eastAsia="SimSun" w:hAnsi="SimSun" w:cs="SimSun"/>
          <w:sz w:val="32"/>
          <w:szCs w:val="32"/>
        </w:rPr>
        <w:t>包含必需在</w:t>
      </w:r>
      <w:r>
        <w:rPr>
          <w:rFonts w:ascii="SimSun" w:eastAsia="SimSun" w:hAnsi="SimSun" w:cs="SimSun"/>
          <w:sz w:val="32"/>
          <w:szCs w:val="32"/>
        </w:rPr>
        <w:t>“</w:t>
      </w:r>
      <w:r>
        <w:rPr>
          <w:sz w:val="32"/>
          <w:szCs w:val="32"/>
        </w:rPr>
        <w:t>832</w:t>
      </w:r>
      <w:r>
        <w:rPr>
          <w:rFonts w:ascii="SimSun" w:eastAsia="SimSun" w:hAnsi="SimSun" w:cs="SimSun"/>
          <w:sz w:val="32"/>
          <w:szCs w:val="32"/>
        </w:rPr>
        <w:t>平台</w:t>
      </w:r>
      <w:r>
        <w:rPr>
          <w:rFonts w:ascii="SimSun" w:eastAsia="SimSun" w:hAnsi="SimSun" w:cs="SimSun"/>
          <w:sz w:val="32"/>
          <w:szCs w:val="32"/>
        </w:rPr>
        <w:t>”采购</w:t>
      </w:r>
      <w:r>
        <w:rPr>
          <w:rFonts w:ascii="SimSun" w:eastAsia="SimSun" w:hAnsi="SimSun" w:cs="SimSun"/>
          <w:sz w:val="32"/>
          <w:szCs w:val="32"/>
        </w:rPr>
        <w:t>产品</w:t>
      </w:r>
      <w:r>
        <w:rPr>
          <w:rFonts w:ascii="SimSun" w:eastAsia="SimSun" w:hAnsi="SimSun" w:cs="SimSun"/>
          <w:sz w:val="32"/>
          <w:szCs w:val="32"/>
        </w:rPr>
        <w:t>）</w:t>
      </w:r>
      <w:r>
        <w:rPr>
          <w:sz w:val="32"/>
          <w:szCs w:val="32"/>
        </w:rPr>
        <w:t>。</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pacing w:val="0"/>
          <w:sz w:val="32"/>
          <w:szCs w:val="32"/>
        </w:rPr>
        <w:t>本项目旨在为区局</w:t>
      </w:r>
      <w:r>
        <w:rPr>
          <w:rFonts w:ascii="仿宋_GB2312" w:eastAsia="仿宋_GB2312" w:hAnsi="仿宋_GB2312" w:cs="仿宋_GB2312"/>
          <w:spacing w:val="0"/>
          <w:sz w:val="32"/>
          <w:szCs w:val="32"/>
        </w:rPr>
        <w:t>十一个</w:t>
      </w:r>
      <w:r>
        <w:rPr>
          <w:rFonts w:ascii="仿宋_GB2312" w:eastAsia="仿宋_GB2312" w:hAnsi="仿宋_GB2312" w:cs="仿宋_GB2312"/>
          <w:spacing w:val="0"/>
          <w:sz w:val="32"/>
          <w:szCs w:val="32"/>
        </w:rPr>
        <w:t>食堂提供质优价廉的食堂食材，在确保食品安全的基础上，</w:t>
      </w:r>
      <w:r>
        <w:rPr>
          <w:rFonts w:ascii="仿宋_GB2312" w:eastAsia="仿宋_GB2312" w:hAnsi="仿宋_GB2312" w:cs="仿宋_GB2312"/>
          <w:sz w:val="32"/>
          <w:szCs w:val="32"/>
        </w:rPr>
        <w:t>选择资质优良、管理完善、货品新鲜并具有专业技术能力的供应商进行食堂食材供应、配送及售后服务</w:t>
      </w:r>
      <w:r>
        <w:rPr>
          <w:rFonts w:ascii="仿宋_GB2312" w:eastAsia="仿宋_GB2312" w:hAnsi="仿宋_GB2312" w:cs="仿宋_GB2312"/>
          <w:spacing w:val="0"/>
          <w:sz w:val="32"/>
          <w:szCs w:val="32"/>
        </w:rPr>
        <w:t>。</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pacing w:val="0"/>
          <w:sz w:val="32"/>
          <w:szCs w:val="32"/>
        </w:rPr>
        <w:t>按照采购人需求，为区局食堂提供</w:t>
      </w:r>
      <w:r>
        <w:rPr>
          <w:rFonts w:ascii="仿宋_GB2312" w:eastAsia="仿宋_GB2312" w:hAnsi="仿宋_GB2312" w:cs="仿宋_GB2312"/>
          <w:sz w:val="32"/>
          <w:szCs w:val="32"/>
        </w:rPr>
        <w:t>202</w:t>
      </w:r>
      <w:r>
        <w:rPr>
          <w:rFonts w:ascii="仿宋_GB2312" w:eastAsia="仿宋_GB2312" w:hAnsi="仿宋_GB2312" w:cs="仿宋_GB2312"/>
          <w:sz w:val="32"/>
          <w:szCs w:val="32"/>
        </w:rPr>
        <w:t>6</w:t>
      </w:r>
      <w:r>
        <w:rPr>
          <w:rFonts w:ascii="仿宋_GB2312" w:eastAsia="仿宋_GB2312" w:hAnsi="仿宋_GB2312" w:cs="仿宋_GB2312"/>
          <w:sz w:val="32"/>
          <w:szCs w:val="32"/>
        </w:rPr>
        <w:t>年</w:t>
      </w:r>
      <w:r>
        <w:rPr>
          <w:rFonts w:ascii="仿宋_GB2312" w:eastAsia="仿宋_GB2312" w:hAnsi="仿宋_GB2312" w:cs="仿宋_GB2312"/>
          <w:sz w:val="32"/>
          <w:szCs w:val="32"/>
        </w:rPr>
        <w:t>-202</w:t>
      </w:r>
      <w:r>
        <w:rPr>
          <w:rFonts w:ascii="仿宋_GB2312" w:eastAsia="仿宋_GB2312" w:hAnsi="仿宋_GB2312" w:cs="仿宋_GB2312"/>
          <w:sz w:val="32"/>
          <w:szCs w:val="32"/>
        </w:rPr>
        <w:t>7</w:t>
      </w:r>
      <w:r>
        <w:rPr>
          <w:rFonts w:ascii="仿宋_GB2312" w:eastAsia="仿宋_GB2312" w:hAnsi="仿宋_GB2312" w:cs="仿宋_GB2312"/>
          <w:sz w:val="32"/>
          <w:szCs w:val="32"/>
        </w:rPr>
        <w:t>年所需各类</w:t>
      </w:r>
      <w:r>
        <w:rPr>
          <w:rFonts w:ascii="仿宋_GB2312" w:eastAsia="仿宋_GB2312" w:hAnsi="仿宋_GB2312" w:cs="仿宋_GB2312"/>
          <w:spacing w:val="0"/>
          <w:sz w:val="32"/>
          <w:szCs w:val="32"/>
        </w:rPr>
        <w:t>食材，含相应配送。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pacing w:val="0"/>
          <w:sz w:val="32"/>
          <w:szCs w:val="32"/>
        </w:rPr>
        <w:t>按照采购人需求，为区局</w:t>
      </w:r>
      <w:r>
        <w:rPr>
          <w:rFonts w:ascii="仿宋_GB2312" w:eastAsia="仿宋_GB2312" w:hAnsi="仿宋_GB2312" w:cs="仿宋_GB2312"/>
          <w:spacing w:val="0"/>
          <w:sz w:val="32"/>
          <w:szCs w:val="32"/>
        </w:rPr>
        <w:t>十一个</w:t>
      </w:r>
      <w:r>
        <w:rPr>
          <w:rFonts w:ascii="仿宋_GB2312" w:eastAsia="仿宋_GB2312" w:hAnsi="仿宋_GB2312" w:cs="仿宋_GB2312"/>
          <w:spacing w:val="0"/>
          <w:sz w:val="32"/>
          <w:szCs w:val="32"/>
        </w:rPr>
        <w:t>食堂提供</w:t>
      </w:r>
      <w:r>
        <w:rPr>
          <w:rFonts w:ascii="仿宋_GB2312" w:eastAsia="仿宋_GB2312" w:hAnsi="仿宋_GB2312" w:cs="仿宋_GB2312"/>
          <w:sz w:val="32"/>
          <w:szCs w:val="32"/>
        </w:rPr>
        <w:t>202</w:t>
      </w:r>
      <w:r>
        <w:rPr>
          <w:rFonts w:ascii="仿宋_GB2312" w:eastAsia="仿宋_GB2312" w:hAnsi="仿宋_GB2312" w:cs="仿宋_GB2312"/>
          <w:sz w:val="32"/>
          <w:szCs w:val="32"/>
        </w:rPr>
        <w:t>6</w:t>
      </w:r>
      <w:r>
        <w:rPr>
          <w:rFonts w:ascii="仿宋_GB2312" w:eastAsia="仿宋_GB2312" w:hAnsi="仿宋_GB2312" w:cs="仿宋_GB2312"/>
          <w:sz w:val="32"/>
          <w:szCs w:val="32"/>
        </w:rPr>
        <w:t>年</w:t>
      </w:r>
      <w:r>
        <w:rPr>
          <w:rFonts w:ascii="仿宋_GB2312" w:eastAsia="仿宋_GB2312" w:hAnsi="仿宋_GB2312" w:cs="仿宋_GB2312"/>
          <w:sz w:val="32"/>
          <w:szCs w:val="32"/>
        </w:rPr>
        <w:t>-202</w:t>
      </w:r>
      <w:r>
        <w:rPr>
          <w:rFonts w:ascii="仿宋_GB2312" w:eastAsia="仿宋_GB2312" w:hAnsi="仿宋_GB2312" w:cs="仿宋_GB2312"/>
          <w:sz w:val="32"/>
          <w:szCs w:val="32"/>
        </w:rPr>
        <w:t>7</w:t>
      </w:r>
      <w:r>
        <w:rPr>
          <w:rFonts w:ascii="仿宋_GB2312" w:eastAsia="仿宋_GB2312" w:hAnsi="仿宋_GB2312" w:cs="仿宋_GB2312"/>
          <w:sz w:val="32"/>
          <w:szCs w:val="32"/>
        </w:rPr>
        <w:t>年所需各类</w:t>
      </w:r>
      <w:r>
        <w:rPr>
          <w:rFonts w:ascii="仿宋_GB2312" w:eastAsia="仿宋_GB2312" w:hAnsi="仿宋_GB2312" w:cs="仿宋_GB2312"/>
          <w:spacing w:val="0"/>
          <w:sz w:val="32"/>
          <w:szCs w:val="32"/>
        </w:rPr>
        <w:t>食材，并提供相应简单加工及配送服务。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b/>
          <w:bCs/>
          <w:sz w:val="32"/>
          <w:szCs w:val="32"/>
        </w:rPr>
        <w:t> </w:t>
      </w:r>
      <w:r>
        <w:rPr>
          <w:rFonts w:ascii="仿宋_GB2312" w:eastAsia="仿宋_GB2312" w:hAnsi="仿宋_GB2312" w:cs="仿宋_GB2312"/>
          <w:b/>
          <w:bCs/>
          <w:sz w:val="32"/>
          <w:szCs w:val="32"/>
        </w:rPr>
        <w:t>项目实施时间</w:t>
      </w:r>
      <w:r>
        <w:rPr>
          <w:rFonts w:ascii="仿宋_GB2312" w:eastAsia="仿宋_GB2312" w:hAnsi="仿宋_GB2312" w:cs="仿宋_GB2312"/>
          <w:spacing w:val="0"/>
          <w:sz w:val="32"/>
          <w:szCs w:val="32"/>
        </w:rPr>
        <w:t>：</w:t>
      </w:r>
      <w:r>
        <w:rPr>
          <w:rFonts w:ascii="仿宋_GB2312" w:eastAsia="仿宋_GB2312" w:hAnsi="仿宋_GB2312" w:cs="仿宋_GB2312"/>
          <w:spacing w:val="0"/>
          <w:sz w:val="32"/>
          <w:szCs w:val="32"/>
        </w:rPr>
        <w:t>区局机关食堂、宝平税务所食堂</w:t>
      </w:r>
      <w:r>
        <w:rPr>
          <w:rFonts w:ascii="仿宋_GB2312" w:eastAsia="仿宋_GB2312" w:hAnsi="仿宋_GB2312" w:cs="仿宋_GB2312"/>
          <w:spacing w:val="0"/>
          <w:sz w:val="32"/>
          <w:szCs w:val="32"/>
        </w:rPr>
        <w:t>、</w:t>
      </w:r>
      <w:r>
        <w:rPr>
          <w:rFonts w:ascii="仿宋_GB2312" w:eastAsia="仿宋_GB2312" w:hAnsi="仿宋_GB2312" w:cs="仿宋_GB2312"/>
          <w:spacing w:val="0"/>
          <w:sz w:val="32"/>
          <w:szCs w:val="32"/>
        </w:rPr>
        <w:t>钰华税务所食堂</w:t>
      </w:r>
      <w:r>
        <w:rPr>
          <w:rFonts w:ascii="仿宋_GB2312" w:eastAsia="仿宋_GB2312" w:hAnsi="仿宋_GB2312" w:cs="仿宋_GB2312"/>
          <w:spacing w:val="0"/>
          <w:sz w:val="32"/>
          <w:szCs w:val="32"/>
        </w:rPr>
        <w:t>服务期</w:t>
      </w:r>
      <w:r>
        <w:rPr>
          <w:rFonts w:ascii="仿宋_GB2312" w:eastAsia="仿宋_GB2312" w:hAnsi="仿宋_GB2312" w:cs="仿宋_GB2312"/>
          <w:spacing w:val="0"/>
          <w:sz w:val="32"/>
          <w:szCs w:val="32"/>
        </w:rPr>
        <w:t>自合同生效之日起</w:t>
      </w:r>
      <w:r>
        <w:rPr>
          <w:rFonts w:ascii="仿宋_GB2312" w:eastAsia="仿宋_GB2312" w:hAnsi="仿宋_GB2312" w:cs="仿宋_GB2312"/>
          <w:spacing w:val="0"/>
          <w:sz w:val="32"/>
          <w:szCs w:val="32"/>
        </w:rPr>
        <w:t>1年</w:t>
      </w:r>
      <w:r>
        <w:rPr>
          <w:rFonts w:ascii="仿宋_GB2312" w:eastAsia="仿宋_GB2312" w:hAnsi="仿宋_GB2312" w:cs="仿宋_GB2312"/>
          <w:spacing w:val="0"/>
          <w:sz w:val="32"/>
          <w:szCs w:val="32"/>
        </w:rPr>
        <w:t>；</w:t>
      </w:r>
      <w:r>
        <w:rPr>
          <w:rFonts w:ascii="仿宋_GB2312" w:eastAsia="仿宋_GB2312" w:hAnsi="仿宋_GB2312" w:cs="仿宋_GB2312"/>
          <w:spacing w:val="0"/>
          <w:sz w:val="32"/>
          <w:szCs w:val="32"/>
        </w:rPr>
        <w:t>史各庄税务所食堂、大口屯税务所食堂、潮阳税务所食堂、大白税务所食堂、周良税务所食堂、大钟庄税务所食堂、王卜庄税务所食堂（含张凤庄村帮扶点）和林亭口税务所食堂</w:t>
      </w:r>
      <w:r>
        <w:rPr>
          <w:rFonts w:ascii="仿宋_GB2312" w:eastAsia="仿宋_GB2312" w:hAnsi="仿宋_GB2312" w:cs="仿宋_GB2312"/>
          <w:spacing w:val="0"/>
          <w:sz w:val="32"/>
          <w:szCs w:val="32"/>
        </w:rPr>
        <w:t>服务期</w:t>
      </w:r>
      <w:r>
        <w:rPr>
          <w:rFonts w:ascii="仿宋_GB2312" w:eastAsia="仿宋_GB2312" w:hAnsi="仿宋_GB2312" w:cs="仿宋_GB2312"/>
          <w:spacing w:val="0"/>
          <w:sz w:val="32"/>
          <w:szCs w:val="32"/>
        </w:rPr>
        <w:t>自合同生效之日起</w:t>
      </w:r>
      <w:r>
        <w:rPr>
          <w:rFonts w:ascii="仿宋_GB2312" w:eastAsia="仿宋_GB2312" w:hAnsi="仿宋_GB2312" w:cs="仿宋_GB2312"/>
          <w:spacing w:val="0"/>
          <w:sz w:val="32"/>
          <w:szCs w:val="32"/>
        </w:rPr>
        <w:t>11个月。</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送货地点位于国家税务总局天津市宝坻区税务局机关、宝平税务所</w:t>
      </w:r>
      <w:r>
        <w:rPr>
          <w:rFonts w:ascii="仿宋_GB2312" w:eastAsia="仿宋_GB2312" w:hAnsi="仿宋_GB2312" w:cs="仿宋_GB2312"/>
          <w:sz w:val="32"/>
          <w:szCs w:val="32"/>
        </w:rPr>
        <w:t>、</w:t>
      </w:r>
      <w:r>
        <w:rPr>
          <w:rFonts w:ascii="仿宋_GB2312" w:eastAsia="仿宋_GB2312" w:hAnsi="仿宋_GB2312" w:cs="仿宋_GB2312"/>
          <w:sz w:val="32"/>
          <w:szCs w:val="32"/>
        </w:rPr>
        <w:t>钰华税务所</w:t>
      </w:r>
      <w:r>
        <w:rPr>
          <w:rFonts w:ascii="仿宋_GB2312" w:eastAsia="仿宋_GB2312" w:hAnsi="仿宋_GB2312" w:cs="仿宋_GB2312"/>
          <w:sz w:val="32"/>
          <w:szCs w:val="32"/>
        </w:rPr>
        <w:t>、</w:t>
      </w:r>
      <w:r>
        <w:rPr>
          <w:rFonts w:ascii="仿宋" w:eastAsia="仿宋" w:hAnsi="仿宋" w:cs="仿宋"/>
          <w:spacing w:val="0"/>
          <w:sz w:val="32"/>
          <w:szCs w:val="32"/>
        </w:rPr>
        <w:t>史各庄税务所、大口屯税务所、潮阳税务所、大白税务所、周良税务所、大钟庄税务所、王卜庄税务所（含张凤庄村帮扶点）和林亭口税务所，共计</w:t>
      </w:r>
      <w:r>
        <w:rPr>
          <w:rFonts w:ascii="仿宋" w:eastAsia="仿宋" w:hAnsi="仿宋" w:cs="仿宋"/>
          <w:spacing w:val="0"/>
          <w:sz w:val="32"/>
          <w:szCs w:val="32"/>
        </w:rPr>
        <w:t>12</w:t>
      </w:r>
      <w:r>
        <w:rPr>
          <w:rFonts w:ascii="仿宋" w:eastAsia="仿宋" w:hAnsi="仿宋" w:cs="仿宋"/>
          <w:spacing w:val="0"/>
          <w:sz w:val="32"/>
          <w:szCs w:val="32"/>
        </w:rPr>
        <w:t>个办公场所</w:t>
      </w:r>
      <w:r>
        <w:rPr>
          <w:rFonts w:ascii="仿宋_GB2312" w:eastAsia="仿宋_GB2312" w:hAnsi="仿宋_GB2312" w:cs="仿宋_GB2312"/>
          <w:sz w:val="32"/>
          <w:szCs w:val="32"/>
        </w:rPr>
        <w:t>。具体位置为</w:t>
      </w:r>
      <w:r>
        <w:rPr>
          <w:rFonts w:ascii="仿宋_GB2312" w:eastAsia="仿宋_GB2312" w:hAnsi="仿宋_GB2312" w:cs="仿宋_GB2312"/>
          <w:spacing w:val="-4"/>
          <w:sz w:val="32"/>
          <w:szCs w:val="32"/>
        </w:rPr>
        <w:t>天津市宝坻区潮阳大道与开元路交口西侧、天津市宝坻区建设路</w:t>
      </w:r>
      <w:r>
        <w:rPr>
          <w:rFonts w:ascii="仿宋_GB2312" w:eastAsia="仿宋_GB2312" w:hAnsi="仿宋_GB2312" w:cs="仿宋_GB2312"/>
          <w:spacing w:val="-4"/>
          <w:sz w:val="32"/>
          <w:szCs w:val="32"/>
        </w:rPr>
        <w:t>130号</w:t>
      </w:r>
      <w:r>
        <w:rPr>
          <w:rFonts w:ascii="仿宋_GB2312" w:eastAsia="仿宋_GB2312" w:hAnsi="仿宋_GB2312" w:cs="仿宋_GB2312"/>
          <w:spacing w:val="-4"/>
          <w:sz w:val="32"/>
          <w:szCs w:val="32"/>
        </w:rPr>
        <w:t>、</w:t>
      </w:r>
      <w:r>
        <w:rPr>
          <w:rFonts w:ascii="仿宋_GB2312" w:eastAsia="仿宋_GB2312" w:hAnsi="仿宋_GB2312" w:cs="仿宋_GB2312"/>
          <w:spacing w:val="-4"/>
          <w:sz w:val="32"/>
          <w:szCs w:val="32"/>
        </w:rPr>
        <w:t>天津市宝坻区南三路东段</w:t>
      </w:r>
      <w:r>
        <w:rPr>
          <w:rFonts w:ascii="仿宋_GB2312" w:eastAsia="仿宋_GB2312" w:hAnsi="仿宋_GB2312" w:cs="仿宋_GB2312"/>
          <w:spacing w:val="-4"/>
          <w:sz w:val="32"/>
          <w:szCs w:val="32"/>
        </w:rPr>
        <w:t>、</w:t>
      </w:r>
      <w:r>
        <w:rPr>
          <w:rFonts w:ascii="仿宋" w:eastAsia="仿宋" w:hAnsi="仿宋" w:cs="仿宋"/>
          <w:spacing w:val="0"/>
          <w:sz w:val="32"/>
          <w:szCs w:val="32"/>
        </w:rPr>
        <w:t>天津市宝坻区史各庄镇、天津市宝坻区大口屯镇大新公路北侧、天津市宝坻区潮阳街道水岸蓝庭小区南侧、天津市宝坻区大白街道大白高中对面、天津市宝坻区京津新城祥瑞大街唐泉尚苑、天津市宝坻区大钟庄镇商贸街东</w:t>
      </w:r>
      <w:r>
        <w:rPr>
          <w:rFonts w:ascii="仿宋" w:eastAsia="仿宋" w:hAnsi="仿宋" w:cs="仿宋"/>
          <w:spacing w:val="0"/>
          <w:sz w:val="32"/>
          <w:szCs w:val="32"/>
        </w:rPr>
        <w:t>50米、天津市宝坻区王卜庄镇自由市场东侧、天津市宝坻区方家庄镇张凤庄村（帮扶点）和天津市宝坻区林亭口镇林中路（农行向东200米），送货上门。</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投标人应遵守有关国家法律、法规和条例</w:t>
      </w:r>
      <w:r>
        <w:rPr>
          <w:rFonts w:ascii="仿宋_GB2312" w:eastAsia="仿宋_GB2312" w:hAnsi="仿宋_GB2312" w:cs="仿宋_GB2312"/>
          <w:sz w:val="32"/>
          <w:szCs w:val="32"/>
        </w:rPr>
        <w:t>,具备《中华人民共和国政府采购法》第二十二条的规定和本文件中规定的条件。</w:t>
      </w:r>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32"/>
          <w:szCs w:val="32"/>
        </w:rPr>
        <w:t>投标人具有《食品经营许可证》，主体业态至少包含食品销售经营者，提供证书扫描件。</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25"/>
        <w:gridCol w:w="4274"/>
        <w:gridCol w:w="413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32"/>
          <w:szCs w:val="32"/>
        </w:rPr>
        <w:t> </w:t>
      </w:r>
      <w:r>
        <w:rPr>
          <w:rFonts w:ascii="仿宋_GB2312" w:eastAsia="仿宋_GB2312" w:hAnsi="仿宋_GB2312" w:cs="仿宋_GB2312"/>
          <w:sz w:val="32"/>
          <w:szCs w:val="32"/>
        </w:rPr>
        <w:t>有效案例为</w:t>
      </w:r>
      <w:r>
        <w:rPr>
          <w:rFonts w:ascii="仿宋_GB2312" w:eastAsia="仿宋_GB2312" w:hAnsi="仿宋_GB2312" w:cs="仿宋_GB2312"/>
          <w:sz w:val="32"/>
          <w:szCs w:val="32"/>
        </w:rPr>
        <w:t>202</w:t>
      </w:r>
      <w:r>
        <w:rPr>
          <w:rFonts w:ascii="仿宋_GB2312" w:eastAsia="仿宋_GB2312" w:hAnsi="仿宋_GB2312" w:cs="仿宋_GB2312"/>
          <w:sz w:val="32"/>
          <w:szCs w:val="32"/>
        </w:rPr>
        <w:t>3</w:t>
      </w:r>
      <w:r>
        <w:rPr>
          <w:rFonts w:ascii="仿宋_GB2312" w:eastAsia="仿宋_GB2312" w:hAnsi="仿宋_GB2312" w:cs="仿宋_GB2312"/>
          <w:sz w:val="32"/>
          <w:szCs w:val="32"/>
        </w:rPr>
        <w:t>年</w:t>
      </w:r>
      <w:r>
        <w:rPr>
          <w:rFonts w:ascii="仿宋_GB2312" w:eastAsia="仿宋_GB2312" w:hAnsi="仿宋_GB2312" w:cs="仿宋_GB2312"/>
          <w:sz w:val="32"/>
          <w:szCs w:val="32"/>
        </w:rPr>
        <w:t>1月1日以来（以合同签订日期为准），</w:t>
      </w:r>
      <w:r>
        <w:rPr>
          <w:rFonts w:ascii="仿宋_GB2312" w:eastAsia="仿宋_GB2312" w:hAnsi="仿宋_GB2312" w:cs="仿宋_GB2312"/>
          <w:sz w:val="32"/>
          <w:szCs w:val="32"/>
        </w:rPr>
        <w:t>供应商独立承担的食材供应项目案例（必须包含本包采购的</w:t>
      </w:r>
      <w:r>
        <w:rPr>
          <w:rFonts w:ascii="仿宋_GB2312" w:eastAsia="仿宋_GB2312" w:hAnsi="仿宋_GB2312" w:cs="仿宋_GB2312"/>
          <w:spacing w:val="0"/>
          <w:sz w:val="32"/>
          <w:szCs w:val="32"/>
        </w:rPr>
        <w:t>水果、蔬菜、水产品、鲜奶及奶制品、豆制品、</w:t>
      </w:r>
      <w:r>
        <w:rPr>
          <w:rFonts w:ascii="仿宋_GB2312" w:eastAsia="仿宋_GB2312" w:hAnsi="仿宋_GB2312" w:cs="仿宋_GB2312"/>
          <w:sz w:val="32"/>
          <w:szCs w:val="32"/>
        </w:rPr>
        <w:t>猪肉及副产品、牛羊肉及各部件、禽肉及各部件、肉制品及半成品，米、面、杂粮、油、鸡蛋及调料</w:t>
      </w:r>
      <w:r>
        <w:rPr>
          <w:rFonts w:ascii="仿宋_GB2312" w:eastAsia="仿宋_GB2312" w:hAnsi="仿宋_GB2312" w:cs="仿宋_GB2312"/>
          <w:spacing w:val="0"/>
          <w:sz w:val="32"/>
          <w:szCs w:val="32"/>
        </w:rPr>
        <w:t>等食材</w:t>
      </w:r>
      <w:r>
        <w:rPr>
          <w:rFonts w:ascii="仿宋_GB2312" w:eastAsia="仿宋_GB2312" w:hAnsi="仿宋_GB2312" w:cs="仿宋_GB2312"/>
          <w:sz w:val="32"/>
          <w:szCs w:val="32"/>
        </w:rPr>
        <w:t>等食材），予以加分考虑。</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32"/>
          <w:szCs w:val="32"/>
        </w:rPr>
        <w:t>符合和满足本项目技术要求和其他有关要求。</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jc w:val="both"/>
        <w:rPr>
          <w:rFonts w:ascii="Times New Roman" w:eastAsia="Times New Roman" w:hAnsi="Times New Roman" w:cs="Times New Roman"/>
        </w:rPr>
      </w:pPr>
      <w:r>
        <w:rPr>
          <w:rFonts w:ascii="Times New Roman" w:eastAsia="Times New Roman" w:hAnsi="Times New Roman" w:cs="Times New Roman"/>
          <w:sz w:val="32"/>
          <w:szCs w:val="32"/>
        </w:rPr>
        <w:t>供应商须承诺所提供的货物、人员符合相关国家强制性规定。具体需求详见项目需求、人员要求、管理实施要求、风险管控要求、履约验收要求及其他要求。</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以下相关方案，若作为评审因素，则投标人应在满足★必备指标项要求的前提下，基于对优于★指标项及#、△指标项的应答，根据项目特点和采购需求，制定更为完整、详细、可操作性强的方案。</w:t>
      </w:r>
    </w:p>
    <w:p>
      <w:pPr>
        <w:pStyle w:val="16"/>
        <w:spacing w:before="0" w:after="0" w:line="360" w:lineRule="auto"/>
        <w:rPr>
          <w:rFonts w:ascii="Times New Roman" w:eastAsia="Times New Roman" w:hAnsi="Times New Roman" w:cs="Times New Roman"/>
        </w:rPr>
      </w:pPr>
      <w:r>
        <w:rPr>
          <w:rFonts w:ascii="仿宋_GB2312" w:eastAsia="仿宋_GB2312" w:hAnsi="仿宋_GB2312" w:cs="仿宋_GB2312"/>
          <w:spacing w:val="-1"/>
          <w:sz w:val="32"/>
          <w:szCs w:val="32"/>
        </w:rPr>
        <w:t> </w:t>
      </w:r>
      <w:r>
        <w:rPr>
          <w:rFonts w:ascii="仿宋_GB2312" w:eastAsia="仿宋_GB2312" w:hAnsi="仿宋_GB2312" w:cs="仿宋_GB2312"/>
          <w:spacing w:val="-1"/>
          <w:sz w:val="32"/>
          <w:szCs w:val="32"/>
        </w:rPr>
        <w:t>本项目按结算率进行报价，所有货物的结算率要保持一致。</w:t>
      </w:r>
      <w:r>
        <w:rPr>
          <w:rFonts w:ascii="仿宋_GB2312" w:eastAsia="仿宋_GB2312" w:hAnsi="仿宋_GB2312" w:cs="仿宋_GB2312"/>
          <w:spacing w:val="-1"/>
          <w:sz w:val="32"/>
          <w:szCs w:val="32"/>
        </w:rPr>
        <w:t>（结算率的解释：</w:t>
      </w:r>
      <w:r>
        <w:rPr>
          <w:rFonts w:ascii="仿宋_GB2312" w:eastAsia="仿宋_GB2312" w:hAnsi="仿宋_GB2312" w:cs="仿宋_GB2312"/>
          <w:spacing w:val="-1"/>
          <w:sz w:val="32"/>
          <w:szCs w:val="32"/>
        </w:rPr>
        <w:t>1.例如某产品的市场单价为10元/个，投标人的结算率为90%，那么该产品的结算单价=10*90%=9元/个。2.中标后，在合同履行期间内，所有产品均按中标的结算率来计算出对应的结算单价。3.结算率的高低判断：若有3名投标人分别报的结算率为95%，94%，92%，那么95%＞94%＞92%，在报价评分中，92%将作为最低报价，即为基准价。）</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pacing w:val="-1"/>
          <w:sz w:val="32"/>
          <w:szCs w:val="32"/>
        </w:rPr>
        <w:t>    市场单价：中标人定期向采购人提供食材报价，采购人对中标人提供的食材报价单的价格无异议，则以中标人提供的报价单的价格为市场单价；若采购人对中标人提供的报价单有异议，则参照采购人所在地周边大型或连锁农贸市场、综合超市等进行询价，以上述超市或市场相同食材的合理均价作为市场单价。</w:t>
      </w:r>
    </w:p>
    <w:p>
      <w:pPr>
        <w:pStyle w:val="Heading3"/>
        <w:keepNext w:val="0"/>
        <w:spacing w:before="0" w:after="0" w:line="360" w:lineRule="auto"/>
        <w:rPr>
          <w:rFonts w:ascii="仿宋_GB2312" w:eastAsia="仿宋_GB2312" w:hAnsi="仿宋_GB2312" w:cs="仿宋_GB2312"/>
          <w:b/>
          <w:bCs/>
          <w:sz w:val="28"/>
          <w:szCs w:val="28"/>
        </w:rPr>
      </w:pPr>
      <w:bookmarkStart w:id="22" w:name="_Toc256000019"/>
      <w:r>
        <w:rPr>
          <w:rFonts w:ascii="仿宋_GB2312" w:eastAsia="仿宋_GB2312" w:hAnsi="仿宋_GB2312" w:cs="仿宋_GB2312"/>
          <w:sz w:val="28"/>
          <w:szCs w:val="28"/>
        </w:rPr>
        <w:t>2.2.3异常低价审查</w:t>
      </w:r>
      <w:bookmarkEnd w:id="22"/>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32"/>
          <w:szCs w:val="32"/>
        </w:rPr>
        <w:t>政府采购评审中出现下列情形之一的，评审委员会应当启动异常低价投标（响应）审查程序：</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32"/>
          <w:szCs w:val="32"/>
        </w:rPr>
        <w:t>1. 投标（响应）报价低于全部通过符合性审查供应商投标（响应）报价平均值65%的，即投标（响应）报价小于全部通过符合性审查供应商投标（响应）报价平均值×65%；</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32"/>
          <w:szCs w:val="32"/>
        </w:rPr>
        <w:t>2. 投标（响应）报价低于通过符合性审查的次低报价供应商投标（响应）报价65%的，即投标（响应）报价小于通过符合性审查的次低报价供应商投标（响应）报价×65%；</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32"/>
          <w:szCs w:val="32"/>
        </w:rPr>
        <w:t>3. 投标（响应）报价低于采购项目最高限价65%的，即投标（响应）报价小于采购项目最高限价×65%；</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32"/>
          <w:szCs w:val="32"/>
        </w:rPr>
        <w:t>4.评审委员会基于专业判断，认为供应商报价过低，有可能影响产品质量或者不能诚信履约的其他情形。</w:t>
      </w:r>
    </w:p>
    <w:p>
      <w:pPr>
        <w:pStyle w:val="Heading1"/>
        <w:keepNext w:val="0"/>
        <w:spacing w:before="0" w:after="0" w:line="360" w:lineRule="auto"/>
        <w:jc w:val="center"/>
        <w:rPr>
          <w:rFonts w:ascii="仿宋_GB2312" w:eastAsia="仿宋_GB2312" w:hAnsi="仿宋_GB2312" w:cs="仿宋_GB2312"/>
          <w:b/>
          <w:bCs/>
          <w:sz w:val="32"/>
          <w:szCs w:val="32"/>
        </w:rPr>
      </w:pPr>
      <w:bookmarkStart w:id="23" w:name="_Toc256000020"/>
      <w:r>
        <w:rPr>
          <w:rFonts w:ascii="仿宋_GB2312" w:eastAsia="仿宋_GB2312" w:hAnsi="仿宋_GB2312" w:cs="仿宋_GB2312"/>
          <w:kern w:val="36"/>
        </w:rPr>
        <w:t>3项目需求</w:t>
      </w:r>
      <w:bookmarkEnd w:id="23"/>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3.1总体要求</w:t>
      </w:r>
      <w:bookmarkEnd w:id="24"/>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32"/>
          <w:szCs w:val="32"/>
        </w:rPr>
        <w:t> </w:t>
      </w:r>
      <w:r>
        <w:rPr>
          <w:rFonts w:ascii="仿宋_GB2312" w:eastAsia="仿宋_GB2312" w:hAnsi="仿宋_GB2312" w:cs="仿宋_GB2312"/>
          <w:sz w:val="32"/>
          <w:szCs w:val="32"/>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3.2采购产品一览表</w:t>
      </w:r>
      <w:bookmarkEnd w:id="25"/>
    </w:p>
    <w:tbl>
      <w:tblPr>
        <w:tblW w:w="5000" w:type="pct"/>
        <w:tblInd w:w="30" w:type="dxa"/>
        <w:tblCellMar>
          <w:top w:w="15" w:type="dxa"/>
          <w:left w:w="15" w:type="dxa"/>
          <w:bottom w:w="15" w:type="dxa"/>
          <w:right w:w="15" w:type="dxa"/>
        </w:tblCellMar>
      </w:tblPr>
      <w:tblGrid>
        <w:gridCol w:w="899"/>
        <w:gridCol w:w="1964"/>
        <w:gridCol w:w="1637"/>
        <w:gridCol w:w="1621"/>
        <w:gridCol w:w="1589"/>
        <w:gridCol w:w="162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瘦肉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1871.28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猪外脊</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肘子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猪耳朵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牛腱子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毛肚</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牛肚</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肥牛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牛舌尾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冻牛柳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筋头巴脑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352.56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298.32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驴肉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驴肉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2斤/袋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289.28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569.52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鸡胸</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2斤/袋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公鸡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3斤/只</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759.36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2斤/袋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447.48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2斤/袋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白条鸡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鸡脖子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鸭脖子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鸡叉骨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腊肉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迎宾火腿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鸡米花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2斤/袋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木鱼花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全贝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龙利鱼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854.28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鱿鱼卷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草鱼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马口鱼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黄花鱼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八带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海参水发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鱿鱼须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扇贝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鲤鱼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1193.28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鲫鱼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水产冻货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鲢鱼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橘子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3932.4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5152.8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皇冠梨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麒麟西瓜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501.72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香酥梨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哈密瓜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甜酸梨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橙子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沃甘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352.56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毛桃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3796.8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雪花梨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沙糖桔</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759.36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甜梨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黄元帅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488.16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沃柑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894.96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纯牛奶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71379.84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57006.24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黑香米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蚕豆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50斤/袋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379.68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1.9L/桶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759.36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5L/桶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1.9L/桶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350ml/瓶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1000g/桶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1.75L/瓶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400g/瓶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耗油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6kg/桶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410ml/瓶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1.2L/瓶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40g/瓶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椒盐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30g/瓶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孜然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八角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干辣椒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433.92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454g/袋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400g/ 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425g/袋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340g/瓶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酵母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200g/盒</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小苏打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泡打粉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丁香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198g/袋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500ml/瓶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老抽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1.9L/桶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17573.76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干木耳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5000g/件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5000g/件</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1500g/袋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80g/盘</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云吞皮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青玉米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1952.64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623.76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尖椒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1898.4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圆白菜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蒜苔</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散菜花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2440.8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2576.4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老来少豆角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白玉菇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1518.72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团生菜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紫甘蓝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623.76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759.36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长南瓜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3254.4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杏鲍菇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西兰花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908.52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4474.8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豇豆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新大蒜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4339.2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黑豆片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2847.6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铁杆山药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蟹味菇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2440.8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娃娃菜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紫葱头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油麦菜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彩椒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i w:val="0"/>
          <w:iCs w:val="0"/>
        </w:rPr>
        <w:t>3.3采购产品详细清单及技术指标</w:t>
      </w:r>
      <w:bookmarkEnd w:id="2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59"/>
        <w:gridCol w:w="848"/>
        <w:gridCol w:w="2592"/>
        <w:gridCol w:w="25500"/>
        <w:gridCol w:w="654"/>
        <w:gridCol w:w="1627"/>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 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（5）肉类的理化指标及卫生标准符合国家或采购人所在地区最新标准执行。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（9）保证所供肉类渠道来源正规可溯，参考正规市场品质及来源。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（10）蔬菜和水果化学药物不超标，保持较好的色泽及新鲜度，无黄叶、泥沙；包装食品标注生产厂家，生产日期，并在保质期范围内，保持较好的外观；水产品品质新鲜质量安全。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（11）所有食材的来源清晰，蔬菜来源于受到地方政府部门监管的自有基地、商品菜基地或蔬菜专业流通市场，不供应散户溯源不清的蔬菜。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不含非食品用化学物质、无杂质。以小麦、大米为原料的面条，色亮不发灰发暗。表面结构细密、光滑。软硬适中，爽口不粘牙，口感光滑，具有清香，无异味。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供应非转基因食用油。外观的色泽、透明度、气味滋味等无异常，定型包装。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肋排去剔前排后11-13根肋骨，整块重量1.2KG-1.8KG，纹理清晰，边缘整齐。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心肝、腰子类：品质新鲜、外形完整、无异味、无病变、无凝血块、无血污、泥污、颜色正常。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肚：品质新鲜、外形完整、无溃疡面及其他病变现象、无内容物、无粘膜、无边油。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大肠、肥肠类：品质新鲜、无破损、无病变组织、无肠头细毛、无内容物、去净粘膜。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舌：品质新鲜、外形完整、无病变、无异物、无舌苔、附肉少、无血污、泥污。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耳：品质新鲜、外形完整、无溃烂、病斑、无破损。</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蹄爪类：品质新鲜、去蹄壳、不带蹄筋、刮除粗毛、细毛及趾间黑垢、无松香残留。</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蹄筋类：品质新鲜、无色透明、表面光亮、无油脂、无精肉、无充血现象、顺直、干燥。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猪心：淡红色，脂肪乳白色稍红色，结实，有弹性，外形完整，心房内无瘀血，无凝血块，无病变，气味正常。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猪肝：红褐色或棕黄色，有光泽，湿润，略有弹性，组织结实微密，肝叶完整，无脂肪，胆囊、粗输、胆管、无寄生虫、炎症水泡、薄膜，无胆汁污染，微有鱼腥味。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猪口条：品质新鲜，外形完整，无根附着的肌肉、舌骨、舌苔、脂肪、无病伤，无异物。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色泽：颜色比冷却肉鲜明，在表面切开处为浅玫瑰色至灰色，用手或热刀触之，立显示鲜红色。脂肪猪、羊为白色，牛为淡黄色。肌腱为白色，石灰色。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外表：无杂质，无肌肉风干现象，无白、黄、绿斑、紫斑、污血、过多冰衣无白霜、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气味：化冻时，有肉的正常味，略潮，没有熟肉味。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包装：按标准部位分割外包装无破损有生产日期。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眼球：无干缩凹陷或晶体状浑浊现象。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外表：具有其固有表皮颜色、肌肉切面有光泽、无绿、紫等异常颜色、无残羽（在脖、翅等处无较长细毛）、无破损、无残缺、新切面不发粘。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气味：具有其固有气味、无异味。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鸡爪：品质新鲜、呈白色或灰白色、无黄皮趾壳、无血污、血水、无残缺、脚趾根上无黑斑、允许有少量红斑。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鸡翅：品质新鲜、无残羽、无黄衣、无伤斑及溃烂、无血水血污、允许有少数斑、允许剪修但最大范围不超转弯关节处。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鸡腿：无残羽、无血水、血污、品质新鲜、无残骨无伤斑及溃烂、炎症、允许有少数红斑、外形美观。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鸡胸肉：品质新鲜、无残羽、无血水、血污、无残骨、无伤斑、溃烂、炎症，允许有少数红斑。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鸡肝：品质新鲜、外形完整、去胆、无寄生虫、炎症、水泡，无胆汁污染无血渍。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鸡胗：品质新鲜、外形完整无内容物、鸡内金、腺胃、肠管及脂肪，无出血、瘀血、病变。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鸡心：品质新鲜、褐红色，脂肪稍红，组织结实，有弹性，心房内无瘀血、病变，气味正常。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鸡脖：品质新鲜、去劲部皮、无羽毛、无血污。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鸡头：品质新鲜、外形完整、无伤斑、无溃烂、无血污。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色泽：外观滋润，呈乳白或微黄色。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外表：基本无血脉、风干现象，无白、黄绿、紫斑、无冰衣，解冻后与鲜禽特征相同。</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气味：无腐臭气味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包装：分割部件应符合标准，外包装完好、商标规格、产品说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(1)供应当季各类新鲜蔬菜以及大棚种植蔬菜，蔬菜类无黄叶、枯死叶，无虫，无杂质，原菜菜面干净、无明显泥土、码放整齐、无破损、大小基本统一、不得过熟或欠熟.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须保证食品干净，不含非食品用化学物质，按统一标准加工，码放整齐，无须二次处理可以直接进行熟加工。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3.4服务要求</w:t>
      </w:r>
      <w:bookmarkEnd w:id="27"/>
    </w:p>
    <w:tbl>
      <w:tblPr>
        <w:tblW w:w="5000" w:type="pct"/>
        <w:tblInd w:w="30" w:type="dxa"/>
        <w:tblCellMar>
          <w:top w:w="15" w:type="dxa"/>
          <w:left w:w="15" w:type="dxa"/>
          <w:bottom w:w="15" w:type="dxa"/>
          <w:right w:w="15" w:type="dxa"/>
        </w:tblCellMar>
      </w:tblPr>
      <w:tblGrid>
        <w:gridCol w:w="496"/>
        <w:gridCol w:w="1754"/>
        <w:gridCol w:w="2174"/>
        <w:gridCol w:w="1918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投标人自有或租赁库房及配送中心，面积不小于300平米。能够满足按采购人需求完成配送任务，确保12个办公区同时送货。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投标人应自有或固定租赁运输车辆，确保24小时响应，按采购人需求完成配送任务，确保12个办公区及时送货。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主食供应链能力要求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具有自有、签约的大米、面粉生产基地、加工厂或者销售资格。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具有自有或签约的食用油加工厂或者销售资格。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具有自有、签约的猪肉屠宰、加工厂或者销售资格。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具有自有、签约的牛肉屠宰、加工厂或者销售资格。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具有自有、签约的羊肉屠宰、加工厂或者销售资格。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具有自有、签约的禽肉屠宰、加工厂或者销售资格。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果蔬供应链能力要求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投标人具有自有或签约供货的蔬菜、水果基地之一或者销售资格。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具有自有或签约的牛奶生产工厂或者销售资格。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1月1日以来具有主副食调料肉蛋奶等食材（含本包拟配送食材）的进货内容。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能够完成本合同采购货物的简易加工，如切丝、丁、块、片等。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投标人整个运输过程应采用符合卫生要求的外包装和运载工具，对运输工具做到每日清洗消毒，车厢内无不良气味、异味，确保运输过程安全卫生。肉奶等冷链食品必须使用符合规范标准的冷藏车进行运输。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安全完整包装要求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采购人按期（周）向投标人发布采购内容，投标人应在送货前一个工作日与采购人核对确认采购内容无误后，在次日6点前配送至采购人指定验收地点。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i w:val="0"/>
          <w:iCs w:val="0"/>
        </w:rPr>
        <w:t>3.5其他要求</w:t>
      </w:r>
      <w:bookmarkEnd w:id="28"/>
    </w:p>
    <w:p>
      <w:pPr>
        <w:pStyle w:val="Heading3"/>
        <w:keepNext w:val="0"/>
        <w:spacing w:before="0" w:after="0" w:line="360" w:lineRule="auto"/>
        <w:rPr>
          <w:rFonts w:ascii="Arial" w:eastAsia="Arial" w:hAnsi="Arial" w:cs="Arial"/>
          <w:b/>
          <w:bCs/>
          <w:sz w:val="26"/>
          <w:szCs w:val="26"/>
        </w:rPr>
      </w:pPr>
      <w:bookmarkStart w:id="29" w:name="_Toc256000026"/>
      <w:r>
        <w:rPr>
          <w:rFonts w:ascii="仿宋_GB2312" w:eastAsia="仿宋_GB2312" w:hAnsi="仿宋_GB2312" w:cs="仿宋_GB2312"/>
          <w:sz w:val="32"/>
          <w:szCs w:val="32"/>
        </w:rPr>
        <w:t>质量安全把控服务要求</w:t>
      </w:r>
      <w:bookmarkEnd w:id="29"/>
    </w:p>
    <w:p>
      <w:pPr>
        <w:pStyle w:val="17"/>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32"/>
          <w:szCs w:val="32"/>
        </w:rPr>
        <w:t>1.投标人应提供质量安全把控方案。</w:t>
      </w:r>
      <w:r>
        <w:rPr>
          <w:rFonts w:ascii="仿宋_GB2312" w:eastAsia="仿宋_GB2312" w:hAnsi="仿宋_GB2312" w:cs="仿宋_GB2312"/>
          <w:sz w:val="32"/>
          <w:szCs w:val="32"/>
        </w:rPr>
        <w:t>方案内容详细描述供应货物质量把控措施、检验检疫关键环节把控、不符合质量标准货品处置等内容，确保提供食材安全可靠。</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2.投标人供应以下食品的，采购人全部退货，投标人承担由此造成的一切经济责任和法律责任：</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1）腐败变质、油脂酸败、霉变、生虫、污秽不洁、混有异物或者其他感官性状异常，对人体健康有害的；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2）含有毒、有害物质或者被有毒、有害物质污染，对人体健康有害的；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3）含有致病性寄生虫、微生物或者微生物含量超过国家限定标准的；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4）掺假、掺杂、伪造，影响营养、卫生的；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5）用非食品原料加工的，加入非食品用化学物质或者将非食品当作食品的；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6）超过保质期限的；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7）使用有色、有毒塑料制品、包装食材的；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8）其他不符合《食品安全法》和《产品质量法》等相关规定的。</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32"/>
          <w:szCs w:val="32"/>
        </w:rPr>
        <w:t>3.凡投标人所供应货物应为原箱包装，拆包或重组包装的应提前向采购人说明，定量包装批量误差不应超过实际标示的5%。</w:t>
      </w:r>
    </w:p>
    <w:p>
      <w:pPr>
        <w:pStyle w:val="Heading3"/>
        <w:keepNext w:val="0"/>
        <w:spacing w:before="0" w:after="0" w:line="360" w:lineRule="auto"/>
        <w:rPr>
          <w:rFonts w:ascii="Arial" w:eastAsia="Arial" w:hAnsi="Arial" w:cs="Arial"/>
          <w:b/>
          <w:bCs/>
          <w:sz w:val="26"/>
          <w:szCs w:val="26"/>
        </w:rPr>
      </w:pPr>
      <w:bookmarkStart w:id="30" w:name="_Toc256000027"/>
      <w:r>
        <w:rPr>
          <w:rFonts w:ascii="仿宋_GB2312" w:eastAsia="仿宋_GB2312" w:hAnsi="仿宋_GB2312" w:cs="仿宋_GB2312"/>
          <w:sz w:val="32"/>
          <w:szCs w:val="32"/>
        </w:rPr>
        <w:t>供应方案要求</w:t>
      </w:r>
      <w:bookmarkEnd w:id="30"/>
    </w:p>
    <w:p>
      <w:pPr>
        <w:pStyle w:val="16"/>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投标人应提交科学合理的供应方案。方案应包含服务团队管理措施、内部采购管理措施、储存分拣管理措施、科学合理运输措施等。</w:t>
      </w:r>
    </w:p>
    <w:p>
      <w:pPr>
        <w:pStyle w:val="Heading1"/>
        <w:keepNext w:val="0"/>
        <w:spacing w:before="0" w:after="0" w:line="360" w:lineRule="auto"/>
        <w:jc w:val="center"/>
        <w:rPr>
          <w:rFonts w:ascii="仿宋_GB2312" w:eastAsia="仿宋_GB2312" w:hAnsi="仿宋_GB2312" w:cs="仿宋_GB2312"/>
          <w:b/>
          <w:bCs/>
          <w:sz w:val="32"/>
          <w:szCs w:val="32"/>
        </w:rPr>
      </w:pPr>
      <w:bookmarkStart w:id="31" w:name="_Toc256000028"/>
      <w:r>
        <w:rPr>
          <w:rFonts w:ascii="仿宋_GB2312" w:eastAsia="仿宋_GB2312" w:hAnsi="仿宋_GB2312" w:cs="仿宋_GB2312"/>
          <w:kern w:val="36"/>
        </w:rPr>
        <w:t>4人员要求</w:t>
      </w:r>
      <w:bookmarkEnd w:id="31"/>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4.1团队要求</w:t>
      </w:r>
      <w:bookmarkEnd w:id="32"/>
    </w:p>
    <w:p>
      <w:pPr>
        <w:pStyle w:val="Heading3"/>
        <w:keepNext w:val="0"/>
        <w:spacing w:before="0" w:after="0" w:line="360" w:lineRule="auto"/>
        <w:rPr>
          <w:rFonts w:ascii="仿宋_GB2312" w:eastAsia="仿宋_GB2312" w:hAnsi="仿宋_GB2312" w:cs="仿宋_GB2312"/>
          <w:b/>
          <w:bCs/>
          <w:sz w:val="28"/>
          <w:szCs w:val="28"/>
        </w:rPr>
      </w:pPr>
      <w:bookmarkStart w:id="33" w:name="_Toc256000030"/>
      <w:r>
        <w:rPr>
          <w:rFonts w:ascii="仿宋_GB2312" w:eastAsia="仿宋_GB2312" w:hAnsi="仿宋_GB2312" w:cs="仿宋_GB2312"/>
          <w:sz w:val="28"/>
          <w:szCs w:val="28"/>
        </w:rPr>
        <w:t>4.1.1基本要求</w:t>
      </w:r>
      <w:bookmarkEnd w:id="33"/>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1.投标人应提供专业的管理和采购团队，团队编制和人员资质务必保证运营服务质量。提供的服务团队应保持稳定，承诺项目执行期间人员变动不超过20%。</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32"/>
          <w:szCs w:val="32"/>
        </w:rPr>
        <w:t>2. 投标人服务团队须配有以下人员，出具盖有投标人公章的服务团队人员名单。</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32"/>
          <w:szCs w:val="32"/>
        </w:rPr>
        <w:t>为本项目提供的服务团队中所有人员必须提供缴纳社保证明材料，同时必须具有从业人员健康证明，否则不予认可。</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符合以下工作经验要求的应出具工作简历，予以加分考虑。</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1）经理1人，具有5年及以上食材供应项目管理工作经验。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2）供应业务员2人，具有3年及以上食材供应项目工作经验。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3）食品安全管理员1人，具有3年及以上食品安全管理工作经验。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4）采购员2人，具有3年及以上食材采购工作经验。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5）配送司机2名，具有3年及以上相关工作经验。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以上人员在服务过程中应热情服务、遵规守法，具备较强的沟通能力和临时紧急配送调换的处置能力。</w:t>
      </w:r>
    </w:p>
    <w:p>
      <w:pPr>
        <w:pStyle w:val="Heading3"/>
        <w:keepNext w:val="0"/>
        <w:spacing w:before="0" w:after="0" w:line="360" w:lineRule="auto"/>
        <w:rPr>
          <w:rFonts w:ascii="仿宋_GB2312" w:eastAsia="仿宋_GB2312" w:hAnsi="仿宋_GB2312" w:cs="仿宋_GB2312"/>
          <w:b/>
          <w:bCs/>
          <w:sz w:val="28"/>
          <w:szCs w:val="28"/>
        </w:rPr>
      </w:pPr>
      <w:bookmarkStart w:id="34" w:name="_Toc256000031"/>
      <w:r>
        <w:rPr>
          <w:rFonts w:ascii="仿宋_GB2312" w:eastAsia="仿宋_GB2312" w:hAnsi="仿宋_GB2312" w:cs="仿宋_GB2312"/>
          <w:sz w:val="28"/>
          <w:szCs w:val="28"/>
        </w:rPr>
        <w:t>4.1.2优选资质/优选指标</w:t>
      </w:r>
      <w:bookmarkEnd w:id="34"/>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5管理实施要求</w:t>
      </w:r>
      <w:bookmarkEnd w:id="35"/>
    </w:p>
    <w:p>
      <w:pPr>
        <w:spacing w:before="0" w:after="0" w:line="360" w:lineRule="auto"/>
        <w:rPr>
          <w:rFonts w:ascii="Times New Roman" w:eastAsia="Times New Roman" w:hAnsi="Times New Roman" w:cs="Times New Roman"/>
        </w:rPr>
      </w:pPr>
      <w:r>
        <w:rPr>
          <w:rFonts w:ascii="仿宋_GB2312" w:eastAsia="仿宋_GB2312" w:hAnsi="仿宋_GB2312" w:cs="仿宋_GB2312"/>
          <w:sz w:val="32"/>
          <w:szCs w:val="32"/>
        </w:rPr>
        <w:t>建立成熟完善的透明化责任体系</w:t>
      </w:r>
      <w:r>
        <w:rPr>
          <w:rFonts w:ascii="仿宋_GB2312" w:eastAsia="仿宋_GB2312" w:hAnsi="仿宋_GB2312" w:cs="仿宋_GB2312"/>
          <w:sz w:val="32"/>
          <w:szCs w:val="32"/>
        </w:rPr>
        <w:t>,明确经理、供应业务员、食品安全管理员、采购员、司机等各岗位工作职责，制定岗位工作说明，确保制度能有效运转。</w:t>
      </w:r>
    </w:p>
    <w:p>
      <w:pPr>
        <w:pStyle w:val="Heading2"/>
        <w:keepNext w:val="0"/>
        <w:spacing w:before="0" w:after="0" w:line="360" w:lineRule="auto"/>
        <w:rPr>
          <w:rFonts w:ascii="Arial" w:eastAsia="Arial" w:hAnsi="Arial" w:cs="Arial"/>
          <w:b/>
          <w:bCs/>
          <w:i/>
          <w:iCs/>
          <w:sz w:val="28"/>
          <w:szCs w:val="28"/>
        </w:rPr>
      </w:pPr>
      <w:bookmarkStart w:id="36" w:name="_Toc256000033"/>
      <w:r>
        <w:rPr>
          <w:rFonts w:ascii="仿宋_GB2312" w:eastAsia="仿宋_GB2312" w:hAnsi="仿宋_GB2312" w:cs="仿宋_GB2312"/>
          <w:i w:val="0"/>
          <w:iCs w:val="0"/>
        </w:rPr>
        <w:t>5.1售后要求</w:t>
      </w:r>
      <w:bookmarkEnd w:id="36"/>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32"/>
          <w:szCs w:val="32"/>
        </w:rPr>
        <w:t>1.中标人在日常供应时，须保质保量进行配送，若出现食品安全</w:t>
      </w:r>
      <w:r>
        <w:rPr>
          <w:rFonts w:ascii="仿宋_GB2312" w:eastAsia="仿宋_GB2312" w:hAnsi="仿宋_GB2312" w:cs="仿宋_GB2312"/>
          <w:spacing w:val="-1"/>
          <w:sz w:val="32"/>
          <w:szCs w:val="32"/>
        </w:rPr>
        <w:t>问题、服</w:t>
      </w:r>
      <w:r>
        <w:rPr>
          <w:rFonts w:ascii="仿宋_GB2312" w:eastAsia="仿宋_GB2312" w:hAnsi="仿宋_GB2312" w:cs="仿宋_GB2312"/>
          <w:spacing w:val="-3"/>
          <w:sz w:val="32"/>
          <w:szCs w:val="32"/>
        </w:rPr>
        <w:t>务质量问题情况时，采购人将会按照合同相关条款实</w:t>
      </w:r>
      <w:r>
        <w:rPr>
          <w:rFonts w:ascii="仿宋_GB2312" w:eastAsia="仿宋_GB2312" w:hAnsi="仿宋_GB2312" w:cs="仿宋_GB2312"/>
          <w:spacing w:val="-4"/>
          <w:sz w:val="32"/>
          <w:szCs w:val="32"/>
        </w:rPr>
        <w:t>行分级处理且保留因食品安</w:t>
      </w:r>
      <w:r>
        <w:rPr>
          <w:rFonts w:ascii="仿宋_GB2312" w:eastAsia="仿宋_GB2312" w:hAnsi="仿宋_GB2312" w:cs="仿宋_GB2312"/>
          <w:spacing w:val="-2"/>
          <w:sz w:val="32"/>
          <w:szCs w:val="32"/>
        </w:rPr>
        <w:t>全问题向中标人追偿及追究责任的权利。</w:t>
      </w:r>
    </w:p>
    <w:p>
      <w:pPr>
        <w:pStyle w:val="15"/>
        <w:spacing w:before="0" w:after="0" w:line="360" w:lineRule="auto"/>
        <w:ind w:firstLine="636"/>
        <w:rPr>
          <w:rFonts w:ascii="Times New Roman" w:eastAsia="Times New Roman" w:hAnsi="Times New Roman" w:cs="Times New Roman"/>
        </w:rPr>
      </w:pPr>
      <w:r>
        <w:rPr>
          <w:rFonts w:ascii="仿宋_GB2312" w:eastAsia="仿宋_GB2312" w:hAnsi="仿宋_GB2312" w:cs="仿宋_GB2312"/>
          <w:spacing w:val="-1"/>
          <w:sz w:val="32"/>
          <w:szCs w:val="32"/>
        </w:rPr>
        <w:t>2、中标人应在政府采购相关政策允许的范围内，执行应急保障任务。</w:t>
      </w:r>
    </w:p>
    <w:p>
      <w:pPr>
        <w:pStyle w:val="Heading2"/>
        <w:keepNext w:val="0"/>
        <w:spacing w:before="0" w:after="0" w:line="360" w:lineRule="auto"/>
        <w:rPr>
          <w:rFonts w:ascii="Arial" w:eastAsia="Arial" w:hAnsi="Arial" w:cs="Arial"/>
          <w:b/>
          <w:bCs/>
          <w:i/>
          <w:iCs/>
          <w:sz w:val="28"/>
          <w:szCs w:val="28"/>
        </w:rPr>
      </w:pPr>
      <w:bookmarkStart w:id="37" w:name="_Toc256000034"/>
      <w:r>
        <w:rPr>
          <w:rFonts w:ascii="仿宋_GB2312" w:eastAsia="仿宋_GB2312" w:hAnsi="仿宋_GB2312" w:cs="仿宋_GB2312"/>
          <w:i w:val="0"/>
          <w:iCs w:val="0"/>
        </w:rPr>
        <w:t>5.2退（补）货流程</w:t>
      </w:r>
      <w:bookmarkEnd w:id="37"/>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对不符合质量要求的货物，由接收单位的验</w:t>
      </w:r>
      <w:r>
        <w:rPr>
          <w:rFonts w:ascii="仿宋_GB2312" w:eastAsia="仿宋_GB2312" w:hAnsi="仿宋_GB2312" w:cs="仿宋_GB2312"/>
          <w:spacing w:val="-4"/>
          <w:sz w:val="32"/>
          <w:szCs w:val="32"/>
        </w:rPr>
        <w:t>收人员提出退换货，如双方对质</w:t>
      </w:r>
      <w:r>
        <w:rPr>
          <w:rFonts w:ascii="仿宋_GB2312" w:eastAsia="仿宋_GB2312" w:hAnsi="仿宋_GB2312" w:cs="仿宋_GB2312"/>
          <w:spacing w:val="-3"/>
          <w:sz w:val="32"/>
          <w:szCs w:val="32"/>
        </w:rPr>
        <w:t>量或重量有争议的可送具有检验资质的部门检测，同时留样备检；对数量</w:t>
      </w:r>
      <w:r>
        <w:rPr>
          <w:rFonts w:ascii="仿宋_GB2312" w:eastAsia="仿宋_GB2312" w:hAnsi="仿宋_GB2312" w:cs="仿宋_GB2312"/>
          <w:spacing w:val="-4"/>
          <w:sz w:val="32"/>
          <w:szCs w:val="32"/>
        </w:rPr>
        <w:t>不足或</w:t>
      </w:r>
      <w:r>
        <w:rPr>
          <w:rFonts w:ascii="仿宋_GB2312" w:eastAsia="仿宋_GB2312" w:hAnsi="仿宋_GB2312" w:cs="仿宋_GB2312"/>
          <w:spacing w:val="-3"/>
          <w:sz w:val="32"/>
          <w:szCs w:val="32"/>
        </w:rPr>
        <w:t>部分退货的，责令中标人以不影响开餐供应为前提尽快补退。在退货过程</w:t>
      </w:r>
      <w:r>
        <w:rPr>
          <w:rFonts w:ascii="仿宋_GB2312" w:eastAsia="仿宋_GB2312" w:hAnsi="仿宋_GB2312" w:cs="仿宋_GB2312"/>
          <w:spacing w:val="-4"/>
          <w:sz w:val="32"/>
          <w:szCs w:val="32"/>
        </w:rPr>
        <w:t>中，对</w:t>
      </w:r>
      <w:r>
        <w:rPr>
          <w:rFonts w:ascii="仿宋_GB2312" w:eastAsia="仿宋_GB2312" w:hAnsi="仿宋_GB2312" w:cs="仿宋_GB2312"/>
          <w:spacing w:val="-7"/>
          <w:sz w:val="32"/>
          <w:szCs w:val="32"/>
        </w:rPr>
        <w:t>有碍公共卫生安全的食品，应按国家有关规定处理，</w:t>
      </w:r>
      <w:r>
        <w:rPr>
          <w:rFonts w:ascii="仿宋_GB2312" w:eastAsia="仿宋_GB2312" w:hAnsi="仿宋_GB2312" w:cs="仿宋_GB2312"/>
          <w:spacing w:val="-8"/>
          <w:sz w:val="32"/>
          <w:szCs w:val="32"/>
        </w:rPr>
        <w:t>不退货给中标人，直接销毁。</w:t>
      </w:r>
    </w:p>
    <w:p>
      <w:pPr>
        <w:pStyle w:val="Heading1"/>
        <w:keepNext w:val="0"/>
        <w:spacing w:before="0" w:after="0" w:line="360" w:lineRule="auto"/>
        <w:jc w:val="center"/>
        <w:rPr>
          <w:rFonts w:ascii="仿宋_GB2312" w:eastAsia="仿宋_GB2312" w:hAnsi="仿宋_GB2312" w:cs="仿宋_GB2312"/>
          <w:b/>
          <w:bCs/>
          <w:sz w:val="32"/>
          <w:szCs w:val="32"/>
        </w:rPr>
      </w:pPr>
      <w:bookmarkStart w:id="38" w:name="_Toc256000035"/>
      <w:r>
        <w:rPr>
          <w:rFonts w:ascii="仿宋_GB2312" w:eastAsia="仿宋_GB2312" w:hAnsi="仿宋_GB2312" w:cs="仿宋_GB2312"/>
          <w:kern w:val="36"/>
        </w:rPr>
        <w:t>6风险管控要求</w:t>
      </w:r>
      <w:bookmarkEnd w:id="38"/>
    </w:p>
    <w:p>
      <w:pPr>
        <w:pStyle w:val="19"/>
        <w:spacing w:before="0" w:after="0" w:line="360" w:lineRule="auto"/>
        <w:ind w:firstLine="642"/>
        <w:rPr>
          <w:rFonts w:ascii="Times New Roman" w:eastAsia="Times New Roman" w:hAnsi="Times New Roman" w:cs="Times New Roman"/>
        </w:rPr>
      </w:pPr>
      <w:r>
        <w:rPr>
          <w:rFonts w:ascii="Times New Roman" w:eastAsia="Times New Roman" w:hAnsi="Times New Roman" w:cs="Times New Roman"/>
          <w:b/>
          <w:bCs/>
          <w:sz w:val="32"/>
          <w:szCs w:val="32"/>
        </w:rPr>
        <w:t>（一）应急保障方案要求</w:t>
      </w:r>
    </w:p>
    <w:p>
      <w:pPr>
        <w:pStyle w:val="19"/>
        <w:spacing w:before="0" w:after="0" w:line="360" w:lineRule="auto"/>
        <w:ind w:firstLine="640"/>
        <w:rPr>
          <w:rFonts w:ascii="Times New Roman" w:eastAsia="Times New Roman" w:hAnsi="Times New Roman" w:cs="Times New Roman"/>
        </w:rPr>
      </w:pPr>
      <w:r>
        <w:rPr>
          <w:rFonts w:ascii="Times New Roman" w:eastAsia="Times New Roman" w:hAnsi="Times New Roman" w:cs="Times New Roman"/>
          <w:sz w:val="32"/>
          <w:szCs w:val="32"/>
        </w:rPr>
        <w:t>投标人应提供在自然灾害、极端事件、市场关闭、物资紧缺等突发紧急情况下拟采取的应急保障方案，包括充分供应、按时保障、质量管控等措施，确保采购人食材及时供应不间断。</w:t>
      </w:r>
    </w:p>
    <w:p>
      <w:pPr>
        <w:pStyle w:val="17"/>
        <w:spacing w:before="0" w:after="0" w:line="360" w:lineRule="auto"/>
        <w:rPr>
          <w:rFonts w:ascii="Times New Roman" w:eastAsia="Times New Roman" w:hAnsi="Times New Roman" w:cs="Times New Roman"/>
        </w:rPr>
      </w:pPr>
      <w:r>
        <w:rPr>
          <w:rFonts w:ascii="Times New Roman" w:eastAsia="Times New Roman" w:hAnsi="Times New Roman" w:cs="Times New Roman"/>
          <w:b/>
          <w:bCs/>
          <w:sz w:val="32"/>
          <w:szCs w:val="32"/>
        </w:rPr>
        <w:t>    （二）违约风险管控要求</w:t>
      </w:r>
    </w:p>
    <w:p>
      <w:pPr>
        <w:pStyle w:val="18"/>
        <w:spacing w:before="0" w:after="0" w:line="360" w:lineRule="auto"/>
        <w:ind w:left="0" w:firstLine="640"/>
        <w:jc w:val="both"/>
        <w:rPr>
          <w:rFonts w:ascii="Times New Roman" w:eastAsia="Times New Roman" w:hAnsi="Times New Roman" w:cs="Times New Roman"/>
        </w:rPr>
      </w:pPr>
      <w:r>
        <w:rPr>
          <w:rFonts w:ascii="Times New Roman" w:eastAsia="Times New Roman" w:hAnsi="Times New Roman" w:cs="Times New Roman"/>
          <w:sz w:val="32"/>
          <w:szCs w:val="32"/>
        </w:rPr>
        <w:t>1.投标人中标后采用先送货后结账的模式，不收取履约保证金。有下列情形之一的，采购人有权按照以下约定及合同违约相关条款处理：</w:t>
      </w:r>
    </w:p>
    <w:p>
      <w:pPr>
        <w:pStyle w:val="16"/>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32"/>
          <w:szCs w:val="32"/>
        </w:rPr>
        <w:t>（</w:t>
      </w:r>
      <w:r>
        <w:rPr>
          <w:rFonts w:ascii="Times New Roman" w:eastAsia="Times New Roman" w:hAnsi="Times New Roman" w:cs="Times New Roman"/>
          <w:sz w:val="32"/>
          <w:szCs w:val="32"/>
        </w:rPr>
        <w:t>1）因投标人配送不及时导致采购人供餐延误并造成重大影响的；</w:t>
      </w:r>
    </w:p>
    <w:p>
      <w:pPr>
        <w:pStyle w:val="16"/>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32"/>
          <w:szCs w:val="32"/>
        </w:rPr>
        <w:t>（</w:t>
      </w:r>
      <w:r>
        <w:rPr>
          <w:rFonts w:ascii="Times New Roman" w:eastAsia="Times New Roman" w:hAnsi="Times New Roman" w:cs="Times New Roman"/>
          <w:sz w:val="32"/>
          <w:szCs w:val="32"/>
        </w:rPr>
        <w:t>2）凡经相关部门认定，因投标人所提供的原料原因造成采购人食堂出现食物中毒等卫生安全事故的，投标人除必须承担全部的法律责任外，还要全额承担因食物中毒发生所造成后果的一切费用；</w:t>
      </w:r>
    </w:p>
    <w:p>
      <w:pPr>
        <w:pStyle w:val="16"/>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32"/>
          <w:szCs w:val="32"/>
        </w:rPr>
        <w:t>（</w:t>
      </w:r>
      <w:r>
        <w:rPr>
          <w:rFonts w:ascii="Times New Roman" w:eastAsia="Times New Roman" w:hAnsi="Times New Roman" w:cs="Times New Roman"/>
          <w:sz w:val="32"/>
          <w:szCs w:val="32"/>
        </w:rPr>
        <w:t>3）除不可抗力及采购人原因外，因投标人配送不及时导致采购人伙食供应延时，但经投标人采取补救措施未造成采购人不良影响的，出现三次终止供货合同；</w:t>
      </w:r>
    </w:p>
    <w:p>
      <w:pPr>
        <w:pStyle w:val="16"/>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32"/>
          <w:szCs w:val="32"/>
        </w:rPr>
        <w:t>（</w:t>
      </w:r>
      <w:r>
        <w:rPr>
          <w:rFonts w:ascii="Times New Roman" w:eastAsia="Times New Roman" w:hAnsi="Times New Roman" w:cs="Times New Roman"/>
          <w:sz w:val="32"/>
          <w:szCs w:val="32"/>
        </w:rPr>
        <w:t>4）凡投标人向采购人提供产品发生质量问题影响食用，并拒绝退换的；</w:t>
      </w:r>
    </w:p>
    <w:p>
      <w:pPr>
        <w:pStyle w:val="16"/>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32"/>
          <w:szCs w:val="32"/>
        </w:rPr>
        <w:t>（</w:t>
      </w:r>
      <w:r>
        <w:rPr>
          <w:rFonts w:ascii="Times New Roman" w:eastAsia="Times New Roman" w:hAnsi="Times New Roman" w:cs="Times New Roman"/>
          <w:sz w:val="32"/>
          <w:szCs w:val="32"/>
        </w:rPr>
        <w:t>5）采购人将不定期组织专人对食材进行抽检，若发现质量不符，采购人有权要求予以退换货。</w:t>
      </w:r>
    </w:p>
    <w:p>
      <w:pPr>
        <w:pStyle w:val="18"/>
        <w:spacing w:before="0" w:after="0" w:line="360" w:lineRule="auto"/>
        <w:ind w:left="0" w:firstLine="640"/>
        <w:jc w:val="both"/>
        <w:rPr>
          <w:rFonts w:ascii="Times New Roman" w:eastAsia="Times New Roman" w:hAnsi="Times New Roman" w:cs="Times New Roman"/>
        </w:rPr>
      </w:pPr>
      <w:r>
        <w:rPr>
          <w:rFonts w:ascii="Times New Roman" w:eastAsia="Times New Roman" w:hAnsi="Times New Roman" w:cs="Times New Roman"/>
          <w:sz w:val="32"/>
          <w:szCs w:val="32"/>
        </w:rPr>
        <w:t>2.投标人有下列情形之一的，采购人有权解除合同，由投标人承担全部经济损失和相关责任：</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32"/>
          <w:szCs w:val="32"/>
        </w:rPr>
        <w:t>（</w:t>
      </w:r>
      <w:r>
        <w:rPr>
          <w:rFonts w:ascii="Times New Roman" w:eastAsia="Times New Roman" w:hAnsi="Times New Roman" w:cs="Times New Roman"/>
          <w:sz w:val="32"/>
          <w:szCs w:val="32"/>
        </w:rPr>
        <w:t>1）投标人以书面、微信、短信等方式通知采购人不再供货，包括对部分食材不再供货；</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32"/>
          <w:szCs w:val="32"/>
        </w:rPr>
        <w:t>（</w:t>
      </w:r>
      <w:r>
        <w:rPr>
          <w:rFonts w:ascii="Times New Roman" w:eastAsia="Times New Roman" w:hAnsi="Times New Roman" w:cs="Times New Roman"/>
          <w:sz w:val="32"/>
          <w:szCs w:val="32"/>
        </w:rPr>
        <w:t>2）</w:t>
      </w:r>
      <w:r>
        <w:rPr>
          <w:rFonts w:ascii="仿宋" w:eastAsia="仿宋" w:hAnsi="仿宋" w:cs="仿宋"/>
          <w:sz w:val="32"/>
          <w:szCs w:val="32"/>
        </w:rPr>
        <w:t>投标人虽未通知采购人不再供货，但</w:t>
      </w:r>
      <w:r>
        <w:rPr>
          <w:rFonts w:ascii="Times New Roman" w:eastAsia="Times New Roman" w:hAnsi="Times New Roman" w:cs="Times New Roman"/>
          <w:sz w:val="32"/>
          <w:szCs w:val="32"/>
        </w:rPr>
        <w:t>1天没有供应采购人采购的货物，包括对部分食材没有供货；</w:t>
      </w:r>
    </w:p>
    <w:p>
      <w:pPr>
        <w:pStyle w:val="15"/>
        <w:spacing w:before="0" w:after="0" w:line="360" w:lineRule="auto"/>
        <w:jc w:val="both"/>
        <w:rPr>
          <w:rFonts w:ascii="Times New Roman" w:eastAsia="Times New Roman" w:hAnsi="Times New Roman" w:cs="Times New Roman"/>
        </w:rPr>
      </w:pPr>
      <w:r>
        <w:rPr>
          <w:rFonts w:ascii="Times New Roman" w:eastAsia="Times New Roman" w:hAnsi="Times New Roman" w:cs="Times New Roman"/>
          <w:sz w:val="32"/>
          <w:szCs w:val="32"/>
        </w:rPr>
        <w:t>    （3）投标人未经采购人同意单方面提价的。</w:t>
      </w:r>
    </w:p>
    <w:p>
      <w:pPr>
        <w:pStyle w:val="Heading1"/>
        <w:keepNext w:val="0"/>
        <w:spacing w:before="0" w:after="0" w:line="360" w:lineRule="auto"/>
        <w:jc w:val="center"/>
        <w:rPr>
          <w:rFonts w:ascii="仿宋_GB2312" w:eastAsia="仿宋_GB2312" w:hAnsi="仿宋_GB2312" w:cs="仿宋_GB2312"/>
          <w:b/>
          <w:bCs/>
          <w:sz w:val="32"/>
          <w:szCs w:val="32"/>
        </w:rPr>
      </w:pPr>
      <w:bookmarkStart w:id="39" w:name="_Toc256000036"/>
      <w:r>
        <w:rPr>
          <w:rFonts w:ascii="仿宋_GB2312" w:eastAsia="仿宋_GB2312" w:hAnsi="仿宋_GB2312" w:cs="仿宋_GB2312"/>
          <w:kern w:val="36"/>
        </w:rPr>
        <w:t>7履约验收要求</w:t>
      </w:r>
      <w:bookmarkEnd w:id="39"/>
    </w:p>
    <w:p>
      <w:pPr>
        <w:pStyle w:val="Heading2"/>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i w:val="0"/>
          <w:iCs w:val="0"/>
        </w:rPr>
        <w:t>7.1总体要求</w:t>
      </w:r>
      <w:bookmarkEnd w:id="40"/>
    </w:p>
    <w:tbl>
      <w:tblPr>
        <w:tblW w:w="5000" w:type="pct"/>
        <w:tblInd w:w="30" w:type="dxa"/>
        <w:tblCellMar>
          <w:top w:w="15" w:type="dxa"/>
          <w:left w:w="15" w:type="dxa"/>
          <w:bottom w:w="15" w:type="dxa"/>
          <w:right w:w="15" w:type="dxa"/>
        </w:tblCellMar>
      </w:tblPr>
      <w:tblGrid>
        <w:gridCol w:w="917"/>
        <w:gridCol w:w="8579"/>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按照《财政部关于进一步加强政府采购需求和履约验收管理的指导意见》（财库〔2016〕205 号）、《政府采购需求管理办法》（财库〔2021〕 22 号）以及国家食品安全管理相关规定等要求进行验收。</w:t>
            </w:r>
          </w:p>
        </w:tc>
      </w:tr>
    </w:tbl>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7.2具体要求</w:t>
      </w:r>
      <w:bookmarkEnd w:id="41"/>
    </w:p>
    <w:p>
      <w:pPr>
        <w:pStyle w:val="15"/>
        <w:spacing w:before="0" w:after="0" w:line="360" w:lineRule="auto"/>
        <w:ind w:firstLine="632"/>
        <w:rPr>
          <w:rFonts w:ascii="Times New Roman" w:eastAsia="Times New Roman" w:hAnsi="Times New Roman" w:cs="Times New Roman"/>
        </w:rPr>
      </w:pPr>
      <w:r>
        <w:rPr>
          <w:rFonts w:ascii="仿宋_GB2312" w:eastAsia="仿宋_GB2312" w:hAnsi="仿宋_GB2312" w:cs="仿宋_GB2312"/>
          <w:spacing w:val="-2"/>
          <w:sz w:val="32"/>
          <w:szCs w:val="32"/>
        </w:rPr>
        <w:t>1.履约验收主体：采购人</w:t>
      </w:r>
      <w:r>
        <w:rPr>
          <w:rFonts w:ascii="仿宋_GB2312" w:eastAsia="仿宋_GB2312" w:hAnsi="仿宋_GB2312" w:cs="仿宋_GB2312"/>
          <w:spacing w:val="4"/>
          <w:sz w:val="32"/>
          <w:szCs w:val="32"/>
        </w:rPr>
        <w:t> </w:t>
      </w:r>
    </w:p>
    <w:p>
      <w:pPr>
        <w:pStyle w:val="15"/>
        <w:spacing w:before="0" w:after="0" w:line="360" w:lineRule="auto"/>
        <w:ind w:firstLine="636"/>
        <w:rPr>
          <w:rFonts w:ascii="Times New Roman" w:eastAsia="Times New Roman" w:hAnsi="Times New Roman" w:cs="Times New Roman"/>
        </w:rPr>
      </w:pPr>
      <w:r>
        <w:rPr>
          <w:rFonts w:ascii="仿宋_GB2312" w:eastAsia="仿宋_GB2312" w:hAnsi="仿宋_GB2312" w:cs="仿宋_GB2312"/>
          <w:spacing w:val="-1"/>
          <w:sz w:val="32"/>
          <w:szCs w:val="32"/>
        </w:rPr>
        <w:t>2.履约验收时间：投标人送达货物至采购人指定场所时当即组织验收。</w:t>
      </w:r>
    </w:p>
    <w:p>
      <w:pPr>
        <w:pStyle w:val="15"/>
        <w:spacing w:before="0" w:after="0" w:line="360" w:lineRule="auto"/>
        <w:ind w:firstLine="616"/>
        <w:rPr>
          <w:rFonts w:ascii="Times New Roman" w:eastAsia="Times New Roman" w:hAnsi="Times New Roman" w:cs="Times New Roman"/>
        </w:rPr>
      </w:pPr>
      <w:r>
        <w:rPr>
          <w:rFonts w:ascii="仿宋_GB2312" w:eastAsia="仿宋_GB2312" w:hAnsi="仿宋_GB2312" w:cs="仿宋_GB2312"/>
          <w:spacing w:val="-6"/>
          <w:sz w:val="32"/>
          <w:szCs w:val="32"/>
        </w:rPr>
        <w:t>3.验收组织方式：</w:t>
      </w:r>
      <w:r>
        <w:rPr>
          <w:rFonts w:ascii="仿宋_GB2312" w:eastAsia="仿宋_GB2312" w:hAnsi="仿宋_GB2312" w:cs="仿宋_GB2312"/>
          <w:spacing w:val="-51"/>
          <w:sz w:val="32"/>
          <w:szCs w:val="32"/>
        </w:rPr>
        <w:t> </w:t>
      </w:r>
      <w:r>
        <w:rPr>
          <w:rFonts w:ascii="仿宋_GB2312" w:eastAsia="仿宋_GB2312" w:hAnsi="仿宋_GB2312" w:cs="仿宋_GB2312"/>
          <w:spacing w:val="-6"/>
          <w:sz w:val="32"/>
          <w:szCs w:val="32"/>
        </w:rPr>
        <w:t>自行验收。</w:t>
      </w:r>
    </w:p>
    <w:p>
      <w:pPr>
        <w:pStyle w:val="15"/>
        <w:spacing w:before="0" w:after="0" w:line="360" w:lineRule="auto"/>
        <w:ind w:firstLine="616"/>
        <w:rPr>
          <w:rFonts w:ascii="Times New Roman" w:eastAsia="Times New Roman" w:hAnsi="Times New Roman" w:cs="Times New Roman"/>
        </w:rPr>
      </w:pPr>
      <w:r>
        <w:rPr>
          <w:rFonts w:ascii="仿宋_GB2312" w:eastAsia="仿宋_GB2312" w:hAnsi="仿宋_GB2312" w:cs="仿宋_GB2312"/>
          <w:spacing w:val="-6"/>
          <w:sz w:val="32"/>
          <w:szCs w:val="32"/>
        </w:rPr>
        <w:t>4.</w:t>
      </w:r>
      <w:r>
        <w:rPr>
          <w:rFonts w:ascii="仿宋_GB2312" w:eastAsia="仿宋_GB2312" w:hAnsi="仿宋_GB2312" w:cs="仿宋_GB2312"/>
          <w:spacing w:val="-1"/>
          <w:sz w:val="32"/>
          <w:szCs w:val="32"/>
        </w:rPr>
        <w:t>履约验收程序：按次验收。</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5.履约验收标准：按照《财政部关于进一步加强政府采购需</w:t>
      </w:r>
      <w:r>
        <w:rPr>
          <w:rFonts w:ascii="仿宋_GB2312" w:eastAsia="仿宋_GB2312" w:hAnsi="仿宋_GB2312" w:cs="仿宋_GB2312"/>
          <w:spacing w:val="-4"/>
          <w:sz w:val="32"/>
          <w:szCs w:val="32"/>
        </w:rPr>
        <w:t>求和履约验收管</w:t>
      </w:r>
      <w:r>
        <w:rPr>
          <w:rFonts w:ascii="仿宋_GB2312" w:eastAsia="仿宋_GB2312" w:hAnsi="仿宋_GB2312" w:cs="仿宋_GB2312"/>
          <w:spacing w:val="-16"/>
          <w:sz w:val="32"/>
          <w:szCs w:val="32"/>
        </w:rPr>
        <w:t>理的指导意见》（财库〔</w:t>
      </w:r>
      <w:r>
        <w:rPr>
          <w:rFonts w:ascii="仿宋_GB2312" w:eastAsia="仿宋_GB2312" w:hAnsi="仿宋_GB2312" w:cs="仿宋_GB2312"/>
          <w:spacing w:val="-16"/>
          <w:sz w:val="32"/>
          <w:szCs w:val="32"/>
        </w:rPr>
        <w:t>2016〕205</w:t>
      </w:r>
      <w:r>
        <w:rPr>
          <w:rFonts w:ascii="仿宋_GB2312" w:eastAsia="仿宋_GB2312" w:hAnsi="仿宋_GB2312" w:cs="仿宋_GB2312"/>
          <w:spacing w:val="-39"/>
          <w:sz w:val="32"/>
          <w:szCs w:val="32"/>
        </w:rPr>
        <w:t> </w:t>
      </w:r>
      <w:r>
        <w:rPr>
          <w:rFonts w:ascii="仿宋_GB2312" w:eastAsia="仿宋_GB2312" w:hAnsi="仿宋_GB2312" w:cs="仿宋_GB2312"/>
          <w:spacing w:val="-17"/>
          <w:sz w:val="32"/>
          <w:szCs w:val="32"/>
        </w:rPr>
        <w:t>号）、《政府采购需求管理办法》（财库〔</w:t>
      </w:r>
      <w:r>
        <w:rPr>
          <w:rFonts w:ascii="仿宋_GB2312" w:eastAsia="仿宋_GB2312" w:hAnsi="仿宋_GB2312" w:cs="仿宋_GB2312"/>
          <w:spacing w:val="-17"/>
          <w:sz w:val="32"/>
          <w:szCs w:val="32"/>
        </w:rPr>
        <w:t>2021〕</w:t>
      </w:r>
      <w:r>
        <w:rPr>
          <w:rFonts w:ascii="仿宋_GB2312" w:eastAsia="仿宋_GB2312" w:hAnsi="仿宋_GB2312" w:cs="仿宋_GB2312"/>
          <w:sz w:val="32"/>
          <w:szCs w:val="32"/>
        </w:rPr>
        <w:t> </w:t>
      </w:r>
      <w:r>
        <w:rPr>
          <w:rFonts w:ascii="仿宋_GB2312" w:eastAsia="仿宋_GB2312" w:hAnsi="仿宋_GB2312" w:cs="仿宋_GB2312"/>
          <w:spacing w:val="-3"/>
          <w:sz w:val="32"/>
          <w:szCs w:val="32"/>
        </w:rPr>
        <w:t>22</w:t>
      </w:r>
      <w:r>
        <w:rPr>
          <w:rFonts w:ascii="仿宋_GB2312" w:eastAsia="仿宋_GB2312" w:hAnsi="仿宋_GB2312" w:cs="仿宋_GB2312"/>
          <w:spacing w:val="-31"/>
          <w:sz w:val="32"/>
          <w:szCs w:val="32"/>
        </w:rPr>
        <w:t> </w:t>
      </w:r>
      <w:r>
        <w:rPr>
          <w:rFonts w:ascii="仿宋_GB2312" w:eastAsia="仿宋_GB2312" w:hAnsi="仿宋_GB2312" w:cs="仿宋_GB2312"/>
          <w:spacing w:val="-3"/>
          <w:sz w:val="32"/>
          <w:szCs w:val="32"/>
        </w:rPr>
        <w:t>号）等有关要求进行验收。</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6.其他要求：验收不合格时，采购人和中标人应协商一致，中标人应根</w:t>
      </w:r>
      <w:r>
        <w:rPr>
          <w:rFonts w:ascii="仿宋_GB2312" w:eastAsia="仿宋_GB2312" w:hAnsi="仿宋_GB2312" w:cs="仿宋_GB2312"/>
          <w:spacing w:val="-4"/>
          <w:sz w:val="32"/>
          <w:szCs w:val="32"/>
        </w:rPr>
        <w:t>据相</w:t>
      </w:r>
      <w:r>
        <w:rPr>
          <w:rFonts w:ascii="仿宋_GB2312" w:eastAsia="仿宋_GB2312" w:hAnsi="仿宋_GB2312" w:cs="仿宋_GB2312"/>
          <w:spacing w:val="-1"/>
          <w:sz w:val="32"/>
          <w:szCs w:val="32"/>
        </w:rPr>
        <w:t>关验收证明材料及时补足或更换，费用由中标人自行承担。</w:t>
      </w:r>
      <w:r>
        <w:rPr>
          <w:rFonts w:ascii="仿宋_GB2312" w:eastAsia="仿宋_GB2312" w:hAnsi="仿宋_GB2312" w:cs="仿宋_GB2312"/>
          <w:b/>
          <w:bCs/>
          <w:spacing w:val="-3"/>
          <w:sz w:val="32"/>
          <w:szCs w:val="32"/>
        </w:rPr>
        <w:t>7.验收方法及标准</w:t>
      </w:r>
    </w:p>
    <w:p>
      <w:pPr>
        <w:pStyle w:val="15"/>
        <w:spacing w:before="0" w:after="0" w:line="360" w:lineRule="auto"/>
        <w:ind w:firstLine="623"/>
        <w:rPr>
          <w:rFonts w:ascii="Times New Roman" w:eastAsia="Times New Roman" w:hAnsi="Times New Roman" w:cs="Times New Roman"/>
        </w:rPr>
      </w:pPr>
      <w:r>
        <w:rPr>
          <w:rFonts w:ascii="仿宋_GB2312" w:eastAsia="仿宋_GB2312" w:hAnsi="仿宋_GB2312" w:cs="仿宋_GB2312"/>
          <w:b/>
          <w:bCs/>
          <w:spacing w:val="-5"/>
          <w:sz w:val="32"/>
          <w:szCs w:val="32"/>
        </w:rPr>
        <w:t>（</w:t>
      </w:r>
      <w:r>
        <w:rPr>
          <w:rFonts w:ascii="仿宋_GB2312" w:eastAsia="仿宋_GB2312" w:hAnsi="仿宋_GB2312" w:cs="仿宋_GB2312"/>
          <w:b/>
          <w:bCs/>
          <w:spacing w:val="-5"/>
          <w:sz w:val="32"/>
          <w:szCs w:val="32"/>
        </w:rPr>
        <w:t>1）验收流程</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做好卸货前的检查。双方验收人员卸货前应对场</w:t>
      </w:r>
      <w:r>
        <w:rPr>
          <w:rFonts w:ascii="仿宋_GB2312" w:eastAsia="仿宋_GB2312" w:hAnsi="仿宋_GB2312" w:cs="仿宋_GB2312"/>
          <w:spacing w:val="-4"/>
          <w:sz w:val="32"/>
          <w:szCs w:val="32"/>
        </w:rPr>
        <w:t>地和验收设备做好准备，并</w:t>
      </w:r>
      <w:r>
        <w:rPr>
          <w:rFonts w:ascii="仿宋_GB2312" w:eastAsia="仿宋_GB2312" w:hAnsi="仿宋_GB2312" w:cs="仿宋_GB2312"/>
          <w:spacing w:val="-3"/>
          <w:sz w:val="32"/>
          <w:szCs w:val="32"/>
        </w:rPr>
        <w:t>对食材的外观进行初步查验。冷冻食品没有曾经解冻痕迹或软</w:t>
      </w:r>
      <w:r>
        <w:rPr>
          <w:rFonts w:ascii="仿宋_GB2312" w:eastAsia="仿宋_GB2312" w:hAnsi="仿宋_GB2312" w:cs="仿宋_GB2312"/>
          <w:spacing w:val="-4"/>
          <w:sz w:val="32"/>
          <w:szCs w:val="32"/>
        </w:rPr>
        <w:t>化现象，包装</w:t>
      </w:r>
      <w:r>
        <w:rPr>
          <w:rFonts w:ascii="仿宋_GB2312" w:eastAsia="仿宋_GB2312" w:hAnsi="仿宋_GB2312" w:cs="仿宋_GB2312"/>
          <w:spacing w:val="-3"/>
          <w:sz w:val="32"/>
          <w:szCs w:val="32"/>
        </w:rPr>
        <w:t>呈干爽状态。食品应清洁，无损伤、腐烂现象，外包装完整，无寄</w:t>
      </w:r>
      <w:r>
        <w:rPr>
          <w:rFonts w:ascii="仿宋_GB2312" w:eastAsia="仿宋_GB2312" w:hAnsi="仿宋_GB2312" w:cs="仿宋_GB2312"/>
          <w:spacing w:val="-4"/>
          <w:sz w:val="32"/>
          <w:szCs w:val="32"/>
        </w:rPr>
        <w:t>生虫或已受虫害现象。</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采取现场验收的方式，双方验收人员应认真</w:t>
      </w:r>
      <w:r>
        <w:rPr>
          <w:rFonts w:ascii="仿宋_GB2312" w:eastAsia="仿宋_GB2312" w:hAnsi="仿宋_GB2312" w:cs="仿宋_GB2312"/>
          <w:spacing w:val="-4"/>
          <w:sz w:val="32"/>
          <w:szCs w:val="32"/>
        </w:rPr>
        <w:t>检查食材，按索票</w:t>
      </w:r>
      <w:r>
        <w:rPr>
          <w:rFonts w:ascii="仿宋_GB2312" w:eastAsia="仿宋_GB2312" w:hAnsi="仿宋_GB2312" w:cs="仿宋_GB2312"/>
          <w:spacing w:val="-4"/>
          <w:sz w:val="32"/>
          <w:szCs w:val="32"/>
        </w:rPr>
        <w:t>—验证—</w:t>
      </w:r>
      <w:r>
        <w:rPr>
          <w:rFonts w:ascii="仿宋_GB2312" w:eastAsia="仿宋_GB2312" w:hAnsi="仿宋_GB2312" w:cs="仿宋_GB2312"/>
          <w:spacing w:val="-3"/>
          <w:sz w:val="32"/>
          <w:szCs w:val="32"/>
        </w:rPr>
        <w:t>过磅</w:t>
      </w:r>
      <w:r>
        <w:rPr>
          <w:rFonts w:ascii="仿宋_GB2312" w:eastAsia="仿宋_GB2312" w:hAnsi="仿宋_GB2312" w:cs="仿宋_GB2312"/>
          <w:spacing w:val="-3"/>
          <w:sz w:val="32"/>
          <w:szCs w:val="32"/>
        </w:rPr>
        <w:t>—入库的程序完成验收，中标人可提供原件给采购人</w:t>
      </w:r>
      <w:r>
        <w:rPr>
          <w:rFonts w:ascii="仿宋_GB2312" w:eastAsia="仿宋_GB2312" w:hAnsi="仿宋_GB2312" w:cs="仿宋_GB2312"/>
          <w:spacing w:val="-4"/>
          <w:sz w:val="32"/>
          <w:szCs w:val="32"/>
        </w:rPr>
        <w:t>，原件只有一份而无</w:t>
      </w:r>
      <w:r>
        <w:rPr>
          <w:rFonts w:ascii="仿宋_GB2312" w:eastAsia="仿宋_GB2312" w:hAnsi="仿宋_GB2312" w:cs="仿宋_GB2312"/>
          <w:spacing w:val="-1"/>
          <w:sz w:val="32"/>
          <w:szCs w:val="32"/>
        </w:rPr>
        <w:t>法提供给采购人的，查验原件后索取复印件留存。</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验收人员应按招标文件、投标文件及合同的约定对</w:t>
      </w:r>
      <w:r>
        <w:rPr>
          <w:rFonts w:ascii="仿宋_GB2312" w:eastAsia="仿宋_GB2312" w:hAnsi="仿宋_GB2312" w:cs="仿宋_GB2312"/>
          <w:spacing w:val="-4"/>
          <w:sz w:val="32"/>
          <w:szCs w:val="32"/>
        </w:rPr>
        <w:t>产品质量要求、对食材质</w:t>
      </w:r>
      <w:r>
        <w:rPr>
          <w:rFonts w:ascii="仿宋_GB2312" w:eastAsia="仿宋_GB2312" w:hAnsi="仿宋_GB2312" w:cs="仿宋_GB2312"/>
          <w:spacing w:val="-3"/>
          <w:sz w:val="32"/>
          <w:szCs w:val="32"/>
        </w:rPr>
        <w:t>量进行随机抽查，以确保食材符合下单要求。如确定有所差异，应即</w:t>
      </w:r>
      <w:r>
        <w:rPr>
          <w:rFonts w:ascii="仿宋_GB2312" w:eastAsia="仿宋_GB2312" w:hAnsi="仿宋_GB2312" w:cs="仿宋_GB2312"/>
          <w:spacing w:val="-4"/>
          <w:sz w:val="32"/>
          <w:szCs w:val="32"/>
        </w:rPr>
        <w:t>刻通知送货</w:t>
      </w:r>
      <w:r>
        <w:rPr>
          <w:rFonts w:ascii="仿宋_GB2312" w:eastAsia="仿宋_GB2312" w:hAnsi="仿宋_GB2312" w:cs="仿宋_GB2312"/>
          <w:spacing w:val="-3"/>
          <w:sz w:val="32"/>
          <w:szCs w:val="32"/>
        </w:rPr>
        <w:t>人员。如发现食品有异常的情况，应如实记录所有损坏情况，并对货</w:t>
      </w:r>
      <w:r>
        <w:rPr>
          <w:rFonts w:ascii="仿宋_GB2312" w:eastAsia="仿宋_GB2312" w:hAnsi="仿宋_GB2312" w:cs="仿宋_GB2312"/>
          <w:spacing w:val="-4"/>
          <w:sz w:val="32"/>
          <w:szCs w:val="32"/>
        </w:rPr>
        <w:t>物损坏情况</w:t>
      </w:r>
      <w:r>
        <w:rPr>
          <w:rFonts w:ascii="仿宋_GB2312" w:eastAsia="仿宋_GB2312" w:hAnsi="仿宋_GB2312" w:cs="仿宋_GB2312"/>
          <w:spacing w:val="-3"/>
          <w:sz w:val="32"/>
          <w:szCs w:val="32"/>
        </w:rPr>
        <w:t>进行拍照存档。对于食品验收的全部信息数据，采购人验收</w:t>
      </w:r>
      <w:r>
        <w:rPr>
          <w:rFonts w:ascii="仿宋_GB2312" w:eastAsia="仿宋_GB2312" w:hAnsi="仿宋_GB2312" w:cs="仿宋_GB2312"/>
          <w:spacing w:val="-4"/>
          <w:sz w:val="32"/>
          <w:szCs w:val="32"/>
        </w:rPr>
        <w:t>人员应和中</w:t>
      </w:r>
      <w:r>
        <w:rPr>
          <w:rFonts w:ascii="仿宋_GB2312" w:eastAsia="仿宋_GB2312" w:hAnsi="仿宋_GB2312" w:cs="仿宋_GB2312"/>
          <w:spacing w:val="-1"/>
          <w:sz w:val="32"/>
          <w:szCs w:val="32"/>
        </w:rPr>
        <w:t>标人送货人员一起确认，并保留双方签字单据。</w:t>
      </w:r>
    </w:p>
    <w:p>
      <w:pPr>
        <w:pStyle w:val="15"/>
        <w:spacing w:before="0" w:after="0" w:line="360" w:lineRule="auto"/>
        <w:ind w:firstLine="632"/>
        <w:rPr>
          <w:rFonts w:ascii="Times New Roman" w:eastAsia="Times New Roman" w:hAnsi="Times New Roman" w:cs="Times New Roman"/>
        </w:rPr>
      </w:pPr>
      <w:r>
        <w:rPr>
          <w:rFonts w:ascii="仿宋_GB2312" w:eastAsia="仿宋_GB2312" w:hAnsi="仿宋_GB2312" w:cs="仿宋_GB2312"/>
          <w:spacing w:val="-2"/>
          <w:sz w:val="32"/>
          <w:szCs w:val="32"/>
        </w:rPr>
        <w:t>发现食品安全质量问题的处理：</w:t>
      </w:r>
    </w:p>
    <w:p>
      <w:pPr>
        <w:pStyle w:val="15"/>
        <w:spacing w:before="0" w:after="0" w:line="360" w:lineRule="auto"/>
        <w:ind w:firstLine="608"/>
        <w:rPr>
          <w:rFonts w:ascii="Times New Roman" w:eastAsia="Times New Roman" w:hAnsi="Times New Roman" w:cs="Times New Roman"/>
        </w:rPr>
      </w:pPr>
      <w:r>
        <w:rPr>
          <w:rFonts w:ascii="仿宋_GB2312" w:eastAsia="仿宋_GB2312" w:hAnsi="仿宋_GB2312" w:cs="仿宋_GB2312"/>
          <w:spacing w:val="-8"/>
          <w:sz w:val="32"/>
          <w:szCs w:val="32"/>
        </w:rPr>
        <w:t>①对危及人身安全的食品质量问题，如发现腐败变质肉类，采取零容忍措施，</w:t>
      </w:r>
      <w:r>
        <w:rPr>
          <w:rFonts w:ascii="仿宋_GB2312" w:eastAsia="仿宋_GB2312" w:hAnsi="仿宋_GB2312" w:cs="仿宋_GB2312"/>
          <w:spacing w:val="-9"/>
          <w:sz w:val="32"/>
          <w:szCs w:val="32"/>
        </w:rPr>
        <w:t>一经发现，当</w:t>
      </w:r>
      <w:r>
        <w:rPr>
          <w:rFonts w:ascii="仿宋_GB2312" w:eastAsia="仿宋_GB2312" w:hAnsi="仿宋_GB2312" w:cs="仿宋_GB2312"/>
          <w:spacing w:val="-54"/>
          <w:sz w:val="32"/>
          <w:szCs w:val="32"/>
        </w:rPr>
        <w:t> </w:t>
      </w:r>
      <w:r>
        <w:rPr>
          <w:rFonts w:ascii="仿宋_GB2312" w:eastAsia="仿宋_GB2312" w:hAnsi="仿宋_GB2312" w:cs="仿宋_GB2312"/>
          <w:spacing w:val="-9"/>
          <w:sz w:val="32"/>
          <w:szCs w:val="32"/>
        </w:rPr>
        <w:t>日所送同批次产品全部退货，并依据</w:t>
      </w:r>
      <w:r>
        <w:rPr>
          <w:rFonts w:ascii="仿宋_GB2312" w:eastAsia="仿宋_GB2312" w:hAnsi="仿宋_GB2312" w:cs="仿宋_GB2312"/>
          <w:sz w:val="32"/>
          <w:szCs w:val="32"/>
        </w:rPr>
        <w:t>合同及相关管理办法实施处罚。</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②加工食用前如发现部分产品质量问题，应立即通知中标人，将问</w:t>
      </w:r>
      <w:r>
        <w:rPr>
          <w:rFonts w:ascii="仿宋_GB2312" w:eastAsia="仿宋_GB2312" w:hAnsi="仿宋_GB2312" w:cs="仿宋_GB2312"/>
          <w:spacing w:val="-4"/>
          <w:sz w:val="32"/>
          <w:szCs w:val="32"/>
        </w:rPr>
        <w:t>题产品退</w:t>
      </w:r>
      <w:r>
        <w:rPr>
          <w:rFonts w:ascii="仿宋_GB2312" w:eastAsia="仿宋_GB2312" w:hAnsi="仿宋_GB2312" w:cs="仿宋_GB2312"/>
          <w:spacing w:val="-1"/>
          <w:sz w:val="32"/>
          <w:szCs w:val="32"/>
        </w:rPr>
        <w:t>货处理，</w:t>
      </w:r>
      <w:r>
        <w:rPr>
          <w:rFonts w:ascii="仿宋_GB2312" w:eastAsia="仿宋_GB2312" w:hAnsi="仿宋_GB2312" w:cs="仿宋_GB2312"/>
          <w:spacing w:val="-1"/>
          <w:sz w:val="32"/>
          <w:szCs w:val="32"/>
        </w:rPr>
        <w:t xml:space="preserve"> </w:t>
      </w:r>
      <w:r>
        <w:rPr>
          <w:rFonts w:ascii="仿宋_GB2312" w:eastAsia="仿宋_GB2312" w:hAnsi="仿宋_GB2312" w:cs="仿宋_GB2312"/>
          <w:spacing w:val="-1"/>
          <w:sz w:val="32"/>
          <w:szCs w:val="32"/>
        </w:rPr>
        <w:t>并依据合同及相关管理办法实施处罚。</w:t>
      </w:r>
    </w:p>
    <w:p>
      <w:pPr>
        <w:pStyle w:val="15"/>
        <w:spacing w:before="0" w:after="0" w:line="360" w:lineRule="auto"/>
        <w:ind w:firstLine="635"/>
        <w:rPr>
          <w:rFonts w:ascii="Times New Roman" w:eastAsia="Times New Roman" w:hAnsi="Times New Roman" w:cs="Times New Roman"/>
        </w:rPr>
      </w:pPr>
      <w:r>
        <w:rPr>
          <w:rFonts w:ascii="仿宋_GB2312" w:eastAsia="仿宋_GB2312" w:hAnsi="仿宋_GB2312" w:cs="仿宋_GB2312"/>
          <w:b/>
          <w:bCs/>
          <w:spacing w:val="-2"/>
          <w:sz w:val="32"/>
          <w:szCs w:val="32"/>
        </w:rPr>
        <w:t>（</w:t>
      </w:r>
      <w:r>
        <w:rPr>
          <w:rFonts w:ascii="仿宋_GB2312" w:eastAsia="仿宋_GB2312" w:hAnsi="仿宋_GB2312" w:cs="仿宋_GB2312"/>
          <w:b/>
          <w:bCs/>
          <w:spacing w:val="-2"/>
          <w:sz w:val="32"/>
          <w:szCs w:val="32"/>
        </w:rPr>
        <w:t>2）</w:t>
      </w:r>
      <w:r>
        <w:rPr>
          <w:rFonts w:ascii="仿宋_GB2312" w:eastAsia="仿宋_GB2312" w:hAnsi="仿宋_GB2312" w:cs="仿宋_GB2312"/>
          <w:b/>
          <w:bCs/>
          <w:spacing w:val="-3"/>
          <w:sz w:val="32"/>
          <w:szCs w:val="32"/>
        </w:rPr>
        <w:t>验收记录</w:t>
      </w:r>
    </w:p>
    <w:p>
      <w:pPr>
        <w:pStyle w:val="15"/>
        <w:spacing w:before="0" w:after="0" w:line="360" w:lineRule="auto"/>
        <w:ind w:firstLine="624"/>
        <w:rPr>
          <w:rFonts w:ascii="Times New Roman" w:eastAsia="Times New Roman" w:hAnsi="Times New Roman" w:cs="Times New Roman"/>
        </w:rPr>
      </w:pPr>
      <w:r>
        <w:rPr>
          <w:rFonts w:ascii="仿宋_GB2312" w:eastAsia="仿宋_GB2312" w:hAnsi="仿宋_GB2312" w:cs="仿宋_GB2312"/>
          <w:spacing w:val="-4"/>
          <w:sz w:val="32"/>
          <w:szCs w:val="32"/>
        </w:rPr>
        <w:t>为保证配送品种斤两的准确性，对每次验收的货物均至少记录货物时间、名称、数</w:t>
      </w:r>
      <w:r>
        <w:rPr>
          <w:rFonts w:ascii="仿宋_GB2312" w:eastAsia="仿宋_GB2312" w:hAnsi="仿宋_GB2312" w:cs="仿宋_GB2312"/>
          <w:spacing w:val="-3"/>
          <w:sz w:val="32"/>
          <w:szCs w:val="32"/>
        </w:rPr>
        <w:t>量等事项，以购买方的验货数量为准，投标人每次</w:t>
      </w:r>
      <w:r>
        <w:rPr>
          <w:rFonts w:ascii="仿宋_GB2312" w:eastAsia="仿宋_GB2312" w:hAnsi="仿宋_GB2312" w:cs="仿宋_GB2312"/>
          <w:spacing w:val="-4"/>
          <w:sz w:val="32"/>
          <w:szCs w:val="32"/>
        </w:rPr>
        <w:t>随货需附一式三份的</w:t>
      </w:r>
      <w:r>
        <w:rPr>
          <w:rFonts w:ascii="仿宋_GB2312" w:eastAsia="仿宋_GB2312" w:hAnsi="仿宋_GB2312" w:cs="仿宋_GB2312"/>
          <w:sz w:val="32"/>
          <w:szCs w:val="32"/>
        </w:rPr>
        <w:t> </w:t>
      </w:r>
      <w:r>
        <w:rPr>
          <w:rFonts w:ascii="仿宋_GB2312" w:eastAsia="仿宋_GB2312" w:hAnsi="仿宋_GB2312" w:cs="仿宋_GB2312"/>
          <w:spacing w:val="-3"/>
          <w:sz w:val="32"/>
          <w:szCs w:val="32"/>
        </w:rPr>
        <w:t>送货清单，双方验货后签字确认，双方各持一份，作为送、</w:t>
      </w:r>
      <w:r>
        <w:rPr>
          <w:rFonts w:ascii="仿宋_GB2312" w:eastAsia="仿宋_GB2312" w:hAnsi="仿宋_GB2312" w:cs="仿宋_GB2312"/>
          <w:spacing w:val="-4"/>
          <w:sz w:val="32"/>
          <w:szCs w:val="32"/>
        </w:rPr>
        <w:t>收货的凭证，采购人</w:t>
      </w:r>
      <w:r>
        <w:rPr>
          <w:rFonts w:ascii="仿宋_GB2312" w:eastAsia="仿宋_GB2312" w:hAnsi="仿宋_GB2312" w:cs="仿宋_GB2312"/>
          <w:spacing w:val="-2"/>
          <w:sz w:val="32"/>
          <w:szCs w:val="32"/>
        </w:rPr>
        <w:t>财务结账一份，作为结算的凭证。</w:t>
      </w:r>
    </w:p>
    <w:p>
      <w:pPr>
        <w:pStyle w:val="15"/>
        <w:spacing w:before="0" w:after="0" w:line="360" w:lineRule="auto"/>
        <w:ind w:firstLine="635"/>
        <w:rPr>
          <w:rFonts w:ascii="Times New Roman" w:eastAsia="Times New Roman" w:hAnsi="Times New Roman" w:cs="Times New Roman"/>
        </w:rPr>
      </w:pPr>
      <w:r>
        <w:rPr>
          <w:rFonts w:ascii="仿宋_GB2312" w:eastAsia="仿宋_GB2312" w:hAnsi="仿宋_GB2312" w:cs="仿宋_GB2312"/>
          <w:b/>
          <w:bCs/>
          <w:spacing w:val="-2"/>
          <w:sz w:val="32"/>
          <w:szCs w:val="32"/>
        </w:rPr>
        <w:t>（</w:t>
      </w:r>
      <w:r>
        <w:rPr>
          <w:rFonts w:ascii="仿宋_GB2312" w:eastAsia="仿宋_GB2312" w:hAnsi="仿宋_GB2312" w:cs="仿宋_GB2312"/>
          <w:b/>
          <w:bCs/>
          <w:spacing w:val="-2"/>
          <w:sz w:val="32"/>
          <w:szCs w:val="32"/>
        </w:rPr>
        <w:t>3）验收标准</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投标人需承诺所提供的物品必须符合国家有关标准</w:t>
      </w:r>
      <w:r>
        <w:rPr>
          <w:rFonts w:ascii="仿宋_GB2312" w:eastAsia="仿宋_GB2312" w:hAnsi="仿宋_GB2312" w:cs="仿宋_GB2312"/>
          <w:spacing w:val="-4"/>
          <w:sz w:val="32"/>
          <w:szCs w:val="32"/>
        </w:rPr>
        <w:t>，有产品检验报告。保证</w:t>
      </w:r>
      <w:r>
        <w:rPr>
          <w:rFonts w:ascii="仿宋_GB2312" w:eastAsia="仿宋_GB2312" w:hAnsi="仿宋_GB2312" w:cs="仿宋_GB2312"/>
          <w:spacing w:val="-3"/>
          <w:sz w:val="32"/>
          <w:szCs w:val="32"/>
        </w:rPr>
        <w:t>无异味、无霉烂变质，如不符合文件所描述的质量标准，必须退货</w:t>
      </w:r>
      <w:r>
        <w:rPr>
          <w:rFonts w:ascii="仿宋_GB2312" w:eastAsia="仿宋_GB2312" w:hAnsi="仿宋_GB2312" w:cs="仿宋_GB2312"/>
          <w:spacing w:val="-4"/>
          <w:sz w:val="32"/>
          <w:szCs w:val="32"/>
        </w:rPr>
        <w:t>并承担违约责</w:t>
      </w:r>
      <w:r>
        <w:rPr>
          <w:rFonts w:ascii="仿宋_GB2312" w:eastAsia="仿宋_GB2312" w:hAnsi="仿宋_GB2312" w:cs="仿宋_GB2312"/>
          <w:spacing w:val="-8"/>
          <w:sz w:val="32"/>
          <w:szCs w:val="32"/>
        </w:rPr>
        <w:t>任。</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所供货物必须符合国家行业生产及经营标准，</w:t>
      </w:r>
      <w:r>
        <w:rPr>
          <w:rFonts w:ascii="仿宋_GB2312" w:eastAsia="仿宋_GB2312" w:hAnsi="仿宋_GB2312" w:cs="仿宋_GB2312"/>
          <w:spacing w:val="-4"/>
          <w:sz w:val="32"/>
          <w:szCs w:val="32"/>
        </w:rPr>
        <w:t>货真价实，均能提供相应批次的合格检验证明（如农药残留检测报告、动物检疫证、分割肉销售凭据）。</w:t>
      </w:r>
    </w:p>
    <w:p>
      <w:pPr>
        <w:pStyle w:val="15"/>
        <w:spacing w:before="0" w:after="0" w:line="360" w:lineRule="auto"/>
        <w:ind w:firstLine="632"/>
        <w:rPr>
          <w:rFonts w:ascii="Times New Roman" w:eastAsia="Times New Roman" w:hAnsi="Times New Roman" w:cs="Times New Roman"/>
        </w:rPr>
      </w:pPr>
      <w:r>
        <w:rPr>
          <w:rFonts w:ascii="仿宋_GB2312" w:eastAsia="仿宋_GB2312" w:hAnsi="仿宋_GB2312" w:cs="仿宋_GB2312"/>
          <w:spacing w:val="-2"/>
          <w:sz w:val="32"/>
          <w:szCs w:val="32"/>
        </w:rPr>
        <w:t>所提供的鲜肉、骨必须是经过肉检（卫生部门检疫）的当日</w:t>
      </w:r>
      <w:r>
        <w:rPr>
          <w:rFonts w:ascii="仿宋_GB2312" w:eastAsia="仿宋_GB2312" w:hAnsi="仿宋_GB2312" w:cs="仿宋_GB2312"/>
          <w:spacing w:val="-3"/>
          <w:sz w:val="32"/>
          <w:szCs w:val="32"/>
        </w:rPr>
        <w:t>屠宰的新鲜肉，</w:t>
      </w:r>
      <w:r>
        <w:rPr>
          <w:rFonts w:ascii="仿宋_GB2312" w:eastAsia="仿宋_GB2312" w:hAnsi="仿宋_GB2312" w:cs="仿宋_GB2312"/>
          <w:sz w:val="32"/>
          <w:szCs w:val="32"/>
        </w:rPr>
        <w:t> </w:t>
      </w:r>
      <w:r>
        <w:rPr>
          <w:rFonts w:ascii="仿宋_GB2312" w:eastAsia="仿宋_GB2312" w:hAnsi="仿宋_GB2312" w:cs="仿宋_GB2312"/>
          <w:spacing w:val="-3"/>
          <w:sz w:val="32"/>
          <w:szCs w:val="32"/>
        </w:rPr>
        <w:t>应保持较好的外观和质量等级，符合国家食品部门的有关标准，保</w:t>
      </w:r>
      <w:r>
        <w:rPr>
          <w:rFonts w:ascii="仿宋_GB2312" w:eastAsia="仿宋_GB2312" w:hAnsi="仿宋_GB2312" w:cs="仿宋_GB2312"/>
          <w:spacing w:val="-4"/>
          <w:sz w:val="32"/>
          <w:szCs w:val="32"/>
        </w:rPr>
        <w:t>证无异味、无</w:t>
      </w:r>
      <w:r>
        <w:rPr>
          <w:rFonts w:ascii="仿宋_GB2312" w:eastAsia="仿宋_GB2312" w:hAnsi="仿宋_GB2312" w:cs="仿宋_GB2312"/>
          <w:spacing w:val="-3"/>
          <w:sz w:val="32"/>
          <w:szCs w:val="32"/>
        </w:rPr>
        <w:t>腐烂变质，无添加瘦肉精，供货时须提供当批有效的动物检疫合格</w:t>
      </w:r>
      <w:r>
        <w:rPr>
          <w:rFonts w:ascii="仿宋_GB2312" w:eastAsia="仿宋_GB2312" w:hAnsi="仿宋_GB2312" w:cs="仿宋_GB2312"/>
          <w:spacing w:val="-4"/>
          <w:sz w:val="32"/>
          <w:szCs w:val="32"/>
        </w:rPr>
        <w:t>证等验证合格</w:t>
      </w:r>
      <w:r>
        <w:rPr>
          <w:rFonts w:ascii="仿宋_GB2312" w:eastAsia="仿宋_GB2312" w:hAnsi="仿宋_GB2312" w:cs="仿宋_GB2312"/>
          <w:sz w:val="32"/>
          <w:szCs w:val="32"/>
        </w:rPr>
        <w:t> </w:t>
      </w:r>
      <w:r>
        <w:rPr>
          <w:rFonts w:ascii="仿宋_GB2312" w:eastAsia="仿宋_GB2312" w:hAnsi="仿宋_GB2312" w:cs="仿宋_GB2312"/>
          <w:spacing w:val="-7"/>
          <w:sz w:val="32"/>
          <w:szCs w:val="32"/>
        </w:rPr>
        <w:t>依据复印件（原件备查</w:t>
      </w:r>
      <w:r>
        <w:rPr>
          <w:rFonts w:ascii="仿宋_GB2312" w:eastAsia="仿宋_GB2312" w:hAnsi="仿宋_GB2312" w:cs="仿宋_GB2312"/>
          <w:spacing w:val="-57"/>
          <w:sz w:val="32"/>
          <w:szCs w:val="32"/>
        </w:rPr>
        <w:t>），</w:t>
      </w:r>
      <w:r>
        <w:rPr>
          <w:rFonts w:ascii="仿宋_GB2312" w:eastAsia="仿宋_GB2312" w:hAnsi="仿宋_GB2312" w:cs="仿宋_GB2312"/>
          <w:spacing w:val="-7"/>
          <w:sz w:val="32"/>
          <w:szCs w:val="32"/>
        </w:rPr>
        <w:t>鲜肉确保每日新鲜（当天屠宰）、无异味，并注明保鲜</w:t>
      </w:r>
      <w:r>
        <w:rPr>
          <w:rFonts w:ascii="仿宋_GB2312" w:eastAsia="仿宋_GB2312" w:hAnsi="仿宋_GB2312" w:cs="仿宋_GB2312"/>
          <w:spacing w:val="-8"/>
          <w:sz w:val="32"/>
          <w:szCs w:val="32"/>
        </w:rPr>
        <w:t>期。</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其他冷冻肉、水产、禽肉制品类：冷冻肉要</w:t>
      </w:r>
      <w:r>
        <w:rPr>
          <w:rFonts w:ascii="仿宋_GB2312" w:eastAsia="仿宋_GB2312" w:hAnsi="仿宋_GB2312" w:cs="仿宋_GB2312"/>
          <w:spacing w:val="-4"/>
          <w:sz w:val="32"/>
          <w:szCs w:val="32"/>
        </w:rPr>
        <w:t>求肉体冻实而且坚硬，无化冻现</w:t>
      </w:r>
      <w:r>
        <w:rPr>
          <w:rFonts w:ascii="仿宋_GB2312" w:eastAsia="仿宋_GB2312" w:hAnsi="仿宋_GB2312" w:cs="仿宋_GB2312"/>
          <w:spacing w:val="-3"/>
          <w:sz w:val="32"/>
          <w:szCs w:val="32"/>
        </w:rPr>
        <w:t>象，肉质紧密而有弹性，色泽均匀，不粘手，交货</w:t>
      </w:r>
      <w:r>
        <w:rPr>
          <w:rFonts w:ascii="仿宋_GB2312" w:eastAsia="仿宋_GB2312" w:hAnsi="仿宋_GB2312" w:cs="仿宋_GB2312"/>
          <w:spacing w:val="-4"/>
          <w:sz w:val="32"/>
          <w:szCs w:val="32"/>
        </w:rPr>
        <w:t>时干净、新鲜、无异味；冷冻</w:t>
      </w:r>
      <w:r>
        <w:rPr>
          <w:rFonts w:ascii="仿宋_GB2312" w:eastAsia="仿宋_GB2312" w:hAnsi="仿宋_GB2312" w:cs="仿宋_GB2312"/>
          <w:spacing w:val="-3"/>
          <w:sz w:val="32"/>
          <w:szCs w:val="32"/>
        </w:rPr>
        <w:t>鱼类要求鱼眼睛清亮，角膜透明，鳞片上覆有冻结的透</w:t>
      </w:r>
      <w:r>
        <w:rPr>
          <w:rFonts w:ascii="仿宋_GB2312" w:eastAsia="仿宋_GB2312" w:hAnsi="仿宋_GB2312" w:cs="仿宋_GB2312"/>
          <w:spacing w:val="-4"/>
          <w:sz w:val="32"/>
          <w:szCs w:val="32"/>
        </w:rPr>
        <w:t>明黏液层，皮肤天然色泽</w:t>
      </w:r>
      <w:r>
        <w:rPr>
          <w:rFonts w:ascii="仿宋_GB2312" w:eastAsia="仿宋_GB2312" w:hAnsi="仿宋_GB2312" w:cs="仿宋_GB2312"/>
          <w:spacing w:val="-7"/>
          <w:sz w:val="32"/>
          <w:szCs w:val="32"/>
        </w:rPr>
        <w:t>明显。</w:t>
      </w:r>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32"/>
          <w:szCs w:val="32"/>
        </w:rPr>
        <w:t>冷冻水产、禽肉类食品在解冻后净重量应不少于原重量的</w:t>
      </w:r>
      <w:r>
        <w:rPr>
          <w:rFonts w:ascii="仿宋_GB2312" w:eastAsia="仿宋_GB2312" w:hAnsi="仿宋_GB2312" w:cs="仿宋_GB2312"/>
          <w:sz w:val="32"/>
          <w:szCs w:val="32"/>
        </w:rPr>
        <w:t>90%；冷冻肉类食</w:t>
      </w:r>
      <w:r>
        <w:rPr>
          <w:rFonts w:ascii="仿宋_GB2312" w:eastAsia="仿宋_GB2312" w:hAnsi="仿宋_GB2312" w:cs="仿宋_GB2312"/>
          <w:spacing w:val="-2"/>
          <w:sz w:val="32"/>
          <w:szCs w:val="32"/>
        </w:rPr>
        <w:t>品解冻后净重量不少于原重量的</w:t>
      </w:r>
      <w:r>
        <w:rPr>
          <w:rFonts w:ascii="仿宋_GB2312" w:eastAsia="仿宋_GB2312" w:hAnsi="仿宋_GB2312" w:cs="仿宋_GB2312"/>
          <w:spacing w:val="-2"/>
          <w:sz w:val="32"/>
          <w:szCs w:val="32"/>
        </w:rPr>
        <w:t>92%，冷</w:t>
      </w:r>
      <w:r>
        <w:rPr>
          <w:rFonts w:ascii="仿宋_GB2312" w:eastAsia="仿宋_GB2312" w:hAnsi="仿宋_GB2312" w:cs="仿宋_GB2312"/>
          <w:spacing w:val="-3"/>
          <w:sz w:val="32"/>
          <w:szCs w:val="32"/>
        </w:rPr>
        <w:t>冻水产品解冻后净重量不少于原重量的</w:t>
      </w:r>
      <w:r>
        <w:rPr>
          <w:rFonts w:ascii="仿宋_GB2312" w:eastAsia="仿宋_GB2312" w:hAnsi="仿宋_GB2312" w:cs="仿宋_GB2312"/>
          <w:sz w:val="32"/>
          <w:szCs w:val="32"/>
        </w:rPr>
        <w:t> </w:t>
      </w:r>
      <w:r>
        <w:rPr>
          <w:rFonts w:ascii="仿宋_GB2312" w:eastAsia="仿宋_GB2312" w:hAnsi="仿宋_GB2312" w:cs="仿宋_GB2312"/>
          <w:spacing w:val="-2"/>
          <w:sz w:val="32"/>
          <w:szCs w:val="32"/>
        </w:rPr>
        <w:t>85%，解冻时间为4小时以内（室温20度）。所</w:t>
      </w:r>
      <w:r>
        <w:rPr>
          <w:rFonts w:ascii="仿宋_GB2312" w:eastAsia="仿宋_GB2312" w:hAnsi="仿宋_GB2312" w:cs="仿宋_GB2312"/>
          <w:spacing w:val="-3"/>
          <w:sz w:val="32"/>
          <w:szCs w:val="32"/>
        </w:rPr>
        <w:t>有冷冻食品均清晰列出产品品牌、规格、类型、包装方式、包装净重、含冰量相关参数，且包装箱上必须贴有</w:t>
      </w:r>
      <w:r>
        <w:rPr>
          <w:rFonts w:ascii="仿宋_GB2312" w:eastAsia="仿宋_GB2312" w:hAnsi="仿宋_GB2312" w:cs="仿宋_GB2312"/>
          <w:spacing w:val="-7"/>
          <w:sz w:val="32"/>
          <w:szCs w:val="32"/>
        </w:rPr>
        <w:t>“SC</w:t>
      </w:r>
      <w:r>
        <w:rPr>
          <w:rFonts w:ascii="仿宋_GB2312" w:eastAsia="仿宋_GB2312" w:hAnsi="仿宋_GB2312" w:cs="仿宋_GB2312"/>
          <w:spacing w:val="20"/>
          <w:sz w:val="32"/>
          <w:szCs w:val="32"/>
        </w:rPr>
        <w:t> </w:t>
      </w:r>
      <w:r>
        <w:rPr>
          <w:rFonts w:ascii="仿宋_GB2312" w:eastAsia="仿宋_GB2312" w:hAnsi="仿宋_GB2312" w:cs="仿宋_GB2312"/>
          <w:spacing w:val="-7"/>
          <w:sz w:val="32"/>
          <w:szCs w:val="32"/>
        </w:rPr>
        <w:t>编码</w:t>
      </w:r>
      <w:r>
        <w:rPr>
          <w:rFonts w:ascii="仿宋_GB2312" w:eastAsia="仿宋_GB2312" w:hAnsi="仿宋_GB2312" w:cs="仿宋_GB2312"/>
          <w:spacing w:val="-88"/>
          <w:sz w:val="32"/>
          <w:szCs w:val="32"/>
        </w:rPr>
        <w:t> </w:t>
      </w:r>
      <w:r>
        <w:rPr>
          <w:rFonts w:ascii="仿宋_GB2312" w:eastAsia="仿宋_GB2312" w:hAnsi="仿宋_GB2312" w:cs="仿宋_GB2312"/>
          <w:spacing w:val="-7"/>
          <w:sz w:val="32"/>
          <w:szCs w:val="32"/>
        </w:rPr>
        <w:t>”。</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禽蛋类：必须来自于非疫区鸡场所生产的蛋</w:t>
      </w:r>
      <w:r>
        <w:rPr>
          <w:rFonts w:ascii="仿宋_GB2312" w:eastAsia="仿宋_GB2312" w:hAnsi="仿宋_GB2312" w:cs="仿宋_GB2312"/>
          <w:spacing w:val="-4"/>
          <w:sz w:val="32"/>
          <w:szCs w:val="32"/>
        </w:rPr>
        <w:t>，新鲜，无裂纹、无异味。鸡蛋</w:t>
      </w:r>
      <w:r>
        <w:rPr>
          <w:rFonts w:ascii="仿宋_GB2312" w:eastAsia="仿宋_GB2312" w:hAnsi="仿宋_GB2312" w:cs="仿宋_GB2312"/>
          <w:spacing w:val="-3"/>
          <w:sz w:val="32"/>
          <w:szCs w:val="32"/>
        </w:rPr>
        <w:t>的破损率（包括有裂纹的蛋）应不超过</w:t>
      </w:r>
      <w:r>
        <w:rPr>
          <w:rFonts w:ascii="仿宋_GB2312" w:eastAsia="仿宋_GB2312" w:hAnsi="仿宋_GB2312" w:cs="仿宋_GB2312"/>
          <w:spacing w:val="-25"/>
          <w:sz w:val="32"/>
          <w:szCs w:val="32"/>
        </w:rPr>
        <w:t> </w:t>
      </w:r>
      <w:r>
        <w:rPr>
          <w:rFonts w:ascii="仿宋_GB2312" w:eastAsia="仿宋_GB2312" w:hAnsi="仿宋_GB2312" w:cs="仿宋_GB2312"/>
          <w:spacing w:val="-3"/>
          <w:sz w:val="32"/>
          <w:szCs w:val="32"/>
        </w:rPr>
        <w:t>1.5%。</w:t>
      </w:r>
    </w:p>
    <w:p>
      <w:pPr>
        <w:pStyle w:val="15"/>
        <w:spacing w:before="0" w:after="0" w:line="360" w:lineRule="auto"/>
        <w:ind w:firstLine="632"/>
        <w:rPr>
          <w:rFonts w:ascii="Times New Roman" w:eastAsia="Times New Roman" w:hAnsi="Times New Roman" w:cs="Times New Roman"/>
        </w:rPr>
      </w:pPr>
      <w:r>
        <w:rPr>
          <w:rFonts w:ascii="仿宋_GB2312" w:eastAsia="仿宋_GB2312" w:hAnsi="仿宋_GB2312" w:cs="仿宋_GB2312"/>
          <w:spacing w:val="-2"/>
          <w:sz w:val="32"/>
          <w:szCs w:val="32"/>
        </w:rPr>
        <w:t>蔬菜类：必须是优质货品，蔬菜必须保证是</w:t>
      </w:r>
      <w:r>
        <w:rPr>
          <w:rFonts w:ascii="仿宋_GB2312" w:eastAsia="仿宋_GB2312" w:hAnsi="仿宋_GB2312" w:cs="仿宋_GB2312"/>
          <w:spacing w:val="-46"/>
          <w:sz w:val="32"/>
          <w:szCs w:val="32"/>
        </w:rPr>
        <w:t> </w:t>
      </w:r>
      <w:r>
        <w:rPr>
          <w:rFonts w:ascii="仿宋_GB2312" w:eastAsia="仿宋_GB2312" w:hAnsi="仿宋_GB2312" w:cs="仿宋_GB2312"/>
          <w:spacing w:val="-2"/>
          <w:sz w:val="32"/>
          <w:szCs w:val="32"/>
        </w:rPr>
        <w:t>24 小时内收成，保持较好色泽</w:t>
      </w:r>
      <w:r>
        <w:rPr>
          <w:rFonts w:ascii="仿宋_GB2312" w:eastAsia="仿宋_GB2312" w:hAnsi="仿宋_GB2312" w:cs="仿宋_GB2312"/>
          <w:spacing w:val="-3"/>
          <w:sz w:val="32"/>
          <w:szCs w:val="32"/>
        </w:rPr>
        <w:t>及新鲜度；不得含有残留农药或污染物，投标人必须保证所供应的蔬</w:t>
      </w:r>
      <w:r>
        <w:rPr>
          <w:rFonts w:ascii="仿宋_GB2312" w:eastAsia="仿宋_GB2312" w:hAnsi="仿宋_GB2312" w:cs="仿宋_GB2312"/>
          <w:spacing w:val="-4"/>
          <w:sz w:val="32"/>
          <w:szCs w:val="32"/>
        </w:rPr>
        <w:t>菜符合卫生</w:t>
      </w:r>
      <w:r>
        <w:rPr>
          <w:rFonts w:ascii="仿宋_GB2312" w:eastAsia="仿宋_GB2312" w:hAnsi="仿宋_GB2312" w:cs="仿宋_GB2312"/>
          <w:spacing w:val="-3"/>
          <w:sz w:val="32"/>
          <w:szCs w:val="32"/>
        </w:rPr>
        <w:t>标准，卫生指标应符合我国无公害蔬菜上的卫生指标规定，同时承担</w:t>
      </w:r>
      <w:r>
        <w:rPr>
          <w:rFonts w:ascii="仿宋_GB2312" w:eastAsia="仿宋_GB2312" w:hAnsi="仿宋_GB2312" w:cs="仿宋_GB2312"/>
          <w:spacing w:val="-4"/>
          <w:sz w:val="32"/>
          <w:szCs w:val="32"/>
        </w:rPr>
        <w:t>因所供蔬菜</w:t>
      </w:r>
      <w:r>
        <w:rPr>
          <w:rFonts w:ascii="仿宋_GB2312" w:eastAsia="仿宋_GB2312" w:hAnsi="仿宋_GB2312" w:cs="仿宋_GB2312"/>
          <w:spacing w:val="-1"/>
          <w:sz w:val="32"/>
          <w:szCs w:val="32"/>
        </w:rPr>
        <w:t>问题引起的一切事故后果。各种蔬菜都应具有本品种固有的气味、形态、颜色、</w:t>
      </w:r>
      <w:r>
        <w:rPr>
          <w:rFonts w:ascii="仿宋_GB2312" w:eastAsia="仿宋_GB2312" w:hAnsi="仿宋_GB2312" w:cs="仿宋_GB2312"/>
          <w:spacing w:val="-8"/>
          <w:sz w:val="32"/>
          <w:szCs w:val="32"/>
        </w:rPr>
        <w:t>光泽及蔬菜的成熟度和鲜嫩程度，没有腐烂变质及其他异常味道，不能提供萎蔫、</w:t>
      </w:r>
      <w:r>
        <w:rPr>
          <w:rFonts w:ascii="仿宋_GB2312" w:eastAsia="仿宋_GB2312" w:hAnsi="仿宋_GB2312" w:cs="仿宋_GB2312"/>
          <w:spacing w:val="-1"/>
          <w:sz w:val="32"/>
          <w:szCs w:val="32"/>
        </w:rPr>
        <w:t>枯塌、损伤、病变、虫害异常蔬菜。</w:t>
      </w:r>
    </w:p>
    <w:p>
      <w:pPr>
        <w:pStyle w:val="15"/>
        <w:spacing w:before="0" w:after="0" w:line="360" w:lineRule="auto"/>
        <w:ind w:firstLine="608"/>
        <w:rPr>
          <w:rFonts w:ascii="Times New Roman" w:eastAsia="Times New Roman" w:hAnsi="Times New Roman" w:cs="Times New Roman"/>
        </w:rPr>
      </w:pPr>
      <w:r>
        <w:rPr>
          <w:rFonts w:ascii="仿宋_GB2312" w:eastAsia="仿宋_GB2312" w:hAnsi="仿宋_GB2312" w:cs="仿宋_GB2312"/>
          <w:spacing w:val="-8"/>
          <w:sz w:val="32"/>
          <w:szCs w:val="32"/>
        </w:rPr>
        <w:t>所提供大米、食用油必须有明显</w:t>
      </w:r>
      <w:r>
        <w:rPr>
          <w:rFonts w:ascii="仿宋_GB2312" w:eastAsia="仿宋_GB2312" w:hAnsi="仿宋_GB2312" w:cs="仿宋_GB2312"/>
          <w:spacing w:val="-8"/>
          <w:sz w:val="32"/>
          <w:szCs w:val="32"/>
        </w:rPr>
        <w:t>“SC 编码</w:t>
      </w:r>
      <w:r>
        <w:rPr>
          <w:rFonts w:ascii="仿宋_GB2312" w:eastAsia="仿宋_GB2312" w:hAnsi="仿宋_GB2312" w:cs="仿宋_GB2312"/>
          <w:spacing w:val="-72"/>
          <w:sz w:val="32"/>
          <w:szCs w:val="32"/>
        </w:rPr>
        <w:t> </w:t>
      </w:r>
      <w:r>
        <w:rPr>
          <w:rFonts w:ascii="仿宋_GB2312" w:eastAsia="仿宋_GB2312" w:hAnsi="仿宋_GB2312" w:cs="仿宋_GB2312"/>
          <w:spacing w:val="-8"/>
          <w:sz w:val="32"/>
          <w:szCs w:val="32"/>
        </w:rPr>
        <w:t>”。不得有掺假、变质、变</w:t>
      </w:r>
      <w:r>
        <w:rPr>
          <w:rFonts w:ascii="仿宋_GB2312" w:eastAsia="仿宋_GB2312" w:hAnsi="仿宋_GB2312" w:cs="仿宋_GB2312"/>
          <w:spacing w:val="-3"/>
          <w:sz w:val="32"/>
          <w:szCs w:val="32"/>
        </w:rPr>
        <w:t>味、过期现象出现，严禁伪劣、假冒、无证不合格物品进</w:t>
      </w:r>
      <w:r>
        <w:rPr>
          <w:rFonts w:ascii="仿宋_GB2312" w:eastAsia="仿宋_GB2312" w:hAnsi="仿宋_GB2312" w:cs="仿宋_GB2312"/>
          <w:spacing w:val="-4"/>
          <w:sz w:val="32"/>
          <w:szCs w:val="32"/>
        </w:rPr>
        <w:t>入仓库。按等级保质保</w:t>
      </w:r>
      <w:r>
        <w:rPr>
          <w:rFonts w:ascii="仿宋_GB2312" w:eastAsia="仿宋_GB2312" w:hAnsi="仿宋_GB2312" w:cs="仿宋_GB2312"/>
          <w:spacing w:val="-3"/>
          <w:sz w:val="32"/>
          <w:szCs w:val="32"/>
        </w:rPr>
        <w:t>量完成供货。商品标签上须有生产日期、保质期、质量等</w:t>
      </w:r>
      <w:r>
        <w:rPr>
          <w:rFonts w:ascii="仿宋_GB2312" w:eastAsia="仿宋_GB2312" w:hAnsi="仿宋_GB2312" w:cs="仿宋_GB2312"/>
          <w:spacing w:val="-4"/>
          <w:sz w:val="32"/>
          <w:szCs w:val="32"/>
        </w:rPr>
        <w:t>级，菜籽油还须要并标</w:t>
      </w:r>
      <w:r>
        <w:rPr>
          <w:rFonts w:ascii="仿宋_GB2312" w:eastAsia="仿宋_GB2312" w:hAnsi="仿宋_GB2312" w:cs="仿宋_GB2312"/>
          <w:spacing w:val="-1"/>
          <w:sz w:val="32"/>
          <w:szCs w:val="32"/>
        </w:rPr>
        <w:t>明初制油的加工工艺</w:t>
      </w:r>
      <w:r>
        <w:rPr>
          <w:rFonts w:ascii="仿宋_GB2312" w:eastAsia="仿宋_GB2312" w:hAnsi="仿宋_GB2312" w:cs="仿宋_GB2312"/>
          <w:spacing w:val="-1"/>
          <w:sz w:val="32"/>
          <w:szCs w:val="32"/>
        </w:rPr>
        <w:t>( 即用浸出法生产，还是用压榨法生产的)。</w:t>
      </w:r>
    </w:p>
    <w:p>
      <w:pPr>
        <w:pStyle w:val="15"/>
        <w:spacing w:before="0" w:after="0" w:line="360" w:lineRule="auto"/>
        <w:ind w:firstLine="628"/>
        <w:rPr>
          <w:rFonts w:ascii="Times New Roman" w:eastAsia="Times New Roman" w:hAnsi="Times New Roman" w:cs="Times New Roman"/>
        </w:rPr>
      </w:pPr>
      <w:r>
        <w:rPr>
          <w:rFonts w:ascii="仿宋_GB2312" w:eastAsia="仿宋_GB2312" w:hAnsi="仿宋_GB2312" w:cs="仿宋_GB2312"/>
          <w:spacing w:val="-3"/>
          <w:sz w:val="32"/>
          <w:szCs w:val="32"/>
        </w:rPr>
        <w:t>冷冻食品为预包装食品，具有明显</w:t>
      </w:r>
      <w:r>
        <w:rPr>
          <w:rFonts w:ascii="仿宋_GB2312" w:eastAsia="仿宋_GB2312" w:hAnsi="仿宋_GB2312" w:cs="仿宋_GB2312"/>
          <w:spacing w:val="-3"/>
          <w:sz w:val="32"/>
          <w:szCs w:val="32"/>
        </w:rPr>
        <w:t>“SC 编码</w:t>
      </w:r>
      <w:r>
        <w:rPr>
          <w:rFonts w:ascii="仿宋_GB2312" w:eastAsia="仿宋_GB2312" w:hAnsi="仿宋_GB2312" w:cs="仿宋_GB2312"/>
          <w:spacing w:val="-71"/>
          <w:sz w:val="32"/>
          <w:szCs w:val="32"/>
        </w:rPr>
        <w:t> </w:t>
      </w:r>
      <w:r>
        <w:rPr>
          <w:rFonts w:ascii="仿宋_GB2312" w:eastAsia="仿宋_GB2312" w:hAnsi="仿宋_GB2312" w:cs="仿宋_GB2312"/>
          <w:spacing w:val="-3"/>
          <w:sz w:val="32"/>
          <w:szCs w:val="32"/>
        </w:rPr>
        <w:t>”。</w:t>
      </w:r>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32"/>
          <w:szCs w:val="32"/>
        </w:rPr>
        <w:t>调味品、小食品、预包装食品须保证配送种类、品牌、规格，质量完全</w:t>
      </w:r>
      <w:r>
        <w:rPr>
          <w:rFonts w:ascii="仿宋_GB2312" w:eastAsia="仿宋_GB2312" w:hAnsi="仿宋_GB2312" w:cs="仿宋_GB2312"/>
          <w:spacing w:val="-3"/>
          <w:sz w:val="32"/>
          <w:szCs w:val="32"/>
        </w:rPr>
        <w:t>符合采购人要求，包装完整、无任何破损、无挤压、无</w:t>
      </w:r>
      <w:r>
        <w:rPr>
          <w:rFonts w:ascii="仿宋_GB2312" w:eastAsia="仿宋_GB2312" w:hAnsi="仿宋_GB2312" w:cs="仿宋_GB2312"/>
          <w:spacing w:val="-4"/>
          <w:sz w:val="32"/>
          <w:szCs w:val="32"/>
        </w:rPr>
        <w:t>破碎、无异味、无任何表</w:t>
      </w:r>
      <w:r>
        <w:rPr>
          <w:rFonts w:ascii="仿宋_GB2312" w:eastAsia="仿宋_GB2312" w:hAnsi="仿宋_GB2312" w:cs="仿宋_GB2312"/>
          <w:spacing w:val="-3"/>
          <w:sz w:val="32"/>
          <w:szCs w:val="32"/>
        </w:rPr>
        <w:t>面附着物或衍生物。</w:t>
      </w:r>
    </w:p>
    <w:p>
      <w:pPr>
        <w:pStyle w:val="Heading1"/>
        <w:keepNext w:val="0"/>
        <w:spacing w:before="0" w:after="0" w:line="360" w:lineRule="auto"/>
        <w:jc w:val="center"/>
        <w:rPr>
          <w:rFonts w:ascii="仿宋_GB2312" w:eastAsia="仿宋_GB2312" w:hAnsi="仿宋_GB2312" w:cs="仿宋_GB2312"/>
          <w:b/>
          <w:bCs/>
          <w:sz w:val="32"/>
          <w:szCs w:val="32"/>
        </w:rPr>
      </w:pPr>
      <w:bookmarkStart w:id="42" w:name="_Toc256000039"/>
      <w:r>
        <w:rPr>
          <w:rFonts w:ascii="仿宋_GB2312" w:eastAsia="仿宋_GB2312" w:hAnsi="仿宋_GB2312" w:cs="仿宋_GB2312"/>
          <w:kern w:val="36"/>
        </w:rPr>
        <w:t>8其他要求</w:t>
      </w:r>
      <w:bookmarkEnd w:id="42"/>
    </w:p>
    <w:p>
      <w:pPr>
        <w:pStyle w:val="Heading2"/>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i w:val="0"/>
          <w:iCs w:val="0"/>
        </w:rPr>
        <w:t>8.1必备要求</w:t>
      </w:r>
      <w:bookmarkEnd w:id="43"/>
    </w:p>
    <w:p>
      <w:pPr>
        <w:pStyle w:val="Heading3"/>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sz w:val="28"/>
          <w:szCs w:val="28"/>
        </w:rPr>
        <w:t>8.1.1通用必备要求</w:t>
      </w:r>
      <w:bookmarkEnd w:id="4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MsoNormal"/>
        <w:spacing w:before="0" w:after="0" w:line="360" w:lineRule="auto"/>
        <w:ind w:left="0" w:right="0" w:firstLine="561"/>
      </w:pPr>
      <w:r>
        <w:rPr>
          <w:rFonts w:ascii="仿宋_GB2312" w:eastAsia="仿宋_GB2312" w:hAnsi="仿宋_GB2312" w:cs="仿宋_GB2312"/>
          <w:sz w:val="28"/>
          <w:szCs w:val="28"/>
        </w:rPr>
        <w:t>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w:t>
      </w:r>
    </w:p>
    <w:p>
      <w:pPr>
        <w:pStyle w:val="MsoNormal"/>
        <w:spacing w:before="0" w:after="0" w:line="360" w:lineRule="auto"/>
        <w:ind w:left="0" w:right="0" w:firstLine="561"/>
      </w:pPr>
      <w:r>
        <w:rPr>
          <w:rFonts w:ascii="仿宋_GB2312" w:eastAsia="仿宋_GB2312" w:hAnsi="仿宋_GB2312" w:cs="仿宋_GB2312"/>
          <w:sz w:val="28"/>
          <w:szCs w:val="28"/>
        </w:rPr>
        <w:t>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w:t>
      </w:r>
    </w:p>
    <w:p>
      <w:pPr>
        <w:pStyle w:val="MsoNormal"/>
        <w:spacing w:before="0" w:after="0" w:line="360" w:lineRule="auto"/>
        <w:ind w:left="0" w:right="0" w:firstLine="561"/>
      </w:pPr>
      <w:r>
        <w:rPr>
          <w:rFonts w:ascii="仿宋_GB2312" w:eastAsia="仿宋_GB2312" w:hAnsi="仿宋_GB2312" w:cs="仿宋_GB2312"/>
          <w:sz w:val="28"/>
          <w:szCs w:val="28"/>
        </w:rPr>
        <w:t>3.本项目中如涉及国家强制性产品认证证书（CCC 认证证书）、电信设备进网许可证、无线电发射设备核准证等市场准入类资质的，应严格执行国家相关法律法规的要求。</w:t>
      </w:r>
    </w:p>
    <w:p>
      <w:pPr>
        <w:pStyle w:val="MsoNormal"/>
        <w:spacing w:before="0" w:after="0" w:line="360" w:lineRule="auto"/>
        <w:ind w:left="0" w:right="0" w:firstLine="561"/>
      </w:pPr>
      <w:r>
        <w:rPr>
          <w:rFonts w:ascii="仿宋_GB2312" w:eastAsia="仿宋_GB2312" w:hAnsi="仿宋_GB2312" w:cs="仿宋_GB2312"/>
          <w:sz w:val="28"/>
          <w:szCs w:val="28"/>
        </w:rPr>
        <w:t>以上相关要求，由供应商在响应时应答，在履约验收中，采购人将按照采购文件、中标</w:t>
      </w:r>
      <w:r>
        <w:rPr>
          <w:rFonts w:ascii="仿宋_GB2312" w:eastAsia="仿宋_GB2312" w:hAnsi="仿宋_GB2312" w:cs="仿宋_GB2312"/>
          <w:sz w:val="28"/>
          <w:szCs w:val="28"/>
        </w:rPr>
        <w:t>/成交供应商响应文件、采购合同等对中标/成交供应商提供的货物和服务进行验收，必要时依法依规开展相应检测、认证。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i w:val="0"/>
          <w:iCs w:val="0"/>
        </w:rPr>
        <w:t>8.2付款安排建议</w:t>
      </w:r>
      <w:bookmarkEnd w:id="45"/>
    </w:p>
    <w:tbl>
      <w:tblPr>
        <w:tblW w:w="5000" w:type="pct"/>
        <w:tblInd w:w="30" w:type="dxa"/>
        <w:tblCellMar>
          <w:top w:w="15" w:type="dxa"/>
          <w:left w:w="15" w:type="dxa"/>
          <w:bottom w:w="15" w:type="dxa"/>
          <w:right w:w="15" w:type="dxa"/>
        </w:tblCellMar>
      </w:tblPr>
      <w:tblGrid>
        <w:gridCol w:w="917"/>
        <w:gridCol w:w="784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采购人验收合格，且认可中标人提供食材报价后，按照中标结算率开具正式发票结算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46" w:name="_Toc256000043"/>
      <w:r>
        <w:rPr>
          <w:rFonts w:ascii="仿宋_GB2312" w:eastAsia="仿宋_GB2312" w:hAnsi="仿宋_GB2312" w:cs="仿宋_GB2312"/>
          <w:i w:val="0"/>
          <w:iCs w:val="0"/>
        </w:rPr>
        <w:t>8.3其他要求</w:t>
      </w:r>
      <w:bookmarkEnd w:id="46"/>
    </w:p>
    <w:p>
      <w:pPr>
        <w:pStyle w:val="Heading3"/>
        <w:keepNext w:val="0"/>
        <w:spacing w:before="0" w:after="0" w:line="360" w:lineRule="auto"/>
        <w:rPr>
          <w:rFonts w:ascii="仿宋_GB2312" w:eastAsia="仿宋_GB2312" w:hAnsi="仿宋_GB2312" w:cs="仿宋_GB2312"/>
          <w:b/>
          <w:bCs/>
          <w:sz w:val="28"/>
          <w:szCs w:val="28"/>
        </w:rPr>
      </w:pPr>
      <w:bookmarkStart w:id="47" w:name="_Toc256000044"/>
      <w:r>
        <w:rPr>
          <w:rFonts w:ascii="仿宋_GB2312" w:eastAsia="仿宋_GB2312" w:hAnsi="仿宋_GB2312" w:cs="仿宋_GB2312"/>
          <w:sz w:val="28"/>
          <w:szCs w:val="28"/>
        </w:rPr>
        <w:t>8.3.1保密要求</w:t>
      </w:r>
      <w:bookmarkEnd w:id="47"/>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pacing w:val="0"/>
          <w:sz w:val="32"/>
          <w:szCs w:val="32"/>
        </w:rPr>
        <w:t>中标供应商应提供遵守国家税务总局天津市宝坻区税务局相关安全保密制度规定的承诺函，并签订保密协议。若中标供应商服务人员违反信息安全保密制度相关规定，对税务机关造成利益损害的，中标供应商应承担相关法律责任。</w:t>
      </w:r>
    </w:p>
    <w:p>
      <w:pPr>
        <w:pStyle w:val="Heading3"/>
        <w:keepNext w:val="0"/>
        <w:spacing w:before="0" w:after="0" w:line="360" w:lineRule="auto"/>
        <w:rPr>
          <w:rFonts w:ascii="仿宋_GB2312" w:eastAsia="仿宋_GB2312" w:hAnsi="仿宋_GB2312" w:cs="仿宋_GB2312"/>
          <w:b/>
          <w:bCs/>
          <w:sz w:val="28"/>
          <w:szCs w:val="28"/>
        </w:rPr>
      </w:pPr>
      <w:bookmarkStart w:id="48" w:name="_Toc256000045"/>
      <w:r>
        <w:rPr>
          <w:rFonts w:ascii="仿宋_GB2312" w:eastAsia="仿宋_GB2312" w:hAnsi="仿宋_GB2312" w:cs="仿宋_GB2312"/>
          <w:sz w:val="28"/>
          <w:szCs w:val="28"/>
        </w:rPr>
        <w:t>8.3.2知识产权要求</w:t>
      </w:r>
      <w:bookmarkEnd w:id="48"/>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22</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
    <w:name w:val="MsoNormal"/>
    <w:basedOn w:val="Normal"/>
  </w:style>
  <w:style w:type="paragraph" w:customStyle="1" w:styleId="15">
    <w:name w:val="15"/>
    <w:basedOn w:val="Normal"/>
  </w:style>
  <w:style w:type="paragraph" w:customStyle="1" w:styleId="16">
    <w:name w:val="16"/>
    <w:basedOn w:val="Normal"/>
  </w:style>
  <w:style w:type="paragraph" w:customStyle="1" w:styleId="17">
    <w:name w:val="17"/>
    <w:basedOn w:val="Normal"/>
  </w:style>
  <w:style w:type="paragraph" w:customStyle="1" w:styleId="19">
    <w:name w:val="19"/>
    <w:basedOn w:val="Normal"/>
  </w:style>
  <w:style w:type="paragraph" w:customStyle="1" w:styleId="18">
    <w:name w:val="18"/>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22</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