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国家税务总局天津市津南区税务局2026-2027年度食材采购项目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2026年06月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kern w:val="36"/>
          </w:rPr>
          <w:t>4人员要求</w:t>
        </w:r>
        <w:r>
          <w:tab/>
        </w:r>
        <w:r>
          <w:fldChar w:fldCharType="begin"/>
        </w:r>
        <w:r>
          <w:instrText xml:space="preserve"> PAGEREF _Toc256000025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4.1团队要求</w:t>
        </w:r>
        <w:r>
          <w:tab/>
        </w:r>
        <w:r>
          <w:fldChar w:fldCharType="begin"/>
        </w:r>
        <w:r>
          <w:instrText xml:space="preserve"> PAGEREF _Toc256000026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4.1.1基本要求</w:t>
        </w:r>
        <w:r>
          <w:tab/>
        </w:r>
        <w:r>
          <w:fldChar w:fldCharType="begin"/>
        </w:r>
        <w:r>
          <w:instrText xml:space="preserve"> PAGEREF _Toc256000027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4.1.2优选资质/优选指标</w:t>
        </w:r>
        <w:r>
          <w:tab/>
        </w:r>
        <w:r>
          <w:fldChar w:fldCharType="begin"/>
        </w:r>
        <w:r>
          <w:instrText xml:space="preserve"> PAGEREF _Toc256000028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kern w:val="36"/>
          </w:rPr>
          <w:t>5管理实施要求</w:t>
        </w:r>
        <w:r>
          <w:tab/>
        </w:r>
        <w:r>
          <w:fldChar w:fldCharType="begin"/>
        </w:r>
        <w:r>
          <w:instrText xml:space="preserve"> PAGEREF _Toc256000029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6风险管控要求</w:t>
        </w:r>
        <w:r>
          <w:tab/>
        </w:r>
        <w:r>
          <w:fldChar w:fldCharType="begin"/>
        </w:r>
        <w:r>
          <w:instrText xml:space="preserve"> PAGEREF _Toc256000030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7履约验收要求</w:t>
        </w:r>
        <w:r>
          <w:tab/>
        </w:r>
        <w:r>
          <w:fldChar w:fldCharType="begin"/>
        </w:r>
        <w:r>
          <w:instrText xml:space="preserve"> PAGEREF _Toc256000031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7.1总体要求</w:t>
        </w:r>
        <w:r>
          <w:tab/>
        </w:r>
        <w:r>
          <w:fldChar w:fldCharType="begin"/>
        </w:r>
        <w:r>
          <w:instrText xml:space="preserve"> PAGEREF _Toc256000032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7.2具体要求</w:t>
        </w:r>
        <w:r>
          <w:tab/>
        </w:r>
        <w:r>
          <w:fldChar w:fldCharType="begin"/>
        </w:r>
        <w:r>
          <w:instrText xml:space="preserve"> PAGEREF _Toc256000033 \h </w:instrText>
        </w:r>
        <w:r>
          <w:fldChar w:fldCharType="separate"/>
        </w:r>
        <w:r>
          <w:t>18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kern w:val="36"/>
          </w:rPr>
          <w:t>8其他要求</w:t>
        </w:r>
        <w:r>
          <w:tab/>
        </w:r>
        <w:r>
          <w:fldChar w:fldCharType="begin"/>
        </w:r>
        <w:r>
          <w:instrText xml:space="preserve"> PAGEREF _Toc256000034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8.1必备要求</w:t>
        </w:r>
        <w:r>
          <w:tab/>
        </w:r>
        <w:r>
          <w:fldChar w:fldCharType="begin"/>
        </w:r>
        <w:r>
          <w:instrText xml:space="preserve"> PAGEREF _Toc256000035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8.1.1通用必备要求</w:t>
        </w:r>
        <w:r>
          <w:tab/>
        </w:r>
        <w:r>
          <w:fldChar w:fldCharType="begin"/>
        </w:r>
        <w:r>
          <w:instrText xml:space="preserve"> PAGEREF _Toc256000036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8.2付款安排建议</w:t>
        </w:r>
        <w:r>
          <w:tab/>
        </w:r>
        <w:r>
          <w:fldChar w:fldCharType="begin"/>
        </w:r>
        <w:r>
          <w:instrText xml:space="preserve"> PAGEREF _Toc256000037 \h </w:instrText>
        </w:r>
        <w:r>
          <w:fldChar w:fldCharType="separate"/>
        </w:r>
        <w:r>
          <w:t>20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8.3其他要求</w:t>
        </w:r>
        <w:r>
          <w:tab/>
        </w:r>
        <w:r>
          <w:fldChar w:fldCharType="begin"/>
        </w:r>
        <w:r>
          <w:instrText xml:space="preserve"> PAGEREF _Toc256000038 \h </w:instrText>
        </w:r>
        <w:r>
          <w:fldChar w:fldCharType="separate"/>
        </w:r>
        <w:r>
          <w:t>20</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8.3.1保密要求</w:t>
        </w:r>
        <w:r>
          <w:tab/>
        </w:r>
        <w:r>
          <w:fldChar w:fldCharType="begin"/>
        </w:r>
        <w:r>
          <w:instrText xml:space="preserve"> PAGEREF _Toc256000039 \h </w:instrText>
        </w:r>
        <w:r>
          <w:fldChar w:fldCharType="separate"/>
        </w:r>
        <w:r>
          <w:t>20</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8.3.2知识产权要求</w:t>
        </w:r>
        <w:r>
          <w:tab/>
        </w:r>
        <w:r>
          <w:fldChar w:fldCharType="begin"/>
        </w:r>
        <w:r>
          <w:instrText xml:space="preserve"> PAGEREF _Toc256000040 \h </w:instrText>
        </w:r>
        <w:r>
          <w:fldChar w:fldCharType="separate"/>
        </w:r>
        <w:r>
          <w:t>20</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jc w:val="both"/>
        <w:rPr>
          <w:rFonts w:ascii="Times New Roman" w:eastAsia="Times New Roman" w:hAnsi="Times New Roman" w:cs="Times New Roman"/>
        </w:rPr>
      </w:pPr>
      <w:r>
        <w:rPr>
          <w:rFonts w:ascii="仿宋_GB2312" w:eastAsia="仿宋_GB2312" w:hAnsi="仿宋_GB2312" w:cs="仿宋_GB2312"/>
          <w:sz w:val="28"/>
          <w:szCs w:val="28"/>
        </w:rPr>
        <w:t>2026年津南区税务局食堂食材采购项目，为津南区税务局食堂提供果蔬水产奶制品类（包含蔬菜、水果、海鲜及海产品、鲜奶及奶制品、豆制品等）、鲜冻禽畜肉类（包含猪肉及副产品、牛羊肉及各部件、禽肉及各部件、肉制品及半成品等）、主副食调料等其他类（包含猪肉及副产品、牛羊肉及各部件、禽肉及各部件、肉制品及半成品等）采购预算为人民币275.37万元，供应商按照本包金额进行投标报价，投标价格不得超过预算。投标价格不作为最终合同金额，采购食材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pacing w:val="0"/>
          <w:sz w:val="28"/>
          <w:szCs w:val="28"/>
        </w:rPr>
        <w:t>本项目旨在为</w:t>
      </w:r>
      <w:r>
        <w:rPr>
          <w:rFonts w:ascii="仿宋_GB2312" w:eastAsia="仿宋_GB2312" w:hAnsi="仿宋_GB2312" w:cs="仿宋_GB2312"/>
          <w:sz w:val="28"/>
          <w:szCs w:val="28"/>
        </w:rPr>
        <w:t>津南区税务局</w:t>
      </w:r>
      <w:r>
        <w:rPr>
          <w:rFonts w:ascii="仿宋_GB2312" w:eastAsia="仿宋_GB2312" w:hAnsi="仿宋_GB2312" w:cs="仿宋_GB2312"/>
          <w:spacing w:val="0"/>
          <w:sz w:val="28"/>
          <w:szCs w:val="28"/>
        </w:rPr>
        <w:t>食堂提供质优价廉的水果、蔬菜、水产品、鲜奶及奶制品、豆制品、</w:t>
      </w:r>
      <w:r>
        <w:rPr>
          <w:rFonts w:ascii="仿宋_GB2312" w:eastAsia="仿宋_GB2312" w:hAnsi="仿宋_GB2312" w:cs="仿宋_GB2312"/>
          <w:sz w:val="28"/>
          <w:szCs w:val="28"/>
        </w:rPr>
        <w:t>猪肉及副产品、牛羊肉及各部件、禽肉及各部件、肉制品及半成品，米、面、杂粮、油、鸡蛋及调料</w:t>
      </w:r>
      <w:r>
        <w:rPr>
          <w:rFonts w:ascii="仿宋_GB2312" w:eastAsia="仿宋_GB2312" w:hAnsi="仿宋_GB2312" w:cs="仿宋_GB2312"/>
          <w:spacing w:val="0"/>
          <w:sz w:val="28"/>
          <w:szCs w:val="28"/>
        </w:rPr>
        <w:t>等食材，在确保区局食品安全的基础上，提供高效便捷的服务。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本包采购内容为国家税务总局天津市津南区税务局食堂所需的蔬菜、水果、海鲜及海产品、鲜奶及奶制品、豆制品、鲜冻禽畜肉类、主副食调料等食材，含相应配送。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pacing w:val="0"/>
          <w:sz w:val="28"/>
          <w:szCs w:val="28"/>
        </w:rPr>
        <w:t>按照采购人需求，为津南区税务局提供</w:t>
      </w:r>
      <w:r>
        <w:rPr>
          <w:rFonts w:ascii="仿宋_GB2312" w:eastAsia="仿宋_GB2312" w:hAnsi="仿宋_GB2312" w:cs="仿宋_GB2312"/>
          <w:spacing w:val="0"/>
          <w:sz w:val="28"/>
          <w:szCs w:val="28"/>
        </w:rPr>
        <w:t>2026年度果蔬水产奶制品类、</w:t>
      </w:r>
      <w:r>
        <w:rPr>
          <w:rFonts w:ascii="仿宋_GB2312" w:eastAsia="仿宋_GB2312" w:hAnsi="仿宋_GB2312" w:cs="仿宋_GB2312"/>
          <w:sz w:val="28"/>
          <w:szCs w:val="28"/>
        </w:rPr>
        <w:t>鲜冻禽畜肉</w:t>
      </w:r>
      <w:r>
        <w:rPr>
          <w:rFonts w:ascii="仿宋_GB2312" w:eastAsia="仿宋_GB2312" w:hAnsi="仿宋_GB2312" w:cs="仿宋_GB2312"/>
          <w:spacing w:val="0"/>
          <w:sz w:val="28"/>
          <w:szCs w:val="28"/>
        </w:rPr>
        <w:t>类、</w:t>
      </w:r>
      <w:r>
        <w:rPr>
          <w:rFonts w:ascii="仿宋_GB2312" w:eastAsia="仿宋_GB2312" w:hAnsi="仿宋_GB2312" w:cs="仿宋_GB2312"/>
          <w:sz w:val="28"/>
          <w:szCs w:val="28"/>
        </w:rPr>
        <w:t>主副食调料等</w:t>
      </w:r>
      <w:r>
        <w:rPr>
          <w:rFonts w:ascii="仿宋_GB2312" w:eastAsia="仿宋_GB2312" w:hAnsi="仿宋_GB2312" w:cs="仿宋_GB2312"/>
          <w:spacing w:val="0"/>
          <w:sz w:val="28"/>
          <w:szCs w:val="28"/>
        </w:rPr>
        <w:t>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自签订合同之日起</w:t>
      </w:r>
      <w:r>
        <w:rPr>
          <w:rFonts w:ascii="仿宋_GB2312" w:eastAsia="仿宋_GB2312" w:hAnsi="仿宋_GB2312" w:cs="仿宋_GB2312"/>
          <w:sz w:val="28"/>
          <w:szCs w:val="28"/>
        </w:rPr>
        <w:t>1年。</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国家税务总局天津市津南区税务局机关食堂（津南区咸水沽镇南环路</w:t>
      </w:r>
      <w:r>
        <w:rPr>
          <w:rFonts w:ascii="仿宋_GB2312" w:eastAsia="仿宋_GB2312" w:hAnsi="仿宋_GB2312" w:cs="仿宋_GB2312"/>
          <w:sz w:val="28"/>
          <w:szCs w:val="28"/>
        </w:rPr>
        <w:t>31号）、南华路办区食堂（津南区咸水沽镇南华路29号）、国家税务总局天津市津南区税务局葛沽税务所食堂（津南区葛沽镇荣水园F区）、国家税务总局天津市津南区税务局旺港路税务所食堂（津南区香港街3号津南经济开发区管理委员会内6号楼）、国家税务总局天津市津南区税务局双港税务所食堂（津南区双港镇微山南路27号）、国家税务总局天津市津南区税务局小站税务所食堂（津南区小站镇红旗路79号）</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投标人应遵守有关国家法律、法规和条例</w:t>
      </w:r>
      <w:r>
        <w:rPr>
          <w:rFonts w:ascii="仿宋_GB2312" w:eastAsia="仿宋_GB2312" w:hAnsi="仿宋_GB2312" w:cs="仿宋_GB2312"/>
          <w:sz w:val="28"/>
          <w:szCs w:val="28"/>
        </w:rPr>
        <w:t>,具备《中华人民共和国政府采购法》第二十二条的规定和本文件中规定的条件。</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color w:val="000000"/>
          <w:sz w:val="28"/>
          <w:szCs w:val="28"/>
        </w:rPr>
        <w:t>投标人具有《食品经营许可证》，主体业态至少包含食品销售经营者，提供证书扫描件。</w:t>
      </w:r>
      <w:r>
        <w:rPr>
          <w:rFonts w:ascii="FangSong_GB2312" w:eastAsia="FangSong_GB2312" w:hAnsi="FangSong_GB2312" w:cs="FangSong_GB2312"/>
          <w:color w:val="000000"/>
          <w:sz w:val="28"/>
          <w:szCs w:val="28"/>
        </w:rPr>
        <w:t>如项目接受联合体投标，对联合体应提出相关资格要求；如属于特定行业项目,供应商应当具备特定行业法定准入要求。</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 ）</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 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2022年1月1日以来（以合同签订日期为准），供应商独立承担的食材供应项目案例（必须包含本包采购的</w:t>
      </w:r>
      <w:r>
        <w:rPr>
          <w:rFonts w:ascii="仿宋_GB2312" w:eastAsia="仿宋_GB2312" w:hAnsi="仿宋_GB2312" w:cs="仿宋_GB2312"/>
          <w:spacing w:val="0"/>
          <w:sz w:val="28"/>
          <w:szCs w:val="28"/>
        </w:rPr>
        <w:t>水果、蔬菜、水产品、鲜奶及奶制品、豆制品、</w:t>
      </w:r>
      <w:r>
        <w:rPr>
          <w:rFonts w:ascii="仿宋_GB2312" w:eastAsia="仿宋_GB2312" w:hAnsi="仿宋_GB2312" w:cs="仿宋_GB2312"/>
          <w:sz w:val="28"/>
          <w:szCs w:val="28"/>
        </w:rPr>
        <w:t>猪肉及副产品、牛羊肉及各部件、禽肉及各部件、肉制品及半成品，米、面、杂粮、油、鸡蛋及调料</w:t>
      </w:r>
      <w:r>
        <w:rPr>
          <w:rFonts w:ascii="仿宋_GB2312" w:eastAsia="仿宋_GB2312" w:hAnsi="仿宋_GB2312" w:cs="仿宋_GB2312"/>
          <w:spacing w:val="0"/>
          <w:sz w:val="28"/>
          <w:szCs w:val="28"/>
        </w:rPr>
        <w:t>等食材</w:t>
      </w:r>
      <w:r>
        <w:rPr>
          <w:rFonts w:ascii="仿宋_GB2312" w:eastAsia="仿宋_GB2312" w:hAnsi="仿宋_GB2312" w:cs="仿宋_GB2312"/>
          <w:sz w:val="28"/>
          <w:szCs w:val="28"/>
        </w:rPr>
        <w:t>等食材），予以加分考虑。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根据《关于推动解决政府采购异常低价问题的通知》（财库〔</w:t>
      </w:r>
      <w:r>
        <w:rPr>
          <w:rFonts w:ascii="仿宋_GB2312" w:eastAsia="仿宋_GB2312" w:hAnsi="仿宋_GB2312" w:cs="仿宋_GB2312"/>
          <w:sz w:val="28"/>
          <w:szCs w:val="28"/>
        </w:rPr>
        <w:t>2026〕2号）文件要求，当供应商报价出现以下情形之一时，评标委员会应当启动对该供应商的异常低价审查程序：</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1.供应商报价＜全部通过符合性审查供应商报价平均值×65%；</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2.供应商报价＜通过符合性审查的次低供应商报价×65%；</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3.供应商报价＜最高限价×65%；</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4.评标委员会基于专业判断，认为供应商报价过低，有可能影响产品质量或者不能诚信履约的其他情形。</w:t>
      </w:r>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本项所称</w:t>
      </w:r>
      <w:r>
        <w:rPr>
          <w:rFonts w:ascii="仿宋_GB2312" w:eastAsia="仿宋_GB2312" w:hAnsi="仿宋_GB2312" w:cs="仿宋_GB2312"/>
          <w:sz w:val="28"/>
          <w:szCs w:val="28"/>
        </w:rPr>
        <w:t>“最高限价”是指所报费率的最高限价的100%</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供应商须承诺所提供的货物、人员符合相关国家强制性规定。具体需求详见项目需求、人员要求、管理实施要求、风险管控要求、履约验收要求及其他要求。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MsoNormal"/>
        <w:spacing w:before="0" w:after="0" w:line="360" w:lineRule="auto"/>
        <w:ind w:left="0" w:right="0" w:firstLine="561"/>
      </w:pPr>
      <w:r>
        <w:rPr>
          <w:rFonts w:ascii="仿宋_GB2312" w:eastAsia="仿宋_GB2312" w:hAnsi="仿宋_GB2312" w:cs="仿宋_GB2312"/>
          <w:sz w:val="28"/>
          <w:szCs w:val="28"/>
        </w:rPr>
        <w:t>以下相关方案，若作为评审因素，则投标人应在满足</w:t>
      </w:r>
      <w:r>
        <w:rPr>
          <w:rFonts w:ascii="仿宋_GB2312" w:eastAsia="仿宋_GB2312" w:hAnsi="仿宋_GB2312" w:cs="仿宋_GB2312"/>
          <w:sz w:val="28"/>
          <w:szCs w:val="28"/>
        </w:rPr>
        <w:t>★关键指标项要求的前提下，根据项目特点和采购需求，制定更为完整、详细、可操作性强的方案。</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   （一）提供针对本项目特点的专业化服务方案：投标人应详细阐述对本项目整体需求内容的理解，包含符合本项目实际情况的食材配送等方案；</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   （二）配送及时性准时性措施：投标人应详细阐述如何保证本项目准时送达的方案措施，包含日常食材准时送达的方案、采购人紧急采购的食材准时送达的方案，以及未按时送达时的挽回方案等内容；</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   （三）质量安全把控措施：投标人应详细阐述如何保证食材质量安全把控的方案措施，包含检验检疫关键环节把控、不符合质量标准货品处置等方面内容；</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   （四）供应措施：投标人应详细阐述如何保证食材供应的方案措施，包含服务团队管理措施、内部采购管理措施、储存分拣管理措施、科学合理运输措施等方面内容。</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3.2采购产品一览表</w:t>
      </w:r>
      <w:bookmarkEnd w:id="24"/>
    </w:p>
    <w:tbl>
      <w:tblPr>
        <w:tblW w:w="5000" w:type="pct"/>
        <w:tblInd w:w="30" w:type="dxa"/>
        <w:tblCellMar>
          <w:top w:w="15" w:type="dxa"/>
          <w:left w:w="15" w:type="dxa"/>
          <w:bottom w:w="15" w:type="dxa"/>
          <w:right w:w="15" w:type="dxa"/>
        </w:tblCellMar>
      </w:tblPr>
      <w:tblGrid>
        <w:gridCol w:w="750"/>
        <w:gridCol w:w="1964"/>
        <w:gridCol w:w="2804"/>
        <w:gridCol w:w="1446"/>
        <w:gridCol w:w="1183"/>
        <w:gridCol w:w="1183"/>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6718.65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2749.12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2528.13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2321.283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1405.0274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4642.566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油麦菜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2451.52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空心菜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娃娃菜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1991.86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3176.2506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2565.6689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1516.878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476.5142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977.5436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新鲜蔬菜类调味品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520.948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2107.5411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2459.9471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莴笋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2965.5731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芦笋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689.49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1527.6034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2138.1851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2932.6308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3237.5386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1588.1253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2382.571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934.642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彩椒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459.66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2949.485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5375.7237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2259.995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2748.7668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4582.0441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3420.6365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四季豆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459.66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1955.0872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977.5436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1038.8316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398.372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虫草花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229.83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口蘑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1149.15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7647.2102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1468.6137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280.3926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2748.7668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丝瓜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4031.9843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2138.1851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2565.6689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6353.2673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8552.7404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猕猴桃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2138.1851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桃子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3447.45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脐橙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2725.7838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3360.1146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柑橘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1983.4329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383.05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葡萄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枇杷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383.05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4703.854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芒果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1588.1253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2748.7668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14050.274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荔枝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1149.15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哈密瓜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7351.4956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2734.2109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羊角蜜瓜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4496.2409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柚子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5192.6258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7941.3926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小平鱼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1084.0315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目鱼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1405.0274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小黄鱼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1343.7394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鲈鱼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1221.9295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488.0057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梭鱼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427.4838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黄姑鱼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1160.6415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蛤蜊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2382.571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蛏子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1955.0872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9468.996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977.5436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2810.0548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鲽鱼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2199.4731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清江鱼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2574.096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306.44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牛奶（鲜牛奶及包装牛奶等）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22779.9835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酸奶等乳制品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58034.3733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1527.6034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1421.8816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3787.5984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猪精瘦肉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2298.3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5338.9509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猪鲜肉馅（3:7）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1710.7013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猪五花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7941.3926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1680.0573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2027.8667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1515.3458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牛肋条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3488.0533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牛腱子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1209.6719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牛骨等各部位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476.5142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1735.2165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1906.0568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羊肋排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995.93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羊杂等各部位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1172.8991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476.5142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916.2556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280.3926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794.4457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1955.0872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1172.8991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鹅肉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756.9068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1283.2175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2259.995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骨肉相连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961.4555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195.3555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794.4457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熏酱卤烧烤肉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5375.7237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午餐肉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1983.4329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9529.5179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2932.6308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922.3844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659.6121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380.7517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2944.1223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蚕豆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387.6466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1087.0959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259.7079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549.2937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549.2937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109.5523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4765.142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28589.3198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9625.2804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混合杂粮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4572.8509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12743.3074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1637.1557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2962.5087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586.0665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794.4457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435.9109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573.8089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464.2566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109.5523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458.1278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蚝油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442.0397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251.2808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1881.5416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63.5863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52.0948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47.4982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109.5523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97.2947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干辣椒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158.5827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茴香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85.8032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28.3457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261.2401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榨菜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459.66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275.796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538.5683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735.456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各种腌制咸菜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870.2896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732.3916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158.5827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170.8403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1801.8672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170.8403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85.0371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复合调料粉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39.0711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72.7795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72.7795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97.2947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48.2643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吉利丁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4.5966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点心调味粉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酥油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48.2643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速冻水饺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121.8099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232.1283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春卷皮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14.5559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8797.1263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292.6502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292.6502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皮蛋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114.915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114.915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280.3926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91.1659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干茶树菇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73.5456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127.9387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竹荪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45.966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103.4235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91.1659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341.6806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芡实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34.4745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枸杞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34.4745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27.5796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3626.7174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披萨皮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232.1283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奥利奥碎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8.4271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燕麦片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183.0979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面条、挂面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91.932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2796.265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汤圆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126.4065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银丝卷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糕点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6761.5986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317.1654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饼干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804.405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38.305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果子面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3144.0744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瓜子仁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42.9016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48.2643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干果碎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366.1958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109.5523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199.186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372.3246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3.3采购产品详细清单及技术指标</w:t>
      </w:r>
      <w:bookmarkEnd w:id="2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0"/>
        <w:gridCol w:w="832"/>
        <w:gridCol w:w="2545"/>
        <w:gridCol w:w="25612"/>
        <w:gridCol w:w="642"/>
        <w:gridCol w:w="159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（11）所有食材的来源清晰，蔬菜来源于受到地方政府部门监管的自有基地、商品菜基地或蔬菜专业流通市场，不供应散户溯源不清的蔬菜。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（17）心肝、腰子类：品质新鲜、外形完整、无异味、无病变、无凝血块、无血污、泥污、颜色正常。</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耳：品质新鲜、外形完整、无溃烂、病斑、无破损。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蹄爪类：品质新鲜、去蹄壳、不带蹄筋、刮除粗毛、细毛及趾间黑垢、无松香残留。蹄筋类：品质新鲜、无色透明、表面光亮、无油脂、无精肉、无充血现象、顺直、干燥。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（21）色泽：颜色比冷却肉鲜明，在表面切开处为浅玫瑰色至灰色，用手或热刀触之，立显示鲜红色。脂肪猪、羊为白色，牛为淡黄色。肌腱为白色，石灰色。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气味：化冻时，有肉的正常味，略潮，没有熟肉味。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（22）眼球：无干缩凹陷或晶体状浑浊现象。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气味：具有其固有气味、无异味。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鸡爪：品质新鲜、呈白色或灰白色、无黄皮趾壳、无血污、血水、无残缺、脚趾根上无黑斑、允许有少量红斑。鸡翅：品质新鲜、无残羽、无黄衣、无伤斑及溃烂、无血水血污、允许有少数斑、允许剪修但最大范围不超转弯关节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鸡脖：品质新鲜、去劲部皮、无羽毛、无血污。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鸡头：品质新鲜、外形完整、无伤斑、无溃烂、无血污。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（24）色泽：外观滋润，呈乳白或微黄色。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气味：无腐臭气味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3.4服务要求</w:t>
      </w:r>
      <w:bookmarkEnd w:id="26"/>
    </w:p>
    <w:tbl>
      <w:tblPr>
        <w:tblW w:w="5000" w:type="pct"/>
        <w:tblInd w:w="30" w:type="dxa"/>
        <w:tblCellMar>
          <w:top w:w="15" w:type="dxa"/>
          <w:left w:w="15" w:type="dxa"/>
          <w:bottom w:w="15" w:type="dxa"/>
          <w:right w:w="15" w:type="dxa"/>
        </w:tblCellMar>
      </w:tblPr>
      <w:tblGrid>
        <w:gridCol w:w="496"/>
        <w:gridCol w:w="1754"/>
        <w:gridCol w:w="2174"/>
        <w:gridCol w:w="2065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投标人自有或租赁库房面积不小于300平米，自有或租赁冷库吨位不小于200吨（或面积不小于80平米）。能够满足按采购人需求完成配送任务，确保六个办公区同时送货。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投标人应自有或固定租赁2台以上冷藏车辆，确保24小时响应，按采购人需求完成配送任务，确保六个办公区同时送货。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2022年 1月1日以来具有鲜冻禽畜肉类食材（含本包拟配送食材）的进货内容。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能够完成本合同采购鲜冻禽畜肉的简易加工，如切丝、丁、块、片等。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2022年 1月1日以来具有主副食调料等其他类其他食材类食材（含本包拟配送食材）的进货内容。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2022年 1月1日以来具有果蔬水产奶制品类食材（含本包拟配送食材）的进货内容。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能够完成本合同采购食材的简易加工，如鱼类宰杀去鳃去鳞去内脏、蔬菜洗净削皮等。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生鲜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3.5其他要求</w:t>
      </w:r>
      <w:bookmarkEnd w:id="27"/>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根据《政府采购货物和服务招标投标管理办法》（财政部令第</w:t>
      </w:r>
      <w:r>
        <w:rPr>
          <w:rFonts w:ascii="仿宋_GB2312" w:eastAsia="仿宋_GB2312" w:hAnsi="仿宋_GB2312" w:cs="仿宋_GB2312"/>
          <w:sz w:val="28"/>
          <w:szCs w:val="28"/>
        </w:rPr>
        <w:t>87号）第六十条的规定，评标委员会认为投标人的报价明显低于其他通过符合性审查投标人的报价，有可能影响产品质量或者不能诚信履约的，应当启动异常低价投标（响应）审查程序，要求该投标人在评标现场合理的时间内提供书面说明，必要时提交相关证明材料；投标人不能证明其报价合理性的，评标委员会应当将其作为无效投标处理。</w:t>
      </w:r>
    </w:p>
    <w:p>
      <w:pPr>
        <w:pStyle w:val="Heading1"/>
        <w:keepNext w:val="0"/>
        <w:spacing w:before="0" w:after="0" w:line="360" w:lineRule="auto"/>
        <w:jc w:val="center"/>
        <w:rPr>
          <w:rFonts w:ascii="仿宋_GB2312" w:eastAsia="仿宋_GB2312" w:hAnsi="仿宋_GB2312" w:cs="仿宋_GB2312"/>
          <w:b/>
          <w:bCs/>
          <w:sz w:val="32"/>
          <w:szCs w:val="32"/>
        </w:rPr>
      </w:pPr>
      <w:bookmarkStart w:id="28" w:name="_Toc256000025"/>
      <w:r>
        <w:rPr>
          <w:rFonts w:ascii="仿宋_GB2312" w:eastAsia="仿宋_GB2312" w:hAnsi="仿宋_GB2312" w:cs="仿宋_GB2312"/>
          <w:kern w:val="36"/>
        </w:rPr>
        <w:t>4人员要求</w:t>
      </w:r>
      <w:bookmarkEnd w:id="28"/>
    </w:p>
    <w:p>
      <w:pPr>
        <w:pStyle w:val="Heading2"/>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i w:val="0"/>
          <w:iCs w:val="0"/>
        </w:rPr>
        <w:t>4.1团队要求</w:t>
      </w:r>
      <w:bookmarkEnd w:id="29"/>
    </w:p>
    <w:p>
      <w:pPr>
        <w:pStyle w:val="Heading3"/>
        <w:keepNext w:val="0"/>
        <w:spacing w:before="0" w:after="0" w:line="360" w:lineRule="auto"/>
        <w:rPr>
          <w:rFonts w:ascii="仿宋_GB2312" w:eastAsia="仿宋_GB2312" w:hAnsi="仿宋_GB2312" w:cs="仿宋_GB2312"/>
          <w:b/>
          <w:bCs/>
          <w:sz w:val="28"/>
          <w:szCs w:val="28"/>
        </w:rPr>
      </w:pPr>
      <w:bookmarkStart w:id="30" w:name="_Toc256000027"/>
      <w:r>
        <w:rPr>
          <w:rFonts w:ascii="仿宋_GB2312" w:eastAsia="仿宋_GB2312" w:hAnsi="仿宋_GB2312" w:cs="仿宋_GB2312"/>
          <w:sz w:val="28"/>
          <w:szCs w:val="28"/>
        </w:rPr>
        <w:t>4.1.1基本要求</w:t>
      </w:r>
      <w:bookmarkEnd w:id="30"/>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2. 投标人服务团队须配有以下人员，出具盖有投标人公章的服务团队人员名单。</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为本项目提供的服务团队中所有人员必须提供缴纳社保证明材料，除会计外必须具有从业人员健康证明，否则不予认可。</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w:t>
      </w:r>
      <w:r>
        <w:rPr>
          <w:rFonts w:ascii="仿宋_GB2312" w:eastAsia="仿宋_GB2312" w:hAnsi="仿宋_GB2312" w:cs="仿宋_GB2312"/>
          <w:sz w:val="28"/>
          <w:szCs w:val="28"/>
        </w:rPr>
        <w:t>人员在服务过程中应热情服务、遵规守法，具备较强的沟通能力和临时紧急配送调换的处置能力。均持卫生防疫部门或医疗机构颁发的健康证上岗。</w:t>
      </w:r>
    </w:p>
    <w:p>
      <w:pPr>
        <w:pStyle w:val="Heading3"/>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sz w:val="28"/>
          <w:szCs w:val="28"/>
        </w:rPr>
        <w:t>4.1.2优选资质/优选指标</w:t>
      </w:r>
      <w:bookmarkEnd w:id="31"/>
    </w:p>
    <w:tbl>
      <w:tblPr>
        <w:tblW w:w="5000" w:type="pct"/>
        <w:tblInd w:w="30" w:type="dxa"/>
        <w:tblCellMar>
          <w:top w:w="15" w:type="dxa"/>
          <w:left w:w="15" w:type="dxa"/>
          <w:bottom w:w="15" w:type="dxa"/>
          <w:right w:w="15" w:type="dxa"/>
        </w:tblCellMar>
      </w:tblPr>
      <w:tblGrid>
        <w:gridCol w:w="518"/>
        <w:gridCol w:w="974"/>
        <w:gridCol w:w="1569"/>
        <w:gridCol w:w="4694"/>
        <w:gridCol w:w="1575"/>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人员类别</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人员岗位</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人员要求</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是否作为加分项</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经理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具有5年以上食材供应项目管理工作经验。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供应业务员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配备2人,有3年及以上食材供应项目工作经验。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配备1人，具有3年及以上食品安全管理工作经验。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配备2人，具有3年及以上食材采购工作经验。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配送司机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配备2名，具有3年以上相关工作经验。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1"/>
        <w:keepNext w:val="0"/>
        <w:spacing w:before="0" w:after="0" w:line="360" w:lineRule="auto"/>
        <w:jc w:val="center"/>
        <w:rPr>
          <w:rFonts w:ascii="仿宋_GB2312" w:eastAsia="仿宋_GB2312" w:hAnsi="仿宋_GB2312" w:cs="仿宋_GB2312"/>
          <w:b/>
          <w:bCs/>
          <w:sz w:val="32"/>
          <w:szCs w:val="32"/>
        </w:rPr>
      </w:pPr>
      <w:bookmarkStart w:id="32" w:name="_Toc256000029"/>
      <w:r>
        <w:rPr>
          <w:rFonts w:ascii="仿宋_GB2312" w:eastAsia="仿宋_GB2312" w:hAnsi="仿宋_GB2312" w:cs="仿宋_GB2312"/>
          <w:kern w:val="36"/>
        </w:rPr>
        <w:t>5管理实施要求</w:t>
      </w:r>
      <w:bookmarkEnd w:id="32"/>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6风险管控要求</w:t>
      </w:r>
      <w:bookmarkEnd w:id="33"/>
    </w:p>
    <w:p>
      <w:pPr>
        <w:pStyle w:val="19"/>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（一）应急保障方案要求</w:t>
      </w:r>
    </w:p>
    <w:p>
      <w:pPr>
        <w:pStyle w:val="19"/>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投标人应提供在自然灾害、极端事件、市场关闭、物资紧缺等突发紧急情况下拟采取的应急保障方案，包括充分供应、按时保障、质量管控等措施，确保采购人食材及时供应不间断。</w:t>
      </w:r>
    </w:p>
    <w:p>
      <w:pPr>
        <w:pStyle w:val="18"/>
        <w:spacing w:before="0" w:after="0" w:line="360" w:lineRule="auto"/>
        <w:ind w:firstLine="480"/>
        <w:rPr>
          <w:rFonts w:ascii="Times New Roman" w:eastAsia="Times New Roman" w:hAnsi="Times New Roman" w:cs="Times New Roman"/>
        </w:rPr>
      </w:pPr>
      <w:r>
        <w:rPr>
          <w:rFonts w:ascii="仿宋_GB2312" w:eastAsia="仿宋_GB2312" w:hAnsi="仿宋_GB2312" w:cs="仿宋_GB2312"/>
          <w:b/>
          <w:bCs/>
          <w:sz w:val="28"/>
          <w:szCs w:val="28"/>
        </w:rPr>
        <w:t>（二）违约风险管控要求</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1.投标人中标后采用先送货后结账的模式，不收取履约保证金。有下列情形之一的，采购人有权按照以下约定及合同违约相关条款处理：</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1）因投标人配送不及时导致采购人供餐延误并造成重大影响的；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3）除不可抗力及采购人原因外，因投标人配送不及时导致采购人伙食供应延时，但经投标人采取补救措施未造成采购人不良影响的，出现三次终止供货合同；</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4）凡投标人向采购人提供产品发生质量问题影响食用，并拒绝退换的；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5）采购人将不定期组织专人对食材进行抽检，若发现质量不符，采购人有权要求予以退换货。</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2.投标人有下列情形之一的，采购人有权解除合同，由投标人承担全部经济损失和相关责任：</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1）投标人以书面、微信、短信等方式通知采购人不再供货，包括对部分食材不再供货；</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2）投标人虽未通知采购人不再供货，但1天没有供应采购人采购的货物，包括对部分食材没有供货；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3）投标人未经采购人同意单方面提价的；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4）数量不足、对货不对版、价格明显偏高，以上情况出现三次以上终止合同。</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7履约验收要求</w:t>
      </w:r>
      <w:bookmarkEnd w:id="34"/>
    </w:p>
    <w:p>
      <w:pPr>
        <w:pStyle w:val="Heading2"/>
        <w:keepNext w:val="0"/>
        <w:spacing w:before="0" w:after="0" w:line="360" w:lineRule="auto"/>
        <w:rPr>
          <w:rFonts w:ascii="仿宋_GB2312" w:eastAsia="仿宋_GB2312" w:hAnsi="仿宋_GB2312" w:cs="仿宋_GB2312"/>
          <w:b/>
          <w:bCs/>
          <w:sz w:val="28"/>
          <w:szCs w:val="28"/>
        </w:rPr>
      </w:pPr>
      <w:bookmarkStart w:id="35" w:name="_Toc256000032"/>
      <w:r>
        <w:rPr>
          <w:rFonts w:ascii="仿宋_GB2312" w:eastAsia="仿宋_GB2312" w:hAnsi="仿宋_GB2312" w:cs="仿宋_GB2312"/>
          <w:i w:val="0"/>
          <w:iCs w:val="0"/>
        </w:rPr>
        <w:t>7.1总体要求</w:t>
      </w:r>
      <w:bookmarkEnd w:id="35"/>
    </w:p>
    <w:tbl>
      <w:tblPr>
        <w:tblW w:w="5000" w:type="pct"/>
        <w:tblInd w:w="30" w:type="dxa"/>
        <w:tblCellMar>
          <w:top w:w="15" w:type="dxa"/>
          <w:left w:w="15" w:type="dxa"/>
          <w:bottom w:w="15" w:type="dxa"/>
          <w:right w:w="15" w:type="dxa"/>
        </w:tblCellMar>
      </w:tblPr>
      <w:tblGrid>
        <w:gridCol w:w="891"/>
        <w:gridCol w:w="30789"/>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国家税务总局天津市津南区税务局食堂（咸水沽镇南环路31号）、南华路办公区食堂（咸水沽镇南华路29号）、国家税务总局天津市津南区税务葛沽税务所食堂（葛沽镇荣水园F区）、国家税务总局天津市津南区税务旺港路税务所食堂（津南区香港街3号津南经济开发区管理委员会内6号）、国家税务总局天津市津南区税务双港税务所食堂（双港镇微山南路27号）、国家税务总局天津市津南区税务小站税务所食堂（小站镇红旗路79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（b）重量、数量、价格是否与采购人的预定需求一致。</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（c）食材价格应至少提前一周报送给甲方。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（二）具体要求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1.验收场所的准备</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应当在固定的场所进行验收，采购人定期清扫消毒，保持清洁，保证无积尘、无食品残渣，无霉斑、鼠迹、苍蝇、蟑螂，验收场所不准存放有毒、有害物品及个人生活用品。</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2.验收小组按订单对采购货物的品种、质量、数量进行检查验收，对货不对版、质量不好、价格明显过于偏高的食材不予验收，对于数量不足的食材，按照实际数量入账，填制验收记录和验收单。</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（1）投标人应在验收时提供与送货内容一致的送货单，并加盖公章。</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（2）卸货前的检查。验收人员卸货前应对货物的外观质量进行初步了解。</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（3）采取当场验收的方式，验收人认真检查货物，按核对品种→索证→抽查(检测）→数量、重量、质量、价格验收→签名确认→入库的程序完成验收。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要求投标人提供产品质量检测报告及卫生合格报告书，蔬菜类应提供农药残留检测结果，证明内容与产品内容要一致。投标人以提供原件为主，不能留原件的提供复印件。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（4）发现食品质量安全问题的处理：抽查时发现食品质量不过关或影响食用安全的，对当日所送同批次产品全部退货。 若抽查未发现问题，按储藏要求储藏后在加工食用前发现产品质量问题的，投标人必须退货或更换。</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 xml:space="preserve">4.退（补）货流程 </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 xml:space="preserve">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 </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5.鲜活鱼类需进行宰杀处理，如去麟去腮去内脏等，净膛的统一按0.8的出成率计算净膛价。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 xml:space="preserve">6.部分蔬菜需进行简易处理，如去皮摘叶摘筋等，统一按0.85的出成率计算净菜价。 </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7.包装带箱、筐的食材按照去除箱、筐后的重量计算。投标人需配合采购人库管人员进行倒筐称重，共同签字确认。</w:t>
            </w:r>
          </w:p>
        </w:tc>
      </w:tr>
    </w:tbl>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7.2具体要求</w:t>
      </w:r>
      <w:bookmarkEnd w:id="36"/>
    </w:p>
    <w:p>
      <w:pPr>
        <w:pStyle w:val="Heading1"/>
        <w:keepNext w:val="0"/>
        <w:spacing w:before="0" w:after="0" w:line="360" w:lineRule="auto"/>
        <w:jc w:val="center"/>
        <w:rPr>
          <w:rFonts w:ascii="仿宋_GB2312" w:eastAsia="仿宋_GB2312" w:hAnsi="仿宋_GB2312" w:cs="仿宋_GB2312"/>
          <w:b/>
          <w:bCs/>
          <w:sz w:val="32"/>
          <w:szCs w:val="32"/>
        </w:rPr>
      </w:pPr>
      <w:bookmarkStart w:id="37" w:name="_Toc256000034"/>
      <w:r>
        <w:rPr>
          <w:rFonts w:ascii="仿宋_GB2312" w:eastAsia="仿宋_GB2312" w:hAnsi="仿宋_GB2312" w:cs="仿宋_GB2312"/>
          <w:kern w:val="36"/>
        </w:rPr>
        <w:t>8其他要求</w:t>
      </w:r>
      <w:bookmarkEnd w:id="37"/>
    </w:p>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8.1必备要求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8.1.1通用必备要求</w:t>
      </w:r>
      <w:bookmarkEnd w:id="39"/>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MsoNormal"/>
        <w:spacing w:before="0" w:after="0" w:line="360" w:lineRule="auto"/>
        <w:ind w:left="0" w:right="0" w:firstLine="561"/>
        <w:rPr>
          <w:rFonts w:ascii="Times New Roman" w:eastAsia="Times New Roman" w:hAnsi="Times New Roman" w:cs="Times New Roman"/>
        </w:rPr>
      </w:pPr>
      <w:r>
        <w:rPr>
          <w:rFonts w:ascii="仿宋_GB2312" w:eastAsia="仿宋_GB2312" w:hAnsi="仿宋_GB2312" w:cs="仿宋_GB2312"/>
        </w:rPr>
        <w:t> </w:t>
      </w:r>
      <w:r>
        <w:rPr>
          <w:rFonts w:ascii="仿宋_GB2312" w:eastAsia="仿宋_GB2312" w:hAnsi="仿宋_GB2312" w:cs="仿宋_GB2312"/>
          <w:sz w:val="28"/>
          <w:szCs w:val="28"/>
        </w:rPr>
        <w:t>费率</w:t>
      </w:r>
      <w:r>
        <w:rPr>
          <w:rFonts w:ascii="仿宋_GB2312" w:eastAsia="仿宋_GB2312" w:hAnsi="仿宋_GB2312" w:cs="仿宋_GB2312"/>
          <w:sz w:val="28"/>
          <w:szCs w:val="28"/>
        </w:rPr>
        <w:t>=投标总价/预算金额，</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结算价格</w:t>
      </w:r>
      <w:r>
        <w:rPr>
          <w:rFonts w:ascii="仿宋_GB2312" w:eastAsia="仿宋_GB2312" w:hAnsi="仿宋_GB2312" w:cs="仿宋_GB2312"/>
          <w:sz w:val="28"/>
          <w:szCs w:val="28"/>
        </w:rPr>
        <w:t>=费率×基础价格A×1.1（或基础价格B×1)。</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A：依次参照“全国农产品批发市场价格信息系统（https://pfsc.argi.cn/portal-app/#/indexpage）”发布的天津何庄子农产品批发市场、天津市金钟河蔬菜贸易中心、天津韩家墅海吉星农产品批发市场同等食材的“大宗价”确定为“基础价格A”，定价单位为500克。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B：当</w:t>
      </w:r>
      <w:r>
        <w:rPr>
          <w:rFonts w:ascii="仿宋_GB2312" w:eastAsia="仿宋_GB2312" w:hAnsi="仿宋_GB2312" w:cs="仿宋_GB2312"/>
        </w:rPr>
        <w:t>“</w:t>
      </w:r>
      <w:r>
        <w:rPr>
          <w:rFonts w:ascii="仿宋_GB2312" w:eastAsia="仿宋_GB2312" w:hAnsi="仿宋_GB2312" w:cs="仿宋_GB2312"/>
          <w:sz w:val="28"/>
          <w:szCs w:val="28"/>
        </w:rPr>
        <w:t>全国农产品批发市场价格信息系统</w:t>
      </w:r>
      <w:r>
        <w:rPr>
          <w:rFonts w:ascii="仿宋_GB2312" w:eastAsia="仿宋_GB2312" w:hAnsi="仿宋_GB2312" w:cs="仿宋_GB2312"/>
          <w:sz w:val="28"/>
          <w:szCs w:val="28"/>
        </w:rPr>
        <w:t>”上述3个市场中没有列明所采购食材的大宗价格时，依次参照多点APP、七鲜APP、华润万家进行定价，定价单位为500克，零售商品有多个规格的，以最大规格的每500克价格为定价依据，确定具体的“基础价格B”。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费率＞</w:t>
      </w:r>
      <w:r>
        <w:rPr>
          <w:rFonts w:ascii="仿宋_GB2312" w:eastAsia="仿宋_GB2312" w:hAnsi="仿宋_GB2312" w:cs="仿宋_GB2312"/>
          <w:sz w:val="28"/>
          <w:szCs w:val="28"/>
        </w:rPr>
        <w:t>100%，视为无效投标。</w:t>
      </w:r>
    </w:p>
    <w:p>
      <w:pPr>
        <w:pStyle w:val="Heading2"/>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i w:val="0"/>
          <w:iCs w:val="0"/>
        </w:rPr>
        <w:t>8.2付款安排建议</w:t>
      </w:r>
      <w:bookmarkEnd w:id="40"/>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8.3其他要求</w:t>
      </w:r>
      <w:bookmarkEnd w:id="41"/>
    </w:p>
    <w:p>
      <w:pPr>
        <w:pStyle w:val="Heading3"/>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sz w:val="28"/>
          <w:szCs w:val="28"/>
        </w:rPr>
        <w:t>8.3.1保密要求</w:t>
      </w:r>
      <w:bookmarkEnd w:id="42"/>
    </w:p>
    <w:p>
      <w:pPr>
        <w:pStyle w:val="15"/>
        <w:spacing w:before="0" w:after="0" w:line="360" w:lineRule="auto"/>
        <w:ind w:firstLine="513"/>
        <w:jc w:val="both"/>
        <w:rPr>
          <w:rFonts w:ascii="Times New Roman" w:eastAsia="Times New Roman" w:hAnsi="Times New Roman" w:cs="Times New Roman"/>
        </w:rPr>
      </w:pPr>
      <w:r>
        <w:rPr>
          <w:rFonts w:ascii="仿宋_GB2312" w:eastAsia="仿宋_GB2312" w:hAnsi="仿宋_GB2312" w:cs="仿宋_GB2312"/>
          <w:sz w:val="28"/>
          <w:szCs w:val="28"/>
        </w:rPr>
        <w:t>中标供应商应提供遵守国家税务总局天津市津南区税务局相关安全保密制度规定的承诺函，并签订保密协议。若中标供应商服务人员违反信息安全保密制度相关规定，对税务机关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sz w:val="28"/>
          <w:szCs w:val="28"/>
        </w:rPr>
        <w:t>8.3.2知识产权要求</w:t>
      </w:r>
      <w:bookmarkEnd w:id="43"/>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20</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6">
    <w:name w:val="16"/>
    <w:basedOn w:val="Normal"/>
  </w:style>
  <w:style w:type="paragraph" w:customStyle="1" w:styleId="19">
    <w:name w:val="19"/>
    <w:basedOn w:val="Normal"/>
  </w:style>
  <w:style w:type="paragraph" w:customStyle="1" w:styleId="18">
    <w:name w:val="18"/>
    <w:basedOn w:val="Normal"/>
  </w:style>
  <w:style w:type="paragraph" w:customStyle="1" w:styleId="17">
    <w:name w:val="17"/>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20</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