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E5645">
      <w:pPr>
        <w:spacing w:line="600" w:lineRule="exact"/>
        <w:jc w:val="center"/>
        <w:rPr>
          <w:rFonts w:ascii="方正小标宋简体" w:hAnsi="黑体" w:eastAsia="方正小标宋简体" w:cs="黑体"/>
          <w:bCs/>
          <w:sz w:val="44"/>
          <w:szCs w:val="44"/>
          <w:highlight w:val="none"/>
        </w:rPr>
      </w:pPr>
      <w:r>
        <w:rPr>
          <w:rFonts w:hint="eastAsia" w:ascii="方正小标宋简体" w:hAnsi="黑体" w:eastAsia="方正小标宋简体" w:cs="黑体"/>
          <w:bCs/>
          <w:sz w:val="44"/>
          <w:szCs w:val="44"/>
          <w:highlight w:val="none"/>
        </w:rPr>
        <w:t>国家税务总局天津市滨海新区税务局办公家具采购项目采购文件</w:t>
      </w:r>
    </w:p>
    <w:p w14:paraId="2330BDA2">
      <w:pPr>
        <w:spacing w:line="600" w:lineRule="exact"/>
        <w:ind w:firstLine="640" w:firstLineChars="200"/>
        <w:jc w:val="left"/>
        <w:rPr>
          <w:rFonts w:ascii="黑体" w:hAnsi="黑体" w:eastAsia="黑体" w:cs="黑体"/>
          <w:sz w:val="32"/>
          <w:szCs w:val="32"/>
        </w:rPr>
      </w:pPr>
    </w:p>
    <w:p w14:paraId="253D5B3E">
      <w:pPr>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一、项目采购需求</w:t>
      </w:r>
    </w:p>
    <w:p w14:paraId="080F33A5">
      <w:pPr>
        <w:adjustRightInd w:val="0"/>
        <w:snapToGrid w:val="0"/>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（一）国家税务总局天津市滨海新区税务局办公家具</w:t>
      </w:r>
      <w:r>
        <w:rPr>
          <w:rFonts w:hint="eastAsia" w:ascii="仿宋_GB2312" w:hAnsi="仿宋_GB2312" w:eastAsia="仿宋_GB2312" w:cs="仿宋_GB2312"/>
          <w:sz w:val="32"/>
          <w:szCs w:val="32"/>
          <w:highlight w:val="none"/>
          <w:lang w:eastAsia="zh-CN"/>
        </w:rPr>
        <w:t>采购项目</w:t>
      </w:r>
      <w:r>
        <w:rPr>
          <w:rFonts w:hint="eastAsia" w:ascii="仿宋_GB2312" w:hAnsi="仿宋_GB2312" w:eastAsia="仿宋_GB2312" w:cs="仿宋_GB2312"/>
          <w:sz w:val="32"/>
          <w:szCs w:val="32"/>
          <w:highlight w:val="none"/>
        </w:rPr>
        <w:t>需求表（后</w:t>
      </w:r>
      <w:r>
        <w:rPr>
          <w:rFonts w:hint="eastAsia" w:ascii="仿宋_GB2312" w:hAnsi="仿宋_GB2312" w:eastAsia="仿宋_GB2312" w:cs="仿宋_GB2312"/>
          <w:sz w:val="32"/>
          <w:szCs w:val="32"/>
        </w:rPr>
        <w:t>附）</w:t>
      </w:r>
    </w:p>
    <w:p w14:paraId="693DD04A">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（二）质量保证</w:t>
      </w:r>
    </w:p>
    <w:p w14:paraId="4D2BBE1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供应商所提供的货物应满足需求表要求，必须完全符合国家规定的质量、规格和性能的要求，并保证所提供的货物在正常使用和保养条件下，在其使用寿命内具有良好的性能。</w:t>
      </w:r>
    </w:p>
    <w:p w14:paraId="3D4FDB16">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（三）其他要求</w:t>
      </w:r>
    </w:p>
    <w:p w14:paraId="1F9CDC5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供应商参与本项目的所有人员应承担保密义务，违反相关保密要求发生泄密行为的，供应商应承担相应责任。</w:t>
      </w:r>
    </w:p>
    <w:p w14:paraId="3FCEDD77">
      <w:pPr>
        <w:adjustRightInd w:val="0"/>
        <w:snapToGrid w:val="0"/>
        <w:spacing w:line="620" w:lineRule="exact"/>
        <w:ind w:firstLine="640" w:firstLineChars="200"/>
        <w:outlineLvl w:val="0"/>
        <w:rPr>
          <w:rFonts w:ascii="黑体" w:hAnsi="黑体" w:eastAsia="黑体"/>
          <w:sz w:val="32"/>
          <w:szCs w:val="32"/>
        </w:rPr>
      </w:pPr>
      <w:r>
        <w:rPr>
          <w:rFonts w:hint="eastAsia" w:ascii="黑体" w:hAnsi="黑体" w:eastAsia="黑体"/>
          <w:sz w:val="32"/>
          <w:szCs w:val="32"/>
        </w:rPr>
        <w:t>二、项目实施要求</w:t>
      </w:r>
    </w:p>
    <w:p w14:paraId="5AC150FC">
      <w:pPr>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（一）报价要求</w:t>
      </w:r>
    </w:p>
    <w:p w14:paraId="236F5D48">
      <w:pPr>
        <w:autoSpaceDE w:val="0"/>
        <w:autoSpaceDN w:val="0"/>
        <w:adjustRightIn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 投标报价以人民币填列。</w:t>
      </w:r>
    </w:p>
    <w:p w14:paraId="280D68AF">
      <w:pPr>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 投标人的报价应包括：应包含家具价格，安装价格，调试，培训，保险，运费，税费及其它一切项目中所产生的全部费用；</w:t>
      </w:r>
    </w:p>
    <w:p w14:paraId="0DE3366D">
      <w:pPr>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（二）服务要求</w:t>
      </w:r>
    </w:p>
    <w:p w14:paraId="102BEE57">
      <w:pPr>
        <w:autoSpaceDE w:val="0"/>
        <w:autoSpaceDN w:val="0"/>
        <w:adjustRightIn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1.质保：供应商需提供整体的5年的免费保修。</w:t>
      </w:r>
    </w:p>
    <w:p w14:paraId="6D36BE7C">
      <w:pPr>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2.投标人提供7×24响应服务，接到用户保修通知后投标人维修人员到达现场时间≤2小时（需提供书面承诺）。</w:t>
      </w:r>
    </w:p>
    <w:p w14:paraId="3D3303D3">
      <w:pPr>
        <w:adjustRightInd w:val="0"/>
        <w:snapToGrid w:val="0"/>
        <w:spacing w:line="620" w:lineRule="exact"/>
        <w:ind w:firstLine="640" w:firstLineChars="200"/>
        <w:rPr>
          <w:rFonts w:ascii="仿宋_GB2312" w:hAnsi="宋体" w:eastAsia="仿宋_GB2312" w:cs="宋体"/>
          <w:sz w:val="32"/>
          <w:szCs w:val="32"/>
          <w:highlight w:val="none"/>
        </w:rPr>
      </w:pPr>
      <w:r>
        <w:rPr>
          <w:rFonts w:hint="eastAsia" w:ascii="仿宋_GB2312" w:hAnsi="宋体" w:eastAsia="仿宋_GB2312" w:cs="宋体"/>
          <w:sz w:val="32"/>
          <w:szCs w:val="32"/>
          <w:highlight w:val="none"/>
        </w:rPr>
        <w:t>（三）交货时间及地点</w:t>
      </w:r>
    </w:p>
    <w:p w14:paraId="6A88FAAD">
      <w:pPr>
        <w:pStyle w:val="4"/>
        <w:ind w:firstLine="640" w:firstLineChars="200"/>
        <w:rPr>
          <w:rFonts w:hint="eastAsia" w:eastAsia="仿宋_GB2312"/>
          <w:lang w:eastAsia="zh-CN"/>
        </w:rPr>
      </w:pPr>
      <w:r>
        <w:rPr>
          <w:rFonts w:hint="eastAsia" w:ascii="仿宋_GB2312" w:hAnsi="宋体" w:eastAsia="仿宋_GB2312" w:cs="宋体"/>
          <w:color w:val="auto"/>
          <w:sz w:val="32"/>
          <w:szCs w:val="32"/>
        </w:rPr>
        <w:t>成交供应商</w:t>
      </w:r>
      <w:r>
        <w:rPr>
          <w:rFonts w:hint="eastAsia" w:ascii="仿宋_GB2312" w:hAnsi="宋体" w:eastAsia="仿宋_GB2312" w:cs="宋体"/>
          <w:color w:val="auto"/>
          <w:sz w:val="32"/>
          <w:szCs w:val="32"/>
          <w:lang w:eastAsia="zh-CN"/>
        </w:rPr>
        <w:t>在</w:t>
      </w:r>
      <w:r>
        <w:rPr>
          <w:rFonts w:hint="eastAsia" w:ascii="仿宋_GB2312" w:hAnsi="宋体" w:eastAsia="仿宋_GB2312" w:cs="宋体"/>
          <w:color w:val="auto"/>
          <w:sz w:val="32"/>
          <w:szCs w:val="32"/>
        </w:rPr>
        <w:t>合同签订后40个工作日</w:t>
      </w:r>
      <w:r>
        <w:rPr>
          <w:rFonts w:hint="eastAsia" w:ascii="国标仿宋-GB/T 2312" w:hAnsi="国标仿宋-GB/T 2312" w:eastAsia="国标仿宋-GB/T 2312" w:cs="国标仿宋-GB/T 2312"/>
          <w:sz w:val="32"/>
          <w:szCs w:val="32"/>
          <w:lang w:val="en-US" w:eastAsia="zh-CN"/>
        </w:rPr>
        <w:t>内</w:t>
      </w:r>
      <w:r>
        <w:rPr>
          <w:rFonts w:hint="eastAsia" w:ascii="仿宋_GB2312" w:hAnsi="宋体" w:eastAsia="仿宋_GB2312" w:cs="宋体"/>
          <w:color w:val="auto"/>
          <w:sz w:val="32"/>
          <w:szCs w:val="32"/>
        </w:rPr>
        <w:t>将货物送达到</w:t>
      </w:r>
      <w:r>
        <w:rPr>
          <w:rFonts w:hint="eastAsia" w:ascii="仿宋_GB2312" w:hAnsi="宋体" w:eastAsia="仿宋_GB2312" w:cs="宋体"/>
          <w:color w:val="auto"/>
          <w:sz w:val="32"/>
          <w:szCs w:val="32"/>
          <w:lang w:eastAsia="zh-CN"/>
        </w:rPr>
        <w:t>采购人</w:t>
      </w:r>
      <w:r>
        <w:rPr>
          <w:rFonts w:hint="eastAsia" w:ascii="仿宋_GB2312" w:hAnsi="宋体" w:eastAsia="仿宋_GB2312" w:cs="宋体"/>
          <w:color w:val="auto"/>
          <w:sz w:val="32"/>
          <w:szCs w:val="32"/>
        </w:rPr>
        <w:t>指定地点</w:t>
      </w:r>
      <w:r>
        <w:rPr>
          <w:rFonts w:hint="eastAsia" w:ascii="仿宋_GB2312" w:hAnsi="宋体" w:eastAsia="仿宋_GB2312" w:cs="宋体"/>
          <w:color w:val="auto"/>
          <w:sz w:val="32"/>
          <w:szCs w:val="32"/>
          <w:lang w:eastAsia="zh-CN"/>
        </w:rPr>
        <w:t>，并安装调试完毕</w:t>
      </w:r>
      <w:r>
        <w:rPr>
          <w:rFonts w:hint="eastAsia" w:ascii="仿宋_GB2312" w:hAnsi="宋体" w:eastAsia="仿宋_GB2312" w:cs="宋体"/>
          <w:color w:val="auto"/>
          <w:sz w:val="32"/>
          <w:szCs w:val="32"/>
        </w:rPr>
        <w:t>。</w:t>
      </w:r>
      <w:r>
        <w:rPr>
          <w:rFonts w:hint="eastAsia" w:ascii="仿宋_GB2312" w:hAnsi="宋体" w:eastAsia="仿宋_GB2312" w:cs="宋体"/>
          <w:color w:val="auto"/>
          <w:sz w:val="32"/>
          <w:szCs w:val="32"/>
          <w:lang w:eastAsia="zh-CN"/>
        </w:rPr>
        <w:t>（特殊情况以合同为准）</w:t>
      </w:r>
    </w:p>
    <w:p w14:paraId="1AD5E292">
      <w:pPr>
        <w:adjustRightInd w:val="0"/>
        <w:snapToGrid w:val="0"/>
        <w:spacing w:line="620" w:lineRule="exact"/>
        <w:ind w:firstLine="640" w:firstLineChars="200"/>
        <w:rPr>
          <w:rFonts w:ascii="仿宋_GB2312" w:hAnsi="Times New Roman" w:eastAsia="仿宋_GB2312" w:cs="仿宋_GB2312"/>
          <w:kern w:val="0"/>
          <w:sz w:val="32"/>
          <w:szCs w:val="32"/>
        </w:rPr>
      </w:pPr>
      <w:r>
        <w:rPr>
          <w:rFonts w:hint="eastAsia" w:ascii="仿宋_GB2312" w:hAnsi="仿宋_GB2312" w:eastAsia="仿宋_GB2312" w:cs="仿宋_GB2312"/>
          <w:sz w:val="32"/>
          <w:szCs w:val="32"/>
        </w:rPr>
        <w:t>（四）</w:t>
      </w:r>
      <w:r>
        <w:rPr>
          <w:rFonts w:hint="eastAsia" w:ascii="仿宋_GB2312" w:hAnsi="Times New Roman" w:eastAsia="仿宋_GB2312" w:cs="仿宋_GB2312"/>
          <w:kern w:val="0"/>
          <w:sz w:val="32"/>
          <w:szCs w:val="32"/>
        </w:rPr>
        <w:t>验收要求</w:t>
      </w:r>
    </w:p>
    <w:p w14:paraId="354D17A2">
      <w:pPr>
        <w:pStyle w:val="7"/>
        <w:adjustRightInd w:val="0"/>
        <w:snapToGrid w:val="0"/>
        <w:spacing w:line="620" w:lineRule="exact"/>
        <w:ind w:firstLine="640" w:firstLineChars="200"/>
        <w:outlineLvl w:val="0"/>
        <w:rPr>
          <w:rFonts w:ascii="黑体" w:hAnsi="黑体" w:eastAsia="黑体"/>
          <w:sz w:val="32"/>
          <w:szCs w:val="32"/>
          <w:shd w:val="clear" w:color="auto" w:fill="FFFFFF"/>
        </w:rPr>
      </w:pPr>
      <w:r>
        <w:rPr>
          <w:rFonts w:hint="eastAsia" w:ascii="仿宋_GB2312" w:hAnsi="Times New Roman" w:eastAsia="仿宋_GB2312" w:cs="仿宋_GB2312"/>
          <w:kern w:val="0"/>
          <w:sz w:val="32"/>
          <w:szCs w:val="32"/>
        </w:rPr>
        <w:t>采购人根据采购文件和合同约定条款，对合同事项逐条验收，验收结束后，出具验收意见。</w:t>
      </w:r>
    </w:p>
    <w:p w14:paraId="3065B2C4">
      <w:pPr>
        <w:pStyle w:val="7"/>
        <w:adjustRightInd w:val="0"/>
        <w:snapToGrid w:val="0"/>
        <w:spacing w:line="620" w:lineRule="exact"/>
        <w:outlineLvl w:val="0"/>
        <w:rPr>
          <w:rFonts w:ascii="仿宋_GB2312" w:hAnsi="Times New Roman" w:eastAsia="仿宋_GB2312" w:cs="仿宋_GB2312"/>
          <w:kern w:val="0"/>
          <w:sz w:val="32"/>
          <w:szCs w:val="32"/>
          <w:highlight w:val="none"/>
        </w:rPr>
      </w:pPr>
      <w:r>
        <w:rPr>
          <w:rFonts w:hint="eastAsia" w:ascii="黑体" w:hAnsi="黑体" w:eastAsia="黑体"/>
          <w:sz w:val="32"/>
          <w:szCs w:val="32"/>
          <w:highlight w:val="none"/>
          <w:shd w:val="clear" w:color="auto" w:fill="FFFFFF"/>
        </w:rPr>
        <w:t xml:space="preserve">   </w:t>
      </w:r>
      <w:r>
        <w:rPr>
          <w:rFonts w:hint="eastAsia" w:ascii="仿宋_GB2312" w:hAnsi="仿宋_GB2312" w:eastAsia="仿宋_GB2312" w:cs="仿宋_GB2312"/>
          <w:sz w:val="32"/>
          <w:szCs w:val="32"/>
          <w:highlight w:val="none"/>
          <w:shd w:val="clear" w:color="auto" w:fill="FFFFFF"/>
        </w:rPr>
        <w:t xml:space="preserve"> </w:t>
      </w:r>
      <w:r>
        <w:rPr>
          <w:rFonts w:hint="eastAsia" w:ascii="仿宋_GB2312" w:hAnsi="仿宋_GB2312" w:eastAsia="仿宋_GB2312" w:cs="仿宋_GB2312"/>
          <w:sz w:val="32"/>
          <w:szCs w:val="32"/>
          <w:highlight w:val="none"/>
        </w:rPr>
        <w:t>（五）</w:t>
      </w:r>
      <w:r>
        <w:rPr>
          <w:rFonts w:hint="eastAsia" w:ascii="仿宋_GB2312" w:hAnsi="仿宋_GB2312" w:eastAsia="仿宋_GB2312" w:cs="仿宋_GB2312"/>
          <w:sz w:val="32"/>
          <w:szCs w:val="32"/>
          <w:highlight w:val="none"/>
          <w:shd w:val="clear" w:color="auto" w:fill="FFFFFF"/>
        </w:rPr>
        <w:t>付款方式</w:t>
      </w:r>
    </w:p>
    <w:p w14:paraId="7BDB0368">
      <w:pPr>
        <w:pStyle w:val="6"/>
        <w:keepNext w:val="0"/>
        <w:keepLines w:val="0"/>
        <w:pageBreakBefore w:val="0"/>
        <w:widowControl w:val="0"/>
        <w:kinsoku/>
        <w:wordWrap/>
        <w:overflowPunct/>
        <w:topLinePunct/>
        <w:autoSpaceDE/>
        <w:autoSpaceDN/>
        <w:bidi w:val="0"/>
        <w:adjustRightInd w:val="0"/>
        <w:snapToGrid/>
        <w:spacing w:line="240" w:lineRule="auto"/>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成交供应商按合同条款提供供货、配送、安装</w:t>
      </w:r>
      <w:bookmarkStart w:id="8" w:name="_GoBack"/>
      <w:bookmarkEnd w:id="8"/>
      <w:r>
        <w:rPr>
          <w:rFonts w:hint="eastAsia" w:ascii="仿宋_GB2312" w:hAnsi="仿宋_GB2312" w:eastAsia="仿宋_GB2312" w:cs="仿宋_GB2312"/>
          <w:sz w:val="32"/>
          <w:szCs w:val="32"/>
          <w:highlight w:val="none"/>
        </w:rPr>
        <w:t>及售后维保等服务。合同签订完毕，供应商按采购人要求安装并验收。验收合格后供应商开具正式发票，采购人在收到发票后30个工作日内付款。</w:t>
      </w:r>
    </w:p>
    <w:p w14:paraId="61D979CF">
      <w:pPr>
        <w:pStyle w:val="6"/>
        <w:keepNext w:val="0"/>
        <w:keepLines w:val="0"/>
        <w:pageBreakBefore w:val="0"/>
        <w:widowControl w:val="0"/>
        <w:kinsoku/>
        <w:wordWrap/>
        <w:overflowPunct/>
        <w:topLinePunct/>
        <w:autoSpaceDE/>
        <w:autoSpaceDN/>
        <w:bidi w:val="0"/>
        <w:adjustRightInd w:val="0"/>
        <w:snapToGrid/>
        <w:spacing w:line="240" w:lineRule="auto"/>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特殊情况，双方协商付款事宜。</w:t>
      </w:r>
    </w:p>
    <w:p w14:paraId="7B9F5251">
      <w:pPr>
        <w:pStyle w:val="6"/>
        <w:keepNext w:val="0"/>
        <w:keepLines w:val="0"/>
        <w:pageBreakBefore w:val="0"/>
        <w:widowControl w:val="0"/>
        <w:kinsoku/>
        <w:wordWrap/>
        <w:overflowPunct/>
        <w:topLinePunct/>
        <w:autoSpaceDE/>
        <w:autoSpaceDN/>
        <w:bidi w:val="0"/>
        <w:adjustRightInd w:val="0"/>
        <w:snapToGrid/>
        <w:spacing w:line="240" w:lineRule="auto"/>
        <w:ind w:left="0" w:leftChars="0" w:firstLine="640" w:firstLineChars="200"/>
        <w:jc w:val="both"/>
        <w:textAlignment w:val="auto"/>
        <w:rPr>
          <w:rFonts w:ascii="Times New Roman" w:eastAsia="黑体"/>
          <w:kern w:val="2"/>
          <w:sz w:val="32"/>
          <w:szCs w:val="32"/>
        </w:rPr>
      </w:pPr>
      <w:r>
        <w:rPr>
          <w:rFonts w:hint="eastAsia" w:ascii="Times New Roman" w:eastAsia="黑体"/>
          <w:kern w:val="2"/>
          <w:sz w:val="32"/>
          <w:szCs w:val="32"/>
        </w:rPr>
        <w:t>三、</w:t>
      </w:r>
      <w:r>
        <w:rPr>
          <w:rFonts w:ascii="Times New Roman" w:eastAsia="黑体"/>
          <w:kern w:val="2"/>
          <w:sz w:val="32"/>
          <w:szCs w:val="32"/>
        </w:rPr>
        <w:t>评审</w:t>
      </w:r>
      <w:r>
        <w:rPr>
          <w:rFonts w:hint="eastAsia" w:ascii="Times New Roman" w:eastAsia="黑体"/>
          <w:kern w:val="2"/>
          <w:sz w:val="32"/>
          <w:szCs w:val="32"/>
        </w:rPr>
        <w:t>方法</w:t>
      </w:r>
    </w:p>
    <w:p w14:paraId="07C17E6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（一）评审概述</w:t>
      </w:r>
    </w:p>
    <w:p w14:paraId="2767248C">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采购人将组建评审小组。评审小组将按照采购文件要求，对照评分因素和标准，对供应商应答文件进行评审。</w:t>
      </w:r>
    </w:p>
    <w:p w14:paraId="27FF40FF">
      <w:pPr>
        <w:spacing w:line="560" w:lineRule="exact"/>
        <w:ind w:firstLine="573"/>
        <w:rPr>
          <w:rFonts w:ascii="仿宋_GB2312" w:hAnsi="仿宋_GB2312" w:eastAsia="仿宋_GB2312" w:cs="仿宋_GB2312"/>
          <w:sz w:val="32"/>
          <w:szCs w:val="32"/>
        </w:rPr>
      </w:pPr>
      <w:r>
        <w:rPr>
          <w:rFonts w:hint="eastAsia" w:ascii="仿宋_GB2312" w:hAnsi="仿宋_GB2312" w:eastAsia="仿宋_GB2312" w:cs="仿宋_GB2312"/>
          <w:sz w:val="32"/>
          <w:szCs w:val="32"/>
        </w:rPr>
        <w:t>（二）应答文件的有效性、完整性和响应程度审查</w:t>
      </w:r>
    </w:p>
    <w:p w14:paraId="3CF74D1A">
      <w:pPr>
        <w:topLinePun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评审小组将审查每份应答文件是否实质上响应了采购文件的要求，如果有效性、完整性和响应程度任何一项不合格，按无效应答文件处理。</w:t>
      </w:r>
    </w:p>
    <w:p w14:paraId="24B6B02D">
      <w:pPr>
        <w:topLinePun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（三）评审因素及标准</w:t>
      </w:r>
    </w:p>
    <w:p w14:paraId="416F12FF">
      <w:pPr>
        <w:keepNext w:val="0"/>
        <w:keepLines w:val="0"/>
        <w:pageBreakBefore w:val="0"/>
        <w:widowControl w:val="0"/>
        <w:kinsoku/>
        <w:wordWrap/>
        <w:overflowPunct/>
        <w:topLinePunct/>
        <w:autoSpaceDE/>
        <w:autoSpaceDN/>
        <w:bidi w:val="0"/>
        <w:adjustRightInd/>
        <w:snapToGrid/>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采用“综合评分法”的评标方法，具体评审因素详见后附评审标准表。</w:t>
      </w:r>
    </w:p>
    <w:p w14:paraId="407667DB">
      <w:pPr>
        <w:topLinePun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（四）成交候选人</w:t>
      </w:r>
    </w:p>
    <w:p w14:paraId="0F5A83AF">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审小组从质量和服务均能满足采购文件实质性响应要求的供应商中，按照综合评审分数由高到低的顺序提出成交候选人。如果综合评审分数相同时，由评审小组以无记名投票方式确定成交候选人的排序，得票多的供应商排名靠前。</w:t>
      </w:r>
    </w:p>
    <w:p w14:paraId="146D2922">
      <w:pPr>
        <w:topLinePun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（五）确定成交供应商</w:t>
      </w:r>
    </w:p>
    <w:p w14:paraId="333D2CBB">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在评审报告提出的成交候选人中，根据质量和服务均能满足采购文件实质性响应要求且综合评审分数最高的原则确定成交供应商。</w:t>
      </w:r>
    </w:p>
    <w:p w14:paraId="6B156E0F">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（六）评审过程的保密</w:t>
      </w:r>
    </w:p>
    <w:p w14:paraId="60A39BE0">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无论何时，凡与审查、澄清、评价、比较和应答文件有关的资料以及授予合同的意向等，任何人均不得向供应商及其他人员透露。</w:t>
      </w:r>
    </w:p>
    <w:p w14:paraId="065F19A1">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（七）成交通知</w:t>
      </w:r>
    </w:p>
    <w:p w14:paraId="76DBC491">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采购人确定成交供应商后，在天津市滨海新区税务局官网“信息公开”栏“通知公告”上公告成交结果，同时将以书面形式向成交供应商发出成交通知书。</w:t>
      </w:r>
    </w:p>
    <w:p w14:paraId="220006ED">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（八）签署合同</w:t>
      </w:r>
    </w:p>
    <w:p w14:paraId="5567B004">
      <w:pPr>
        <w:topLinePun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14:paraId="6A4CEE73">
      <w:pPr>
        <w:pStyle w:val="7"/>
        <w:adjustRightInd w:val="0"/>
        <w:snapToGrid w:val="0"/>
        <w:spacing w:line="620" w:lineRule="exact"/>
        <w:ind w:firstLine="640" w:firstLineChars="200"/>
        <w:outlineLvl w:val="0"/>
        <w:rPr>
          <w:rFonts w:ascii="黑体" w:hAnsi="黑体" w:eastAsia="黑体"/>
          <w:sz w:val="32"/>
          <w:szCs w:val="32"/>
          <w:shd w:val="clear" w:color="auto" w:fill="FFFFFF"/>
        </w:rPr>
      </w:pPr>
      <w:r>
        <w:rPr>
          <w:rFonts w:hint="eastAsia" w:ascii="仿宋_GB2312" w:hAnsi="仿宋_GB2312" w:eastAsia="仿宋_GB2312" w:cs="仿宋_GB2312"/>
          <w:sz w:val="32"/>
          <w:szCs w:val="32"/>
        </w:rPr>
        <w:br w:type="page"/>
      </w:r>
    </w:p>
    <w:p w14:paraId="06585080">
      <w:pPr>
        <w:pStyle w:val="7"/>
        <w:adjustRightInd w:val="0"/>
        <w:snapToGrid w:val="0"/>
        <w:spacing w:line="620" w:lineRule="exact"/>
        <w:ind w:firstLine="640" w:firstLineChars="200"/>
        <w:outlineLvl w:val="0"/>
        <w:rPr>
          <w:rFonts w:ascii="黑体" w:hAnsi="黑体" w:eastAsia="黑体"/>
          <w:sz w:val="32"/>
          <w:szCs w:val="32"/>
          <w:shd w:val="clear" w:color="auto" w:fill="FFFFFF"/>
        </w:rPr>
      </w:pPr>
      <w:r>
        <w:rPr>
          <w:rFonts w:hint="eastAsia" w:ascii="黑体" w:hAnsi="黑体" w:eastAsia="黑体"/>
          <w:sz w:val="32"/>
          <w:szCs w:val="32"/>
          <w:shd w:val="clear" w:color="auto" w:fill="FFFFFF"/>
        </w:rPr>
        <w:t>四、应答文件格式</w:t>
      </w:r>
    </w:p>
    <w:p w14:paraId="47779F27">
      <w:pPr>
        <w:pStyle w:val="7"/>
        <w:adjustRightInd w:val="0"/>
        <w:snapToGrid w:val="0"/>
        <w:spacing w:line="620" w:lineRule="exact"/>
        <w:outlineLvl w:val="0"/>
        <w:rPr>
          <w:rFonts w:ascii="黑体" w:hAnsi="黑体" w:eastAsia="黑体"/>
          <w:sz w:val="32"/>
          <w:szCs w:val="32"/>
          <w:shd w:val="clear" w:color="auto" w:fill="FFFFFF"/>
        </w:rPr>
      </w:pPr>
    </w:p>
    <w:p w14:paraId="4DB6A75C">
      <w:pPr>
        <w:autoSpaceDN w:val="0"/>
        <w:spacing w:line="360" w:lineRule="auto"/>
        <w:jc w:val="center"/>
        <w:rPr>
          <w:b/>
          <w:bCs/>
          <w:color w:val="000000"/>
          <w:sz w:val="24"/>
        </w:rPr>
      </w:pPr>
      <w:r>
        <w:rPr>
          <w:rFonts w:hint="eastAsia"/>
          <w:b/>
          <w:bCs/>
          <w:color w:val="000000"/>
          <w:sz w:val="24"/>
        </w:rPr>
        <w:t>应答</w:t>
      </w:r>
      <w:r>
        <w:rPr>
          <w:b/>
          <w:bCs/>
          <w:color w:val="000000"/>
          <w:sz w:val="24"/>
        </w:rPr>
        <w:t>文件封面格式</w:t>
      </w:r>
    </w:p>
    <w:p w14:paraId="65EE201D">
      <w:pPr>
        <w:pStyle w:val="7"/>
        <w:adjustRightInd w:val="0"/>
        <w:snapToGrid w:val="0"/>
        <w:spacing w:line="620" w:lineRule="exact"/>
        <w:jc w:val="center"/>
        <w:outlineLvl w:val="0"/>
        <w:rPr>
          <w:rFonts w:ascii="黑体" w:hAnsi="黑体" w:eastAsia="黑体"/>
          <w:sz w:val="32"/>
          <w:szCs w:val="32"/>
          <w:shd w:val="clear" w:color="auto" w:fill="FFFFFF"/>
        </w:rPr>
      </w:pPr>
    </w:p>
    <w:p w14:paraId="3BC3085E">
      <w:pPr>
        <w:pStyle w:val="7"/>
        <w:adjustRightInd w:val="0"/>
        <w:snapToGrid w:val="0"/>
        <w:spacing w:line="620" w:lineRule="exact"/>
        <w:outlineLvl w:val="0"/>
        <w:rPr>
          <w:rFonts w:ascii="黑体" w:hAnsi="黑体" w:eastAsia="黑体"/>
          <w:sz w:val="32"/>
          <w:szCs w:val="32"/>
          <w:shd w:val="clear" w:color="auto" w:fill="FFFFFF"/>
        </w:rPr>
      </w:pPr>
    </w:p>
    <w:p w14:paraId="00E99E28">
      <w:pPr>
        <w:pStyle w:val="7"/>
        <w:adjustRightInd w:val="0"/>
        <w:snapToGrid w:val="0"/>
        <w:spacing w:line="620" w:lineRule="exact"/>
        <w:outlineLvl w:val="0"/>
        <w:rPr>
          <w:rFonts w:ascii="黑体" w:hAnsi="黑体" w:eastAsia="黑体"/>
          <w:sz w:val="32"/>
          <w:szCs w:val="32"/>
          <w:shd w:val="clear" w:color="auto" w:fill="FFFFFF"/>
        </w:rPr>
      </w:pPr>
    </w:p>
    <w:p w14:paraId="72ED2D5F">
      <w:pPr>
        <w:autoSpaceDE w:val="0"/>
        <w:autoSpaceDN w:val="0"/>
        <w:adjustRightInd w:val="0"/>
        <w:jc w:val="center"/>
        <w:rPr>
          <w:color w:val="000000"/>
          <w:kern w:val="0"/>
          <w:sz w:val="144"/>
          <w:szCs w:val="144"/>
        </w:rPr>
      </w:pPr>
      <w:r>
        <w:rPr>
          <w:rFonts w:hint="eastAsia"/>
          <w:color w:val="000000"/>
          <w:sz w:val="160"/>
          <w:szCs w:val="84"/>
        </w:rPr>
        <w:t>应答</w:t>
      </w:r>
      <w:r>
        <w:rPr>
          <w:color w:val="000000"/>
          <w:sz w:val="160"/>
          <w:szCs w:val="84"/>
        </w:rPr>
        <w:t>文件</w:t>
      </w:r>
    </w:p>
    <w:p w14:paraId="18C7B877">
      <w:pPr>
        <w:autoSpaceDE w:val="0"/>
        <w:autoSpaceDN w:val="0"/>
        <w:adjustRightInd w:val="0"/>
        <w:spacing w:line="520" w:lineRule="exact"/>
        <w:rPr>
          <w:b/>
          <w:color w:val="000000"/>
          <w:kern w:val="0"/>
          <w:sz w:val="36"/>
          <w:szCs w:val="36"/>
        </w:rPr>
      </w:pPr>
    </w:p>
    <w:p w14:paraId="4B144607">
      <w:pPr>
        <w:autoSpaceDE w:val="0"/>
        <w:autoSpaceDN w:val="0"/>
        <w:adjustRightInd w:val="0"/>
        <w:spacing w:line="520" w:lineRule="exact"/>
        <w:jc w:val="center"/>
        <w:rPr>
          <w:b/>
          <w:color w:val="000000"/>
          <w:kern w:val="0"/>
          <w:sz w:val="24"/>
        </w:rPr>
      </w:pPr>
      <w:r>
        <w:rPr>
          <w:b/>
          <w:color w:val="000000"/>
          <w:kern w:val="0"/>
          <w:sz w:val="24"/>
        </w:rPr>
        <w:t>（加盖签章）</w:t>
      </w:r>
    </w:p>
    <w:p w14:paraId="72C64ECA">
      <w:pPr>
        <w:spacing w:beforeLines="30" w:afterLines="70" w:line="540" w:lineRule="exact"/>
        <w:ind w:left="630" w:leftChars="300"/>
        <w:rPr>
          <w:b/>
          <w:color w:val="000000"/>
          <w:sz w:val="34"/>
          <w:szCs w:val="34"/>
        </w:rPr>
      </w:pPr>
      <w:r>
        <w:rPr>
          <w:b/>
          <w:color w:val="000000"/>
          <w:sz w:val="34"/>
          <w:szCs w:val="34"/>
        </w:rPr>
        <w:t>项目编号：</w:t>
      </w:r>
    </w:p>
    <w:p w14:paraId="124E9592">
      <w:pPr>
        <w:spacing w:beforeLines="30" w:afterLines="70" w:line="540" w:lineRule="exact"/>
        <w:ind w:left="2152" w:leftChars="300" w:hanging="1522" w:hangingChars="446"/>
        <w:rPr>
          <w:b/>
          <w:color w:val="000000"/>
          <w:sz w:val="34"/>
          <w:szCs w:val="34"/>
        </w:rPr>
      </w:pPr>
      <w:r>
        <w:rPr>
          <w:b/>
          <w:color w:val="000000"/>
          <w:sz w:val="34"/>
          <w:szCs w:val="34"/>
        </w:rPr>
        <w:t>项目名称：</w:t>
      </w:r>
    </w:p>
    <w:p w14:paraId="4598691C">
      <w:pPr>
        <w:spacing w:beforeLines="30" w:afterLines="70" w:line="540" w:lineRule="exact"/>
        <w:ind w:left="630" w:leftChars="300"/>
        <w:rPr>
          <w:b/>
          <w:color w:val="000000"/>
          <w:sz w:val="34"/>
          <w:szCs w:val="34"/>
        </w:rPr>
      </w:pPr>
      <w:r>
        <w:rPr>
          <w:b/>
          <w:color w:val="000000"/>
          <w:sz w:val="34"/>
          <w:szCs w:val="34"/>
        </w:rPr>
        <w:t>单位名称：</w:t>
      </w:r>
    </w:p>
    <w:p w14:paraId="1B95DF6F">
      <w:pPr>
        <w:spacing w:beforeLines="30" w:afterLines="70" w:line="540" w:lineRule="exact"/>
        <w:ind w:left="630" w:leftChars="300"/>
        <w:rPr>
          <w:b/>
          <w:color w:val="000000"/>
          <w:sz w:val="34"/>
          <w:szCs w:val="34"/>
        </w:rPr>
      </w:pPr>
      <w:r>
        <w:rPr>
          <w:rFonts w:hint="eastAsia"/>
          <w:b/>
          <w:color w:val="000000"/>
          <w:sz w:val="34"/>
          <w:szCs w:val="34"/>
        </w:rPr>
        <w:t>授权代表人姓名：</w:t>
      </w:r>
    </w:p>
    <w:p w14:paraId="290C6CD9">
      <w:pPr>
        <w:spacing w:beforeLines="30" w:afterLines="70" w:line="540" w:lineRule="exact"/>
        <w:ind w:left="630" w:leftChars="300"/>
        <w:rPr>
          <w:b/>
          <w:bCs/>
          <w:color w:val="000000"/>
          <w:sz w:val="24"/>
        </w:rPr>
      </w:pPr>
      <w:r>
        <w:rPr>
          <w:rFonts w:hint="eastAsia"/>
          <w:b/>
          <w:color w:val="000000"/>
          <w:sz w:val="34"/>
          <w:szCs w:val="34"/>
        </w:rPr>
        <w:t>应答</w:t>
      </w:r>
      <w:r>
        <w:rPr>
          <w:b/>
          <w:color w:val="000000"/>
          <w:sz w:val="34"/>
          <w:szCs w:val="34"/>
        </w:rPr>
        <w:t>日期：   年   月   日</w:t>
      </w:r>
    </w:p>
    <w:p w14:paraId="5B3B3D23">
      <w:pPr>
        <w:rPr>
          <w:b/>
          <w:bCs/>
          <w:color w:val="000000"/>
          <w:sz w:val="24"/>
        </w:rPr>
      </w:pPr>
      <w:r>
        <w:rPr>
          <w:rFonts w:hint="eastAsia"/>
          <w:b/>
          <w:bCs/>
          <w:color w:val="000000"/>
          <w:sz w:val="24"/>
        </w:rPr>
        <w:br w:type="page"/>
      </w:r>
    </w:p>
    <w:p w14:paraId="7033FEC3">
      <w:pPr>
        <w:autoSpaceDN w:val="0"/>
        <w:spacing w:line="360" w:lineRule="auto"/>
        <w:jc w:val="center"/>
        <w:rPr>
          <w:b/>
          <w:bCs/>
          <w:color w:val="000000"/>
          <w:sz w:val="24"/>
        </w:rPr>
      </w:pPr>
      <w:r>
        <w:rPr>
          <w:rFonts w:hint="eastAsia"/>
          <w:b/>
          <w:bCs/>
          <w:color w:val="000000"/>
          <w:sz w:val="24"/>
        </w:rPr>
        <w:t>应答</w:t>
      </w:r>
      <w:r>
        <w:rPr>
          <w:b/>
          <w:bCs/>
          <w:color w:val="000000"/>
          <w:sz w:val="24"/>
        </w:rPr>
        <w:t>文件总目录</w:t>
      </w:r>
    </w:p>
    <w:p w14:paraId="2C75C6A4">
      <w:pPr>
        <w:autoSpaceDN w:val="0"/>
        <w:spacing w:line="360" w:lineRule="auto"/>
        <w:jc w:val="center"/>
        <w:rPr>
          <w:b/>
          <w:bCs/>
          <w:color w:val="000000"/>
          <w:sz w:val="24"/>
        </w:rPr>
      </w:pPr>
      <w:r>
        <w:rPr>
          <w:b/>
          <w:bCs/>
          <w:color w:val="000000"/>
          <w:sz w:val="24"/>
        </w:rPr>
        <w:t>（</w:t>
      </w:r>
      <w:r>
        <w:rPr>
          <w:rFonts w:hint="eastAsia"/>
          <w:b/>
          <w:bCs/>
          <w:color w:val="000000"/>
          <w:sz w:val="24"/>
        </w:rPr>
        <w:t>供应商</w:t>
      </w:r>
      <w:r>
        <w:rPr>
          <w:b/>
          <w:bCs/>
          <w:color w:val="000000"/>
          <w:sz w:val="24"/>
        </w:rPr>
        <w:t>自行编制）</w:t>
      </w:r>
    </w:p>
    <w:p w14:paraId="2D47F158">
      <w:pPr>
        <w:widowControl/>
        <w:jc w:val="center"/>
        <w:rPr>
          <w:b/>
          <w:color w:val="000000"/>
          <w:sz w:val="24"/>
        </w:rPr>
      </w:pPr>
    </w:p>
    <w:p w14:paraId="62DD31BA">
      <w:pPr>
        <w:pStyle w:val="7"/>
      </w:pPr>
    </w:p>
    <w:p w14:paraId="26231859">
      <w:pPr>
        <w:pStyle w:val="5"/>
        <w:adjustRightInd w:val="0"/>
        <w:snapToGrid w:val="0"/>
        <w:spacing w:line="620" w:lineRule="exact"/>
        <w:ind w:right="640"/>
        <w:jc w:val="right"/>
        <w:rPr>
          <w:rFonts w:ascii="仿宋_GB2312" w:eastAsia="仿宋_GB2312"/>
          <w:color w:val="333333"/>
          <w:sz w:val="32"/>
          <w:szCs w:val="32"/>
          <w:highlight w:val="yellow"/>
          <w:shd w:val="clear" w:color="auto" w:fill="FFFFFF"/>
        </w:rPr>
      </w:pPr>
    </w:p>
    <w:p w14:paraId="4C1262BE"/>
    <w:p w14:paraId="5E1B6C15"/>
    <w:p w14:paraId="511E9A48"/>
    <w:p w14:paraId="1805E255"/>
    <w:p w14:paraId="5187B6D8"/>
    <w:p w14:paraId="05642F22"/>
    <w:p w14:paraId="61E35C0E"/>
    <w:p w14:paraId="512B95FB"/>
    <w:p w14:paraId="250A6917"/>
    <w:p w14:paraId="3E0E6C83"/>
    <w:p w14:paraId="6EC4779C"/>
    <w:p w14:paraId="1A8D5153"/>
    <w:p w14:paraId="65C88930"/>
    <w:p w14:paraId="0713798E"/>
    <w:p w14:paraId="2E074AAF"/>
    <w:p w14:paraId="351AF417"/>
    <w:p w14:paraId="792888FD"/>
    <w:p w14:paraId="2368E59B"/>
    <w:p w14:paraId="6D49EE02"/>
    <w:p w14:paraId="6D371213"/>
    <w:p w14:paraId="7E720A6D"/>
    <w:p w14:paraId="77AADDE7"/>
    <w:p w14:paraId="776B9C87"/>
    <w:p w14:paraId="1CD04CB0"/>
    <w:p w14:paraId="09A9ECA8"/>
    <w:p w14:paraId="52134A2D"/>
    <w:p w14:paraId="1D9BB19A"/>
    <w:p w14:paraId="38A87826"/>
    <w:p w14:paraId="4FD597C2"/>
    <w:p w14:paraId="60EFF7C9"/>
    <w:p w14:paraId="2B73440C"/>
    <w:p w14:paraId="4F4222EE"/>
    <w:p w14:paraId="0C56E9BC"/>
    <w:p w14:paraId="00E5228D"/>
    <w:p w14:paraId="1DDB01CC">
      <w:pPr>
        <w:rPr>
          <w:rFonts w:ascii="宋体" w:hAnsi="宋体" w:cs="宋体"/>
          <w:b/>
          <w:bCs/>
          <w:kern w:val="44"/>
          <w:sz w:val="28"/>
          <w:szCs w:val="28"/>
        </w:rPr>
      </w:pPr>
    </w:p>
    <w:p w14:paraId="0BA003F8">
      <w:pPr>
        <w:rPr>
          <w:rFonts w:ascii="宋体" w:hAnsi="宋体" w:cs="宋体"/>
          <w:b/>
          <w:bCs/>
          <w:kern w:val="44"/>
          <w:sz w:val="28"/>
          <w:szCs w:val="28"/>
        </w:rPr>
      </w:pPr>
      <w:r>
        <w:rPr>
          <w:rFonts w:hint="eastAsia" w:ascii="宋体" w:hAnsi="宋体" w:cs="宋体"/>
          <w:b/>
          <w:bCs/>
          <w:kern w:val="44"/>
          <w:sz w:val="28"/>
          <w:szCs w:val="28"/>
        </w:rPr>
        <w:t>一、承诺及声明</w:t>
      </w:r>
    </w:p>
    <w:p w14:paraId="47C0DB08">
      <w:pPr>
        <w:spacing w:line="360" w:lineRule="auto"/>
        <w:rPr>
          <w:rFonts w:ascii="宋体" w:hAnsi="宋体" w:cs="宋体"/>
          <w:sz w:val="28"/>
          <w:szCs w:val="28"/>
        </w:rPr>
      </w:pPr>
      <w:r>
        <w:rPr>
          <w:rFonts w:hint="eastAsia" w:ascii="宋体" w:hAnsi="宋体" w:cs="宋体"/>
          <w:sz w:val="28"/>
          <w:szCs w:val="28"/>
        </w:rPr>
        <w:t>致国家税务总局天津市滨海新区税务局：</w:t>
      </w:r>
    </w:p>
    <w:p w14:paraId="3F725BE0">
      <w:pPr>
        <w:spacing w:line="360" w:lineRule="auto"/>
        <w:ind w:firstLine="420"/>
        <w:rPr>
          <w:rFonts w:ascii="宋体" w:hAnsi="宋体" w:cs="宋体"/>
          <w:sz w:val="28"/>
          <w:szCs w:val="28"/>
        </w:rPr>
      </w:pPr>
      <w:r>
        <w:rPr>
          <w:rFonts w:hint="eastAsia" w:ascii="宋体" w:hAnsi="宋体" w:cs="宋体"/>
          <w:sz w:val="28"/>
          <w:szCs w:val="28"/>
        </w:rPr>
        <w:t>根据贵方为</w:t>
      </w:r>
      <w:r>
        <w:rPr>
          <w:rFonts w:hint="eastAsia" w:ascii="宋体" w:hAnsi="宋体" w:cs="宋体"/>
          <w:sz w:val="28"/>
          <w:szCs w:val="28"/>
          <w:u w:val="single"/>
        </w:rPr>
        <w:t xml:space="preserve">  国家税务总局天津市滨海新区税务局办公家具采购项目 </w:t>
      </w:r>
      <w:r>
        <w:rPr>
          <w:rFonts w:hint="eastAsia" w:ascii="宋体" w:hAnsi="宋体" w:cs="宋体"/>
          <w:sz w:val="28"/>
          <w:szCs w:val="28"/>
        </w:rPr>
        <w:t>的报价邀请，签字代表（</w:t>
      </w:r>
      <w:r>
        <w:rPr>
          <w:rFonts w:hint="eastAsia" w:ascii="宋体" w:hAnsi="宋体" w:cs="宋体"/>
          <w:sz w:val="28"/>
          <w:szCs w:val="28"/>
          <w:u w:val="single"/>
        </w:rPr>
        <w:t xml:space="preserve">       </w:t>
      </w:r>
      <w:r>
        <w:rPr>
          <w:rFonts w:hint="eastAsia" w:ascii="宋体" w:hAnsi="宋体" w:cs="宋体"/>
          <w:sz w:val="28"/>
          <w:szCs w:val="28"/>
        </w:rPr>
        <w:t>）经正式授权并代表参加人（</w:t>
      </w:r>
      <w:r>
        <w:rPr>
          <w:rFonts w:hint="eastAsia" w:ascii="宋体" w:hAnsi="宋体" w:cs="宋体"/>
          <w:sz w:val="28"/>
          <w:szCs w:val="28"/>
          <w:u w:val="single"/>
        </w:rPr>
        <w:t xml:space="preserve">               </w:t>
      </w:r>
      <w:r>
        <w:rPr>
          <w:rFonts w:hint="eastAsia" w:ascii="宋体" w:hAnsi="宋体" w:cs="宋体"/>
          <w:sz w:val="28"/>
          <w:szCs w:val="28"/>
        </w:rPr>
        <w:t>）提交应答文件一式三份。</w:t>
      </w:r>
    </w:p>
    <w:p w14:paraId="6B0F7204">
      <w:pPr>
        <w:numPr>
          <w:ilvl w:val="0"/>
          <w:numId w:val="1"/>
        </w:numPr>
        <w:spacing w:line="360" w:lineRule="auto"/>
        <w:ind w:firstLine="420"/>
        <w:rPr>
          <w:rFonts w:ascii="宋体" w:hAnsi="宋体" w:cs="宋体"/>
          <w:sz w:val="28"/>
          <w:szCs w:val="28"/>
        </w:rPr>
      </w:pPr>
      <w:r>
        <w:rPr>
          <w:rFonts w:hint="eastAsia" w:ascii="宋体" w:hAnsi="宋体" w:cs="宋体"/>
          <w:sz w:val="28"/>
          <w:szCs w:val="28"/>
        </w:rPr>
        <w:t>我方同意在本项目采购文件中规定的递交应答文件截止时间起90天内遵守本应答报告书中的承诺且在此期限期满之前均具有约束力。</w:t>
      </w:r>
    </w:p>
    <w:p w14:paraId="5B7C8408">
      <w:pPr>
        <w:numPr>
          <w:ilvl w:val="0"/>
          <w:numId w:val="1"/>
        </w:numPr>
        <w:spacing w:line="360" w:lineRule="auto"/>
        <w:ind w:firstLine="420"/>
        <w:rPr>
          <w:rFonts w:ascii="宋体" w:hAnsi="宋体" w:cs="宋体"/>
          <w:sz w:val="28"/>
          <w:szCs w:val="28"/>
        </w:rPr>
      </w:pPr>
      <w:r>
        <w:rPr>
          <w:rFonts w:hint="eastAsia" w:ascii="宋体" w:hAnsi="宋体" w:cs="宋体"/>
          <w:sz w:val="28"/>
          <w:szCs w:val="28"/>
        </w:rPr>
        <w:t>我单位自愿参与本项目的政府采购活动，郑重承诺如下：</w:t>
      </w:r>
    </w:p>
    <w:p w14:paraId="7424FEDE">
      <w:pPr>
        <w:spacing w:line="360" w:lineRule="auto"/>
        <w:ind w:firstLine="420"/>
        <w:rPr>
          <w:rFonts w:ascii="宋体" w:hAnsi="宋体" w:cs="宋体"/>
          <w:sz w:val="28"/>
          <w:szCs w:val="28"/>
        </w:rPr>
      </w:pPr>
      <w:r>
        <w:rPr>
          <w:rFonts w:hint="eastAsia" w:ascii="宋体" w:hAnsi="宋体" w:cs="宋体"/>
          <w:sz w:val="28"/>
          <w:szCs w:val="28"/>
        </w:rPr>
        <w:t>1.我单位具有良好的商业信誉和健全的财务会计制度；</w:t>
      </w:r>
    </w:p>
    <w:p w14:paraId="0904B67B">
      <w:pPr>
        <w:spacing w:line="360" w:lineRule="auto"/>
        <w:ind w:firstLine="420"/>
        <w:rPr>
          <w:rFonts w:ascii="宋体" w:hAnsi="宋体" w:cs="宋体"/>
          <w:sz w:val="28"/>
          <w:szCs w:val="28"/>
        </w:rPr>
      </w:pPr>
      <w:r>
        <w:rPr>
          <w:rFonts w:hint="eastAsia" w:ascii="宋体" w:hAnsi="宋体" w:cs="宋体"/>
          <w:sz w:val="28"/>
          <w:szCs w:val="28"/>
        </w:rPr>
        <w:t>2.我单位依法缴纳税收和社会保障资金；</w:t>
      </w:r>
    </w:p>
    <w:p w14:paraId="28921FDC">
      <w:pPr>
        <w:spacing w:line="360" w:lineRule="auto"/>
        <w:ind w:firstLine="420"/>
        <w:rPr>
          <w:rFonts w:ascii="宋体" w:hAnsi="宋体" w:cs="宋体"/>
          <w:sz w:val="28"/>
          <w:szCs w:val="28"/>
        </w:rPr>
      </w:pPr>
      <w:r>
        <w:rPr>
          <w:rFonts w:hint="eastAsia" w:ascii="宋体" w:hAnsi="宋体" w:cs="宋体"/>
          <w:sz w:val="28"/>
          <w:szCs w:val="28"/>
        </w:rPr>
        <w:t>3.我单位具备履行合同所必需的设备和专业技术能力；</w:t>
      </w:r>
    </w:p>
    <w:p w14:paraId="33B55B52">
      <w:pPr>
        <w:spacing w:line="360" w:lineRule="auto"/>
        <w:ind w:firstLine="420"/>
        <w:rPr>
          <w:rFonts w:ascii="宋体" w:hAnsi="宋体" w:cs="宋体"/>
          <w:sz w:val="28"/>
          <w:szCs w:val="28"/>
        </w:rPr>
      </w:pPr>
      <w:r>
        <w:rPr>
          <w:rFonts w:hint="eastAsia" w:ascii="宋体" w:hAnsi="宋体" w:cs="宋体"/>
          <w:sz w:val="28"/>
          <w:szCs w:val="28"/>
        </w:rPr>
        <w:t>4.参加政府采购活动前3年我单位在经营活动中没有重大违法记录；</w:t>
      </w:r>
    </w:p>
    <w:p w14:paraId="59314BF3">
      <w:pPr>
        <w:spacing w:line="360" w:lineRule="auto"/>
        <w:ind w:firstLine="420"/>
        <w:rPr>
          <w:rFonts w:ascii="宋体" w:hAnsi="宋体" w:cs="宋体"/>
          <w:sz w:val="28"/>
          <w:szCs w:val="28"/>
        </w:rPr>
      </w:pPr>
      <w:r>
        <w:rPr>
          <w:rFonts w:hint="eastAsia" w:ascii="宋体" w:hAnsi="宋体" w:cs="宋体"/>
          <w:sz w:val="28"/>
          <w:szCs w:val="28"/>
        </w:rPr>
        <w:t>5.我单位不存在为采购项目提供整体设计、规范编制或者项目管理、监理、检测等服务后，再参加该采购项目的其他采购活动的情形。</w:t>
      </w:r>
    </w:p>
    <w:p w14:paraId="2A006567">
      <w:pPr>
        <w:spacing w:line="360" w:lineRule="auto"/>
        <w:ind w:firstLine="420"/>
        <w:rPr>
          <w:rFonts w:ascii="宋体" w:hAnsi="宋体" w:cs="宋体"/>
          <w:sz w:val="28"/>
          <w:szCs w:val="28"/>
        </w:rPr>
      </w:pPr>
      <w:r>
        <w:rPr>
          <w:rFonts w:hint="eastAsia" w:ascii="宋体" w:hAnsi="宋体" w:cs="宋体"/>
          <w:sz w:val="28"/>
          <w:szCs w:val="28"/>
        </w:rPr>
        <w:t>6.与我单位存在“单位负责人为同一人或者存在直接控股、管理关系”的其他单位信息如下：</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4F0E6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24A9D7C">
            <w:pPr>
              <w:spacing w:line="360" w:lineRule="auto"/>
              <w:ind w:firstLine="420"/>
              <w:rPr>
                <w:rFonts w:ascii="宋体" w:hAnsi="宋体" w:cs="宋体"/>
                <w:sz w:val="28"/>
                <w:szCs w:val="28"/>
              </w:rPr>
            </w:pPr>
            <w:r>
              <w:rPr>
                <w:rFonts w:hint="eastAsia" w:ascii="宋体" w:hAnsi="宋体" w:cs="宋体"/>
                <w:sz w:val="28"/>
                <w:szCs w:val="28"/>
              </w:rPr>
              <w:t>序号</w:t>
            </w:r>
          </w:p>
        </w:tc>
        <w:tc>
          <w:tcPr>
            <w:tcW w:w="2273" w:type="pct"/>
            <w:vAlign w:val="center"/>
          </w:tcPr>
          <w:p w14:paraId="59666709">
            <w:pPr>
              <w:spacing w:line="360" w:lineRule="auto"/>
              <w:ind w:firstLine="420"/>
              <w:rPr>
                <w:rFonts w:ascii="宋体" w:hAnsi="宋体" w:cs="宋体"/>
                <w:sz w:val="28"/>
                <w:szCs w:val="28"/>
              </w:rPr>
            </w:pPr>
            <w:r>
              <w:rPr>
                <w:rFonts w:hint="eastAsia" w:ascii="宋体" w:hAnsi="宋体" w:cs="宋体"/>
                <w:sz w:val="28"/>
                <w:szCs w:val="28"/>
              </w:rPr>
              <w:t>单位名称</w:t>
            </w:r>
          </w:p>
        </w:tc>
        <w:tc>
          <w:tcPr>
            <w:tcW w:w="1667" w:type="pct"/>
            <w:vAlign w:val="center"/>
          </w:tcPr>
          <w:p w14:paraId="6922303E">
            <w:pPr>
              <w:spacing w:line="360" w:lineRule="auto"/>
              <w:ind w:firstLine="420"/>
              <w:rPr>
                <w:rFonts w:ascii="宋体" w:hAnsi="宋体" w:cs="宋体"/>
                <w:sz w:val="28"/>
                <w:szCs w:val="28"/>
              </w:rPr>
            </w:pPr>
            <w:r>
              <w:rPr>
                <w:rFonts w:hint="eastAsia" w:ascii="宋体" w:hAnsi="宋体" w:cs="宋体"/>
                <w:sz w:val="28"/>
                <w:szCs w:val="28"/>
              </w:rPr>
              <w:t>相互关系类型</w:t>
            </w:r>
          </w:p>
        </w:tc>
      </w:tr>
      <w:tr w14:paraId="0B61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2E8F4BA">
            <w:pPr>
              <w:spacing w:line="360" w:lineRule="auto"/>
              <w:ind w:firstLine="420"/>
              <w:rPr>
                <w:rFonts w:ascii="宋体" w:hAnsi="宋体" w:cs="宋体"/>
                <w:sz w:val="28"/>
                <w:szCs w:val="28"/>
              </w:rPr>
            </w:pPr>
            <w:r>
              <w:rPr>
                <w:rFonts w:hint="eastAsia" w:ascii="宋体" w:hAnsi="宋体" w:cs="宋体"/>
                <w:sz w:val="28"/>
                <w:szCs w:val="28"/>
              </w:rPr>
              <w:t>1</w:t>
            </w:r>
          </w:p>
        </w:tc>
        <w:tc>
          <w:tcPr>
            <w:tcW w:w="2273" w:type="pct"/>
            <w:vAlign w:val="center"/>
          </w:tcPr>
          <w:p w14:paraId="29D2AD6E">
            <w:pPr>
              <w:spacing w:line="360" w:lineRule="auto"/>
              <w:ind w:firstLine="420"/>
              <w:rPr>
                <w:rFonts w:ascii="宋体" w:hAnsi="宋体" w:cs="宋体"/>
                <w:sz w:val="28"/>
                <w:szCs w:val="28"/>
              </w:rPr>
            </w:pPr>
          </w:p>
        </w:tc>
        <w:tc>
          <w:tcPr>
            <w:tcW w:w="1667" w:type="pct"/>
            <w:vAlign w:val="center"/>
          </w:tcPr>
          <w:p w14:paraId="7DFE9685">
            <w:pPr>
              <w:spacing w:line="360" w:lineRule="auto"/>
              <w:ind w:firstLine="420"/>
              <w:rPr>
                <w:rFonts w:ascii="宋体" w:hAnsi="宋体" w:cs="宋体"/>
                <w:sz w:val="28"/>
                <w:szCs w:val="28"/>
              </w:rPr>
            </w:pPr>
          </w:p>
        </w:tc>
      </w:tr>
      <w:tr w14:paraId="4063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B09C96E">
            <w:pPr>
              <w:spacing w:line="360" w:lineRule="auto"/>
              <w:ind w:firstLine="420"/>
              <w:rPr>
                <w:rFonts w:ascii="宋体" w:hAnsi="宋体" w:cs="宋体"/>
                <w:sz w:val="28"/>
                <w:szCs w:val="28"/>
              </w:rPr>
            </w:pPr>
            <w:r>
              <w:rPr>
                <w:rFonts w:hint="eastAsia" w:ascii="宋体" w:hAnsi="宋体" w:cs="宋体"/>
                <w:sz w:val="28"/>
                <w:szCs w:val="28"/>
              </w:rPr>
              <w:t>2</w:t>
            </w:r>
          </w:p>
        </w:tc>
        <w:tc>
          <w:tcPr>
            <w:tcW w:w="2273" w:type="pct"/>
            <w:vAlign w:val="center"/>
          </w:tcPr>
          <w:p w14:paraId="7DA9CF40">
            <w:pPr>
              <w:spacing w:line="360" w:lineRule="auto"/>
              <w:ind w:firstLine="420"/>
              <w:rPr>
                <w:rFonts w:ascii="宋体" w:hAnsi="宋体" w:cs="宋体"/>
                <w:sz w:val="28"/>
                <w:szCs w:val="28"/>
              </w:rPr>
            </w:pPr>
          </w:p>
        </w:tc>
        <w:tc>
          <w:tcPr>
            <w:tcW w:w="1667" w:type="pct"/>
            <w:vAlign w:val="center"/>
          </w:tcPr>
          <w:p w14:paraId="5BD83FE4">
            <w:pPr>
              <w:spacing w:line="360" w:lineRule="auto"/>
              <w:ind w:firstLine="420"/>
              <w:rPr>
                <w:rFonts w:ascii="宋体" w:hAnsi="宋体" w:cs="宋体"/>
                <w:sz w:val="28"/>
                <w:szCs w:val="28"/>
              </w:rPr>
            </w:pPr>
          </w:p>
        </w:tc>
      </w:tr>
      <w:tr w14:paraId="2F13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5295746">
            <w:pPr>
              <w:spacing w:line="360" w:lineRule="auto"/>
              <w:ind w:firstLine="420"/>
              <w:rPr>
                <w:rFonts w:ascii="宋体" w:hAnsi="宋体" w:cs="宋体"/>
                <w:sz w:val="28"/>
                <w:szCs w:val="28"/>
              </w:rPr>
            </w:pPr>
            <w:r>
              <w:rPr>
                <w:rFonts w:hint="eastAsia" w:ascii="宋体" w:hAnsi="宋体" w:cs="宋体"/>
                <w:sz w:val="28"/>
                <w:szCs w:val="28"/>
              </w:rPr>
              <w:t>3</w:t>
            </w:r>
          </w:p>
        </w:tc>
        <w:tc>
          <w:tcPr>
            <w:tcW w:w="2273" w:type="pct"/>
            <w:vAlign w:val="center"/>
          </w:tcPr>
          <w:p w14:paraId="3B9E468E">
            <w:pPr>
              <w:spacing w:line="360" w:lineRule="auto"/>
              <w:ind w:firstLine="420"/>
              <w:rPr>
                <w:rFonts w:ascii="宋体" w:hAnsi="宋体" w:cs="宋体"/>
                <w:sz w:val="28"/>
                <w:szCs w:val="28"/>
              </w:rPr>
            </w:pPr>
          </w:p>
        </w:tc>
        <w:tc>
          <w:tcPr>
            <w:tcW w:w="1667" w:type="pct"/>
            <w:vAlign w:val="center"/>
          </w:tcPr>
          <w:p w14:paraId="6685CC64">
            <w:pPr>
              <w:spacing w:line="360" w:lineRule="auto"/>
              <w:ind w:firstLine="420"/>
              <w:rPr>
                <w:rFonts w:ascii="宋体" w:hAnsi="宋体" w:cs="宋体"/>
                <w:sz w:val="28"/>
                <w:szCs w:val="28"/>
              </w:rPr>
            </w:pPr>
          </w:p>
        </w:tc>
      </w:tr>
    </w:tbl>
    <w:p w14:paraId="5083631F">
      <w:pPr>
        <w:spacing w:line="360" w:lineRule="auto"/>
        <w:ind w:firstLine="420"/>
        <w:rPr>
          <w:rFonts w:ascii="宋体" w:hAnsi="宋体" w:cs="宋体"/>
          <w:sz w:val="28"/>
          <w:szCs w:val="28"/>
        </w:rPr>
      </w:pPr>
      <w:r>
        <w:rPr>
          <w:rFonts w:hint="eastAsia" w:ascii="宋体" w:hAnsi="宋体" w:cs="宋体"/>
          <w:sz w:val="28"/>
          <w:szCs w:val="28"/>
        </w:rPr>
        <w:t>上表未填写的，视为不存在第6条所列情形</w:t>
      </w:r>
    </w:p>
    <w:p w14:paraId="28D5070E">
      <w:pPr>
        <w:spacing w:line="360" w:lineRule="auto"/>
        <w:ind w:firstLine="420"/>
        <w:rPr>
          <w:rFonts w:ascii="宋体" w:hAnsi="宋体" w:cs="宋体"/>
          <w:sz w:val="28"/>
          <w:szCs w:val="28"/>
        </w:rPr>
      </w:pPr>
      <w:r>
        <w:rPr>
          <w:rFonts w:hint="eastAsia" w:ascii="宋体" w:hAnsi="宋体" w:cs="宋体"/>
          <w:sz w:val="28"/>
          <w:szCs w:val="28"/>
        </w:rPr>
        <w:t>上述承诺真实有效，否则我单位承担全部责任和不利后果。</w:t>
      </w:r>
    </w:p>
    <w:p w14:paraId="7C125A02">
      <w:pPr>
        <w:spacing w:line="360" w:lineRule="auto"/>
        <w:ind w:firstLine="420"/>
        <w:rPr>
          <w:rFonts w:ascii="宋体" w:hAnsi="宋体" w:cs="宋体"/>
          <w:sz w:val="28"/>
          <w:szCs w:val="28"/>
        </w:rPr>
      </w:pPr>
      <w:r>
        <w:rPr>
          <w:rFonts w:hint="eastAsia" w:ascii="宋体" w:hAnsi="宋体" w:cs="宋体"/>
          <w:sz w:val="28"/>
          <w:szCs w:val="28"/>
        </w:rPr>
        <w:t>（三）我方已详细审核全部采购文件，包括采购文件修改文件、参考资料及有关附件，确认无误。我方承诺接受采购文件中的全部条款且无任何异议。</w:t>
      </w:r>
    </w:p>
    <w:p w14:paraId="0A74CE8A">
      <w:pPr>
        <w:spacing w:line="360" w:lineRule="auto"/>
        <w:ind w:firstLine="420"/>
        <w:rPr>
          <w:rFonts w:ascii="宋体" w:hAnsi="宋体" w:cs="宋体"/>
          <w:sz w:val="28"/>
          <w:szCs w:val="28"/>
        </w:rPr>
      </w:pPr>
      <w:r>
        <w:rPr>
          <w:rFonts w:hint="eastAsia" w:ascii="宋体" w:hAnsi="宋体" w:cs="宋体"/>
          <w:sz w:val="28"/>
          <w:szCs w:val="28"/>
        </w:rPr>
        <w:t>（四）我方保证应答报告书提供的数据和材料是真实、合法的。我方愿意向贵方提供任何与本项采购有关的数据、情况和技术资料。若贵方需要，我方愿意提供我方作出的一切承诺的证明材料。</w:t>
      </w:r>
    </w:p>
    <w:p w14:paraId="37F00A29">
      <w:pPr>
        <w:spacing w:line="360" w:lineRule="auto"/>
        <w:ind w:firstLine="420"/>
        <w:rPr>
          <w:rFonts w:ascii="宋体" w:hAnsi="宋体" w:cs="宋体"/>
          <w:sz w:val="28"/>
          <w:szCs w:val="28"/>
        </w:rPr>
      </w:pPr>
      <w:r>
        <w:rPr>
          <w:rFonts w:hint="eastAsia" w:ascii="宋体" w:hAnsi="宋体" w:cs="宋体"/>
          <w:sz w:val="28"/>
          <w:szCs w:val="28"/>
        </w:rPr>
        <w:t>（五）我方承诺遵守《中华人民共和国民法典》的有关规定，按照采购文件确定的事项签订采购合同，并承担合同规定的责任和义务。</w:t>
      </w:r>
    </w:p>
    <w:p w14:paraId="7C6BD7B0">
      <w:pPr>
        <w:spacing w:line="360" w:lineRule="auto"/>
        <w:ind w:firstLine="420"/>
        <w:rPr>
          <w:rFonts w:ascii="宋体" w:hAnsi="宋体" w:cs="宋体"/>
          <w:sz w:val="28"/>
          <w:szCs w:val="28"/>
        </w:rPr>
      </w:pPr>
    </w:p>
    <w:p w14:paraId="39C4250F">
      <w:pPr>
        <w:spacing w:line="360" w:lineRule="auto"/>
        <w:ind w:left="2310" w:leftChars="1100" w:firstLine="420"/>
        <w:rPr>
          <w:rFonts w:ascii="宋体" w:hAnsi="宋体" w:cs="宋体"/>
          <w:sz w:val="28"/>
          <w:szCs w:val="28"/>
        </w:rPr>
      </w:pPr>
    </w:p>
    <w:p w14:paraId="600BC076">
      <w:pPr>
        <w:spacing w:line="360" w:lineRule="auto"/>
        <w:ind w:left="2310" w:leftChars="1100" w:firstLine="420"/>
        <w:rPr>
          <w:rFonts w:ascii="宋体" w:hAnsi="宋体" w:cs="宋体"/>
          <w:sz w:val="28"/>
          <w:szCs w:val="28"/>
          <w:u w:val="single"/>
        </w:rPr>
      </w:pPr>
      <w:r>
        <w:rPr>
          <w:rFonts w:hint="eastAsia" w:ascii="宋体" w:hAnsi="宋体" w:cs="宋体"/>
          <w:sz w:val="28"/>
          <w:szCs w:val="28"/>
        </w:rPr>
        <w:t>供应商名称(盖章)：</w:t>
      </w:r>
      <w:r>
        <w:rPr>
          <w:rFonts w:hint="eastAsia" w:ascii="宋体" w:hAnsi="宋体" w:cs="宋体"/>
          <w:sz w:val="28"/>
          <w:szCs w:val="28"/>
          <w:u w:val="single"/>
        </w:rPr>
        <w:t xml:space="preserve">                   </w:t>
      </w:r>
    </w:p>
    <w:p w14:paraId="00A651A9">
      <w:pPr>
        <w:spacing w:line="360" w:lineRule="auto"/>
        <w:ind w:left="2310" w:leftChars="1100" w:firstLine="420"/>
        <w:rPr>
          <w:rFonts w:ascii="宋体" w:hAnsi="宋体" w:cs="宋体"/>
          <w:sz w:val="28"/>
          <w:szCs w:val="28"/>
        </w:rPr>
      </w:pPr>
    </w:p>
    <w:p w14:paraId="08BC0605">
      <w:pPr>
        <w:spacing w:line="360" w:lineRule="auto"/>
        <w:ind w:left="2310" w:leftChars="1100" w:firstLine="420"/>
        <w:rPr>
          <w:rFonts w:ascii="宋体" w:hAnsi="宋体" w:cs="宋体"/>
          <w:sz w:val="28"/>
          <w:szCs w:val="28"/>
          <w:u w:val="single"/>
        </w:rPr>
      </w:pPr>
      <w:r>
        <w:rPr>
          <w:rFonts w:hint="eastAsia" w:ascii="宋体" w:hAnsi="宋体" w:cs="宋体"/>
          <w:sz w:val="28"/>
          <w:szCs w:val="28"/>
        </w:rPr>
        <w:t>法定代表人(签章)：</w:t>
      </w:r>
      <w:r>
        <w:rPr>
          <w:rFonts w:hint="eastAsia" w:ascii="宋体" w:hAnsi="宋体" w:cs="宋体"/>
          <w:sz w:val="28"/>
          <w:szCs w:val="28"/>
          <w:u w:val="single"/>
        </w:rPr>
        <w:t xml:space="preserve">                   </w:t>
      </w:r>
    </w:p>
    <w:p w14:paraId="1749BE49">
      <w:pPr>
        <w:spacing w:line="360" w:lineRule="auto"/>
        <w:ind w:left="2310" w:leftChars="1100" w:firstLine="420"/>
        <w:rPr>
          <w:rFonts w:ascii="宋体" w:hAnsi="宋体" w:cs="宋体"/>
          <w:sz w:val="28"/>
          <w:szCs w:val="28"/>
        </w:rPr>
      </w:pPr>
    </w:p>
    <w:p w14:paraId="141A9161">
      <w:pPr>
        <w:spacing w:line="360" w:lineRule="auto"/>
        <w:ind w:left="2310" w:leftChars="1100" w:firstLine="420"/>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3BD8DB48">
      <w:pPr>
        <w:spacing w:line="360" w:lineRule="auto"/>
        <w:ind w:firstLine="420"/>
        <w:rPr>
          <w:rFonts w:ascii="宋体" w:hAnsi="宋体" w:cs="宋体"/>
          <w:sz w:val="28"/>
          <w:szCs w:val="28"/>
          <w:lang w:val="zh-CN"/>
        </w:rPr>
      </w:pPr>
      <w:r>
        <w:rPr>
          <w:rFonts w:hint="eastAsia" w:ascii="宋体" w:hAnsi="宋体" w:cs="宋体"/>
          <w:sz w:val="28"/>
          <w:szCs w:val="28"/>
        </w:rPr>
        <w:br w:type="page"/>
      </w:r>
      <w:bookmarkStart w:id="0" w:name="_Toc3960"/>
      <w:bookmarkStart w:id="1" w:name="_Toc421267961"/>
      <w:r>
        <w:rPr>
          <w:rFonts w:hint="eastAsia" w:ascii="宋体" w:hAnsi="宋体" w:cs="宋体"/>
          <w:b/>
          <w:bCs/>
          <w:sz w:val="28"/>
          <w:szCs w:val="28"/>
          <w:lang w:val="zh-CN"/>
        </w:rPr>
        <w:t>二、法定代表人身份证明</w:t>
      </w:r>
      <w:bookmarkEnd w:id="0"/>
      <w:bookmarkEnd w:id="1"/>
    </w:p>
    <w:p w14:paraId="34F7D81C">
      <w:pPr>
        <w:spacing w:line="360" w:lineRule="auto"/>
        <w:ind w:firstLine="420"/>
        <w:rPr>
          <w:rFonts w:ascii="宋体" w:hAnsi="宋体" w:cs="宋体"/>
          <w:sz w:val="28"/>
          <w:szCs w:val="28"/>
        </w:rPr>
      </w:pPr>
    </w:p>
    <w:p w14:paraId="731F7DD3">
      <w:pPr>
        <w:spacing w:line="360" w:lineRule="auto"/>
        <w:ind w:firstLine="420"/>
        <w:rPr>
          <w:rFonts w:ascii="宋体" w:hAnsi="宋体" w:cs="宋体"/>
          <w:sz w:val="28"/>
          <w:szCs w:val="28"/>
        </w:rPr>
      </w:pPr>
      <w:r>
        <w:rPr>
          <w:rFonts w:hint="eastAsia" w:ascii="宋体" w:hAnsi="宋体" w:cs="宋体"/>
          <w:sz w:val="28"/>
          <w:szCs w:val="28"/>
        </w:rPr>
        <w:t>参加人名称：</w:t>
      </w:r>
      <w:r>
        <w:rPr>
          <w:rFonts w:hint="eastAsia" w:ascii="宋体" w:hAnsi="宋体" w:cs="宋体"/>
          <w:sz w:val="28"/>
          <w:szCs w:val="28"/>
          <w:u w:val="single"/>
        </w:rPr>
        <w:t xml:space="preserve">                    </w:t>
      </w:r>
      <w:r>
        <w:rPr>
          <w:rFonts w:hint="eastAsia" w:ascii="宋体" w:hAnsi="宋体" w:cs="宋体"/>
          <w:sz w:val="28"/>
          <w:szCs w:val="28"/>
        </w:rPr>
        <w:t xml:space="preserve">   </w:t>
      </w:r>
    </w:p>
    <w:p w14:paraId="635D74F7">
      <w:pPr>
        <w:spacing w:line="360" w:lineRule="auto"/>
        <w:ind w:firstLine="420"/>
        <w:rPr>
          <w:rFonts w:ascii="宋体" w:hAnsi="宋体" w:cs="宋体"/>
          <w:sz w:val="28"/>
          <w:szCs w:val="28"/>
        </w:rPr>
      </w:pPr>
      <w:r>
        <w:rPr>
          <w:rFonts w:hint="eastAsia" w:ascii="宋体" w:hAnsi="宋体" w:cs="宋体"/>
          <w:sz w:val="28"/>
          <w:szCs w:val="28"/>
        </w:rPr>
        <w:t>统一社会信用代码：</w:t>
      </w:r>
      <w:r>
        <w:rPr>
          <w:rFonts w:hint="eastAsia" w:ascii="宋体" w:hAnsi="宋体" w:cs="宋体"/>
          <w:sz w:val="28"/>
          <w:szCs w:val="28"/>
          <w:u w:val="single"/>
        </w:rPr>
        <w:t xml:space="preserve">              </w:t>
      </w:r>
      <w:r>
        <w:rPr>
          <w:rFonts w:hint="eastAsia" w:ascii="宋体" w:hAnsi="宋体" w:cs="宋体"/>
          <w:sz w:val="28"/>
          <w:szCs w:val="28"/>
        </w:rPr>
        <w:t xml:space="preserve">   </w:t>
      </w:r>
    </w:p>
    <w:p w14:paraId="2B388C1A">
      <w:pPr>
        <w:spacing w:line="360" w:lineRule="auto"/>
        <w:ind w:firstLine="420"/>
        <w:rPr>
          <w:rFonts w:ascii="宋体" w:hAnsi="宋体" w:cs="宋体"/>
          <w:sz w:val="28"/>
          <w:szCs w:val="28"/>
        </w:rPr>
      </w:pPr>
      <w:r>
        <w:rPr>
          <w:rFonts w:hint="eastAsia" w:ascii="宋体" w:hAnsi="宋体" w:cs="宋体"/>
          <w:sz w:val="28"/>
          <w:szCs w:val="28"/>
        </w:rPr>
        <w:t>注册地址：</w:t>
      </w:r>
      <w:r>
        <w:rPr>
          <w:rFonts w:hint="eastAsia" w:ascii="宋体" w:hAnsi="宋体" w:cs="宋体"/>
          <w:sz w:val="28"/>
          <w:szCs w:val="28"/>
          <w:u w:val="single"/>
        </w:rPr>
        <w:t xml:space="preserve">                      </w:t>
      </w:r>
      <w:r>
        <w:rPr>
          <w:rFonts w:hint="eastAsia" w:ascii="宋体" w:hAnsi="宋体" w:cs="宋体"/>
          <w:sz w:val="28"/>
          <w:szCs w:val="28"/>
        </w:rPr>
        <w:t xml:space="preserve">   </w:t>
      </w:r>
    </w:p>
    <w:p w14:paraId="13AEDD64">
      <w:pPr>
        <w:spacing w:line="360" w:lineRule="auto"/>
        <w:ind w:firstLine="420"/>
        <w:rPr>
          <w:rFonts w:ascii="宋体" w:hAnsi="宋体" w:cs="宋体"/>
          <w:sz w:val="28"/>
          <w:szCs w:val="28"/>
        </w:rPr>
      </w:pPr>
      <w:r>
        <w:rPr>
          <w:rFonts w:hint="eastAsia" w:ascii="宋体" w:hAnsi="宋体" w:cs="宋体"/>
          <w:sz w:val="28"/>
          <w:szCs w:val="28"/>
        </w:rPr>
        <w:t xml:space="preserve">法定代表人： </w:t>
      </w:r>
      <w:r>
        <w:rPr>
          <w:rFonts w:hint="eastAsia" w:ascii="宋体" w:hAnsi="宋体" w:cs="宋体"/>
          <w:sz w:val="28"/>
          <w:szCs w:val="28"/>
          <w:u w:val="single"/>
        </w:rPr>
        <w:t xml:space="preserve">                   </w:t>
      </w:r>
      <w:r>
        <w:rPr>
          <w:rFonts w:hint="eastAsia" w:ascii="宋体" w:hAnsi="宋体" w:cs="宋体"/>
          <w:sz w:val="28"/>
          <w:szCs w:val="28"/>
        </w:rPr>
        <w:t xml:space="preserve">   </w:t>
      </w:r>
    </w:p>
    <w:p w14:paraId="50487AE0">
      <w:pPr>
        <w:spacing w:line="360" w:lineRule="auto"/>
        <w:ind w:firstLine="420"/>
        <w:rPr>
          <w:rFonts w:ascii="宋体" w:hAnsi="宋体" w:cs="宋体"/>
          <w:sz w:val="28"/>
          <w:szCs w:val="28"/>
        </w:rPr>
      </w:pPr>
      <w:r>
        <w:rPr>
          <w:rFonts w:hint="eastAsia" w:ascii="宋体" w:hAnsi="宋体" w:cs="宋体"/>
          <w:sz w:val="28"/>
          <w:szCs w:val="28"/>
        </w:rPr>
        <w:t>注册资本：</w:t>
      </w:r>
      <w:r>
        <w:rPr>
          <w:rFonts w:hint="eastAsia" w:ascii="宋体" w:hAnsi="宋体" w:cs="宋体"/>
          <w:sz w:val="28"/>
          <w:szCs w:val="28"/>
          <w:u w:val="single"/>
        </w:rPr>
        <w:t xml:space="preserve">                      </w:t>
      </w:r>
      <w:r>
        <w:rPr>
          <w:rFonts w:hint="eastAsia" w:ascii="宋体" w:hAnsi="宋体" w:cs="宋体"/>
          <w:sz w:val="28"/>
          <w:szCs w:val="28"/>
        </w:rPr>
        <w:t xml:space="preserve">   </w:t>
      </w:r>
    </w:p>
    <w:p w14:paraId="41E64501">
      <w:pPr>
        <w:spacing w:line="360" w:lineRule="auto"/>
        <w:ind w:firstLine="420"/>
        <w:rPr>
          <w:rFonts w:ascii="宋体" w:hAnsi="宋体" w:cs="宋体"/>
          <w:sz w:val="28"/>
          <w:szCs w:val="28"/>
        </w:rPr>
      </w:pPr>
      <w:r>
        <w:rPr>
          <w:rFonts w:hint="eastAsia" w:ascii="宋体" w:hAnsi="宋体" w:cs="宋体"/>
          <w:sz w:val="28"/>
          <w:szCs w:val="28"/>
        </w:rPr>
        <w:t>成立时间：</w:t>
      </w:r>
      <w:r>
        <w:rPr>
          <w:rFonts w:hint="eastAsia" w:ascii="宋体" w:hAnsi="宋体" w:cs="宋体"/>
          <w:sz w:val="28"/>
          <w:szCs w:val="28"/>
          <w:u w:val="single"/>
        </w:rPr>
        <w:t xml:space="preserve">                      </w:t>
      </w:r>
      <w:r>
        <w:rPr>
          <w:rFonts w:hint="eastAsia" w:ascii="宋体" w:hAnsi="宋体" w:cs="宋体"/>
          <w:sz w:val="28"/>
          <w:szCs w:val="28"/>
        </w:rPr>
        <w:t xml:space="preserve">   </w:t>
      </w:r>
    </w:p>
    <w:p w14:paraId="0BEA6F99">
      <w:pPr>
        <w:spacing w:line="360" w:lineRule="auto"/>
        <w:ind w:firstLine="420"/>
        <w:rPr>
          <w:rFonts w:ascii="宋体" w:hAnsi="宋体" w:cs="宋体"/>
          <w:sz w:val="28"/>
          <w:szCs w:val="28"/>
        </w:rPr>
      </w:pPr>
      <w:r>
        <w:rPr>
          <w:rFonts w:hint="eastAsia" w:ascii="宋体" w:hAnsi="宋体" w:cs="宋体"/>
          <w:sz w:val="28"/>
          <w:szCs w:val="28"/>
        </w:rPr>
        <w:t>经营期限：</w:t>
      </w:r>
      <w:r>
        <w:rPr>
          <w:rFonts w:hint="eastAsia" w:ascii="宋体" w:hAnsi="宋体" w:cs="宋体"/>
          <w:sz w:val="28"/>
          <w:szCs w:val="28"/>
          <w:u w:val="single"/>
        </w:rPr>
        <w:t xml:space="preserve">                      </w:t>
      </w:r>
      <w:r>
        <w:rPr>
          <w:rFonts w:hint="eastAsia" w:ascii="宋体" w:hAnsi="宋体" w:cs="宋体"/>
          <w:sz w:val="28"/>
          <w:szCs w:val="28"/>
        </w:rPr>
        <w:t xml:space="preserve">   </w:t>
      </w:r>
    </w:p>
    <w:p w14:paraId="2CE13DDC">
      <w:pPr>
        <w:spacing w:line="360" w:lineRule="auto"/>
        <w:ind w:firstLine="420"/>
        <w:rPr>
          <w:rFonts w:ascii="宋体" w:hAnsi="宋体" w:cs="宋体"/>
          <w:sz w:val="28"/>
          <w:szCs w:val="28"/>
        </w:rPr>
      </w:pPr>
      <w:r>
        <w:rPr>
          <w:rFonts w:hint="eastAsia" w:ascii="宋体" w:hAnsi="宋体" w:cs="宋体"/>
          <w:sz w:val="28"/>
          <w:szCs w:val="28"/>
        </w:rPr>
        <w:t>参加人联系方式：</w:t>
      </w:r>
      <w:r>
        <w:rPr>
          <w:rFonts w:hint="eastAsia" w:ascii="宋体" w:hAnsi="宋体" w:cs="宋体"/>
          <w:sz w:val="28"/>
          <w:szCs w:val="28"/>
          <w:u w:val="single"/>
        </w:rPr>
        <w:t xml:space="preserve">                </w:t>
      </w:r>
      <w:r>
        <w:rPr>
          <w:rFonts w:hint="eastAsia" w:ascii="宋体" w:hAnsi="宋体" w:cs="宋体"/>
          <w:sz w:val="28"/>
          <w:szCs w:val="28"/>
        </w:rPr>
        <w:t xml:space="preserve">   </w:t>
      </w:r>
    </w:p>
    <w:p w14:paraId="42F5B555">
      <w:pPr>
        <w:spacing w:line="360" w:lineRule="auto"/>
        <w:ind w:firstLine="420"/>
        <w:rPr>
          <w:rFonts w:ascii="宋体" w:hAnsi="宋体" w:cs="宋体"/>
          <w:sz w:val="28"/>
          <w:szCs w:val="28"/>
        </w:rPr>
      </w:pPr>
    </w:p>
    <w:p w14:paraId="21479A8F">
      <w:pPr>
        <w:spacing w:line="360" w:lineRule="auto"/>
        <w:ind w:firstLine="420"/>
        <w:rPr>
          <w:rFonts w:ascii="宋体" w:hAnsi="宋体" w:cs="宋体"/>
          <w:sz w:val="28"/>
          <w:szCs w:val="28"/>
        </w:rPr>
      </w:pPr>
      <w:r>
        <w:rPr>
          <w:rFonts w:hint="eastAsia" w:ascii="宋体" w:hAnsi="宋体" w:cs="宋体"/>
          <w:sz w:val="28"/>
          <w:szCs w:val="28"/>
        </w:rPr>
        <w:t>特此证明。</w:t>
      </w:r>
    </w:p>
    <w:p w14:paraId="0569E391">
      <w:pPr>
        <w:spacing w:line="360" w:lineRule="auto"/>
        <w:ind w:firstLine="420"/>
        <w:rPr>
          <w:rFonts w:ascii="宋体" w:hAnsi="宋体" w:cs="宋体"/>
          <w:sz w:val="28"/>
          <w:szCs w:val="28"/>
        </w:rPr>
      </w:pPr>
    </w:p>
    <w:p w14:paraId="7FF95A3F">
      <w:pPr>
        <w:spacing w:line="360" w:lineRule="auto"/>
        <w:ind w:firstLine="420"/>
        <w:rPr>
          <w:rFonts w:ascii="宋体" w:hAnsi="宋体" w:cs="宋体"/>
          <w:sz w:val="28"/>
          <w:szCs w:val="28"/>
        </w:rPr>
      </w:pPr>
    </w:p>
    <w:p w14:paraId="03E053F2">
      <w:pPr>
        <w:spacing w:line="360" w:lineRule="auto"/>
        <w:ind w:firstLine="420"/>
        <w:rPr>
          <w:rFonts w:ascii="宋体" w:hAnsi="宋体" w:cs="宋体"/>
          <w:sz w:val="28"/>
          <w:szCs w:val="28"/>
        </w:rPr>
      </w:pPr>
    </w:p>
    <w:p w14:paraId="3414831D">
      <w:pPr>
        <w:spacing w:line="360" w:lineRule="auto"/>
        <w:ind w:left="2940" w:leftChars="1400" w:firstLine="420"/>
        <w:jc w:val="left"/>
        <w:rPr>
          <w:rFonts w:ascii="宋体" w:hAnsi="宋体" w:cs="宋体"/>
          <w:sz w:val="28"/>
          <w:szCs w:val="28"/>
          <w:u w:val="single"/>
        </w:rPr>
      </w:pPr>
      <w:r>
        <w:rPr>
          <w:rFonts w:hint="eastAsia" w:ascii="宋体" w:hAnsi="宋体" w:cs="宋体"/>
          <w:sz w:val="28"/>
          <w:szCs w:val="28"/>
        </w:rPr>
        <w:t>供应商名称(盖章)：</w:t>
      </w:r>
      <w:r>
        <w:rPr>
          <w:rFonts w:hint="eastAsia" w:ascii="宋体" w:hAnsi="宋体" w:cs="宋体"/>
          <w:sz w:val="28"/>
          <w:szCs w:val="28"/>
          <w:u w:val="single"/>
        </w:rPr>
        <w:t xml:space="preserve">          </w:t>
      </w:r>
    </w:p>
    <w:p w14:paraId="031438B6">
      <w:pPr>
        <w:spacing w:line="360" w:lineRule="auto"/>
        <w:ind w:left="2940" w:leftChars="1400" w:firstLine="420"/>
        <w:jc w:val="left"/>
        <w:rPr>
          <w:rFonts w:ascii="宋体" w:hAnsi="宋体" w:cs="宋体"/>
          <w:sz w:val="28"/>
          <w:szCs w:val="28"/>
        </w:rPr>
      </w:pPr>
    </w:p>
    <w:p w14:paraId="75947B60">
      <w:pPr>
        <w:spacing w:line="360" w:lineRule="auto"/>
        <w:ind w:left="2940" w:leftChars="1400" w:firstLine="420"/>
        <w:jc w:val="left"/>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004B09E7">
      <w:pPr>
        <w:spacing w:line="360" w:lineRule="auto"/>
        <w:ind w:firstLine="420"/>
        <w:rPr>
          <w:rFonts w:ascii="宋体" w:hAnsi="宋体" w:cs="宋体"/>
          <w:sz w:val="28"/>
          <w:szCs w:val="28"/>
          <w:lang w:val="zh-CN"/>
        </w:rPr>
      </w:pPr>
      <w:r>
        <w:rPr>
          <w:rFonts w:hint="eastAsia" w:ascii="宋体" w:hAnsi="宋体" w:cs="宋体"/>
          <w:sz w:val="28"/>
          <w:szCs w:val="28"/>
        </w:rPr>
        <w:br w:type="page"/>
      </w:r>
      <w:bookmarkStart w:id="2" w:name="_Toc9835"/>
      <w:r>
        <w:rPr>
          <w:rFonts w:hint="eastAsia" w:ascii="宋体" w:hAnsi="宋体" w:cs="宋体"/>
          <w:b/>
          <w:bCs/>
          <w:sz w:val="28"/>
          <w:szCs w:val="28"/>
          <w:lang w:val="zh-CN"/>
        </w:rPr>
        <w:t>三、法定代表人授权委托书</w:t>
      </w:r>
      <w:bookmarkEnd w:id="2"/>
    </w:p>
    <w:p w14:paraId="21FBC12D">
      <w:pPr>
        <w:spacing w:line="360" w:lineRule="auto"/>
        <w:ind w:firstLine="42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 xml:space="preserve">的法定代表人 </w:t>
      </w:r>
      <w:r>
        <w:rPr>
          <w:rFonts w:hint="eastAsia" w:ascii="宋体" w:hAnsi="宋体" w:cs="宋体"/>
          <w:sz w:val="28"/>
          <w:szCs w:val="28"/>
          <w:u w:val="single"/>
        </w:rPr>
        <w:t xml:space="preserve">       </w:t>
      </w:r>
      <w:r>
        <w:rPr>
          <w:rFonts w:hint="eastAsia" w:ascii="宋体" w:hAnsi="宋体" w:cs="宋体"/>
          <w:sz w:val="28"/>
          <w:szCs w:val="28"/>
        </w:rPr>
        <w:t xml:space="preserve">授权 </w:t>
      </w:r>
      <w:r>
        <w:rPr>
          <w:rFonts w:hint="eastAsia" w:ascii="宋体" w:hAnsi="宋体" w:cs="宋体"/>
          <w:sz w:val="28"/>
          <w:szCs w:val="28"/>
          <w:u w:val="single"/>
        </w:rPr>
        <w:t xml:space="preserve">       </w:t>
      </w:r>
      <w:r>
        <w:rPr>
          <w:rFonts w:hint="eastAsia" w:ascii="宋体" w:hAnsi="宋体" w:cs="宋体"/>
          <w:sz w:val="28"/>
          <w:szCs w:val="28"/>
        </w:rPr>
        <w:t>为本公司的代表，就</w:t>
      </w:r>
      <w:r>
        <w:rPr>
          <w:rFonts w:hint="eastAsia" w:ascii="宋体" w:hAnsi="宋体" w:cs="宋体"/>
          <w:sz w:val="28"/>
          <w:szCs w:val="28"/>
          <w:u w:val="single"/>
        </w:rPr>
        <w:t xml:space="preserve"> 国家税务总局天津市滨海新区税务局办公家具采购项目  </w:t>
      </w:r>
      <w:r>
        <w:rPr>
          <w:rFonts w:hint="eastAsia" w:ascii="宋体" w:hAnsi="宋体" w:cs="宋体"/>
          <w:sz w:val="28"/>
          <w:szCs w:val="28"/>
        </w:rPr>
        <w:t>报价及相关事务代表本公司处理与之有关的一切事务。</w:t>
      </w:r>
    </w:p>
    <w:p w14:paraId="0883EBEC">
      <w:pPr>
        <w:spacing w:line="360" w:lineRule="auto"/>
        <w:ind w:firstLine="420"/>
        <w:rPr>
          <w:rFonts w:ascii="宋体" w:hAnsi="宋体" w:cs="宋体"/>
          <w:sz w:val="28"/>
          <w:szCs w:val="28"/>
        </w:rPr>
      </w:pPr>
      <w:r>
        <w:rPr>
          <w:rFonts w:hint="eastAsia" w:ascii="宋体" w:hAnsi="宋体" w:cs="宋体"/>
          <w:sz w:val="28"/>
          <w:szCs w:val="28"/>
        </w:rPr>
        <w:t>委托期限：</w:t>
      </w:r>
      <w:r>
        <w:rPr>
          <w:rFonts w:hint="eastAsia" w:ascii="宋体" w:hAnsi="宋体" w:cs="宋体"/>
          <w:sz w:val="28"/>
          <w:szCs w:val="28"/>
          <w:u w:val="single"/>
        </w:rPr>
        <w:t xml:space="preserve">     </w:t>
      </w:r>
      <w:r>
        <w:rPr>
          <w:rFonts w:hint="eastAsia" w:ascii="宋体" w:hAnsi="宋体" w:cs="宋体"/>
          <w:sz w:val="28"/>
          <w:szCs w:val="28"/>
        </w:rPr>
        <w:t xml:space="preserve"> 天。</w:t>
      </w:r>
    </w:p>
    <w:p w14:paraId="5799E593">
      <w:pPr>
        <w:spacing w:line="360" w:lineRule="auto"/>
        <w:ind w:firstLine="420"/>
        <w:rPr>
          <w:rFonts w:ascii="宋体" w:hAnsi="宋体" w:cs="宋体"/>
          <w:sz w:val="28"/>
          <w:szCs w:val="28"/>
        </w:rPr>
      </w:pPr>
      <w:r>
        <w:rPr>
          <w:rFonts w:hint="eastAsia" w:ascii="宋体" w:hAnsi="宋体" w:cs="宋体"/>
          <w:sz w:val="28"/>
          <w:szCs w:val="28"/>
        </w:rPr>
        <w:t>代理人无转委托权。</w:t>
      </w:r>
    </w:p>
    <w:p w14:paraId="0C3AB0E6">
      <w:pPr>
        <w:spacing w:line="360" w:lineRule="auto"/>
        <w:ind w:firstLine="420"/>
        <w:rPr>
          <w:rFonts w:ascii="宋体" w:hAnsi="宋体" w:cs="宋体"/>
          <w:sz w:val="28"/>
          <w:szCs w:val="28"/>
        </w:rPr>
      </w:pPr>
      <w:r>
        <w:rPr>
          <w:rFonts w:hint="eastAsia" w:ascii="宋体" w:hAnsi="宋体" w:cs="宋体"/>
          <w:sz w:val="28"/>
          <w:szCs w:val="28"/>
        </w:rPr>
        <w:t>本授权书于</w:t>
      </w:r>
      <w:r>
        <w:rPr>
          <w:rFonts w:hint="eastAsia" w:ascii="宋体" w:hAnsi="宋体" w:cs="宋体"/>
          <w:sz w:val="28"/>
          <w:szCs w:val="28"/>
          <w:u w:val="single"/>
        </w:rPr>
        <w:t xml:space="preserve">         </w:t>
      </w:r>
      <w:r>
        <w:rPr>
          <w:rFonts w:hint="eastAsia" w:ascii="宋体" w:hAnsi="宋体" w:cs="宋体"/>
          <w:sz w:val="28"/>
          <w:szCs w:val="28"/>
        </w:rPr>
        <w:t xml:space="preserve">年 </w:t>
      </w:r>
      <w:r>
        <w:rPr>
          <w:rFonts w:hint="eastAsia" w:ascii="宋体" w:hAnsi="宋体" w:cs="宋体"/>
          <w:sz w:val="28"/>
          <w:szCs w:val="28"/>
          <w:u w:val="single"/>
        </w:rPr>
        <w:t xml:space="preserve">    </w:t>
      </w:r>
      <w:r>
        <w:rPr>
          <w:rFonts w:hint="eastAsia" w:ascii="宋体" w:hAnsi="宋体" w:cs="宋体"/>
          <w:sz w:val="28"/>
          <w:szCs w:val="28"/>
        </w:rPr>
        <w:t xml:space="preserve">月 </w:t>
      </w:r>
      <w:r>
        <w:rPr>
          <w:rFonts w:hint="eastAsia" w:ascii="宋体" w:hAnsi="宋体" w:cs="宋体"/>
          <w:sz w:val="28"/>
          <w:szCs w:val="28"/>
          <w:u w:val="single"/>
        </w:rPr>
        <w:t xml:space="preserve">    </w:t>
      </w:r>
      <w:r>
        <w:rPr>
          <w:rFonts w:hint="eastAsia" w:ascii="宋体" w:hAnsi="宋体" w:cs="宋体"/>
          <w:sz w:val="28"/>
          <w:szCs w:val="28"/>
        </w:rPr>
        <w:t>日签字生效，特此声明。</w:t>
      </w:r>
    </w:p>
    <w:p w14:paraId="3FA32A87">
      <w:pPr>
        <w:spacing w:line="360" w:lineRule="auto"/>
        <w:ind w:firstLine="420"/>
        <w:rPr>
          <w:rFonts w:ascii="宋体" w:hAnsi="宋体" w:cs="宋体"/>
          <w:sz w:val="28"/>
          <w:szCs w:val="28"/>
        </w:rPr>
      </w:pPr>
      <w:r>
        <w:rPr>
          <w:rFonts w:hint="eastAsia" w:ascii="宋体" w:hAnsi="宋体" w:cs="宋体"/>
          <w:sz w:val="28"/>
          <w:szCs w:val="28"/>
        </w:rPr>
        <w:t>授权代表身份证复印件：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75B4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4261" w:type="dxa"/>
          </w:tcPr>
          <w:p w14:paraId="27E05552">
            <w:pPr>
              <w:spacing w:line="360" w:lineRule="auto"/>
              <w:ind w:firstLine="420"/>
              <w:rPr>
                <w:rFonts w:ascii="宋体" w:hAnsi="宋体" w:cs="宋体"/>
                <w:sz w:val="28"/>
                <w:szCs w:val="28"/>
              </w:rPr>
            </w:pPr>
            <w:r>
              <w:rPr>
                <w:rFonts w:hint="eastAsia" w:ascii="宋体" w:hAnsi="宋体" w:cs="宋体"/>
                <w:sz w:val="28"/>
                <w:szCs w:val="28"/>
              </w:rPr>
              <w:t>代表人身份证正面</w:t>
            </w:r>
          </w:p>
        </w:tc>
        <w:tc>
          <w:tcPr>
            <w:tcW w:w="4261" w:type="dxa"/>
          </w:tcPr>
          <w:p w14:paraId="754CE6CF">
            <w:pPr>
              <w:spacing w:line="360" w:lineRule="auto"/>
              <w:ind w:firstLine="420"/>
              <w:rPr>
                <w:rFonts w:ascii="宋体" w:hAnsi="宋体" w:cs="宋体"/>
                <w:sz w:val="28"/>
                <w:szCs w:val="28"/>
              </w:rPr>
            </w:pPr>
            <w:r>
              <w:rPr>
                <w:rFonts w:hint="eastAsia" w:ascii="宋体" w:hAnsi="宋体" w:cs="宋体"/>
                <w:sz w:val="28"/>
                <w:szCs w:val="28"/>
              </w:rPr>
              <w:t>代表人身份证背面</w:t>
            </w:r>
          </w:p>
        </w:tc>
      </w:tr>
    </w:tbl>
    <w:p w14:paraId="2B654066">
      <w:pPr>
        <w:spacing w:line="360" w:lineRule="auto"/>
        <w:ind w:firstLine="420"/>
        <w:rPr>
          <w:rFonts w:ascii="宋体" w:hAnsi="宋体" w:cs="宋体"/>
          <w:sz w:val="28"/>
          <w:szCs w:val="28"/>
        </w:rPr>
      </w:pPr>
    </w:p>
    <w:p w14:paraId="5941DA19">
      <w:pPr>
        <w:spacing w:line="360" w:lineRule="auto"/>
        <w:ind w:left="1680" w:leftChars="800" w:firstLine="420"/>
        <w:rPr>
          <w:rFonts w:ascii="宋体" w:hAnsi="宋体" w:cs="宋体"/>
          <w:sz w:val="28"/>
          <w:szCs w:val="28"/>
        </w:rPr>
      </w:pPr>
      <w:r>
        <w:rPr>
          <w:rFonts w:hint="eastAsia" w:ascii="宋体" w:hAnsi="宋体" w:cs="宋体"/>
          <w:sz w:val="28"/>
          <w:szCs w:val="28"/>
        </w:rPr>
        <w:t>供应商名称(公章)：</w:t>
      </w:r>
      <w:r>
        <w:rPr>
          <w:rFonts w:hint="eastAsia" w:ascii="宋体" w:hAnsi="宋体" w:cs="宋体"/>
          <w:sz w:val="28"/>
          <w:szCs w:val="28"/>
          <w:u w:val="single"/>
        </w:rPr>
        <w:t xml:space="preserve">                    </w:t>
      </w:r>
      <w:r>
        <w:rPr>
          <w:rFonts w:hint="eastAsia" w:ascii="宋体" w:hAnsi="宋体" w:cs="宋体"/>
          <w:sz w:val="28"/>
          <w:szCs w:val="28"/>
        </w:rPr>
        <w:t xml:space="preserve">   </w:t>
      </w:r>
    </w:p>
    <w:p w14:paraId="1FDE96BD">
      <w:pPr>
        <w:spacing w:line="360" w:lineRule="auto"/>
        <w:ind w:left="1680" w:leftChars="800" w:firstLine="420"/>
        <w:rPr>
          <w:rFonts w:ascii="宋体" w:hAnsi="宋体" w:cs="宋体"/>
          <w:sz w:val="28"/>
          <w:szCs w:val="28"/>
        </w:rPr>
      </w:pPr>
      <w:r>
        <w:rPr>
          <w:rFonts w:hint="eastAsia" w:ascii="宋体" w:hAnsi="宋体" w:cs="宋体"/>
          <w:sz w:val="28"/>
          <w:szCs w:val="28"/>
        </w:rPr>
        <w:t>法定代表人(签字或盖章)：</w:t>
      </w:r>
      <w:r>
        <w:rPr>
          <w:rFonts w:hint="eastAsia" w:ascii="宋体" w:hAnsi="宋体" w:cs="宋体"/>
          <w:sz w:val="28"/>
          <w:szCs w:val="28"/>
          <w:u w:val="single"/>
        </w:rPr>
        <w:t xml:space="preserve">              </w:t>
      </w:r>
      <w:r>
        <w:rPr>
          <w:rFonts w:hint="eastAsia" w:ascii="宋体" w:hAnsi="宋体" w:cs="宋体"/>
          <w:sz w:val="28"/>
          <w:szCs w:val="28"/>
        </w:rPr>
        <w:t xml:space="preserve">   </w:t>
      </w:r>
    </w:p>
    <w:p w14:paraId="06480CEE">
      <w:pPr>
        <w:spacing w:line="360" w:lineRule="auto"/>
        <w:ind w:left="1680" w:leftChars="800" w:firstLine="420"/>
        <w:rPr>
          <w:rFonts w:ascii="宋体" w:hAnsi="宋体" w:cs="宋体"/>
          <w:sz w:val="28"/>
          <w:szCs w:val="28"/>
        </w:rPr>
      </w:pPr>
      <w:r>
        <w:rPr>
          <w:rFonts w:hint="eastAsia" w:ascii="宋体" w:hAnsi="宋体" w:cs="宋体"/>
          <w:sz w:val="28"/>
          <w:szCs w:val="28"/>
        </w:rPr>
        <w:t>授权代表(签字或盖章)：</w:t>
      </w:r>
      <w:r>
        <w:rPr>
          <w:rFonts w:hint="eastAsia" w:ascii="宋体" w:hAnsi="宋体" w:cs="宋体"/>
          <w:sz w:val="28"/>
          <w:szCs w:val="28"/>
          <w:u w:val="single"/>
        </w:rPr>
        <w:t xml:space="preserve">                </w:t>
      </w:r>
      <w:r>
        <w:rPr>
          <w:rFonts w:hint="eastAsia" w:ascii="宋体" w:hAnsi="宋体" w:cs="宋体"/>
          <w:sz w:val="28"/>
          <w:szCs w:val="28"/>
        </w:rPr>
        <w:t xml:space="preserve">   </w:t>
      </w:r>
    </w:p>
    <w:p w14:paraId="14CC3A68">
      <w:pPr>
        <w:spacing w:line="360" w:lineRule="auto"/>
        <w:ind w:left="1680" w:leftChars="800" w:firstLine="420"/>
        <w:rPr>
          <w:rFonts w:ascii="宋体" w:hAnsi="宋体" w:cs="宋体"/>
          <w:sz w:val="28"/>
          <w:szCs w:val="28"/>
        </w:rPr>
      </w:pPr>
      <w:r>
        <w:rPr>
          <w:rFonts w:hint="eastAsia" w:ascii="宋体" w:hAnsi="宋体" w:cs="宋体"/>
          <w:sz w:val="28"/>
          <w:szCs w:val="28"/>
        </w:rPr>
        <w:t xml:space="preserve">           联系方式：</w:t>
      </w:r>
      <w:r>
        <w:rPr>
          <w:rFonts w:hint="eastAsia" w:ascii="宋体" w:hAnsi="宋体" w:cs="宋体"/>
          <w:sz w:val="28"/>
          <w:szCs w:val="28"/>
          <w:u w:val="single"/>
        </w:rPr>
        <w:t xml:space="preserve">                 </w:t>
      </w:r>
      <w:r>
        <w:rPr>
          <w:rFonts w:hint="eastAsia" w:ascii="宋体" w:hAnsi="宋体" w:cs="宋体"/>
          <w:sz w:val="28"/>
          <w:szCs w:val="28"/>
        </w:rPr>
        <w:t xml:space="preserve">              </w:t>
      </w:r>
    </w:p>
    <w:p w14:paraId="75BE9118">
      <w:pPr>
        <w:spacing w:line="360" w:lineRule="auto"/>
        <w:ind w:left="1680" w:leftChars="800" w:firstLine="420"/>
        <w:rPr>
          <w:rFonts w:ascii="宋体" w:hAnsi="宋体" w:cs="宋体"/>
          <w:sz w:val="28"/>
          <w:szCs w:val="28"/>
        </w:rPr>
      </w:pPr>
    </w:p>
    <w:p w14:paraId="586EAADA">
      <w:pPr>
        <w:spacing w:line="360" w:lineRule="auto"/>
        <w:ind w:left="1680" w:leftChars="800" w:firstLine="420"/>
        <w:rPr>
          <w:rFonts w:ascii="宋体" w:hAnsi="宋体" w:cs="宋体"/>
          <w:sz w:val="28"/>
          <w:szCs w:val="28"/>
        </w:rPr>
      </w:pPr>
      <w:bookmarkStart w:id="3" w:name="_Toc15902"/>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 xml:space="preserve">年 </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70314A93">
      <w:pPr>
        <w:spacing w:line="360" w:lineRule="auto"/>
        <w:ind w:left="1680" w:leftChars="800" w:firstLine="420"/>
        <w:rPr>
          <w:rFonts w:ascii="宋体" w:hAnsi="宋体" w:cs="宋体"/>
          <w:sz w:val="28"/>
          <w:szCs w:val="28"/>
        </w:rPr>
      </w:pPr>
    </w:p>
    <w:p w14:paraId="0C0327B5">
      <w:pPr>
        <w:spacing w:line="360" w:lineRule="auto"/>
        <w:ind w:left="1680" w:leftChars="800" w:firstLine="420"/>
        <w:rPr>
          <w:rFonts w:ascii="宋体" w:hAnsi="宋体" w:cs="宋体"/>
          <w:sz w:val="28"/>
          <w:szCs w:val="28"/>
        </w:rPr>
      </w:pPr>
    </w:p>
    <w:p w14:paraId="7870802D">
      <w:pPr>
        <w:spacing w:line="360" w:lineRule="auto"/>
        <w:ind w:firstLine="420"/>
        <w:rPr>
          <w:rFonts w:ascii="宋体" w:hAnsi="宋体" w:cs="宋体"/>
          <w:b/>
          <w:bCs/>
          <w:sz w:val="28"/>
          <w:szCs w:val="28"/>
        </w:rPr>
      </w:pPr>
      <w:r>
        <w:rPr>
          <w:rFonts w:hint="eastAsia" w:ascii="宋体" w:hAnsi="宋体" w:cs="宋体"/>
          <w:b/>
          <w:bCs/>
          <w:sz w:val="28"/>
          <w:szCs w:val="28"/>
        </w:rPr>
        <w:t>四、参加人的资格证明材料</w:t>
      </w:r>
      <w:bookmarkEnd w:id="3"/>
    </w:p>
    <w:p w14:paraId="7B9357AE">
      <w:pPr>
        <w:spacing w:line="360" w:lineRule="auto"/>
        <w:ind w:firstLine="420"/>
        <w:jc w:val="center"/>
        <w:rPr>
          <w:rFonts w:ascii="宋体" w:hAnsi="宋体" w:cs="宋体"/>
          <w:sz w:val="28"/>
          <w:szCs w:val="28"/>
          <w:lang w:val="zh-CN"/>
        </w:rPr>
      </w:pPr>
      <w:bookmarkStart w:id="4" w:name="_Toc421267964"/>
      <w:bookmarkStart w:id="5" w:name="_Toc18511"/>
      <w:r>
        <w:rPr>
          <w:rFonts w:hint="eastAsia" w:ascii="宋体" w:hAnsi="宋体" w:cs="宋体"/>
          <w:sz w:val="28"/>
          <w:szCs w:val="28"/>
          <w:lang w:val="zh-CN"/>
        </w:rPr>
        <w:t>参加人基本情况表</w:t>
      </w:r>
      <w:bookmarkEnd w:id="4"/>
      <w:bookmarkEnd w:id="5"/>
    </w:p>
    <w:tbl>
      <w:tblPr>
        <w:tblStyle w:val="13"/>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14:paraId="184AEA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vAlign w:val="center"/>
          </w:tcPr>
          <w:p w14:paraId="32F2116B">
            <w:pPr>
              <w:spacing w:line="360" w:lineRule="auto"/>
              <w:ind w:firstLine="420"/>
              <w:rPr>
                <w:rFonts w:ascii="宋体" w:hAnsi="宋体" w:cs="宋体"/>
                <w:sz w:val="24"/>
              </w:rPr>
            </w:pPr>
            <w:r>
              <w:rPr>
                <w:rFonts w:hint="eastAsia" w:ascii="宋体" w:hAnsi="宋体" w:cs="宋体"/>
                <w:sz w:val="22"/>
                <w:szCs w:val="22"/>
              </w:rPr>
              <w:t>参加人名称</w:t>
            </w:r>
          </w:p>
        </w:tc>
        <w:tc>
          <w:tcPr>
            <w:tcW w:w="2427" w:type="dxa"/>
            <w:gridSpan w:val="2"/>
            <w:vAlign w:val="center"/>
          </w:tcPr>
          <w:p w14:paraId="7881D0B5">
            <w:pPr>
              <w:spacing w:line="360" w:lineRule="auto"/>
              <w:ind w:firstLine="420"/>
              <w:rPr>
                <w:rFonts w:ascii="宋体" w:hAnsi="宋体" w:cs="宋体"/>
                <w:sz w:val="24"/>
              </w:rPr>
            </w:pPr>
          </w:p>
        </w:tc>
        <w:tc>
          <w:tcPr>
            <w:tcW w:w="1714" w:type="dxa"/>
            <w:gridSpan w:val="2"/>
            <w:vAlign w:val="center"/>
          </w:tcPr>
          <w:p w14:paraId="067E386F">
            <w:pPr>
              <w:spacing w:line="360" w:lineRule="auto"/>
              <w:ind w:firstLine="420"/>
              <w:rPr>
                <w:rFonts w:ascii="宋体" w:hAnsi="宋体" w:cs="宋体"/>
                <w:sz w:val="24"/>
              </w:rPr>
            </w:pPr>
            <w:r>
              <w:rPr>
                <w:rFonts w:hint="eastAsia" w:ascii="宋体" w:hAnsi="宋体" w:cs="宋体"/>
                <w:sz w:val="24"/>
              </w:rPr>
              <w:t>法定代表人</w:t>
            </w:r>
          </w:p>
        </w:tc>
        <w:tc>
          <w:tcPr>
            <w:tcW w:w="2143" w:type="dxa"/>
            <w:vAlign w:val="center"/>
          </w:tcPr>
          <w:p w14:paraId="67DE4279">
            <w:pPr>
              <w:spacing w:line="360" w:lineRule="auto"/>
              <w:ind w:firstLine="420"/>
              <w:rPr>
                <w:rFonts w:ascii="宋体" w:hAnsi="宋体" w:cs="宋体"/>
                <w:sz w:val="24"/>
              </w:rPr>
            </w:pPr>
          </w:p>
        </w:tc>
      </w:tr>
      <w:tr w14:paraId="255FA5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7" w:hRule="atLeast"/>
        </w:trPr>
        <w:tc>
          <w:tcPr>
            <w:tcW w:w="2011" w:type="dxa"/>
            <w:gridSpan w:val="2"/>
            <w:vAlign w:val="center"/>
          </w:tcPr>
          <w:p w14:paraId="59D6B18A">
            <w:pPr>
              <w:spacing w:line="360" w:lineRule="auto"/>
              <w:ind w:firstLine="420"/>
              <w:rPr>
                <w:rFonts w:ascii="宋体" w:hAnsi="宋体" w:cs="宋体"/>
                <w:sz w:val="24"/>
              </w:rPr>
            </w:pPr>
            <w:r>
              <w:rPr>
                <w:rFonts w:hint="eastAsia" w:ascii="宋体" w:hAnsi="宋体" w:cs="宋体"/>
                <w:sz w:val="24"/>
              </w:rPr>
              <w:t>授权代表</w:t>
            </w:r>
          </w:p>
        </w:tc>
        <w:tc>
          <w:tcPr>
            <w:tcW w:w="2427" w:type="dxa"/>
            <w:gridSpan w:val="2"/>
            <w:vAlign w:val="center"/>
          </w:tcPr>
          <w:p w14:paraId="41FF0819">
            <w:pPr>
              <w:spacing w:line="360" w:lineRule="auto"/>
              <w:ind w:firstLine="420"/>
              <w:rPr>
                <w:rFonts w:ascii="宋体" w:hAnsi="宋体" w:cs="宋体"/>
                <w:sz w:val="24"/>
              </w:rPr>
            </w:pPr>
          </w:p>
        </w:tc>
        <w:tc>
          <w:tcPr>
            <w:tcW w:w="1714" w:type="dxa"/>
            <w:gridSpan w:val="2"/>
            <w:vAlign w:val="center"/>
          </w:tcPr>
          <w:p w14:paraId="6E6CC4FA">
            <w:pPr>
              <w:spacing w:line="360" w:lineRule="auto"/>
              <w:ind w:firstLine="420"/>
              <w:rPr>
                <w:rFonts w:ascii="宋体" w:hAnsi="宋体" w:cs="宋体"/>
                <w:sz w:val="24"/>
              </w:rPr>
            </w:pPr>
            <w:r>
              <w:rPr>
                <w:rFonts w:hint="eastAsia" w:ascii="宋体" w:hAnsi="宋体" w:cs="宋体"/>
                <w:sz w:val="24"/>
              </w:rPr>
              <w:t>联系电话</w:t>
            </w:r>
          </w:p>
        </w:tc>
        <w:tc>
          <w:tcPr>
            <w:tcW w:w="2143" w:type="dxa"/>
            <w:vAlign w:val="center"/>
          </w:tcPr>
          <w:p w14:paraId="3FA7B410">
            <w:pPr>
              <w:spacing w:line="360" w:lineRule="auto"/>
              <w:ind w:firstLine="420"/>
              <w:rPr>
                <w:rFonts w:ascii="宋体" w:hAnsi="宋体" w:cs="宋体"/>
                <w:sz w:val="24"/>
              </w:rPr>
            </w:pPr>
          </w:p>
        </w:tc>
      </w:tr>
      <w:tr w14:paraId="33B8D1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vAlign w:val="center"/>
          </w:tcPr>
          <w:p w14:paraId="4AFB5653">
            <w:pPr>
              <w:spacing w:line="360" w:lineRule="auto"/>
              <w:ind w:firstLine="420"/>
              <w:rPr>
                <w:rFonts w:ascii="宋体" w:hAnsi="宋体" w:cs="宋体"/>
                <w:sz w:val="24"/>
              </w:rPr>
            </w:pPr>
            <w:r>
              <w:rPr>
                <w:rFonts w:hint="eastAsia" w:ascii="宋体" w:hAnsi="宋体" w:cs="宋体"/>
                <w:sz w:val="24"/>
              </w:rPr>
              <w:t>统一社会信用代码</w:t>
            </w:r>
          </w:p>
        </w:tc>
        <w:tc>
          <w:tcPr>
            <w:tcW w:w="3857" w:type="dxa"/>
            <w:gridSpan w:val="3"/>
            <w:vAlign w:val="center"/>
          </w:tcPr>
          <w:p w14:paraId="491F2A10">
            <w:pPr>
              <w:spacing w:line="360" w:lineRule="auto"/>
              <w:ind w:firstLine="420"/>
              <w:rPr>
                <w:rFonts w:ascii="宋体" w:hAnsi="宋体" w:cs="宋体"/>
                <w:sz w:val="24"/>
              </w:rPr>
            </w:pPr>
          </w:p>
        </w:tc>
      </w:tr>
      <w:tr w14:paraId="120A42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vAlign w:val="center"/>
          </w:tcPr>
          <w:p w14:paraId="2D7A2014">
            <w:pPr>
              <w:spacing w:line="360" w:lineRule="auto"/>
              <w:ind w:firstLine="420"/>
              <w:rPr>
                <w:rFonts w:ascii="宋体" w:hAnsi="宋体" w:cs="宋体"/>
                <w:sz w:val="24"/>
              </w:rPr>
            </w:pPr>
            <w:r>
              <w:rPr>
                <w:rFonts w:hint="eastAsia" w:ascii="宋体" w:hAnsi="宋体" w:cs="宋体"/>
                <w:sz w:val="24"/>
              </w:rPr>
              <w:t>注册地址</w:t>
            </w:r>
          </w:p>
        </w:tc>
        <w:tc>
          <w:tcPr>
            <w:tcW w:w="6284" w:type="dxa"/>
            <w:gridSpan w:val="5"/>
            <w:vAlign w:val="center"/>
          </w:tcPr>
          <w:p w14:paraId="180DDB1C">
            <w:pPr>
              <w:spacing w:line="360" w:lineRule="auto"/>
              <w:ind w:firstLine="420"/>
              <w:rPr>
                <w:rFonts w:ascii="宋体" w:hAnsi="宋体" w:cs="宋体"/>
                <w:sz w:val="24"/>
              </w:rPr>
            </w:pPr>
          </w:p>
        </w:tc>
      </w:tr>
      <w:tr w14:paraId="57BB50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vAlign w:val="center"/>
          </w:tcPr>
          <w:p w14:paraId="212A4D94">
            <w:pPr>
              <w:spacing w:line="360" w:lineRule="auto"/>
              <w:ind w:firstLine="420"/>
              <w:rPr>
                <w:rFonts w:ascii="宋体" w:hAnsi="宋体" w:cs="宋体"/>
                <w:sz w:val="24"/>
              </w:rPr>
            </w:pPr>
            <w:r>
              <w:rPr>
                <w:rFonts w:hint="eastAsia" w:ascii="宋体" w:hAnsi="宋体" w:cs="宋体"/>
                <w:sz w:val="24"/>
              </w:rPr>
              <w:t>发证机关</w:t>
            </w:r>
          </w:p>
        </w:tc>
        <w:tc>
          <w:tcPr>
            <w:tcW w:w="6284" w:type="dxa"/>
            <w:gridSpan w:val="5"/>
            <w:vAlign w:val="center"/>
          </w:tcPr>
          <w:p w14:paraId="4C45C20C">
            <w:pPr>
              <w:spacing w:line="360" w:lineRule="auto"/>
              <w:ind w:firstLine="420"/>
              <w:rPr>
                <w:rFonts w:ascii="宋体" w:hAnsi="宋体" w:cs="宋体"/>
                <w:sz w:val="24"/>
              </w:rPr>
            </w:pPr>
          </w:p>
        </w:tc>
      </w:tr>
      <w:tr w14:paraId="70B650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vAlign w:val="center"/>
          </w:tcPr>
          <w:p w14:paraId="4054D60A">
            <w:pPr>
              <w:spacing w:line="360" w:lineRule="auto"/>
              <w:ind w:firstLine="420"/>
              <w:rPr>
                <w:rFonts w:ascii="宋体" w:hAnsi="宋体" w:cs="宋体"/>
                <w:sz w:val="24"/>
              </w:rPr>
            </w:pPr>
            <w:r>
              <w:rPr>
                <w:rFonts w:hint="eastAsia" w:ascii="宋体" w:hAnsi="宋体" w:cs="宋体"/>
                <w:sz w:val="24"/>
              </w:rPr>
              <w:t>发证日期</w:t>
            </w:r>
          </w:p>
        </w:tc>
        <w:tc>
          <w:tcPr>
            <w:tcW w:w="6284" w:type="dxa"/>
            <w:gridSpan w:val="5"/>
            <w:vAlign w:val="center"/>
          </w:tcPr>
          <w:p w14:paraId="2FC179AD">
            <w:pPr>
              <w:spacing w:line="360" w:lineRule="auto"/>
              <w:ind w:firstLine="420"/>
              <w:rPr>
                <w:rFonts w:ascii="宋体" w:hAnsi="宋体" w:cs="宋体"/>
                <w:sz w:val="24"/>
              </w:rPr>
            </w:pPr>
          </w:p>
        </w:tc>
      </w:tr>
      <w:tr w14:paraId="414B15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vAlign w:val="center"/>
          </w:tcPr>
          <w:p w14:paraId="47AE380F">
            <w:pPr>
              <w:spacing w:line="360" w:lineRule="auto"/>
              <w:ind w:firstLine="420"/>
              <w:rPr>
                <w:rFonts w:ascii="宋体" w:hAnsi="宋体" w:cs="宋体"/>
                <w:sz w:val="24"/>
              </w:rPr>
            </w:pPr>
            <w:r>
              <w:rPr>
                <w:rFonts w:hint="eastAsia" w:ascii="宋体" w:hAnsi="宋体" w:cs="宋体"/>
                <w:sz w:val="24"/>
              </w:rPr>
              <w:t>营业范围</w:t>
            </w:r>
          </w:p>
        </w:tc>
        <w:tc>
          <w:tcPr>
            <w:tcW w:w="6284" w:type="dxa"/>
            <w:gridSpan w:val="5"/>
            <w:vAlign w:val="center"/>
          </w:tcPr>
          <w:p w14:paraId="5695A285">
            <w:pPr>
              <w:spacing w:line="360" w:lineRule="auto"/>
              <w:ind w:firstLine="420"/>
              <w:rPr>
                <w:rFonts w:ascii="宋体" w:hAnsi="宋体" w:cs="宋体"/>
                <w:sz w:val="24"/>
              </w:rPr>
            </w:pPr>
          </w:p>
        </w:tc>
      </w:tr>
      <w:tr w14:paraId="0BFD0E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vAlign w:val="center"/>
          </w:tcPr>
          <w:p w14:paraId="513E1EE8">
            <w:pPr>
              <w:spacing w:line="360" w:lineRule="auto"/>
              <w:jc w:val="center"/>
              <w:rPr>
                <w:rFonts w:ascii="宋体" w:hAnsi="宋体" w:cs="宋体"/>
                <w:sz w:val="24"/>
              </w:rPr>
            </w:pPr>
            <w:r>
              <w:rPr>
                <w:rFonts w:hint="eastAsia" w:ascii="宋体" w:hAnsi="宋体" w:cs="宋体"/>
                <w:sz w:val="24"/>
              </w:rPr>
              <w:t>基本账户开户行及账号</w:t>
            </w:r>
          </w:p>
        </w:tc>
        <w:tc>
          <w:tcPr>
            <w:tcW w:w="6284" w:type="dxa"/>
            <w:gridSpan w:val="5"/>
            <w:vAlign w:val="center"/>
          </w:tcPr>
          <w:p w14:paraId="528C528E">
            <w:pPr>
              <w:spacing w:line="360" w:lineRule="auto"/>
              <w:ind w:firstLine="420"/>
              <w:rPr>
                <w:rFonts w:ascii="宋体" w:hAnsi="宋体" w:cs="宋体"/>
                <w:sz w:val="24"/>
              </w:rPr>
            </w:pPr>
          </w:p>
        </w:tc>
      </w:tr>
      <w:tr w14:paraId="5C6D8E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vAlign w:val="center"/>
          </w:tcPr>
          <w:p w14:paraId="60E59CC8">
            <w:pPr>
              <w:spacing w:line="360" w:lineRule="auto"/>
              <w:jc w:val="center"/>
              <w:rPr>
                <w:rFonts w:ascii="宋体" w:hAnsi="宋体" w:cs="宋体"/>
                <w:sz w:val="24"/>
              </w:rPr>
            </w:pPr>
            <w:r>
              <w:rPr>
                <w:rFonts w:hint="eastAsia" w:ascii="宋体" w:hAnsi="宋体" w:cs="宋体"/>
                <w:sz w:val="24"/>
              </w:rPr>
              <w:t>税务登记机关</w:t>
            </w:r>
          </w:p>
        </w:tc>
        <w:tc>
          <w:tcPr>
            <w:tcW w:w="6284" w:type="dxa"/>
            <w:gridSpan w:val="5"/>
            <w:vAlign w:val="center"/>
          </w:tcPr>
          <w:p w14:paraId="084AE374">
            <w:pPr>
              <w:spacing w:line="360" w:lineRule="auto"/>
              <w:ind w:firstLine="420"/>
              <w:rPr>
                <w:rFonts w:ascii="宋体" w:hAnsi="宋体" w:cs="宋体"/>
                <w:sz w:val="24"/>
              </w:rPr>
            </w:pPr>
          </w:p>
        </w:tc>
      </w:tr>
      <w:tr w14:paraId="484710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vAlign w:val="center"/>
          </w:tcPr>
          <w:p w14:paraId="65FB436A">
            <w:pPr>
              <w:spacing w:line="360" w:lineRule="auto"/>
              <w:ind w:firstLine="420"/>
              <w:rPr>
                <w:rFonts w:ascii="宋体" w:hAnsi="宋体" w:cs="宋体"/>
                <w:sz w:val="24"/>
              </w:rPr>
            </w:pPr>
            <w:r>
              <w:rPr>
                <w:rFonts w:hint="eastAsia" w:ascii="宋体" w:hAnsi="宋体" w:cs="宋体"/>
                <w:sz w:val="24"/>
              </w:rPr>
              <w:t>资质名称</w:t>
            </w:r>
          </w:p>
        </w:tc>
        <w:tc>
          <w:tcPr>
            <w:tcW w:w="1313" w:type="dxa"/>
            <w:vAlign w:val="center"/>
          </w:tcPr>
          <w:p w14:paraId="14EB6962">
            <w:pPr>
              <w:spacing w:line="360" w:lineRule="auto"/>
              <w:ind w:firstLine="420"/>
              <w:rPr>
                <w:rFonts w:ascii="宋体" w:hAnsi="宋体" w:cs="宋体"/>
                <w:sz w:val="24"/>
              </w:rPr>
            </w:pPr>
            <w:r>
              <w:rPr>
                <w:rFonts w:hint="eastAsia" w:ascii="宋体" w:hAnsi="宋体" w:cs="宋体"/>
                <w:sz w:val="24"/>
              </w:rPr>
              <w:t>等级</w:t>
            </w:r>
          </w:p>
        </w:tc>
        <w:tc>
          <w:tcPr>
            <w:tcW w:w="2453" w:type="dxa"/>
            <w:gridSpan w:val="2"/>
            <w:vAlign w:val="center"/>
          </w:tcPr>
          <w:p w14:paraId="44C8284D">
            <w:pPr>
              <w:spacing w:line="360" w:lineRule="auto"/>
              <w:ind w:firstLine="420"/>
              <w:rPr>
                <w:rFonts w:ascii="宋体" w:hAnsi="宋体" w:cs="宋体"/>
                <w:sz w:val="24"/>
              </w:rPr>
            </w:pPr>
            <w:r>
              <w:rPr>
                <w:rFonts w:hint="eastAsia" w:ascii="宋体" w:hAnsi="宋体" w:cs="宋体"/>
                <w:sz w:val="24"/>
              </w:rPr>
              <w:t>发证机关</w:t>
            </w:r>
          </w:p>
        </w:tc>
        <w:tc>
          <w:tcPr>
            <w:tcW w:w="2518" w:type="dxa"/>
            <w:gridSpan w:val="2"/>
            <w:vAlign w:val="center"/>
          </w:tcPr>
          <w:p w14:paraId="56C0C782">
            <w:pPr>
              <w:spacing w:line="360" w:lineRule="auto"/>
              <w:ind w:firstLine="420"/>
              <w:rPr>
                <w:rFonts w:ascii="宋体" w:hAnsi="宋体" w:cs="宋体"/>
                <w:sz w:val="24"/>
              </w:rPr>
            </w:pPr>
            <w:r>
              <w:rPr>
                <w:rFonts w:hint="eastAsia" w:ascii="宋体" w:hAnsi="宋体" w:cs="宋体"/>
                <w:sz w:val="24"/>
              </w:rPr>
              <w:t>有效期</w:t>
            </w:r>
          </w:p>
        </w:tc>
      </w:tr>
      <w:tr w14:paraId="1D3057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vAlign w:val="center"/>
          </w:tcPr>
          <w:p w14:paraId="5D954E81">
            <w:pPr>
              <w:spacing w:line="360" w:lineRule="auto"/>
              <w:ind w:firstLine="420"/>
              <w:rPr>
                <w:rFonts w:ascii="宋体" w:hAnsi="宋体" w:cs="宋体"/>
                <w:sz w:val="24"/>
              </w:rPr>
            </w:pPr>
          </w:p>
        </w:tc>
        <w:tc>
          <w:tcPr>
            <w:tcW w:w="1313" w:type="dxa"/>
            <w:vAlign w:val="center"/>
          </w:tcPr>
          <w:p w14:paraId="13D2EA48">
            <w:pPr>
              <w:spacing w:line="360" w:lineRule="auto"/>
              <w:ind w:firstLine="420"/>
              <w:rPr>
                <w:rFonts w:ascii="宋体" w:hAnsi="宋体" w:cs="宋体"/>
                <w:sz w:val="24"/>
              </w:rPr>
            </w:pPr>
          </w:p>
        </w:tc>
        <w:tc>
          <w:tcPr>
            <w:tcW w:w="2453" w:type="dxa"/>
            <w:gridSpan w:val="2"/>
            <w:vAlign w:val="center"/>
          </w:tcPr>
          <w:p w14:paraId="424B1BA4">
            <w:pPr>
              <w:spacing w:line="360" w:lineRule="auto"/>
              <w:ind w:firstLine="420"/>
              <w:rPr>
                <w:rFonts w:ascii="宋体" w:hAnsi="宋体" w:cs="宋体"/>
                <w:sz w:val="24"/>
              </w:rPr>
            </w:pPr>
          </w:p>
        </w:tc>
        <w:tc>
          <w:tcPr>
            <w:tcW w:w="2518" w:type="dxa"/>
            <w:gridSpan w:val="2"/>
            <w:vAlign w:val="center"/>
          </w:tcPr>
          <w:p w14:paraId="1DCD00B5">
            <w:pPr>
              <w:spacing w:line="360" w:lineRule="auto"/>
              <w:ind w:firstLine="420"/>
              <w:rPr>
                <w:rFonts w:ascii="宋体" w:hAnsi="宋体" w:cs="宋体"/>
                <w:sz w:val="24"/>
              </w:rPr>
            </w:pPr>
          </w:p>
        </w:tc>
      </w:tr>
      <w:tr w14:paraId="5B4F5B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vAlign w:val="center"/>
          </w:tcPr>
          <w:p w14:paraId="14021961">
            <w:pPr>
              <w:spacing w:line="360" w:lineRule="auto"/>
              <w:ind w:firstLine="420"/>
              <w:rPr>
                <w:rFonts w:ascii="宋体" w:hAnsi="宋体" w:cs="宋体"/>
                <w:sz w:val="24"/>
              </w:rPr>
            </w:pPr>
            <w:r>
              <w:rPr>
                <w:rFonts w:hint="eastAsia" w:ascii="宋体" w:hAnsi="宋体" w:cs="宋体"/>
                <w:sz w:val="24"/>
              </w:rPr>
              <w:t>备注</w:t>
            </w:r>
          </w:p>
        </w:tc>
        <w:tc>
          <w:tcPr>
            <w:tcW w:w="7037" w:type="dxa"/>
            <w:gridSpan w:val="6"/>
            <w:vAlign w:val="center"/>
          </w:tcPr>
          <w:p w14:paraId="4ACD6628">
            <w:pPr>
              <w:spacing w:line="360" w:lineRule="auto"/>
              <w:ind w:firstLine="420"/>
              <w:rPr>
                <w:rFonts w:ascii="宋体" w:hAnsi="宋体" w:cs="宋体"/>
                <w:sz w:val="24"/>
              </w:rPr>
            </w:pPr>
            <w:r>
              <w:rPr>
                <w:rFonts w:hint="eastAsia" w:ascii="宋体" w:hAnsi="宋体" w:cs="宋体"/>
                <w:sz w:val="24"/>
              </w:rPr>
              <w:t>相关文件附后</w:t>
            </w:r>
          </w:p>
        </w:tc>
      </w:tr>
    </w:tbl>
    <w:p w14:paraId="60880EE6">
      <w:pPr>
        <w:spacing w:line="360" w:lineRule="auto"/>
        <w:ind w:firstLine="420"/>
        <w:rPr>
          <w:rFonts w:ascii="宋体" w:hAnsi="宋体" w:cs="宋体"/>
          <w:sz w:val="28"/>
          <w:szCs w:val="28"/>
        </w:rPr>
      </w:pPr>
    </w:p>
    <w:p w14:paraId="5C12592E">
      <w:pPr>
        <w:spacing w:line="360" w:lineRule="auto"/>
        <w:ind w:left="1890" w:leftChars="900" w:firstLine="420"/>
        <w:rPr>
          <w:rFonts w:ascii="宋体" w:hAnsi="宋体" w:cs="宋体"/>
          <w:sz w:val="28"/>
          <w:szCs w:val="28"/>
        </w:rPr>
      </w:pPr>
      <w:r>
        <w:rPr>
          <w:rFonts w:hint="eastAsia" w:ascii="宋体" w:hAnsi="宋体" w:cs="宋体"/>
          <w:sz w:val="28"/>
          <w:szCs w:val="28"/>
        </w:rPr>
        <w:t>供应商名称(公章)：</w:t>
      </w:r>
      <w:r>
        <w:rPr>
          <w:rFonts w:hint="eastAsia" w:ascii="宋体" w:hAnsi="宋体" w:cs="宋体"/>
          <w:sz w:val="28"/>
          <w:szCs w:val="28"/>
          <w:u w:val="single"/>
        </w:rPr>
        <w:t xml:space="preserve">                       </w:t>
      </w:r>
      <w:r>
        <w:rPr>
          <w:rFonts w:hint="eastAsia" w:ascii="宋体" w:hAnsi="宋体" w:cs="宋体"/>
          <w:sz w:val="28"/>
          <w:szCs w:val="28"/>
        </w:rPr>
        <w:t xml:space="preserve">  </w:t>
      </w:r>
    </w:p>
    <w:p w14:paraId="08F6ED1D">
      <w:pPr>
        <w:spacing w:line="360" w:lineRule="auto"/>
        <w:ind w:left="1890" w:leftChars="900" w:firstLine="420"/>
        <w:rPr>
          <w:rFonts w:ascii="宋体" w:hAnsi="宋体" w:cs="宋体"/>
          <w:sz w:val="28"/>
          <w:szCs w:val="28"/>
        </w:rPr>
      </w:pPr>
      <w:r>
        <w:rPr>
          <w:rFonts w:hint="eastAsia" w:ascii="宋体" w:hAnsi="宋体" w:cs="宋体"/>
          <w:sz w:val="28"/>
          <w:szCs w:val="28"/>
        </w:rPr>
        <w:t>授权代表(签字或盖章)：</w:t>
      </w:r>
      <w:r>
        <w:rPr>
          <w:rFonts w:hint="eastAsia" w:ascii="宋体" w:hAnsi="宋体" w:cs="宋体"/>
          <w:sz w:val="28"/>
          <w:szCs w:val="28"/>
          <w:u w:val="single"/>
        </w:rPr>
        <w:t xml:space="preserve">                   </w:t>
      </w:r>
    </w:p>
    <w:p w14:paraId="5F439AEA">
      <w:pPr>
        <w:spacing w:line="360" w:lineRule="auto"/>
        <w:ind w:left="1890" w:leftChars="900" w:firstLine="420"/>
        <w:rPr>
          <w:rFonts w:ascii="宋体" w:hAnsi="宋体" w:cs="宋体"/>
          <w:sz w:val="28"/>
          <w:szCs w:val="28"/>
        </w:rPr>
      </w:pPr>
    </w:p>
    <w:p w14:paraId="7700AC47">
      <w:pPr>
        <w:spacing w:line="360" w:lineRule="auto"/>
        <w:ind w:left="1890" w:leftChars="900" w:firstLine="420"/>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 xml:space="preserve"> 月</w:t>
      </w:r>
      <w:r>
        <w:rPr>
          <w:rFonts w:hint="eastAsia" w:ascii="宋体" w:hAnsi="宋体" w:cs="宋体"/>
          <w:sz w:val="28"/>
          <w:szCs w:val="28"/>
          <w:u w:val="single"/>
        </w:rPr>
        <w:t xml:space="preserve">    </w:t>
      </w:r>
      <w:r>
        <w:rPr>
          <w:rFonts w:hint="eastAsia" w:ascii="宋体" w:hAnsi="宋体" w:cs="宋体"/>
          <w:sz w:val="28"/>
          <w:szCs w:val="28"/>
        </w:rPr>
        <w:t>日</w:t>
      </w:r>
    </w:p>
    <w:p w14:paraId="7212BA52">
      <w:pPr>
        <w:spacing w:line="360" w:lineRule="auto"/>
        <w:ind w:left="1890" w:leftChars="900" w:firstLine="420"/>
        <w:rPr>
          <w:rFonts w:ascii="宋体" w:hAnsi="宋体" w:cs="宋体"/>
          <w:sz w:val="28"/>
          <w:szCs w:val="28"/>
        </w:rPr>
      </w:pPr>
    </w:p>
    <w:p w14:paraId="4FC894BF">
      <w:pPr>
        <w:spacing w:line="360" w:lineRule="auto"/>
        <w:ind w:firstLine="420"/>
        <w:rPr>
          <w:rFonts w:ascii="宋体" w:hAnsi="宋体" w:cs="宋体"/>
          <w:b/>
          <w:bCs/>
          <w:sz w:val="28"/>
          <w:szCs w:val="28"/>
        </w:rPr>
      </w:pPr>
      <w:bookmarkStart w:id="6" w:name="_Toc31545"/>
      <w:r>
        <w:rPr>
          <w:rFonts w:hint="eastAsia" w:ascii="宋体" w:hAnsi="宋体" w:cs="宋体"/>
          <w:b/>
          <w:bCs/>
          <w:sz w:val="28"/>
          <w:szCs w:val="28"/>
        </w:rPr>
        <w:t>五、报价</w:t>
      </w:r>
      <w:bookmarkEnd w:id="6"/>
    </w:p>
    <w:p w14:paraId="58ABAAA5">
      <w:pPr>
        <w:spacing w:line="360" w:lineRule="auto"/>
        <w:ind w:firstLine="420"/>
        <w:rPr>
          <w:rFonts w:ascii="宋体" w:hAnsi="宋体" w:cs="宋体"/>
          <w:sz w:val="28"/>
          <w:szCs w:val="28"/>
        </w:rPr>
      </w:pPr>
      <w:r>
        <w:rPr>
          <w:rFonts w:hint="eastAsia" w:ascii="宋体" w:hAnsi="宋体" w:cs="宋体"/>
          <w:sz w:val="28"/>
          <w:szCs w:val="28"/>
        </w:rPr>
        <w:t>报价一览表</w:t>
      </w:r>
    </w:p>
    <w:p w14:paraId="3A7FCEEA">
      <w:pPr>
        <w:spacing w:line="460" w:lineRule="exact"/>
        <w:ind w:firstLine="6960" w:firstLineChars="2900"/>
        <w:rPr>
          <w:rFonts w:asciiTheme="minorEastAsia" w:hAnsiTheme="minorEastAsia" w:eastAsiaTheme="minorEastAsia"/>
          <w:sz w:val="24"/>
        </w:rPr>
      </w:pPr>
      <w:r>
        <w:rPr>
          <w:rFonts w:asciiTheme="minorEastAsia" w:hAnsiTheme="minorEastAsia" w:eastAsiaTheme="minorEastAsia"/>
          <w:sz w:val="24"/>
        </w:rPr>
        <w:t>单位：元</w:t>
      </w:r>
    </w:p>
    <w:tbl>
      <w:tblPr>
        <w:tblStyle w:val="13"/>
        <w:tblW w:w="85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348"/>
        <w:gridCol w:w="716"/>
        <w:gridCol w:w="715"/>
        <w:gridCol w:w="1230"/>
        <w:gridCol w:w="715"/>
        <w:gridCol w:w="715"/>
        <w:gridCol w:w="795"/>
        <w:gridCol w:w="767"/>
        <w:gridCol w:w="737"/>
      </w:tblGrid>
      <w:tr w14:paraId="30F8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387675F3">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项号</w:t>
            </w:r>
          </w:p>
        </w:tc>
        <w:tc>
          <w:tcPr>
            <w:tcW w:w="1348" w:type="dxa"/>
            <w:vAlign w:val="center"/>
          </w:tcPr>
          <w:p w14:paraId="45FED09D">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货物名称</w:t>
            </w:r>
          </w:p>
        </w:tc>
        <w:tc>
          <w:tcPr>
            <w:tcW w:w="716" w:type="dxa"/>
            <w:vAlign w:val="center"/>
          </w:tcPr>
          <w:p w14:paraId="097627B9">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品牌</w:t>
            </w:r>
          </w:p>
        </w:tc>
        <w:tc>
          <w:tcPr>
            <w:tcW w:w="715" w:type="dxa"/>
            <w:vAlign w:val="center"/>
          </w:tcPr>
          <w:p w14:paraId="1A3E4910">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规格型号</w:t>
            </w:r>
          </w:p>
        </w:tc>
        <w:tc>
          <w:tcPr>
            <w:tcW w:w="1230" w:type="dxa"/>
            <w:vAlign w:val="center"/>
          </w:tcPr>
          <w:p w14:paraId="54037108">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制造商</w:t>
            </w:r>
          </w:p>
        </w:tc>
        <w:tc>
          <w:tcPr>
            <w:tcW w:w="715" w:type="dxa"/>
            <w:vAlign w:val="center"/>
          </w:tcPr>
          <w:p w14:paraId="0921F02B">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产地</w:t>
            </w:r>
          </w:p>
        </w:tc>
        <w:tc>
          <w:tcPr>
            <w:tcW w:w="715" w:type="dxa"/>
            <w:vAlign w:val="center"/>
          </w:tcPr>
          <w:p w14:paraId="7B5CBC83">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单价</w:t>
            </w:r>
          </w:p>
        </w:tc>
        <w:tc>
          <w:tcPr>
            <w:tcW w:w="795" w:type="dxa"/>
            <w:vAlign w:val="center"/>
          </w:tcPr>
          <w:p w14:paraId="6F8813D5">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采购数量</w:t>
            </w:r>
          </w:p>
        </w:tc>
        <w:tc>
          <w:tcPr>
            <w:tcW w:w="767" w:type="dxa"/>
            <w:vAlign w:val="center"/>
          </w:tcPr>
          <w:p w14:paraId="4ACF8C6E">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计量单位</w:t>
            </w:r>
          </w:p>
        </w:tc>
        <w:tc>
          <w:tcPr>
            <w:tcW w:w="737" w:type="dxa"/>
            <w:vAlign w:val="center"/>
          </w:tcPr>
          <w:p w14:paraId="7F3A1C4B">
            <w:pPr>
              <w:widowControl/>
              <w:jc w:val="center"/>
              <w:rPr>
                <w:rFonts w:asciiTheme="minorEastAsia" w:hAnsiTheme="minorEastAsia" w:eastAsiaTheme="minorEastAsia"/>
                <w:bCs/>
                <w:kern w:val="0"/>
                <w:sz w:val="24"/>
              </w:rPr>
            </w:pPr>
            <w:r>
              <w:rPr>
                <w:rFonts w:asciiTheme="minorEastAsia" w:hAnsiTheme="minorEastAsia" w:eastAsiaTheme="minorEastAsia"/>
                <w:bCs/>
                <w:kern w:val="0"/>
                <w:sz w:val="24"/>
              </w:rPr>
              <w:t>总价</w:t>
            </w:r>
          </w:p>
        </w:tc>
      </w:tr>
      <w:tr w14:paraId="2D38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033063C4">
            <w:pPr>
              <w:widowControl/>
              <w:jc w:val="center"/>
              <w:rPr>
                <w:rFonts w:asciiTheme="minorEastAsia" w:hAnsiTheme="minorEastAsia" w:eastAsiaTheme="minorEastAsia"/>
                <w:kern w:val="0"/>
                <w:sz w:val="24"/>
              </w:rPr>
            </w:pPr>
          </w:p>
        </w:tc>
        <w:tc>
          <w:tcPr>
            <w:tcW w:w="1348" w:type="dxa"/>
            <w:noWrap/>
            <w:vAlign w:val="center"/>
          </w:tcPr>
          <w:p w14:paraId="1E9BA530">
            <w:pPr>
              <w:widowControl/>
              <w:jc w:val="center"/>
              <w:rPr>
                <w:rFonts w:asciiTheme="minorEastAsia" w:hAnsiTheme="minorEastAsia" w:eastAsiaTheme="minorEastAsia"/>
                <w:kern w:val="0"/>
                <w:sz w:val="24"/>
              </w:rPr>
            </w:pPr>
          </w:p>
        </w:tc>
        <w:tc>
          <w:tcPr>
            <w:tcW w:w="716" w:type="dxa"/>
            <w:noWrap/>
            <w:vAlign w:val="center"/>
          </w:tcPr>
          <w:p w14:paraId="5CEF1D0D">
            <w:pPr>
              <w:widowControl/>
              <w:jc w:val="center"/>
              <w:rPr>
                <w:rFonts w:asciiTheme="minorEastAsia" w:hAnsiTheme="minorEastAsia" w:eastAsiaTheme="minorEastAsia"/>
                <w:kern w:val="0"/>
                <w:sz w:val="24"/>
              </w:rPr>
            </w:pPr>
          </w:p>
        </w:tc>
        <w:tc>
          <w:tcPr>
            <w:tcW w:w="715" w:type="dxa"/>
            <w:noWrap/>
            <w:vAlign w:val="center"/>
          </w:tcPr>
          <w:p w14:paraId="476EB92A">
            <w:pPr>
              <w:widowControl/>
              <w:jc w:val="center"/>
              <w:rPr>
                <w:rFonts w:asciiTheme="minorEastAsia" w:hAnsiTheme="minorEastAsia" w:eastAsiaTheme="minorEastAsia"/>
                <w:kern w:val="0"/>
                <w:sz w:val="24"/>
              </w:rPr>
            </w:pPr>
          </w:p>
        </w:tc>
        <w:tc>
          <w:tcPr>
            <w:tcW w:w="1230" w:type="dxa"/>
            <w:noWrap/>
            <w:vAlign w:val="center"/>
          </w:tcPr>
          <w:p w14:paraId="02975994">
            <w:pPr>
              <w:widowControl/>
              <w:jc w:val="center"/>
              <w:rPr>
                <w:rFonts w:asciiTheme="minorEastAsia" w:hAnsiTheme="minorEastAsia" w:eastAsiaTheme="minorEastAsia"/>
                <w:kern w:val="0"/>
                <w:sz w:val="24"/>
              </w:rPr>
            </w:pPr>
          </w:p>
        </w:tc>
        <w:tc>
          <w:tcPr>
            <w:tcW w:w="715" w:type="dxa"/>
            <w:noWrap/>
            <w:vAlign w:val="center"/>
          </w:tcPr>
          <w:p w14:paraId="440E0488">
            <w:pPr>
              <w:widowControl/>
              <w:jc w:val="center"/>
              <w:rPr>
                <w:rFonts w:asciiTheme="minorEastAsia" w:hAnsiTheme="minorEastAsia" w:eastAsiaTheme="minorEastAsia"/>
                <w:kern w:val="0"/>
                <w:sz w:val="24"/>
              </w:rPr>
            </w:pPr>
          </w:p>
        </w:tc>
        <w:tc>
          <w:tcPr>
            <w:tcW w:w="715" w:type="dxa"/>
            <w:vAlign w:val="center"/>
          </w:tcPr>
          <w:p w14:paraId="3C3D2F3B">
            <w:pPr>
              <w:widowControl/>
              <w:jc w:val="center"/>
              <w:rPr>
                <w:rFonts w:asciiTheme="minorEastAsia" w:hAnsiTheme="minorEastAsia" w:eastAsiaTheme="minorEastAsia"/>
                <w:kern w:val="0"/>
                <w:sz w:val="24"/>
                <w:szCs w:val="18"/>
              </w:rPr>
            </w:pPr>
          </w:p>
        </w:tc>
        <w:tc>
          <w:tcPr>
            <w:tcW w:w="795" w:type="dxa"/>
            <w:noWrap/>
            <w:vAlign w:val="center"/>
          </w:tcPr>
          <w:p w14:paraId="389BB3FF">
            <w:pPr>
              <w:widowControl/>
              <w:jc w:val="center"/>
              <w:rPr>
                <w:rFonts w:asciiTheme="minorEastAsia" w:hAnsiTheme="minorEastAsia" w:eastAsiaTheme="minorEastAsia"/>
                <w:kern w:val="0"/>
                <w:sz w:val="24"/>
              </w:rPr>
            </w:pPr>
          </w:p>
        </w:tc>
        <w:tc>
          <w:tcPr>
            <w:tcW w:w="767" w:type="dxa"/>
            <w:noWrap/>
            <w:vAlign w:val="center"/>
          </w:tcPr>
          <w:p w14:paraId="5E7D31B5">
            <w:pPr>
              <w:widowControl/>
              <w:jc w:val="center"/>
              <w:rPr>
                <w:rFonts w:asciiTheme="minorEastAsia" w:hAnsiTheme="minorEastAsia" w:eastAsiaTheme="minorEastAsia"/>
                <w:kern w:val="0"/>
                <w:sz w:val="24"/>
                <w:szCs w:val="18"/>
              </w:rPr>
            </w:pPr>
          </w:p>
        </w:tc>
        <w:tc>
          <w:tcPr>
            <w:tcW w:w="737" w:type="dxa"/>
            <w:noWrap/>
            <w:vAlign w:val="center"/>
          </w:tcPr>
          <w:p w14:paraId="20B6B215">
            <w:pPr>
              <w:widowControl/>
              <w:jc w:val="center"/>
              <w:rPr>
                <w:rFonts w:asciiTheme="minorEastAsia" w:hAnsiTheme="minorEastAsia" w:eastAsiaTheme="minorEastAsia"/>
                <w:kern w:val="0"/>
                <w:sz w:val="24"/>
              </w:rPr>
            </w:pPr>
          </w:p>
        </w:tc>
      </w:tr>
      <w:tr w14:paraId="2FF6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36354216">
            <w:pPr>
              <w:widowControl/>
              <w:jc w:val="center"/>
              <w:rPr>
                <w:rFonts w:asciiTheme="minorEastAsia" w:hAnsiTheme="minorEastAsia" w:eastAsiaTheme="minorEastAsia"/>
                <w:kern w:val="0"/>
                <w:sz w:val="24"/>
              </w:rPr>
            </w:pPr>
          </w:p>
        </w:tc>
        <w:tc>
          <w:tcPr>
            <w:tcW w:w="1348" w:type="dxa"/>
            <w:noWrap/>
            <w:vAlign w:val="center"/>
          </w:tcPr>
          <w:p w14:paraId="7E7CFEBB">
            <w:pPr>
              <w:widowControl/>
              <w:jc w:val="center"/>
              <w:rPr>
                <w:rFonts w:asciiTheme="minorEastAsia" w:hAnsiTheme="minorEastAsia" w:eastAsiaTheme="minorEastAsia"/>
                <w:kern w:val="0"/>
                <w:sz w:val="24"/>
              </w:rPr>
            </w:pPr>
          </w:p>
        </w:tc>
        <w:tc>
          <w:tcPr>
            <w:tcW w:w="716" w:type="dxa"/>
            <w:noWrap/>
            <w:vAlign w:val="center"/>
          </w:tcPr>
          <w:p w14:paraId="41068C22">
            <w:pPr>
              <w:widowControl/>
              <w:jc w:val="center"/>
              <w:rPr>
                <w:rFonts w:asciiTheme="minorEastAsia" w:hAnsiTheme="minorEastAsia" w:eastAsiaTheme="minorEastAsia"/>
                <w:kern w:val="0"/>
                <w:sz w:val="24"/>
              </w:rPr>
            </w:pPr>
          </w:p>
        </w:tc>
        <w:tc>
          <w:tcPr>
            <w:tcW w:w="715" w:type="dxa"/>
            <w:noWrap/>
            <w:vAlign w:val="center"/>
          </w:tcPr>
          <w:p w14:paraId="34C36E71">
            <w:pPr>
              <w:widowControl/>
              <w:jc w:val="center"/>
              <w:rPr>
                <w:rFonts w:asciiTheme="minorEastAsia" w:hAnsiTheme="minorEastAsia" w:eastAsiaTheme="minorEastAsia"/>
                <w:kern w:val="0"/>
                <w:sz w:val="24"/>
              </w:rPr>
            </w:pPr>
          </w:p>
        </w:tc>
        <w:tc>
          <w:tcPr>
            <w:tcW w:w="1230" w:type="dxa"/>
            <w:noWrap/>
            <w:vAlign w:val="center"/>
          </w:tcPr>
          <w:p w14:paraId="3BE48594">
            <w:pPr>
              <w:widowControl/>
              <w:jc w:val="center"/>
              <w:rPr>
                <w:rFonts w:asciiTheme="minorEastAsia" w:hAnsiTheme="minorEastAsia" w:eastAsiaTheme="minorEastAsia"/>
                <w:kern w:val="0"/>
                <w:sz w:val="24"/>
              </w:rPr>
            </w:pPr>
          </w:p>
        </w:tc>
        <w:tc>
          <w:tcPr>
            <w:tcW w:w="715" w:type="dxa"/>
            <w:noWrap/>
            <w:vAlign w:val="center"/>
          </w:tcPr>
          <w:p w14:paraId="705B4368">
            <w:pPr>
              <w:widowControl/>
              <w:jc w:val="center"/>
              <w:rPr>
                <w:rFonts w:asciiTheme="minorEastAsia" w:hAnsiTheme="minorEastAsia" w:eastAsiaTheme="minorEastAsia"/>
                <w:kern w:val="0"/>
                <w:sz w:val="24"/>
              </w:rPr>
            </w:pPr>
          </w:p>
        </w:tc>
        <w:tc>
          <w:tcPr>
            <w:tcW w:w="715" w:type="dxa"/>
            <w:vAlign w:val="center"/>
          </w:tcPr>
          <w:p w14:paraId="453158C3">
            <w:pPr>
              <w:widowControl/>
              <w:jc w:val="center"/>
              <w:rPr>
                <w:rFonts w:asciiTheme="minorEastAsia" w:hAnsiTheme="minorEastAsia" w:eastAsiaTheme="minorEastAsia"/>
                <w:kern w:val="0"/>
                <w:sz w:val="24"/>
                <w:szCs w:val="18"/>
              </w:rPr>
            </w:pPr>
          </w:p>
        </w:tc>
        <w:tc>
          <w:tcPr>
            <w:tcW w:w="795" w:type="dxa"/>
            <w:noWrap/>
            <w:vAlign w:val="center"/>
          </w:tcPr>
          <w:p w14:paraId="3B6EDEC3">
            <w:pPr>
              <w:widowControl/>
              <w:jc w:val="center"/>
              <w:rPr>
                <w:rFonts w:asciiTheme="minorEastAsia" w:hAnsiTheme="minorEastAsia" w:eastAsiaTheme="minorEastAsia"/>
                <w:kern w:val="0"/>
                <w:sz w:val="24"/>
              </w:rPr>
            </w:pPr>
          </w:p>
        </w:tc>
        <w:tc>
          <w:tcPr>
            <w:tcW w:w="767" w:type="dxa"/>
            <w:noWrap/>
            <w:vAlign w:val="center"/>
          </w:tcPr>
          <w:p w14:paraId="5174929A">
            <w:pPr>
              <w:widowControl/>
              <w:jc w:val="center"/>
              <w:rPr>
                <w:rFonts w:asciiTheme="minorEastAsia" w:hAnsiTheme="minorEastAsia" w:eastAsiaTheme="minorEastAsia"/>
                <w:kern w:val="0"/>
                <w:sz w:val="24"/>
              </w:rPr>
            </w:pPr>
          </w:p>
        </w:tc>
        <w:tc>
          <w:tcPr>
            <w:tcW w:w="737" w:type="dxa"/>
            <w:noWrap/>
            <w:vAlign w:val="center"/>
          </w:tcPr>
          <w:p w14:paraId="2D9FAA1C">
            <w:pPr>
              <w:widowControl/>
              <w:jc w:val="center"/>
              <w:rPr>
                <w:rFonts w:asciiTheme="minorEastAsia" w:hAnsiTheme="minorEastAsia" w:eastAsiaTheme="minorEastAsia"/>
                <w:kern w:val="0"/>
                <w:sz w:val="24"/>
              </w:rPr>
            </w:pPr>
          </w:p>
        </w:tc>
      </w:tr>
      <w:tr w14:paraId="67F3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3" w:type="dxa"/>
            <w:noWrap/>
            <w:vAlign w:val="center"/>
          </w:tcPr>
          <w:p w14:paraId="1DDC3DF2">
            <w:pPr>
              <w:widowControl/>
              <w:jc w:val="center"/>
              <w:rPr>
                <w:rFonts w:asciiTheme="minorEastAsia" w:hAnsiTheme="minorEastAsia" w:eastAsiaTheme="minorEastAsia"/>
                <w:kern w:val="0"/>
                <w:sz w:val="24"/>
              </w:rPr>
            </w:pPr>
          </w:p>
        </w:tc>
        <w:tc>
          <w:tcPr>
            <w:tcW w:w="1348" w:type="dxa"/>
            <w:noWrap/>
            <w:vAlign w:val="center"/>
          </w:tcPr>
          <w:p w14:paraId="7C58E212">
            <w:pPr>
              <w:widowControl/>
              <w:jc w:val="center"/>
              <w:rPr>
                <w:rFonts w:asciiTheme="minorEastAsia" w:hAnsiTheme="minorEastAsia" w:eastAsiaTheme="minorEastAsia"/>
                <w:kern w:val="0"/>
                <w:sz w:val="24"/>
              </w:rPr>
            </w:pPr>
          </w:p>
        </w:tc>
        <w:tc>
          <w:tcPr>
            <w:tcW w:w="716" w:type="dxa"/>
            <w:noWrap/>
            <w:vAlign w:val="center"/>
          </w:tcPr>
          <w:p w14:paraId="7D2AD9C6">
            <w:pPr>
              <w:widowControl/>
              <w:jc w:val="center"/>
              <w:rPr>
                <w:rFonts w:asciiTheme="minorEastAsia" w:hAnsiTheme="minorEastAsia" w:eastAsiaTheme="minorEastAsia"/>
                <w:kern w:val="0"/>
                <w:sz w:val="24"/>
              </w:rPr>
            </w:pPr>
          </w:p>
        </w:tc>
        <w:tc>
          <w:tcPr>
            <w:tcW w:w="715" w:type="dxa"/>
            <w:noWrap/>
            <w:vAlign w:val="center"/>
          </w:tcPr>
          <w:p w14:paraId="20995957">
            <w:pPr>
              <w:widowControl/>
              <w:jc w:val="center"/>
              <w:rPr>
                <w:rFonts w:asciiTheme="minorEastAsia" w:hAnsiTheme="minorEastAsia" w:eastAsiaTheme="minorEastAsia"/>
                <w:kern w:val="0"/>
                <w:sz w:val="24"/>
              </w:rPr>
            </w:pPr>
          </w:p>
        </w:tc>
        <w:tc>
          <w:tcPr>
            <w:tcW w:w="1230" w:type="dxa"/>
            <w:noWrap/>
            <w:vAlign w:val="center"/>
          </w:tcPr>
          <w:p w14:paraId="3EF22415">
            <w:pPr>
              <w:widowControl/>
              <w:jc w:val="center"/>
              <w:rPr>
                <w:rFonts w:asciiTheme="minorEastAsia" w:hAnsiTheme="minorEastAsia" w:eastAsiaTheme="minorEastAsia"/>
                <w:kern w:val="0"/>
                <w:sz w:val="24"/>
              </w:rPr>
            </w:pPr>
          </w:p>
        </w:tc>
        <w:tc>
          <w:tcPr>
            <w:tcW w:w="715" w:type="dxa"/>
            <w:noWrap/>
            <w:vAlign w:val="center"/>
          </w:tcPr>
          <w:p w14:paraId="0664A8EA">
            <w:pPr>
              <w:widowControl/>
              <w:jc w:val="center"/>
              <w:rPr>
                <w:rFonts w:asciiTheme="minorEastAsia" w:hAnsiTheme="minorEastAsia" w:eastAsiaTheme="minorEastAsia"/>
                <w:kern w:val="0"/>
                <w:sz w:val="24"/>
              </w:rPr>
            </w:pPr>
          </w:p>
        </w:tc>
        <w:tc>
          <w:tcPr>
            <w:tcW w:w="715" w:type="dxa"/>
            <w:vAlign w:val="center"/>
          </w:tcPr>
          <w:p w14:paraId="0D37F725">
            <w:pPr>
              <w:widowControl/>
              <w:jc w:val="center"/>
              <w:rPr>
                <w:rFonts w:asciiTheme="minorEastAsia" w:hAnsiTheme="minorEastAsia" w:eastAsiaTheme="minorEastAsia"/>
                <w:kern w:val="0"/>
                <w:sz w:val="24"/>
                <w:szCs w:val="18"/>
              </w:rPr>
            </w:pPr>
          </w:p>
        </w:tc>
        <w:tc>
          <w:tcPr>
            <w:tcW w:w="795" w:type="dxa"/>
            <w:noWrap/>
            <w:vAlign w:val="center"/>
          </w:tcPr>
          <w:p w14:paraId="793F7498">
            <w:pPr>
              <w:widowControl/>
              <w:jc w:val="center"/>
              <w:rPr>
                <w:rFonts w:asciiTheme="minorEastAsia" w:hAnsiTheme="minorEastAsia" w:eastAsiaTheme="minorEastAsia"/>
                <w:kern w:val="0"/>
                <w:sz w:val="24"/>
              </w:rPr>
            </w:pPr>
          </w:p>
        </w:tc>
        <w:tc>
          <w:tcPr>
            <w:tcW w:w="767" w:type="dxa"/>
            <w:noWrap/>
            <w:vAlign w:val="center"/>
          </w:tcPr>
          <w:p w14:paraId="44700023">
            <w:pPr>
              <w:widowControl/>
              <w:jc w:val="center"/>
              <w:rPr>
                <w:rFonts w:asciiTheme="minorEastAsia" w:hAnsiTheme="minorEastAsia" w:eastAsiaTheme="minorEastAsia"/>
                <w:kern w:val="0"/>
                <w:sz w:val="24"/>
              </w:rPr>
            </w:pPr>
          </w:p>
        </w:tc>
        <w:tc>
          <w:tcPr>
            <w:tcW w:w="737" w:type="dxa"/>
            <w:noWrap/>
            <w:vAlign w:val="center"/>
          </w:tcPr>
          <w:p w14:paraId="5D40F79A">
            <w:pPr>
              <w:widowControl/>
              <w:jc w:val="center"/>
              <w:rPr>
                <w:rFonts w:asciiTheme="minorEastAsia" w:hAnsiTheme="minorEastAsia" w:eastAsiaTheme="minorEastAsia"/>
                <w:kern w:val="0"/>
                <w:sz w:val="24"/>
              </w:rPr>
            </w:pPr>
          </w:p>
        </w:tc>
      </w:tr>
      <w:tr w14:paraId="41B8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304D9568">
            <w:pPr>
              <w:widowControl/>
              <w:jc w:val="center"/>
              <w:rPr>
                <w:rFonts w:asciiTheme="minorEastAsia" w:hAnsiTheme="minorEastAsia" w:eastAsiaTheme="minorEastAsia"/>
                <w:kern w:val="0"/>
                <w:sz w:val="24"/>
              </w:rPr>
            </w:pPr>
          </w:p>
        </w:tc>
        <w:tc>
          <w:tcPr>
            <w:tcW w:w="1348" w:type="dxa"/>
            <w:noWrap/>
            <w:vAlign w:val="center"/>
          </w:tcPr>
          <w:p w14:paraId="344EAB6A">
            <w:pPr>
              <w:widowControl/>
              <w:jc w:val="center"/>
              <w:rPr>
                <w:rFonts w:asciiTheme="minorEastAsia" w:hAnsiTheme="minorEastAsia" w:eastAsiaTheme="minorEastAsia"/>
                <w:kern w:val="0"/>
                <w:sz w:val="24"/>
              </w:rPr>
            </w:pPr>
          </w:p>
        </w:tc>
        <w:tc>
          <w:tcPr>
            <w:tcW w:w="716" w:type="dxa"/>
            <w:noWrap/>
            <w:vAlign w:val="center"/>
          </w:tcPr>
          <w:p w14:paraId="4DB30EC1">
            <w:pPr>
              <w:widowControl/>
              <w:jc w:val="center"/>
              <w:rPr>
                <w:rFonts w:asciiTheme="minorEastAsia" w:hAnsiTheme="minorEastAsia" w:eastAsiaTheme="minorEastAsia"/>
                <w:kern w:val="0"/>
                <w:sz w:val="24"/>
              </w:rPr>
            </w:pPr>
          </w:p>
        </w:tc>
        <w:tc>
          <w:tcPr>
            <w:tcW w:w="715" w:type="dxa"/>
            <w:noWrap/>
            <w:vAlign w:val="center"/>
          </w:tcPr>
          <w:p w14:paraId="4E99341C">
            <w:pPr>
              <w:widowControl/>
              <w:jc w:val="center"/>
              <w:rPr>
                <w:rFonts w:asciiTheme="minorEastAsia" w:hAnsiTheme="minorEastAsia" w:eastAsiaTheme="minorEastAsia"/>
                <w:kern w:val="0"/>
                <w:sz w:val="24"/>
              </w:rPr>
            </w:pPr>
          </w:p>
        </w:tc>
        <w:tc>
          <w:tcPr>
            <w:tcW w:w="1230" w:type="dxa"/>
            <w:noWrap/>
            <w:vAlign w:val="center"/>
          </w:tcPr>
          <w:p w14:paraId="19C1C621">
            <w:pPr>
              <w:widowControl/>
              <w:jc w:val="center"/>
              <w:rPr>
                <w:rFonts w:asciiTheme="minorEastAsia" w:hAnsiTheme="minorEastAsia" w:eastAsiaTheme="minorEastAsia"/>
                <w:kern w:val="0"/>
                <w:sz w:val="24"/>
              </w:rPr>
            </w:pPr>
          </w:p>
        </w:tc>
        <w:tc>
          <w:tcPr>
            <w:tcW w:w="715" w:type="dxa"/>
            <w:noWrap/>
            <w:vAlign w:val="center"/>
          </w:tcPr>
          <w:p w14:paraId="70654469">
            <w:pPr>
              <w:widowControl/>
              <w:jc w:val="center"/>
              <w:rPr>
                <w:rFonts w:asciiTheme="minorEastAsia" w:hAnsiTheme="minorEastAsia" w:eastAsiaTheme="minorEastAsia"/>
                <w:kern w:val="0"/>
                <w:sz w:val="24"/>
              </w:rPr>
            </w:pPr>
          </w:p>
        </w:tc>
        <w:tc>
          <w:tcPr>
            <w:tcW w:w="715" w:type="dxa"/>
            <w:noWrap/>
            <w:vAlign w:val="center"/>
          </w:tcPr>
          <w:p w14:paraId="18EC38F1">
            <w:pPr>
              <w:widowControl/>
              <w:jc w:val="center"/>
              <w:rPr>
                <w:rFonts w:asciiTheme="minorEastAsia" w:hAnsiTheme="minorEastAsia" w:eastAsiaTheme="minorEastAsia"/>
                <w:kern w:val="0"/>
                <w:sz w:val="24"/>
              </w:rPr>
            </w:pPr>
          </w:p>
        </w:tc>
        <w:tc>
          <w:tcPr>
            <w:tcW w:w="795" w:type="dxa"/>
            <w:noWrap/>
            <w:vAlign w:val="center"/>
          </w:tcPr>
          <w:p w14:paraId="3EC6CFE9">
            <w:pPr>
              <w:widowControl/>
              <w:jc w:val="center"/>
              <w:rPr>
                <w:rFonts w:asciiTheme="minorEastAsia" w:hAnsiTheme="minorEastAsia" w:eastAsiaTheme="minorEastAsia"/>
                <w:kern w:val="0"/>
                <w:sz w:val="24"/>
              </w:rPr>
            </w:pPr>
          </w:p>
        </w:tc>
        <w:tc>
          <w:tcPr>
            <w:tcW w:w="767" w:type="dxa"/>
            <w:noWrap/>
            <w:vAlign w:val="center"/>
          </w:tcPr>
          <w:p w14:paraId="0B5E096C">
            <w:pPr>
              <w:widowControl/>
              <w:jc w:val="center"/>
              <w:rPr>
                <w:rFonts w:asciiTheme="minorEastAsia" w:hAnsiTheme="minorEastAsia" w:eastAsiaTheme="minorEastAsia"/>
                <w:kern w:val="0"/>
                <w:sz w:val="24"/>
              </w:rPr>
            </w:pPr>
          </w:p>
        </w:tc>
        <w:tc>
          <w:tcPr>
            <w:tcW w:w="737" w:type="dxa"/>
            <w:noWrap/>
            <w:vAlign w:val="center"/>
          </w:tcPr>
          <w:p w14:paraId="3211B6D8">
            <w:pPr>
              <w:widowControl/>
              <w:jc w:val="center"/>
              <w:rPr>
                <w:rFonts w:asciiTheme="minorEastAsia" w:hAnsiTheme="minorEastAsia" w:eastAsiaTheme="minorEastAsia"/>
                <w:kern w:val="0"/>
                <w:sz w:val="24"/>
              </w:rPr>
            </w:pPr>
          </w:p>
        </w:tc>
      </w:tr>
      <w:tr w14:paraId="79F0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7DECFF44">
            <w:pPr>
              <w:widowControl/>
              <w:jc w:val="center"/>
              <w:rPr>
                <w:rFonts w:asciiTheme="minorEastAsia" w:hAnsiTheme="minorEastAsia" w:eastAsiaTheme="minorEastAsia"/>
                <w:kern w:val="0"/>
                <w:sz w:val="24"/>
              </w:rPr>
            </w:pPr>
          </w:p>
        </w:tc>
        <w:tc>
          <w:tcPr>
            <w:tcW w:w="1348" w:type="dxa"/>
            <w:noWrap/>
            <w:vAlign w:val="center"/>
          </w:tcPr>
          <w:p w14:paraId="14516694">
            <w:pPr>
              <w:widowControl/>
              <w:jc w:val="center"/>
              <w:rPr>
                <w:rFonts w:asciiTheme="minorEastAsia" w:hAnsiTheme="minorEastAsia" w:eastAsiaTheme="minorEastAsia"/>
                <w:kern w:val="0"/>
                <w:sz w:val="24"/>
              </w:rPr>
            </w:pPr>
          </w:p>
        </w:tc>
        <w:tc>
          <w:tcPr>
            <w:tcW w:w="716" w:type="dxa"/>
            <w:noWrap/>
            <w:vAlign w:val="center"/>
          </w:tcPr>
          <w:p w14:paraId="79D18AE8">
            <w:pPr>
              <w:widowControl/>
              <w:jc w:val="center"/>
              <w:rPr>
                <w:rFonts w:asciiTheme="minorEastAsia" w:hAnsiTheme="minorEastAsia" w:eastAsiaTheme="minorEastAsia"/>
                <w:kern w:val="0"/>
                <w:sz w:val="24"/>
              </w:rPr>
            </w:pPr>
          </w:p>
        </w:tc>
        <w:tc>
          <w:tcPr>
            <w:tcW w:w="715" w:type="dxa"/>
            <w:noWrap/>
            <w:vAlign w:val="center"/>
          </w:tcPr>
          <w:p w14:paraId="4FD37645">
            <w:pPr>
              <w:widowControl/>
              <w:jc w:val="center"/>
              <w:rPr>
                <w:rFonts w:asciiTheme="minorEastAsia" w:hAnsiTheme="minorEastAsia" w:eastAsiaTheme="minorEastAsia"/>
                <w:kern w:val="0"/>
                <w:sz w:val="24"/>
              </w:rPr>
            </w:pPr>
          </w:p>
        </w:tc>
        <w:tc>
          <w:tcPr>
            <w:tcW w:w="1230" w:type="dxa"/>
            <w:noWrap/>
            <w:vAlign w:val="center"/>
          </w:tcPr>
          <w:p w14:paraId="701F4A38">
            <w:pPr>
              <w:widowControl/>
              <w:jc w:val="center"/>
              <w:rPr>
                <w:rFonts w:asciiTheme="minorEastAsia" w:hAnsiTheme="minorEastAsia" w:eastAsiaTheme="minorEastAsia"/>
                <w:kern w:val="0"/>
                <w:sz w:val="24"/>
              </w:rPr>
            </w:pPr>
          </w:p>
        </w:tc>
        <w:tc>
          <w:tcPr>
            <w:tcW w:w="715" w:type="dxa"/>
            <w:noWrap/>
            <w:vAlign w:val="center"/>
          </w:tcPr>
          <w:p w14:paraId="40BB22A6">
            <w:pPr>
              <w:widowControl/>
              <w:jc w:val="center"/>
              <w:rPr>
                <w:rFonts w:asciiTheme="minorEastAsia" w:hAnsiTheme="minorEastAsia" w:eastAsiaTheme="minorEastAsia"/>
                <w:kern w:val="0"/>
                <w:sz w:val="24"/>
              </w:rPr>
            </w:pPr>
          </w:p>
        </w:tc>
        <w:tc>
          <w:tcPr>
            <w:tcW w:w="715" w:type="dxa"/>
            <w:noWrap/>
            <w:vAlign w:val="center"/>
          </w:tcPr>
          <w:p w14:paraId="270642AA">
            <w:pPr>
              <w:widowControl/>
              <w:jc w:val="center"/>
              <w:rPr>
                <w:rFonts w:asciiTheme="minorEastAsia" w:hAnsiTheme="minorEastAsia" w:eastAsiaTheme="minorEastAsia"/>
                <w:kern w:val="0"/>
                <w:sz w:val="24"/>
              </w:rPr>
            </w:pPr>
          </w:p>
        </w:tc>
        <w:tc>
          <w:tcPr>
            <w:tcW w:w="795" w:type="dxa"/>
            <w:noWrap/>
            <w:vAlign w:val="center"/>
          </w:tcPr>
          <w:p w14:paraId="59475862">
            <w:pPr>
              <w:widowControl/>
              <w:jc w:val="center"/>
              <w:rPr>
                <w:rFonts w:asciiTheme="minorEastAsia" w:hAnsiTheme="minorEastAsia" w:eastAsiaTheme="minorEastAsia"/>
                <w:kern w:val="0"/>
                <w:sz w:val="24"/>
              </w:rPr>
            </w:pPr>
          </w:p>
        </w:tc>
        <w:tc>
          <w:tcPr>
            <w:tcW w:w="767" w:type="dxa"/>
            <w:noWrap/>
            <w:vAlign w:val="center"/>
          </w:tcPr>
          <w:p w14:paraId="4DD4A876">
            <w:pPr>
              <w:widowControl/>
              <w:jc w:val="center"/>
              <w:rPr>
                <w:rFonts w:asciiTheme="minorEastAsia" w:hAnsiTheme="minorEastAsia" w:eastAsiaTheme="minorEastAsia"/>
                <w:kern w:val="0"/>
                <w:sz w:val="24"/>
              </w:rPr>
            </w:pPr>
          </w:p>
        </w:tc>
        <w:tc>
          <w:tcPr>
            <w:tcW w:w="737" w:type="dxa"/>
            <w:noWrap/>
            <w:vAlign w:val="center"/>
          </w:tcPr>
          <w:p w14:paraId="2A48A45E">
            <w:pPr>
              <w:widowControl/>
              <w:jc w:val="center"/>
              <w:rPr>
                <w:rFonts w:asciiTheme="minorEastAsia" w:hAnsiTheme="minorEastAsia" w:eastAsiaTheme="minorEastAsia"/>
                <w:kern w:val="0"/>
                <w:sz w:val="24"/>
              </w:rPr>
            </w:pPr>
          </w:p>
        </w:tc>
      </w:tr>
      <w:tr w14:paraId="753F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2E3C56A1">
            <w:pPr>
              <w:widowControl/>
              <w:jc w:val="center"/>
              <w:rPr>
                <w:rFonts w:asciiTheme="minorEastAsia" w:hAnsiTheme="minorEastAsia" w:eastAsiaTheme="minorEastAsia"/>
                <w:kern w:val="0"/>
                <w:sz w:val="24"/>
              </w:rPr>
            </w:pPr>
          </w:p>
        </w:tc>
        <w:tc>
          <w:tcPr>
            <w:tcW w:w="1348" w:type="dxa"/>
            <w:noWrap/>
            <w:vAlign w:val="center"/>
          </w:tcPr>
          <w:p w14:paraId="5A38A749">
            <w:pPr>
              <w:widowControl/>
              <w:jc w:val="center"/>
              <w:rPr>
                <w:rFonts w:asciiTheme="minorEastAsia" w:hAnsiTheme="minorEastAsia" w:eastAsiaTheme="minorEastAsia"/>
                <w:kern w:val="0"/>
                <w:sz w:val="24"/>
              </w:rPr>
            </w:pPr>
          </w:p>
        </w:tc>
        <w:tc>
          <w:tcPr>
            <w:tcW w:w="716" w:type="dxa"/>
            <w:noWrap/>
            <w:vAlign w:val="center"/>
          </w:tcPr>
          <w:p w14:paraId="3629043C">
            <w:pPr>
              <w:widowControl/>
              <w:jc w:val="center"/>
              <w:rPr>
                <w:rFonts w:asciiTheme="minorEastAsia" w:hAnsiTheme="minorEastAsia" w:eastAsiaTheme="minorEastAsia"/>
                <w:kern w:val="0"/>
                <w:sz w:val="24"/>
              </w:rPr>
            </w:pPr>
          </w:p>
        </w:tc>
        <w:tc>
          <w:tcPr>
            <w:tcW w:w="715" w:type="dxa"/>
            <w:noWrap/>
            <w:vAlign w:val="center"/>
          </w:tcPr>
          <w:p w14:paraId="12451D70">
            <w:pPr>
              <w:widowControl/>
              <w:jc w:val="center"/>
              <w:rPr>
                <w:rFonts w:asciiTheme="minorEastAsia" w:hAnsiTheme="minorEastAsia" w:eastAsiaTheme="minorEastAsia"/>
                <w:kern w:val="0"/>
                <w:sz w:val="24"/>
              </w:rPr>
            </w:pPr>
          </w:p>
        </w:tc>
        <w:tc>
          <w:tcPr>
            <w:tcW w:w="1230" w:type="dxa"/>
            <w:noWrap/>
            <w:vAlign w:val="center"/>
          </w:tcPr>
          <w:p w14:paraId="09C395A5">
            <w:pPr>
              <w:widowControl/>
              <w:jc w:val="center"/>
              <w:rPr>
                <w:rFonts w:asciiTheme="minorEastAsia" w:hAnsiTheme="minorEastAsia" w:eastAsiaTheme="minorEastAsia"/>
                <w:kern w:val="0"/>
                <w:sz w:val="24"/>
              </w:rPr>
            </w:pPr>
          </w:p>
        </w:tc>
        <w:tc>
          <w:tcPr>
            <w:tcW w:w="715" w:type="dxa"/>
            <w:noWrap/>
            <w:vAlign w:val="center"/>
          </w:tcPr>
          <w:p w14:paraId="38F707BF">
            <w:pPr>
              <w:widowControl/>
              <w:jc w:val="center"/>
              <w:rPr>
                <w:rFonts w:asciiTheme="minorEastAsia" w:hAnsiTheme="minorEastAsia" w:eastAsiaTheme="minorEastAsia"/>
                <w:kern w:val="0"/>
                <w:sz w:val="24"/>
              </w:rPr>
            </w:pPr>
          </w:p>
        </w:tc>
        <w:tc>
          <w:tcPr>
            <w:tcW w:w="715" w:type="dxa"/>
            <w:noWrap/>
            <w:vAlign w:val="center"/>
          </w:tcPr>
          <w:p w14:paraId="149FEC81">
            <w:pPr>
              <w:widowControl/>
              <w:jc w:val="center"/>
              <w:rPr>
                <w:rFonts w:asciiTheme="minorEastAsia" w:hAnsiTheme="minorEastAsia" w:eastAsiaTheme="minorEastAsia"/>
                <w:kern w:val="0"/>
                <w:sz w:val="24"/>
              </w:rPr>
            </w:pPr>
          </w:p>
        </w:tc>
        <w:tc>
          <w:tcPr>
            <w:tcW w:w="795" w:type="dxa"/>
            <w:noWrap/>
            <w:vAlign w:val="center"/>
          </w:tcPr>
          <w:p w14:paraId="1B446E69">
            <w:pPr>
              <w:widowControl/>
              <w:jc w:val="center"/>
              <w:rPr>
                <w:rFonts w:asciiTheme="minorEastAsia" w:hAnsiTheme="minorEastAsia" w:eastAsiaTheme="minorEastAsia"/>
                <w:kern w:val="0"/>
                <w:sz w:val="24"/>
              </w:rPr>
            </w:pPr>
          </w:p>
        </w:tc>
        <w:tc>
          <w:tcPr>
            <w:tcW w:w="767" w:type="dxa"/>
            <w:noWrap/>
            <w:vAlign w:val="center"/>
          </w:tcPr>
          <w:p w14:paraId="40E99E6D">
            <w:pPr>
              <w:widowControl/>
              <w:jc w:val="center"/>
              <w:rPr>
                <w:rFonts w:asciiTheme="minorEastAsia" w:hAnsiTheme="minorEastAsia" w:eastAsiaTheme="minorEastAsia"/>
                <w:kern w:val="0"/>
                <w:sz w:val="24"/>
              </w:rPr>
            </w:pPr>
          </w:p>
        </w:tc>
        <w:tc>
          <w:tcPr>
            <w:tcW w:w="737" w:type="dxa"/>
            <w:noWrap/>
            <w:vAlign w:val="center"/>
          </w:tcPr>
          <w:p w14:paraId="2F112225">
            <w:pPr>
              <w:widowControl/>
              <w:jc w:val="center"/>
              <w:rPr>
                <w:rFonts w:asciiTheme="minorEastAsia" w:hAnsiTheme="minorEastAsia" w:eastAsiaTheme="minorEastAsia"/>
                <w:kern w:val="0"/>
                <w:sz w:val="24"/>
              </w:rPr>
            </w:pPr>
          </w:p>
        </w:tc>
      </w:tr>
      <w:tr w14:paraId="4576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3" w:type="dxa"/>
            <w:noWrap/>
            <w:vAlign w:val="center"/>
          </w:tcPr>
          <w:p w14:paraId="3282F946">
            <w:pPr>
              <w:widowControl/>
              <w:jc w:val="center"/>
              <w:rPr>
                <w:rFonts w:asciiTheme="minorEastAsia" w:hAnsiTheme="minorEastAsia" w:eastAsiaTheme="minorEastAsia"/>
                <w:kern w:val="0"/>
                <w:sz w:val="24"/>
              </w:rPr>
            </w:pPr>
          </w:p>
        </w:tc>
        <w:tc>
          <w:tcPr>
            <w:tcW w:w="1348" w:type="dxa"/>
            <w:noWrap/>
            <w:vAlign w:val="center"/>
          </w:tcPr>
          <w:p w14:paraId="61D4BA2C">
            <w:pPr>
              <w:widowControl/>
              <w:jc w:val="center"/>
              <w:rPr>
                <w:rFonts w:asciiTheme="minorEastAsia" w:hAnsiTheme="minorEastAsia" w:eastAsiaTheme="minorEastAsia"/>
                <w:kern w:val="0"/>
                <w:sz w:val="24"/>
              </w:rPr>
            </w:pPr>
          </w:p>
        </w:tc>
        <w:tc>
          <w:tcPr>
            <w:tcW w:w="716" w:type="dxa"/>
            <w:noWrap/>
            <w:vAlign w:val="center"/>
          </w:tcPr>
          <w:p w14:paraId="73D9FC3E">
            <w:pPr>
              <w:widowControl/>
              <w:jc w:val="center"/>
              <w:rPr>
                <w:rFonts w:asciiTheme="minorEastAsia" w:hAnsiTheme="minorEastAsia" w:eastAsiaTheme="minorEastAsia"/>
                <w:kern w:val="0"/>
                <w:sz w:val="24"/>
              </w:rPr>
            </w:pPr>
          </w:p>
        </w:tc>
        <w:tc>
          <w:tcPr>
            <w:tcW w:w="715" w:type="dxa"/>
            <w:noWrap/>
            <w:vAlign w:val="center"/>
          </w:tcPr>
          <w:p w14:paraId="09240B7E">
            <w:pPr>
              <w:widowControl/>
              <w:jc w:val="center"/>
              <w:rPr>
                <w:rFonts w:asciiTheme="minorEastAsia" w:hAnsiTheme="minorEastAsia" w:eastAsiaTheme="minorEastAsia"/>
                <w:kern w:val="0"/>
                <w:sz w:val="24"/>
              </w:rPr>
            </w:pPr>
          </w:p>
        </w:tc>
        <w:tc>
          <w:tcPr>
            <w:tcW w:w="1230" w:type="dxa"/>
            <w:noWrap/>
            <w:vAlign w:val="center"/>
          </w:tcPr>
          <w:p w14:paraId="698F7A52">
            <w:pPr>
              <w:widowControl/>
              <w:jc w:val="center"/>
              <w:rPr>
                <w:rFonts w:asciiTheme="minorEastAsia" w:hAnsiTheme="minorEastAsia" w:eastAsiaTheme="minorEastAsia"/>
                <w:kern w:val="0"/>
                <w:sz w:val="24"/>
              </w:rPr>
            </w:pPr>
          </w:p>
        </w:tc>
        <w:tc>
          <w:tcPr>
            <w:tcW w:w="715" w:type="dxa"/>
            <w:noWrap/>
            <w:vAlign w:val="center"/>
          </w:tcPr>
          <w:p w14:paraId="5B95DEDC">
            <w:pPr>
              <w:widowControl/>
              <w:jc w:val="center"/>
              <w:rPr>
                <w:rFonts w:asciiTheme="minorEastAsia" w:hAnsiTheme="minorEastAsia" w:eastAsiaTheme="minorEastAsia"/>
                <w:kern w:val="0"/>
                <w:sz w:val="24"/>
              </w:rPr>
            </w:pPr>
          </w:p>
        </w:tc>
        <w:tc>
          <w:tcPr>
            <w:tcW w:w="715" w:type="dxa"/>
            <w:noWrap/>
            <w:vAlign w:val="center"/>
          </w:tcPr>
          <w:p w14:paraId="419861B0">
            <w:pPr>
              <w:widowControl/>
              <w:jc w:val="center"/>
              <w:rPr>
                <w:rFonts w:asciiTheme="minorEastAsia" w:hAnsiTheme="minorEastAsia" w:eastAsiaTheme="minorEastAsia"/>
                <w:kern w:val="0"/>
                <w:sz w:val="24"/>
              </w:rPr>
            </w:pPr>
          </w:p>
        </w:tc>
        <w:tc>
          <w:tcPr>
            <w:tcW w:w="795" w:type="dxa"/>
            <w:noWrap/>
            <w:vAlign w:val="center"/>
          </w:tcPr>
          <w:p w14:paraId="7DBC62E0">
            <w:pPr>
              <w:widowControl/>
              <w:jc w:val="center"/>
              <w:rPr>
                <w:rFonts w:asciiTheme="minorEastAsia" w:hAnsiTheme="minorEastAsia" w:eastAsiaTheme="minorEastAsia"/>
                <w:kern w:val="0"/>
                <w:sz w:val="24"/>
              </w:rPr>
            </w:pPr>
          </w:p>
        </w:tc>
        <w:tc>
          <w:tcPr>
            <w:tcW w:w="767" w:type="dxa"/>
            <w:noWrap/>
            <w:vAlign w:val="center"/>
          </w:tcPr>
          <w:p w14:paraId="0C60AE95">
            <w:pPr>
              <w:widowControl/>
              <w:jc w:val="center"/>
              <w:rPr>
                <w:rFonts w:asciiTheme="minorEastAsia" w:hAnsiTheme="minorEastAsia" w:eastAsiaTheme="minorEastAsia"/>
                <w:kern w:val="0"/>
                <w:sz w:val="24"/>
              </w:rPr>
            </w:pPr>
          </w:p>
        </w:tc>
        <w:tc>
          <w:tcPr>
            <w:tcW w:w="737" w:type="dxa"/>
            <w:noWrap/>
            <w:vAlign w:val="center"/>
          </w:tcPr>
          <w:p w14:paraId="7A824468">
            <w:pPr>
              <w:widowControl/>
              <w:jc w:val="center"/>
              <w:rPr>
                <w:rFonts w:asciiTheme="minorEastAsia" w:hAnsiTheme="minorEastAsia" w:eastAsiaTheme="minorEastAsia"/>
                <w:kern w:val="0"/>
                <w:sz w:val="24"/>
              </w:rPr>
            </w:pPr>
          </w:p>
        </w:tc>
      </w:tr>
    </w:tbl>
    <w:p w14:paraId="0F13D3C8">
      <w:pPr>
        <w:spacing w:line="360" w:lineRule="auto"/>
        <w:ind w:firstLine="420"/>
        <w:rPr>
          <w:rFonts w:ascii="宋体" w:hAnsi="宋体" w:cs="宋体"/>
          <w:sz w:val="28"/>
          <w:szCs w:val="28"/>
        </w:rPr>
      </w:pPr>
    </w:p>
    <w:p w14:paraId="0654B49B">
      <w:pPr>
        <w:spacing w:line="360" w:lineRule="auto"/>
        <w:ind w:firstLine="420"/>
        <w:rPr>
          <w:rFonts w:ascii="宋体" w:hAnsi="宋体" w:cs="宋体"/>
          <w:sz w:val="28"/>
          <w:szCs w:val="28"/>
        </w:rPr>
      </w:pPr>
      <w:r>
        <w:rPr>
          <w:rFonts w:hint="eastAsia" w:ascii="宋体" w:hAnsi="宋体" w:cs="宋体"/>
          <w:sz w:val="28"/>
          <w:szCs w:val="28"/>
        </w:rPr>
        <w:t>报价说明：报价应包括完成采购文件规定的一切工作所需的全部费用，为最终优惠价格。</w:t>
      </w:r>
    </w:p>
    <w:p w14:paraId="038644BE">
      <w:pPr>
        <w:spacing w:line="360" w:lineRule="auto"/>
        <w:ind w:firstLine="420"/>
        <w:rPr>
          <w:rFonts w:ascii="宋体" w:hAnsi="宋体" w:cs="宋体"/>
          <w:sz w:val="28"/>
          <w:szCs w:val="28"/>
        </w:rPr>
      </w:pPr>
    </w:p>
    <w:p w14:paraId="168BCAA9">
      <w:pPr>
        <w:spacing w:line="360" w:lineRule="auto"/>
        <w:ind w:firstLine="420"/>
        <w:rPr>
          <w:rFonts w:ascii="宋体" w:hAnsi="宋体" w:cs="宋体"/>
          <w:sz w:val="28"/>
          <w:szCs w:val="28"/>
        </w:rPr>
      </w:pPr>
    </w:p>
    <w:p w14:paraId="6369E9F8">
      <w:pPr>
        <w:spacing w:line="360" w:lineRule="auto"/>
        <w:ind w:firstLine="420"/>
        <w:rPr>
          <w:rFonts w:ascii="宋体" w:hAnsi="宋体" w:cs="宋体"/>
          <w:sz w:val="28"/>
          <w:szCs w:val="28"/>
        </w:rPr>
      </w:pPr>
    </w:p>
    <w:p w14:paraId="6701BE6A">
      <w:pPr>
        <w:spacing w:line="360" w:lineRule="auto"/>
        <w:ind w:firstLine="2520" w:firstLineChars="900"/>
        <w:rPr>
          <w:rFonts w:ascii="宋体" w:hAnsi="宋体" w:cs="宋体"/>
          <w:sz w:val="28"/>
          <w:szCs w:val="28"/>
          <w:u w:val="single"/>
        </w:rPr>
      </w:pPr>
      <w:r>
        <w:rPr>
          <w:rFonts w:hint="eastAsia" w:ascii="宋体" w:hAnsi="宋体" w:cs="宋体"/>
          <w:sz w:val="28"/>
          <w:szCs w:val="28"/>
        </w:rPr>
        <w:t>供应商名称(公章)：</w:t>
      </w:r>
      <w:r>
        <w:rPr>
          <w:rFonts w:hint="eastAsia" w:ascii="宋体" w:hAnsi="宋体" w:cs="宋体"/>
          <w:sz w:val="28"/>
          <w:szCs w:val="28"/>
          <w:u w:val="single"/>
        </w:rPr>
        <w:t xml:space="preserve">                       </w:t>
      </w:r>
    </w:p>
    <w:p w14:paraId="411B8095">
      <w:pPr>
        <w:spacing w:line="360" w:lineRule="auto"/>
        <w:ind w:firstLine="420"/>
        <w:rPr>
          <w:rFonts w:ascii="宋体" w:hAnsi="宋体" w:cs="宋体"/>
          <w:sz w:val="28"/>
          <w:szCs w:val="28"/>
        </w:rPr>
      </w:pPr>
    </w:p>
    <w:p w14:paraId="24C9DC99">
      <w:pPr>
        <w:spacing w:line="360" w:lineRule="auto"/>
        <w:ind w:firstLine="420"/>
        <w:rPr>
          <w:rFonts w:ascii="宋体" w:hAnsi="宋体" w:cs="宋体"/>
          <w:sz w:val="28"/>
          <w:szCs w:val="28"/>
          <w:u w:val="single"/>
        </w:rPr>
      </w:pPr>
      <w:r>
        <w:rPr>
          <w:rFonts w:hint="eastAsia" w:ascii="宋体" w:hAnsi="宋体" w:cs="宋体"/>
          <w:sz w:val="28"/>
          <w:szCs w:val="28"/>
        </w:rPr>
        <w:t>法定代表人或其授权代表(签字或盖章)：</w:t>
      </w:r>
      <w:r>
        <w:rPr>
          <w:rFonts w:hint="eastAsia" w:ascii="宋体" w:hAnsi="宋体" w:cs="宋体"/>
          <w:sz w:val="28"/>
          <w:szCs w:val="28"/>
          <w:u w:val="single"/>
        </w:rPr>
        <w:t xml:space="preserve">                    </w:t>
      </w:r>
    </w:p>
    <w:p w14:paraId="4451FAC2">
      <w:pPr>
        <w:spacing w:line="360" w:lineRule="auto"/>
        <w:ind w:firstLine="420"/>
        <w:rPr>
          <w:rFonts w:ascii="宋体" w:hAnsi="宋体" w:cs="宋体"/>
          <w:sz w:val="28"/>
          <w:szCs w:val="28"/>
        </w:rPr>
      </w:pPr>
    </w:p>
    <w:p w14:paraId="25E1BEBC">
      <w:pPr>
        <w:spacing w:line="360" w:lineRule="auto"/>
        <w:ind w:firstLine="3360" w:firstLineChars="1200"/>
        <w:rPr>
          <w:rFonts w:ascii="宋体" w:hAnsi="宋体" w:cs="宋体"/>
          <w:sz w:val="28"/>
          <w:szCs w:val="28"/>
        </w:rPr>
      </w:pPr>
      <w:r>
        <w:rPr>
          <w:rFonts w:hint="eastAsia" w:ascii="宋体" w:hAnsi="宋体" w:cs="宋体"/>
          <w:sz w:val="28"/>
          <w:szCs w:val="28"/>
        </w:rPr>
        <w:t xml:space="preserve">日   期： </w:t>
      </w:r>
      <w:r>
        <w:rPr>
          <w:rFonts w:hint="eastAsia" w:ascii="宋体" w:hAnsi="宋体" w:cs="宋体"/>
          <w:sz w:val="28"/>
          <w:szCs w:val="28"/>
          <w:u w:val="single"/>
        </w:rPr>
        <w:t xml:space="preserve">          </w:t>
      </w:r>
      <w:r>
        <w:rPr>
          <w:rFonts w:hint="eastAsia" w:ascii="宋体" w:hAnsi="宋体" w:cs="宋体"/>
          <w:sz w:val="28"/>
          <w:szCs w:val="28"/>
        </w:rPr>
        <w:t xml:space="preserve">年 </w:t>
      </w:r>
      <w:r>
        <w:rPr>
          <w:rFonts w:hint="eastAsia" w:ascii="宋体" w:hAnsi="宋体" w:cs="宋体"/>
          <w:sz w:val="28"/>
          <w:szCs w:val="28"/>
          <w:u w:val="single"/>
        </w:rPr>
        <w:t xml:space="preserve">  </w:t>
      </w:r>
      <w:r>
        <w:rPr>
          <w:rFonts w:hint="eastAsia" w:ascii="宋体" w:hAnsi="宋体" w:cs="宋体"/>
          <w:sz w:val="28"/>
          <w:szCs w:val="28"/>
        </w:rPr>
        <w:t xml:space="preserve"> 月</w:t>
      </w:r>
      <w:r>
        <w:rPr>
          <w:rFonts w:hint="eastAsia" w:ascii="宋体" w:hAnsi="宋体" w:cs="宋体"/>
          <w:sz w:val="28"/>
          <w:szCs w:val="28"/>
          <w:u w:val="single"/>
        </w:rPr>
        <w:t xml:space="preserve">    </w:t>
      </w:r>
      <w:r>
        <w:rPr>
          <w:rFonts w:hint="eastAsia" w:ascii="宋体" w:hAnsi="宋体" w:cs="宋体"/>
          <w:sz w:val="28"/>
          <w:szCs w:val="28"/>
        </w:rPr>
        <w:t>日</w:t>
      </w:r>
    </w:p>
    <w:p w14:paraId="245B5808">
      <w:pPr>
        <w:spacing w:line="360" w:lineRule="auto"/>
        <w:ind w:firstLine="420"/>
        <w:rPr>
          <w:rFonts w:ascii="宋体" w:hAnsi="宋体" w:cs="宋体"/>
          <w:sz w:val="28"/>
          <w:szCs w:val="28"/>
        </w:rPr>
      </w:pPr>
    </w:p>
    <w:p w14:paraId="38241C3D">
      <w:pPr>
        <w:spacing w:line="360" w:lineRule="auto"/>
        <w:ind w:firstLine="420"/>
        <w:rPr>
          <w:rFonts w:ascii="宋体" w:hAnsi="宋体" w:cs="宋体"/>
          <w:sz w:val="28"/>
          <w:szCs w:val="28"/>
        </w:rPr>
      </w:pPr>
    </w:p>
    <w:p w14:paraId="58981C0F">
      <w:pPr>
        <w:spacing w:line="360" w:lineRule="auto"/>
        <w:ind w:firstLine="420"/>
        <w:rPr>
          <w:rFonts w:ascii="宋体" w:hAnsi="宋体" w:cs="宋体"/>
          <w:sz w:val="28"/>
          <w:szCs w:val="28"/>
        </w:rPr>
      </w:pPr>
    </w:p>
    <w:p w14:paraId="620449BE">
      <w:pPr>
        <w:spacing w:line="360" w:lineRule="auto"/>
        <w:ind w:firstLine="420"/>
        <w:rPr>
          <w:rFonts w:ascii="宋体" w:hAnsi="宋体" w:cs="宋体"/>
          <w:sz w:val="28"/>
          <w:szCs w:val="28"/>
        </w:rPr>
      </w:pPr>
    </w:p>
    <w:p w14:paraId="58B1FDD3">
      <w:pPr>
        <w:spacing w:line="360" w:lineRule="auto"/>
        <w:ind w:firstLine="420"/>
        <w:rPr>
          <w:rFonts w:ascii="宋体" w:hAnsi="宋体" w:cs="宋体"/>
          <w:sz w:val="28"/>
          <w:szCs w:val="28"/>
        </w:rPr>
      </w:pPr>
      <w:r>
        <w:rPr>
          <w:rFonts w:hint="eastAsia" w:ascii="宋体" w:hAnsi="宋体" w:cs="宋体"/>
          <w:sz w:val="28"/>
          <w:szCs w:val="28"/>
        </w:rPr>
        <w:t>附件</w:t>
      </w:r>
    </w:p>
    <w:p w14:paraId="0F09DF00">
      <w:pPr>
        <w:spacing w:line="360" w:lineRule="auto"/>
        <w:ind w:firstLine="420"/>
        <w:jc w:val="center"/>
        <w:rPr>
          <w:rFonts w:ascii="方正小标宋简体" w:hAnsi="方正小标宋简体" w:eastAsia="方正小标宋简体" w:cs="方正小标宋简体"/>
          <w:sz w:val="44"/>
          <w:szCs w:val="44"/>
        </w:rPr>
      </w:pPr>
      <w:r>
        <w:rPr>
          <w:rFonts w:hint="eastAsia" w:ascii="方正小标宋简体" w:hAnsi="黑体" w:eastAsia="方正小标宋简体" w:cs="黑体"/>
          <w:bCs/>
          <w:sz w:val="44"/>
          <w:szCs w:val="44"/>
          <w:highlight w:val="none"/>
        </w:rPr>
        <w:t>国家税务总局天津市滨海新区税务局办公家具采购项目</w:t>
      </w:r>
      <w:r>
        <w:rPr>
          <w:rFonts w:hint="eastAsia" w:ascii="方正小标宋简体" w:hAnsi="方正小标宋简体" w:eastAsia="方正小标宋简体" w:cs="方正小标宋简体"/>
          <w:sz w:val="44"/>
          <w:szCs w:val="44"/>
          <w:highlight w:val="none"/>
        </w:rPr>
        <w:t>评</w:t>
      </w:r>
      <w:r>
        <w:rPr>
          <w:rFonts w:hint="eastAsia" w:ascii="方正小标宋简体" w:hAnsi="方正小标宋简体" w:eastAsia="方正小标宋简体" w:cs="方正小标宋简体"/>
          <w:sz w:val="44"/>
          <w:szCs w:val="44"/>
        </w:rPr>
        <w:t>审标准</w:t>
      </w:r>
    </w:p>
    <w:tbl>
      <w:tblPr>
        <w:tblStyle w:val="13"/>
        <w:tblW w:w="6072" w:type="pct"/>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22"/>
        <w:gridCol w:w="1191"/>
        <w:gridCol w:w="7180"/>
      </w:tblGrid>
      <w:tr w14:paraId="4802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6" w:type="pct"/>
            <w:vAlign w:val="center"/>
          </w:tcPr>
          <w:p w14:paraId="64C979A6">
            <w:pPr>
              <w:spacing w:line="240" w:lineRule="exact"/>
              <w:jc w:val="center"/>
              <w:rPr>
                <w:rFonts w:ascii="宋体" w:hAnsi="宋体" w:cs="宋体"/>
                <w:sz w:val="24"/>
              </w:rPr>
            </w:pPr>
            <w:r>
              <w:rPr>
                <w:rFonts w:hint="eastAsia" w:ascii="宋体" w:hAnsi="宋体" w:cs="宋体"/>
                <w:sz w:val="24"/>
              </w:rPr>
              <w:t>序号</w:t>
            </w:r>
          </w:p>
        </w:tc>
        <w:tc>
          <w:tcPr>
            <w:tcW w:w="597" w:type="pct"/>
            <w:vAlign w:val="center"/>
          </w:tcPr>
          <w:p w14:paraId="4023CD2D">
            <w:pPr>
              <w:spacing w:line="240" w:lineRule="exact"/>
              <w:jc w:val="center"/>
              <w:rPr>
                <w:rFonts w:ascii="宋体" w:hAnsi="宋体" w:cs="宋体"/>
                <w:sz w:val="24"/>
              </w:rPr>
            </w:pPr>
            <w:r>
              <w:rPr>
                <w:rFonts w:hint="eastAsia" w:ascii="宋体" w:hAnsi="宋体" w:cs="宋体"/>
                <w:sz w:val="24"/>
              </w:rPr>
              <w:t>评分因素</w:t>
            </w:r>
          </w:p>
        </w:tc>
        <w:tc>
          <w:tcPr>
            <w:tcW w:w="582" w:type="pct"/>
            <w:vAlign w:val="center"/>
          </w:tcPr>
          <w:p w14:paraId="7DF6BEFE">
            <w:pPr>
              <w:spacing w:line="240" w:lineRule="exact"/>
              <w:jc w:val="center"/>
              <w:rPr>
                <w:rFonts w:ascii="宋体" w:hAnsi="宋体" w:cs="宋体"/>
                <w:sz w:val="24"/>
              </w:rPr>
            </w:pPr>
            <w:r>
              <w:rPr>
                <w:rFonts w:hint="eastAsia" w:ascii="宋体" w:hAnsi="宋体" w:cs="宋体"/>
                <w:sz w:val="24"/>
              </w:rPr>
              <w:t>分值</w:t>
            </w:r>
          </w:p>
        </w:tc>
        <w:tc>
          <w:tcPr>
            <w:tcW w:w="3475" w:type="pct"/>
            <w:vAlign w:val="center"/>
          </w:tcPr>
          <w:p w14:paraId="78D0944F">
            <w:pPr>
              <w:spacing w:line="240" w:lineRule="exact"/>
              <w:jc w:val="center"/>
              <w:rPr>
                <w:rFonts w:ascii="宋体" w:hAnsi="宋体" w:cs="宋体"/>
                <w:sz w:val="24"/>
              </w:rPr>
            </w:pPr>
            <w:r>
              <w:rPr>
                <w:rFonts w:hint="eastAsia" w:ascii="宋体" w:hAnsi="宋体" w:cs="宋体"/>
                <w:sz w:val="24"/>
              </w:rPr>
              <w:t>评分标准</w:t>
            </w:r>
          </w:p>
        </w:tc>
      </w:tr>
      <w:tr w14:paraId="44DD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346" w:type="pct"/>
            <w:vAlign w:val="center"/>
          </w:tcPr>
          <w:p w14:paraId="3F69F3BA">
            <w:pPr>
              <w:spacing w:line="240" w:lineRule="exact"/>
              <w:ind w:firstLine="420"/>
              <w:jc w:val="center"/>
              <w:rPr>
                <w:rFonts w:ascii="宋体" w:hAnsi="宋体" w:cs="宋体"/>
                <w:sz w:val="24"/>
              </w:rPr>
            </w:pPr>
            <w:r>
              <w:rPr>
                <w:rFonts w:hint="eastAsia" w:ascii="宋体" w:hAnsi="宋体" w:cs="宋体"/>
                <w:sz w:val="24"/>
              </w:rPr>
              <w:t>1</w:t>
            </w:r>
          </w:p>
        </w:tc>
        <w:tc>
          <w:tcPr>
            <w:tcW w:w="597" w:type="pct"/>
            <w:vAlign w:val="center"/>
          </w:tcPr>
          <w:p w14:paraId="00A43BC0">
            <w:pPr>
              <w:spacing w:line="240" w:lineRule="exact"/>
              <w:jc w:val="center"/>
              <w:rPr>
                <w:rFonts w:ascii="宋体" w:hAnsi="宋体" w:cs="宋体"/>
                <w:sz w:val="24"/>
              </w:rPr>
            </w:pPr>
            <w:r>
              <w:rPr>
                <w:rFonts w:hint="eastAsia" w:ascii="宋体" w:hAnsi="宋体" w:cs="宋体"/>
                <w:sz w:val="24"/>
              </w:rPr>
              <w:t>报价水平</w:t>
            </w:r>
          </w:p>
          <w:p w14:paraId="461DBD90">
            <w:pPr>
              <w:spacing w:line="240" w:lineRule="exact"/>
              <w:jc w:val="center"/>
              <w:rPr>
                <w:rFonts w:ascii="宋体" w:hAnsi="宋体" w:cs="宋体"/>
                <w:sz w:val="24"/>
              </w:rPr>
            </w:pPr>
            <w:r>
              <w:rPr>
                <w:rFonts w:hint="eastAsia" w:ascii="宋体" w:hAnsi="宋体" w:cs="宋体"/>
                <w:sz w:val="24"/>
              </w:rPr>
              <w:t>（30分）</w:t>
            </w:r>
          </w:p>
        </w:tc>
        <w:tc>
          <w:tcPr>
            <w:tcW w:w="582" w:type="pct"/>
            <w:vAlign w:val="center"/>
          </w:tcPr>
          <w:p w14:paraId="36045037">
            <w:pPr>
              <w:spacing w:line="240" w:lineRule="exact"/>
              <w:jc w:val="center"/>
              <w:rPr>
                <w:rFonts w:ascii="宋体" w:hAnsi="宋体" w:cs="宋体"/>
                <w:sz w:val="24"/>
              </w:rPr>
            </w:pPr>
            <w:r>
              <w:rPr>
                <w:rFonts w:hint="eastAsia" w:ascii="宋体" w:hAnsi="宋体" w:cs="宋体"/>
                <w:sz w:val="24"/>
              </w:rPr>
              <w:t>报价</w:t>
            </w:r>
          </w:p>
          <w:p w14:paraId="1FC11736">
            <w:pPr>
              <w:spacing w:line="240" w:lineRule="exact"/>
              <w:jc w:val="center"/>
              <w:rPr>
                <w:rFonts w:ascii="宋体" w:hAnsi="宋体" w:cs="宋体"/>
                <w:sz w:val="24"/>
              </w:rPr>
            </w:pPr>
            <w:r>
              <w:rPr>
                <w:rFonts w:hint="eastAsia" w:ascii="宋体" w:hAnsi="宋体" w:cs="宋体"/>
                <w:sz w:val="24"/>
              </w:rPr>
              <w:t>（30分）</w:t>
            </w:r>
          </w:p>
        </w:tc>
        <w:tc>
          <w:tcPr>
            <w:tcW w:w="3475" w:type="pct"/>
            <w:vAlign w:val="center"/>
          </w:tcPr>
          <w:p w14:paraId="28B06887">
            <w:pPr>
              <w:widowControl/>
              <w:snapToGrid w:val="0"/>
              <w:rPr>
                <w:rFonts w:ascii="宋体" w:hAnsi="宋体"/>
                <w:kern w:val="0"/>
                <w:sz w:val="24"/>
              </w:rPr>
            </w:pPr>
            <w:r>
              <w:rPr>
                <w:rFonts w:hint="eastAsia" w:ascii="宋体" w:hAnsi="宋体"/>
                <w:kern w:val="0"/>
                <w:sz w:val="24"/>
              </w:rPr>
              <w:t>（1）投标报价超过采购预算的，投标无效，未超过采购预算的投标报价按以下公式进行计算</w:t>
            </w:r>
          </w:p>
          <w:p w14:paraId="00B97BAB">
            <w:pPr>
              <w:widowControl/>
              <w:snapToGrid w:val="0"/>
              <w:rPr>
                <w:rFonts w:ascii="宋体" w:hAnsi="宋体"/>
                <w:kern w:val="0"/>
                <w:sz w:val="24"/>
              </w:rPr>
            </w:pPr>
            <w:r>
              <w:rPr>
                <w:rFonts w:hint="eastAsia" w:ascii="宋体" w:hAnsi="宋体"/>
                <w:kern w:val="0"/>
                <w:sz w:val="24"/>
              </w:rPr>
              <w:t>（2）投标报价得分=（评标基准价/投标报价）×30</w:t>
            </w:r>
          </w:p>
          <w:p w14:paraId="26B7DE78">
            <w:pPr>
              <w:widowControl/>
              <w:snapToGrid w:val="0"/>
              <w:rPr>
                <w:rFonts w:hint="eastAsia" w:ascii="宋体" w:hAnsi="宋体" w:eastAsia="宋体"/>
                <w:kern w:val="0"/>
                <w:sz w:val="24"/>
                <w:lang w:val="en-US" w:eastAsia="zh-CN"/>
              </w:rPr>
            </w:pPr>
            <w:r>
              <w:rPr>
                <w:rFonts w:hint="eastAsia" w:ascii="宋体" w:hAnsi="宋体"/>
                <w:kern w:val="0"/>
                <w:sz w:val="24"/>
              </w:rPr>
              <w:t>注：满足采购文件要求且投标报价最低的投标报价为评标基准价</w:t>
            </w:r>
            <w:r>
              <w:rPr>
                <w:rFonts w:hint="eastAsia" w:ascii="宋体" w:hAnsi="宋体"/>
                <w:kern w:val="0"/>
                <w:sz w:val="24"/>
                <w:lang w:eastAsia="zh-CN"/>
              </w:rPr>
              <w:t>。</w:t>
            </w:r>
          </w:p>
          <w:p w14:paraId="1ED56E37">
            <w:pPr>
              <w:keepNext w:val="0"/>
              <w:keepLines w:val="0"/>
              <w:widowControl/>
              <w:suppressLineNumbers w:val="0"/>
              <w:jc w:val="left"/>
              <w:rPr>
                <w:rFonts w:hint="eastAsia" w:ascii="宋体" w:hAnsi="宋体"/>
                <w:kern w:val="0"/>
                <w:sz w:val="24"/>
              </w:rPr>
            </w:pPr>
            <w:r>
              <w:rPr>
                <w:rFonts w:ascii="宋体" w:hAnsi="宋体" w:eastAsia="宋体" w:cs="宋体"/>
                <w:kern w:val="0"/>
                <w:sz w:val="24"/>
                <w:szCs w:val="24"/>
                <w:lang w:val="en-US" w:eastAsia="zh-CN" w:bidi="ar"/>
              </w:rPr>
              <w:t>评审小组认为供应商报价明显低于其他通过符合性审查供应商的报价，有可能影响产品质量或者不能诚信履约的，应当启动异常低价审查程序，要求该供应商提供书面说明，必要时提交相关证明材料；供应商不能证明其报价合理性的，评审小组应当将其作为无效报价处理。</w:t>
            </w:r>
          </w:p>
        </w:tc>
      </w:tr>
      <w:tr w14:paraId="10C0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346" w:type="pct"/>
            <w:vMerge w:val="restart"/>
            <w:vAlign w:val="center"/>
          </w:tcPr>
          <w:p w14:paraId="62C74285">
            <w:pPr>
              <w:spacing w:line="240" w:lineRule="exact"/>
              <w:ind w:firstLine="420"/>
              <w:rPr>
                <w:rFonts w:ascii="宋体" w:hAnsi="宋体" w:cs="宋体"/>
                <w:sz w:val="24"/>
              </w:rPr>
            </w:pPr>
            <w:r>
              <w:rPr>
                <w:rFonts w:hint="eastAsia" w:ascii="宋体" w:hAnsi="宋体" w:cs="宋体"/>
                <w:sz w:val="24"/>
              </w:rPr>
              <w:t>2</w:t>
            </w:r>
          </w:p>
        </w:tc>
        <w:tc>
          <w:tcPr>
            <w:tcW w:w="597" w:type="pct"/>
            <w:vMerge w:val="restart"/>
            <w:vAlign w:val="center"/>
          </w:tcPr>
          <w:p w14:paraId="2A09F7E3">
            <w:pPr>
              <w:spacing w:line="240" w:lineRule="exact"/>
              <w:rPr>
                <w:rFonts w:ascii="宋体" w:hAnsi="宋体" w:cs="宋体"/>
                <w:sz w:val="24"/>
              </w:rPr>
            </w:pPr>
            <w:r>
              <w:rPr>
                <w:rFonts w:hint="eastAsia" w:ascii="宋体" w:hAnsi="宋体" w:cs="宋体"/>
                <w:sz w:val="24"/>
              </w:rPr>
              <w:t>客观部分</w:t>
            </w:r>
          </w:p>
          <w:p w14:paraId="7AF89FEA">
            <w:pPr>
              <w:spacing w:line="240" w:lineRule="exact"/>
              <w:rPr>
                <w:rFonts w:ascii="宋体" w:hAnsi="宋体" w:cs="宋体"/>
                <w:sz w:val="24"/>
              </w:rPr>
            </w:pPr>
            <w:r>
              <w:rPr>
                <w:rFonts w:hint="eastAsia" w:ascii="宋体" w:hAnsi="宋体" w:cs="宋体"/>
                <w:sz w:val="24"/>
              </w:rPr>
              <w:t>（30分）</w:t>
            </w:r>
          </w:p>
        </w:tc>
        <w:tc>
          <w:tcPr>
            <w:tcW w:w="582" w:type="pct"/>
            <w:vAlign w:val="center"/>
          </w:tcPr>
          <w:p w14:paraId="21C6D46F">
            <w:pPr>
              <w:spacing w:line="240" w:lineRule="exact"/>
              <w:rPr>
                <w:rFonts w:ascii="宋体" w:hAnsi="宋体" w:cs="宋体"/>
                <w:sz w:val="24"/>
              </w:rPr>
            </w:pPr>
            <w:r>
              <w:rPr>
                <w:rFonts w:hint="eastAsia" w:ascii="宋体" w:hAnsi="宋体" w:cs="宋体"/>
                <w:sz w:val="24"/>
              </w:rPr>
              <w:t>供应商业绩（2分）</w:t>
            </w:r>
          </w:p>
        </w:tc>
        <w:tc>
          <w:tcPr>
            <w:tcW w:w="3475" w:type="pct"/>
            <w:vAlign w:val="center"/>
          </w:tcPr>
          <w:p w14:paraId="0E5B5FA1">
            <w:pPr>
              <w:spacing w:line="240" w:lineRule="exact"/>
              <w:ind w:firstLine="420"/>
              <w:rPr>
                <w:rFonts w:ascii="宋体" w:hAnsi="宋体" w:cs="宋体"/>
                <w:sz w:val="24"/>
              </w:rPr>
            </w:pPr>
            <w:r>
              <w:rPr>
                <w:rFonts w:hint="eastAsia" w:ascii="宋体" w:hAnsi="宋体" w:cs="宋体"/>
                <w:sz w:val="24"/>
              </w:rPr>
              <w:t>供应商完全按照以下要求提供曾实施的为其他单位服务的业绩，提供的证明材料均不得遮挡涂黑，否则不予认定加分。</w:t>
            </w:r>
          </w:p>
          <w:p w14:paraId="25B30353">
            <w:pPr>
              <w:spacing w:line="240" w:lineRule="exact"/>
              <w:ind w:firstLine="420"/>
              <w:rPr>
                <w:rFonts w:ascii="宋体" w:hAnsi="宋体" w:cs="宋体"/>
                <w:sz w:val="24"/>
              </w:rPr>
            </w:pPr>
            <w:r>
              <w:rPr>
                <w:rFonts w:hint="eastAsia" w:ascii="宋体" w:hAnsi="宋体" w:cs="宋体"/>
                <w:sz w:val="24"/>
              </w:rPr>
              <w:t>A.合同原件扫描件。包括买卖双方名称及盖章、服务内容、合同签订日期（应为2023年1月1日</w:t>
            </w:r>
            <w:r>
              <w:rPr>
                <w:rFonts w:hint="eastAsia" w:ascii="宋体" w:hAnsi="宋体" w:cs="宋体"/>
                <w:sz w:val="24"/>
                <w:lang w:eastAsia="zh-CN"/>
              </w:rPr>
              <w:t>及</w:t>
            </w:r>
            <w:r>
              <w:rPr>
                <w:rFonts w:hint="eastAsia" w:ascii="宋体" w:hAnsi="宋体" w:cs="宋体"/>
                <w:sz w:val="24"/>
              </w:rPr>
              <w:t>以后）。</w:t>
            </w:r>
          </w:p>
          <w:p w14:paraId="547E26FD">
            <w:pPr>
              <w:spacing w:line="240" w:lineRule="exact"/>
              <w:ind w:firstLine="420"/>
              <w:rPr>
                <w:rFonts w:ascii="宋体" w:hAnsi="宋体" w:cs="宋体"/>
                <w:sz w:val="24"/>
              </w:rPr>
            </w:pPr>
            <w:r>
              <w:rPr>
                <w:rFonts w:hint="eastAsia" w:ascii="宋体" w:hAnsi="宋体" w:cs="宋体"/>
                <w:sz w:val="24"/>
              </w:rPr>
              <w:t>B.上述合同履行良好的相关证明材料原件扫描件（加盖上述合同甲方单位公章或上述合同中所盖的甲方印章）。</w:t>
            </w:r>
          </w:p>
          <w:p w14:paraId="40D6165D">
            <w:pPr>
              <w:spacing w:line="240" w:lineRule="exact"/>
              <w:ind w:firstLine="420"/>
              <w:rPr>
                <w:rFonts w:ascii="宋体" w:hAnsi="宋体" w:cs="宋体"/>
                <w:sz w:val="24"/>
              </w:rPr>
            </w:pPr>
            <w:r>
              <w:rPr>
                <w:rFonts w:hint="eastAsia" w:ascii="宋体" w:hAnsi="宋体" w:cs="宋体"/>
                <w:sz w:val="24"/>
              </w:rPr>
              <w:t>每个业绩1分，最多2分。</w:t>
            </w:r>
          </w:p>
        </w:tc>
      </w:tr>
      <w:tr w14:paraId="2848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trPr>
        <w:tc>
          <w:tcPr>
            <w:tcW w:w="346" w:type="pct"/>
            <w:vMerge w:val="continue"/>
            <w:vAlign w:val="center"/>
          </w:tcPr>
          <w:p w14:paraId="2D4CB907">
            <w:pPr>
              <w:spacing w:line="240" w:lineRule="exact"/>
              <w:ind w:firstLine="420"/>
              <w:rPr>
                <w:rFonts w:ascii="宋体" w:hAnsi="宋体" w:cs="宋体"/>
                <w:sz w:val="24"/>
              </w:rPr>
            </w:pPr>
          </w:p>
        </w:tc>
        <w:tc>
          <w:tcPr>
            <w:tcW w:w="597" w:type="pct"/>
            <w:vMerge w:val="continue"/>
            <w:vAlign w:val="center"/>
          </w:tcPr>
          <w:p w14:paraId="0A845A8F">
            <w:pPr>
              <w:spacing w:line="240" w:lineRule="exact"/>
              <w:rPr>
                <w:rFonts w:ascii="宋体" w:hAnsi="宋体" w:cs="宋体"/>
                <w:sz w:val="24"/>
              </w:rPr>
            </w:pPr>
          </w:p>
        </w:tc>
        <w:tc>
          <w:tcPr>
            <w:tcW w:w="582" w:type="pct"/>
            <w:vAlign w:val="center"/>
          </w:tcPr>
          <w:p w14:paraId="6FB82008">
            <w:pPr>
              <w:spacing w:line="240" w:lineRule="exact"/>
              <w:rPr>
                <w:rFonts w:ascii="宋体" w:hAnsi="宋体" w:cs="宋体"/>
                <w:sz w:val="24"/>
              </w:rPr>
            </w:pPr>
            <w:r>
              <w:rPr>
                <w:rFonts w:hint="eastAsia" w:ascii="宋体" w:hAnsi="宋体" w:cs="宋体"/>
                <w:sz w:val="24"/>
              </w:rPr>
              <w:t>制造商认证（8分）</w:t>
            </w:r>
          </w:p>
        </w:tc>
        <w:tc>
          <w:tcPr>
            <w:tcW w:w="3475" w:type="pct"/>
            <w:vAlign w:val="center"/>
          </w:tcPr>
          <w:p w14:paraId="43A65D97">
            <w:pPr>
              <w:numPr>
                <w:ilvl w:val="0"/>
                <w:numId w:val="2"/>
              </w:numPr>
              <w:tabs>
                <w:tab w:val="left" w:pos="533"/>
              </w:tabs>
              <w:ind w:left="0" w:firstLine="0"/>
              <w:jc w:val="left"/>
              <w:rPr>
                <w:rFonts w:ascii="宋体" w:hAnsi="宋体" w:cs="宋体"/>
                <w:kern w:val="0"/>
                <w:sz w:val="24"/>
              </w:rPr>
            </w:pPr>
            <w:r>
              <w:rPr>
                <w:rFonts w:hint="eastAsia" w:ascii="宋体" w:hAnsi="宋体" w:cs="宋体"/>
                <w:kern w:val="0"/>
                <w:sz w:val="24"/>
              </w:rPr>
              <w:t>有效的质量管理体系认证证书；</w:t>
            </w:r>
          </w:p>
          <w:p w14:paraId="65F25F8B">
            <w:pPr>
              <w:numPr>
                <w:ilvl w:val="0"/>
                <w:numId w:val="2"/>
              </w:numPr>
              <w:tabs>
                <w:tab w:val="left" w:pos="533"/>
              </w:tabs>
              <w:ind w:left="0" w:firstLine="0"/>
              <w:jc w:val="left"/>
              <w:rPr>
                <w:rFonts w:ascii="宋体" w:hAnsi="宋体" w:cs="宋体"/>
                <w:kern w:val="0"/>
                <w:sz w:val="24"/>
              </w:rPr>
            </w:pPr>
            <w:r>
              <w:rPr>
                <w:rFonts w:hint="eastAsia" w:ascii="宋体" w:hAnsi="宋体" w:cs="宋体"/>
                <w:kern w:val="0"/>
                <w:sz w:val="24"/>
              </w:rPr>
              <w:t>有效的环境管理体系认证证书；</w:t>
            </w:r>
          </w:p>
          <w:p w14:paraId="6B43E66A">
            <w:pPr>
              <w:numPr>
                <w:ilvl w:val="0"/>
                <w:numId w:val="2"/>
              </w:numPr>
              <w:tabs>
                <w:tab w:val="left" w:pos="533"/>
              </w:tabs>
              <w:ind w:left="0" w:firstLine="0"/>
              <w:jc w:val="left"/>
              <w:rPr>
                <w:rFonts w:ascii="宋体" w:hAnsi="宋体" w:cs="宋体"/>
                <w:kern w:val="0"/>
                <w:sz w:val="24"/>
              </w:rPr>
            </w:pPr>
            <w:r>
              <w:rPr>
                <w:rFonts w:hint="eastAsia" w:ascii="宋体" w:hAnsi="宋体" w:cs="宋体"/>
                <w:kern w:val="0"/>
                <w:sz w:val="24"/>
              </w:rPr>
              <w:t>有效的职业健康安全管理体系认证证书；</w:t>
            </w:r>
          </w:p>
          <w:p w14:paraId="3B19C01D">
            <w:pPr>
              <w:numPr>
                <w:ilvl w:val="0"/>
                <w:numId w:val="2"/>
              </w:numPr>
              <w:tabs>
                <w:tab w:val="left" w:pos="533"/>
              </w:tabs>
              <w:ind w:left="0" w:firstLine="0"/>
              <w:jc w:val="left"/>
              <w:rPr>
                <w:rFonts w:ascii="宋体" w:hAnsi="宋体" w:cs="宋体"/>
                <w:kern w:val="0"/>
                <w:sz w:val="24"/>
              </w:rPr>
            </w:pPr>
            <w:r>
              <w:rPr>
                <w:rFonts w:hint="eastAsia" w:ascii="宋体" w:hAnsi="宋体" w:cs="宋体"/>
                <w:kern w:val="0"/>
                <w:sz w:val="24"/>
              </w:rPr>
              <w:t>有效的中国环境标志产品认证证书(认证范围包含综合类木家具、金属家具、软体家具）认证内容不全则不得分</w:t>
            </w:r>
          </w:p>
          <w:p w14:paraId="2F2278CB">
            <w:pPr>
              <w:numPr>
                <w:ilvl w:val="0"/>
                <w:numId w:val="2"/>
              </w:numPr>
              <w:tabs>
                <w:tab w:val="left" w:pos="533"/>
              </w:tabs>
              <w:ind w:left="0" w:firstLine="0"/>
              <w:jc w:val="left"/>
              <w:rPr>
                <w:rFonts w:ascii="宋体" w:hAnsi="宋体" w:cs="宋体"/>
                <w:kern w:val="0"/>
                <w:sz w:val="24"/>
              </w:rPr>
            </w:pPr>
            <w:r>
              <w:rPr>
                <w:rFonts w:hint="eastAsia" w:ascii="宋体" w:hAnsi="宋体" w:cs="宋体"/>
                <w:kern w:val="0"/>
                <w:sz w:val="24"/>
              </w:rPr>
              <w:t>有效的中国环保产品认证CQC(认证范围包含木制办公家具、</w:t>
            </w:r>
            <w:r>
              <w:rPr>
                <w:rFonts w:hint="eastAsia" w:ascii="宋体" w:hAnsi="宋体" w:cs="宋体"/>
                <w:sz w:val="24"/>
              </w:rPr>
              <w:t>金属办公家具、金属办公家具/办公椅</w:t>
            </w:r>
            <w:r>
              <w:rPr>
                <w:rFonts w:hint="eastAsia" w:ascii="宋体" w:hAnsi="宋体" w:cs="宋体"/>
                <w:kern w:val="0"/>
                <w:sz w:val="24"/>
              </w:rPr>
              <w:t>）认证内容不全则不得分</w:t>
            </w:r>
          </w:p>
          <w:p w14:paraId="000571A5">
            <w:pPr>
              <w:numPr>
                <w:ilvl w:val="0"/>
                <w:numId w:val="2"/>
              </w:numPr>
              <w:tabs>
                <w:tab w:val="left" w:pos="533"/>
              </w:tabs>
              <w:ind w:left="0" w:firstLine="0"/>
              <w:jc w:val="left"/>
              <w:rPr>
                <w:rFonts w:ascii="宋体" w:hAnsi="宋体" w:cs="宋体"/>
                <w:kern w:val="0"/>
                <w:sz w:val="24"/>
              </w:rPr>
            </w:pPr>
            <w:r>
              <w:rPr>
                <w:rFonts w:hint="eastAsia" w:ascii="宋体" w:hAnsi="宋体" w:cs="宋体"/>
                <w:kern w:val="0"/>
                <w:sz w:val="24"/>
              </w:rPr>
              <w:t>有效的人类工效学产品认证证书（认证范围包含</w:t>
            </w:r>
            <w:r>
              <w:rPr>
                <w:rFonts w:hint="eastAsia" w:ascii="宋体" w:hAnsi="宋体"/>
                <w:sz w:val="24"/>
              </w:rPr>
              <w:t>桌台类、椅凳类、柜架类、屏风类</w:t>
            </w:r>
            <w:r>
              <w:rPr>
                <w:rFonts w:hint="eastAsia" w:ascii="宋体" w:hAnsi="宋体" w:cs="宋体"/>
                <w:kern w:val="0"/>
                <w:sz w:val="24"/>
              </w:rPr>
              <w:t>）认证内容不全则不得分</w:t>
            </w:r>
          </w:p>
          <w:p w14:paraId="6A428D27">
            <w:pPr>
              <w:numPr>
                <w:ilvl w:val="0"/>
                <w:numId w:val="2"/>
              </w:numPr>
              <w:tabs>
                <w:tab w:val="left" w:pos="533"/>
              </w:tabs>
              <w:ind w:left="0" w:firstLine="0"/>
              <w:jc w:val="left"/>
              <w:rPr>
                <w:sz w:val="24"/>
              </w:rPr>
            </w:pPr>
            <w:r>
              <w:rPr>
                <w:rFonts w:hint="eastAsia" w:ascii="宋体" w:hAnsi="宋体" w:cs="宋体"/>
                <w:kern w:val="0"/>
                <w:sz w:val="24"/>
              </w:rPr>
              <w:t>有效的家具中有害物质限量认证证书（认证范围包含</w:t>
            </w:r>
            <w:r>
              <w:rPr>
                <w:rFonts w:hint="eastAsia" w:ascii="宋体" w:hAnsi="宋体"/>
                <w:sz w:val="24"/>
              </w:rPr>
              <w:t>木家具、金属家具、软体家具</w:t>
            </w:r>
            <w:r>
              <w:rPr>
                <w:rFonts w:hint="eastAsia" w:ascii="宋体" w:hAnsi="宋体" w:cs="宋体"/>
                <w:kern w:val="0"/>
                <w:sz w:val="24"/>
              </w:rPr>
              <w:t>）认证内容不全则不得分</w:t>
            </w:r>
          </w:p>
          <w:p w14:paraId="52C65D0B">
            <w:pPr>
              <w:numPr>
                <w:ilvl w:val="0"/>
                <w:numId w:val="2"/>
              </w:numPr>
              <w:tabs>
                <w:tab w:val="left" w:pos="533"/>
              </w:tabs>
              <w:ind w:left="0" w:firstLine="0"/>
              <w:jc w:val="left"/>
              <w:rPr>
                <w:sz w:val="24"/>
              </w:rPr>
            </w:pPr>
            <w:r>
              <w:rPr>
                <w:rFonts w:hint="eastAsia" w:ascii="宋体" w:hAnsi="宋体" w:cs="宋体"/>
                <w:kern w:val="0"/>
                <w:sz w:val="24"/>
              </w:rPr>
              <w:t>安全生产标准化三级企业证书</w:t>
            </w:r>
          </w:p>
          <w:p w14:paraId="26530305">
            <w:pPr>
              <w:jc w:val="left"/>
              <w:rPr>
                <w:rFonts w:ascii="宋体" w:hAnsi="宋体" w:cs="宋体"/>
                <w:kern w:val="0"/>
                <w:sz w:val="24"/>
              </w:rPr>
            </w:pPr>
            <w:r>
              <w:rPr>
                <w:rFonts w:hint="eastAsia" w:ascii="宋体" w:hAnsi="宋体" w:cs="宋体"/>
                <w:sz w:val="24"/>
              </w:rPr>
              <w:t>制造商</w:t>
            </w:r>
            <w:r>
              <w:rPr>
                <w:rFonts w:hint="eastAsia" w:ascii="宋体" w:hAnsi="宋体" w:cs="宋体"/>
                <w:kern w:val="0"/>
                <w:sz w:val="24"/>
              </w:rPr>
              <w:t>具备以上证书得8分，每缺少一份扣2分，扣完为止。（须提供证书复印件且加盖供应商公章附在应答文件内，否则不得分）</w:t>
            </w:r>
          </w:p>
        </w:tc>
      </w:tr>
      <w:tr w14:paraId="7964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346" w:type="pct"/>
            <w:vMerge w:val="continue"/>
            <w:vAlign w:val="center"/>
          </w:tcPr>
          <w:p w14:paraId="5BC42D7E">
            <w:pPr>
              <w:spacing w:line="240" w:lineRule="exact"/>
              <w:ind w:firstLine="420"/>
              <w:rPr>
                <w:rFonts w:ascii="宋体" w:hAnsi="宋体" w:cs="宋体"/>
                <w:sz w:val="24"/>
              </w:rPr>
            </w:pPr>
          </w:p>
        </w:tc>
        <w:tc>
          <w:tcPr>
            <w:tcW w:w="597" w:type="pct"/>
            <w:vMerge w:val="continue"/>
            <w:vAlign w:val="center"/>
          </w:tcPr>
          <w:p w14:paraId="71787009">
            <w:pPr>
              <w:spacing w:line="240" w:lineRule="exact"/>
              <w:ind w:firstLine="420"/>
              <w:rPr>
                <w:rFonts w:ascii="宋体" w:hAnsi="宋体" w:cs="宋体"/>
                <w:sz w:val="24"/>
              </w:rPr>
            </w:pPr>
          </w:p>
        </w:tc>
        <w:tc>
          <w:tcPr>
            <w:tcW w:w="582" w:type="pct"/>
            <w:vAlign w:val="center"/>
          </w:tcPr>
          <w:p w14:paraId="26042E7C">
            <w:pPr>
              <w:spacing w:line="240" w:lineRule="exact"/>
              <w:ind w:firstLine="420"/>
              <w:rPr>
                <w:rFonts w:ascii="宋体" w:hAnsi="宋体" w:cs="宋体"/>
                <w:sz w:val="24"/>
              </w:rPr>
            </w:pPr>
          </w:p>
          <w:p w14:paraId="6537EF59">
            <w:pPr>
              <w:spacing w:line="240" w:lineRule="exact"/>
              <w:ind w:firstLine="420"/>
              <w:rPr>
                <w:rFonts w:ascii="宋体" w:hAnsi="宋体" w:cs="宋体"/>
                <w:sz w:val="24"/>
              </w:rPr>
            </w:pPr>
          </w:p>
          <w:p w14:paraId="4EFA0CCC">
            <w:pPr>
              <w:spacing w:line="240" w:lineRule="exact"/>
              <w:rPr>
                <w:rFonts w:ascii="宋体" w:hAnsi="宋体" w:cs="宋体"/>
                <w:sz w:val="24"/>
              </w:rPr>
            </w:pPr>
            <w:r>
              <w:rPr>
                <w:rFonts w:hint="eastAsia" w:ascii="宋体" w:hAnsi="宋体" w:cs="宋体"/>
                <w:sz w:val="24"/>
              </w:rPr>
              <w:t>原材料检测报告</w:t>
            </w:r>
          </w:p>
          <w:p w14:paraId="660F6FCC">
            <w:pPr>
              <w:spacing w:line="240" w:lineRule="exact"/>
              <w:rPr>
                <w:rFonts w:ascii="宋体" w:hAnsi="宋体" w:cs="宋体"/>
                <w:sz w:val="24"/>
              </w:rPr>
            </w:pPr>
            <w:r>
              <w:rPr>
                <w:rFonts w:hint="eastAsia" w:ascii="宋体" w:hAnsi="宋体" w:cs="宋体"/>
                <w:sz w:val="24"/>
              </w:rPr>
              <w:t>（20分）</w:t>
            </w:r>
          </w:p>
        </w:tc>
        <w:tc>
          <w:tcPr>
            <w:tcW w:w="3475" w:type="pct"/>
            <w:vAlign w:val="center"/>
          </w:tcPr>
          <w:p w14:paraId="4D190147">
            <w:pPr>
              <w:spacing w:line="240" w:lineRule="exact"/>
              <w:ind w:firstLine="420"/>
              <w:rPr>
                <w:rFonts w:ascii="宋体" w:hAnsi="宋体"/>
                <w:bCs/>
                <w:sz w:val="24"/>
              </w:rPr>
            </w:pPr>
            <w:r>
              <w:rPr>
                <w:rFonts w:hint="eastAsia" w:ascii="宋体" w:hAnsi="宋体"/>
                <w:bCs/>
                <w:sz w:val="24"/>
              </w:rPr>
              <w:t>应答文件中提供所投产品材质的满足以下内容的第三方检测机构出具的带CMA标识的检测报告扫描件，检测报告日期须为开标前一年内，否则不予认定；</w:t>
            </w:r>
          </w:p>
          <w:p w14:paraId="1BB9B600">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三聚氰胺贴面刨花板</w:t>
            </w:r>
          </w:p>
          <w:p w14:paraId="1F3938D0">
            <w:pPr>
              <w:widowControl/>
              <w:snapToGrid w:val="0"/>
              <w:rPr>
                <w:rFonts w:ascii="宋体" w:hAnsi="宋体"/>
                <w:bCs/>
                <w:sz w:val="24"/>
              </w:rPr>
            </w:pPr>
            <w:r>
              <w:rPr>
                <w:rFonts w:hint="eastAsia" w:ascii="宋体" w:hAnsi="宋体"/>
                <w:bCs/>
                <w:sz w:val="24"/>
              </w:rPr>
              <w:t>1）静曲强度;2）弹性模量；3）表面胶合强度； 4）甲醛释放量≤0.025mg/m3；5）苯、甲苯、二甲苯、总挥发性有机化合物（TVOC）未检出；6）五氯苯酚：未检出；7）燃烧增长速率指数、火焰横向蔓延未到达试样长翼边缘、600s的总放热量、60s 内焰尖高度、60s 内无燃烧滴落物引燃滤纸现象均符合要求；8）抗细菌性能（不低于9种菌种）；9）防霉菌性能（不低于9种菌种）。</w:t>
            </w:r>
          </w:p>
          <w:p w14:paraId="3043CFF1">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阻燃网布</w:t>
            </w:r>
          </w:p>
          <w:p w14:paraId="061BA5D4">
            <w:pPr>
              <w:widowControl/>
              <w:snapToGrid w:val="0"/>
              <w:rPr>
                <w:rFonts w:ascii="宋体" w:hAnsi="宋体"/>
                <w:bCs/>
                <w:sz w:val="24"/>
              </w:rPr>
            </w:pPr>
            <w:r>
              <w:rPr>
                <w:rFonts w:hint="eastAsia" w:ascii="宋体" w:hAnsi="宋体"/>
                <w:bCs/>
                <w:sz w:val="24"/>
              </w:rPr>
              <w:t>1）甲醛含量未检出；2）染色牢度：耐水、耐酸汗渍、耐碱汗渍、耐干摩擦；3）耐磨性；4）阻燃性：通过模拟火柴火焰抗引燃试验(无续燃、阴燃)；5）可分解致癌芳香胺染料未检出；6）五氯苯酚未检出；7）富马酸二甲酯未检出。8）抗细菌性能（不低于9种菌种）；9）抗霉菌性能（不低于9种菌种）</w:t>
            </w:r>
          </w:p>
          <w:p w14:paraId="0587A39E">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超纤皮</w:t>
            </w:r>
          </w:p>
          <w:p w14:paraId="09B022FC">
            <w:pPr>
              <w:widowControl/>
              <w:snapToGrid w:val="0"/>
              <w:rPr>
                <w:rFonts w:ascii="宋体" w:hAnsi="宋体"/>
                <w:bCs/>
                <w:sz w:val="24"/>
              </w:rPr>
            </w:pPr>
            <w:r>
              <w:rPr>
                <w:rFonts w:hint="eastAsia" w:ascii="宋体" w:hAnsi="宋体"/>
                <w:bCs/>
                <w:sz w:val="24"/>
              </w:rPr>
              <w:t>1）摩擦色牢度：干擦、湿擦、碱性汗液；2）涂层粘着牢度；3）耐折牢度；4）撕裂力； 5）游离甲醛；6）pH；7）挥发性有机物（VOC）未检出；8）禁用偶氮染料未检出；9）五氯苯酚未检出；10）抗细菌性能（不低于9种菌种）；11）抗霉菌性能（不低于9种菌种）。</w:t>
            </w:r>
          </w:p>
          <w:p w14:paraId="2A1F8719">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阻尼滑轨</w:t>
            </w:r>
          </w:p>
          <w:p w14:paraId="5F15D7CB">
            <w:pPr>
              <w:widowControl/>
              <w:snapToGrid w:val="0"/>
              <w:rPr>
                <w:rFonts w:ascii="宋体" w:hAnsi="宋体"/>
                <w:bCs/>
                <w:sz w:val="24"/>
              </w:rPr>
            </w:pPr>
            <w:r>
              <w:rPr>
                <w:rFonts w:hint="eastAsia" w:ascii="宋体" w:hAnsi="宋体"/>
                <w:bCs/>
                <w:sz w:val="24"/>
              </w:rPr>
              <w:t>1）中性盐雾试验；2）乙酸盐雾试验；3)铜盐加速乙酸盐雾试验；4)垂直向下静载荷；5）水平侧向静载荷；6）耐久性；7）抗细菌性能（不低于9种菌种）；8）抗霉菌性能（不低于9种菌种）。</w:t>
            </w:r>
          </w:p>
          <w:p w14:paraId="0B190F4F">
            <w:pPr>
              <w:pStyle w:val="22"/>
              <w:widowControl/>
              <w:numPr>
                <w:ilvl w:val="0"/>
                <w:numId w:val="3"/>
              </w:numPr>
              <w:snapToGrid w:val="0"/>
              <w:ind w:firstLineChars="0"/>
              <w:rPr>
                <w:rFonts w:asciiTheme="minorEastAsia" w:hAnsiTheme="minorEastAsia" w:eastAsiaTheme="minorEastAsia"/>
                <w:bCs/>
                <w:sz w:val="24"/>
                <w:szCs w:val="24"/>
              </w:rPr>
            </w:pPr>
            <w:r>
              <w:rPr>
                <w:rFonts w:hint="eastAsia" w:asciiTheme="minorEastAsia" w:hAnsiTheme="minorEastAsia" w:eastAsiaTheme="minorEastAsia"/>
                <w:bCs/>
                <w:sz w:val="24"/>
                <w:szCs w:val="24"/>
              </w:rPr>
              <w:t>锁具</w:t>
            </w:r>
          </w:p>
          <w:p w14:paraId="4E94522F">
            <w:pPr>
              <w:widowControl/>
              <w:snapToGrid w:val="0"/>
              <w:rPr>
                <w:rFonts w:asciiTheme="minorEastAsia" w:hAnsiTheme="minorEastAsia" w:eastAsiaTheme="minorEastAsia"/>
                <w:bCs/>
                <w:sz w:val="24"/>
              </w:rPr>
            </w:pPr>
            <w:r>
              <w:rPr>
                <w:rFonts w:hint="eastAsia" w:asciiTheme="minorEastAsia" w:hAnsiTheme="minorEastAsia" w:eastAsiaTheme="minorEastAsia"/>
                <w:bCs/>
                <w:sz w:val="24"/>
              </w:rPr>
              <w:t>1）保密度；2）牢固度；3）灵活度；4）中性盐雾试验；5）乙酸盐雾试验；6)铜盐加速乙酸盐雾试验；7）抗细菌性能（不低于9种菌种）；8）抗霉菌性能（不低于9种菌种）。</w:t>
            </w:r>
          </w:p>
          <w:p w14:paraId="522D87AC">
            <w:pPr>
              <w:pStyle w:val="22"/>
              <w:widowControl/>
              <w:numPr>
                <w:ilvl w:val="0"/>
                <w:numId w:val="3"/>
              </w:numPr>
              <w:snapToGrid w:val="0"/>
              <w:ind w:firstLineChars="0"/>
              <w:rPr>
                <w:rFonts w:ascii="宋体" w:hAnsi="宋体"/>
                <w:bCs/>
                <w:sz w:val="24"/>
                <w:szCs w:val="24"/>
              </w:rPr>
            </w:pPr>
            <w:r>
              <w:rPr>
                <w:rFonts w:hint="eastAsia" w:ascii="宋体" w:hAnsi="宋体" w:cs="宋体"/>
                <w:kern w:val="0"/>
                <w:sz w:val="24"/>
                <w:szCs w:val="24"/>
              </w:rPr>
              <w:t>热固性粉末涂料</w:t>
            </w:r>
          </w:p>
          <w:p w14:paraId="79C130B0">
            <w:pPr>
              <w:widowControl/>
              <w:snapToGrid w:val="0"/>
              <w:rPr>
                <w:rFonts w:ascii="宋体" w:hAnsi="宋体"/>
                <w:bCs/>
                <w:sz w:val="24"/>
              </w:rPr>
            </w:pPr>
            <w:r>
              <w:rPr>
                <w:rFonts w:hint="eastAsia" w:ascii="宋体" w:hAnsi="宋体" w:cs="宋体"/>
                <w:kern w:val="0"/>
                <w:sz w:val="24"/>
              </w:rPr>
              <w:t>1）筛余物；2）附着力；3）耐冲击性；4）耐磨性；5）耐酸性；6）耐碱性；7）总铅(Pb)含量(限色漆、腻子和醇酸清漆)；8）可溶性重金属含量(限色漆、腻子和醇酸清漆)。9）抗细菌性能（不低于9种菌种）；10）抗霉菌性能（不低于9种菌种）。</w:t>
            </w:r>
          </w:p>
          <w:p w14:paraId="3D16B5A6">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冷轧钢板</w:t>
            </w:r>
          </w:p>
          <w:p w14:paraId="0CC71D22">
            <w:pPr>
              <w:widowControl/>
              <w:snapToGrid w:val="0"/>
              <w:rPr>
                <w:rFonts w:ascii="宋体" w:hAnsi="宋体"/>
                <w:bCs/>
                <w:sz w:val="24"/>
              </w:rPr>
            </w:pPr>
            <w:bookmarkStart w:id="7" w:name="OLE_LINK6"/>
            <w:r>
              <w:rPr>
                <w:rFonts w:hint="eastAsia" w:ascii="宋体" w:hAnsi="宋体"/>
                <w:bCs/>
                <w:sz w:val="24"/>
              </w:rPr>
              <w:t>1）中性盐雾试验；2）乙酸盐雾试验；3)铜盐加速乙酸盐雾试验；4）外观性能；5）弯曲试验（180度）；6）</w:t>
            </w:r>
            <w:r>
              <w:rPr>
                <w:rFonts w:hint="eastAsia" w:ascii="宋体" w:hAnsi="宋体"/>
                <w:sz w:val="24"/>
              </w:rPr>
              <w:t>有害物质限量（可迁移有害元素）未检出；</w:t>
            </w:r>
            <w:r>
              <w:rPr>
                <w:rFonts w:hint="eastAsia" w:ascii="宋体" w:hAnsi="宋体"/>
                <w:bCs/>
                <w:sz w:val="24"/>
              </w:rPr>
              <w:t>7）抗细菌性能（不低于9种菌种）；8）抗霉菌性能（不低于9种菌种）。</w:t>
            </w:r>
            <w:bookmarkEnd w:id="7"/>
          </w:p>
          <w:p w14:paraId="001ED125">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阻燃海绵</w:t>
            </w:r>
          </w:p>
          <w:p w14:paraId="6DF44E1D">
            <w:pPr>
              <w:widowControl/>
              <w:snapToGrid w:val="0"/>
              <w:rPr>
                <w:rFonts w:ascii="宋体" w:hAnsi="宋体"/>
                <w:bCs/>
                <w:sz w:val="24"/>
              </w:rPr>
            </w:pPr>
            <w:r>
              <w:rPr>
                <w:rFonts w:hint="eastAsia" w:ascii="宋体" w:hAnsi="宋体"/>
                <w:bCs/>
                <w:sz w:val="24"/>
              </w:rPr>
              <w:t>1）表观密度偏差；2）干热老化后拉伸强度；3）干热老化后拉伸强度变化率；4）75%压缩永久变形；5）甲醛释放量未检出；6）</w:t>
            </w:r>
            <w:r>
              <w:rPr>
                <w:rFonts w:ascii="宋体" w:hAnsi="宋体"/>
                <w:bCs/>
                <w:sz w:val="24"/>
              </w:rPr>
              <w:t>TVOC</w:t>
            </w:r>
            <w:r>
              <w:rPr>
                <w:rFonts w:hint="eastAsia" w:ascii="宋体" w:hAnsi="宋体"/>
                <w:bCs/>
                <w:sz w:val="24"/>
              </w:rPr>
              <w:t>未检出；7）阻燃性；8）抗细菌性能（不低于9种菌种）；9）抗霉菌性能（不低于9种菌种）。</w:t>
            </w:r>
          </w:p>
          <w:p w14:paraId="5329E997">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气压棒</w:t>
            </w:r>
          </w:p>
          <w:p w14:paraId="19662932">
            <w:pPr>
              <w:widowControl/>
              <w:snapToGrid w:val="0"/>
              <w:rPr>
                <w:rFonts w:ascii="宋体" w:hAnsi="宋体"/>
                <w:bCs/>
                <w:sz w:val="24"/>
              </w:rPr>
            </w:pPr>
            <w:r>
              <w:rPr>
                <w:rFonts w:hint="eastAsia" w:ascii="宋体" w:hAnsi="宋体"/>
                <w:bCs/>
                <w:sz w:val="24"/>
              </w:rPr>
              <w:t>1）中性盐雾试验；2）乙酸盐雾试验；3)铜盐加速乙酸盐雾试验；4）耐高低温性能；5）循环寿命；6）抗细菌性能（不低于9种菌种）；7）抗霉菌性能（不低于9种菌种）。</w:t>
            </w:r>
          </w:p>
          <w:p w14:paraId="31511C84">
            <w:pPr>
              <w:pStyle w:val="22"/>
              <w:widowControl/>
              <w:numPr>
                <w:ilvl w:val="0"/>
                <w:numId w:val="3"/>
              </w:numPr>
              <w:snapToGrid w:val="0"/>
              <w:ind w:firstLineChars="0"/>
              <w:rPr>
                <w:rFonts w:ascii="宋体" w:hAnsi="宋体"/>
                <w:bCs/>
                <w:sz w:val="24"/>
                <w:szCs w:val="24"/>
              </w:rPr>
            </w:pPr>
            <w:r>
              <w:rPr>
                <w:rFonts w:hint="eastAsia" w:ascii="宋体" w:hAnsi="宋体"/>
                <w:bCs/>
                <w:sz w:val="24"/>
                <w:szCs w:val="24"/>
              </w:rPr>
              <w:t>三合一连接件</w:t>
            </w:r>
          </w:p>
          <w:p w14:paraId="368D44CC">
            <w:pPr>
              <w:widowControl/>
              <w:snapToGrid w:val="0"/>
              <w:rPr>
                <w:rFonts w:ascii="宋体" w:hAnsi="宋体"/>
                <w:bCs/>
                <w:sz w:val="24"/>
              </w:rPr>
            </w:pPr>
            <w:r>
              <w:rPr>
                <w:rFonts w:hint="eastAsia" w:ascii="宋体" w:hAnsi="宋体"/>
                <w:bCs/>
                <w:sz w:val="24"/>
              </w:rPr>
              <w:t>1）三合一偏心连接件偏心体抗压强度；2）三合一偏心连接件预埋螺母抗拉强度；3）三合一偏心连接件中连接螺杆螺纹与预埋螺母的抗拉强度；4）抗细菌性能（不低于9种菌种）；5）抗霉菌性能（不低于9种菌种）。</w:t>
            </w:r>
          </w:p>
          <w:p w14:paraId="77E2BAED">
            <w:pPr>
              <w:spacing w:line="240" w:lineRule="exact"/>
              <w:ind w:firstLine="420"/>
              <w:rPr>
                <w:rFonts w:ascii="宋体" w:hAnsi="宋体" w:cs="宋体"/>
                <w:sz w:val="24"/>
              </w:rPr>
            </w:pPr>
            <w:r>
              <w:rPr>
                <w:rFonts w:hint="eastAsia" w:ascii="宋体" w:hAnsi="宋体"/>
                <w:bCs/>
                <w:sz w:val="24"/>
              </w:rPr>
              <w:t>检测项目齐全且合格，具备一份得2分，最多20分。</w:t>
            </w:r>
          </w:p>
        </w:tc>
      </w:tr>
      <w:tr w14:paraId="2522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346" w:type="pct"/>
            <w:vMerge w:val="restart"/>
            <w:vAlign w:val="center"/>
          </w:tcPr>
          <w:p w14:paraId="2ABDB75D">
            <w:pPr>
              <w:spacing w:line="240" w:lineRule="exact"/>
              <w:ind w:firstLine="420"/>
              <w:rPr>
                <w:rFonts w:ascii="宋体" w:hAnsi="宋体" w:cs="宋体"/>
                <w:sz w:val="24"/>
              </w:rPr>
            </w:pPr>
            <w:r>
              <w:rPr>
                <w:rFonts w:hint="eastAsia" w:ascii="宋体" w:hAnsi="宋体" w:cs="宋体"/>
                <w:sz w:val="24"/>
              </w:rPr>
              <w:t>3</w:t>
            </w:r>
          </w:p>
        </w:tc>
        <w:tc>
          <w:tcPr>
            <w:tcW w:w="597" w:type="pct"/>
            <w:vMerge w:val="restart"/>
            <w:vAlign w:val="center"/>
          </w:tcPr>
          <w:p w14:paraId="6162B75B">
            <w:pPr>
              <w:spacing w:line="240" w:lineRule="exact"/>
              <w:rPr>
                <w:rFonts w:ascii="宋体" w:hAnsi="宋体" w:cs="宋体"/>
                <w:sz w:val="24"/>
              </w:rPr>
            </w:pPr>
            <w:r>
              <w:rPr>
                <w:rFonts w:hint="eastAsia" w:ascii="宋体" w:hAnsi="宋体" w:cs="宋体"/>
                <w:sz w:val="24"/>
              </w:rPr>
              <w:t>主观部分</w:t>
            </w:r>
          </w:p>
          <w:p w14:paraId="119EFBC5">
            <w:pPr>
              <w:spacing w:line="240" w:lineRule="exact"/>
              <w:rPr>
                <w:rFonts w:ascii="宋体" w:hAnsi="宋体" w:cs="宋体"/>
                <w:sz w:val="24"/>
              </w:rPr>
            </w:pPr>
            <w:r>
              <w:rPr>
                <w:rFonts w:hint="eastAsia" w:ascii="宋体" w:hAnsi="宋体" w:cs="宋体"/>
                <w:sz w:val="24"/>
              </w:rPr>
              <w:t>（40分）</w:t>
            </w:r>
          </w:p>
        </w:tc>
        <w:tc>
          <w:tcPr>
            <w:tcW w:w="582" w:type="pct"/>
            <w:vAlign w:val="center"/>
          </w:tcPr>
          <w:p w14:paraId="1386A0EA">
            <w:pPr>
              <w:spacing w:line="240" w:lineRule="exact"/>
              <w:rPr>
                <w:rFonts w:ascii="宋体" w:hAnsi="宋体" w:cs="宋体"/>
                <w:sz w:val="24"/>
              </w:rPr>
            </w:pPr>
            <w:r>
              <w:rPr>
                <w:rFonts w:hint="eastAsia" w:ascii="宋体" w:hAnsi="宋体" w:cs="宋体"/>
                <w:sz w:val="24"/>
              </w:rPr>
              <w:t>生产阶段实施方案 （10分）</w:t>
            </w:r>
          </w:p>
        </w:tc>
        <w:tc>
          <w:tcPr>
            <w:tcW w:w="3475" w:type="pct"/>
            <w:vAlign w:val="center"/>
          </w:tcPr>
          <w:p w14:paraId="3F529A4D">
            <w:pPr>
              <w:rPr>
                <w:rFonts w:ascii="宋体" w:hAnsi="宋体" w:cs="宋体"/>
                <w:sz w:val="24"/>
              </w:rPr>
            </w:pPr>
            <w:r>
              <w:rPr>
                <w:rFonts w:hint="eastAsia" w:ascii="宋体" w:hAnsi="宋体" w:cs="宋体"/>
                <w:sz w:val="24"/>
              </w:rPr>
              <w:t>供应商针对此项目需求制定的生产阶段实施方案。</w:t>
            </w:r>
          </w:p>
          <w:p w14:paraId="4AE23727">
            <w:pPr>
              <w:ind w:firstLine="480" w:firstLineChars="200"/>
              <w:rPr>
                <w:rFonts w:ascii="宋体" w:hAnsi="宋体" w:cs="宋体"/>
                <w:sz w:val="24"/>
              </w:rPr>
            </w:pPr>
            <w:r>
              <w:rPr>
                <w:rFonts w:hint="eastAsia" w:ascii="宋体" w:hAnsi="宋体" w:cs="宋体"/>
                <w:sz w:val="24"/>
              </w:rPr>
              <w:t>评分标准：</w:t>
            </w:r>
          </w:p>
          <w:p w14:paraId="534B03D1">
            <w:pPr>
              <w:ind w:firstLine="480" w:firstLineChars="200"/>
              <w:rPr>
                <w:rFonts w:ascii="宋体" w:hAnsi="宋体" w:cs="宋体"/>
                <w:sz w:val="24"/>
              </w:rPr>
            </w:pPr>
            <w:r>
              <w:rPr>
                <w:rFonts w:hint="eastAsia" w:ascii="宋体" w:hAnsi="宋体" w:cs="宋体"/>
                <w:sz w:val="24"/>
              </w:rPr>
              <w:t>确保项目质量及管理体系完善、全面，组织措施针对性强、可行性强的，得10分；</w:t>
            </w:r>
          </w:p>
          <w:p w14:paraId="27E5D894">
            <w:pPr>
              <w:ind w:firstLine="480" w:firstLineChars="200"/>
              <w:rPr>
                <w:rFonts w:ascii="宋体" w:hAnsi="宋体" w:cs="宋体"/>
                <w:sz w:val="24"/>
              </w:rPr>
            </w:pPr>
            <w:r>
              <w:rPr>
                <w:rFonts w:hint="eastAsia" w:ascii="宋体" w:hAnsi="宋体" w:cs="宋体"/>
                <w:sz w:val="24"/>
              </w:rPr>
              <w:t>确保项目质量及管理体系完善、全面，组织措施有针对性及可行性的，得7分；</w:t>
            </w:r>
          </w:p>
          <w:p w14:paraId="3551A689">
            <w:pPr>
              <w:ind w:firstLine="480" w:firstLineChars="200"/>
              <w:rPr>
                <w:rFonts w:ascii="宋体" w:hAnsi="宋体" w:cs="宋体"/>
                <w:sz w:val="24"/>
              </w:rPr>
            </w:pPr>
            <w:r>
              <w:rPr>
                <w:rFonts w:hint="eastAsia" w:ascii="宋体" w:hAnsi="宋体" w:cs="宋体"/>
                <w:sz w:val="24"/>
              </w:rPr>
              <w:t>确保项目实施及管理体系基本完善，组织措施基本可行的，得3分；</w:t>
            </w:r>
          </w:p>
          <w:p w14:paraId="6139D892">
            <w:pPr>
              <w:ind w:firstLine="480" w:firstLineChars="200"/>
              <w:rPr>
                <w:rFonts w:ascii="宋体" w:hAnsi="宋体" w:cs="宋体"/>
                <w:sz w:val="24"/>
              </w:rPr>
            </w:pPr>
            <w:r>
              <w:rPr>
                <w:rFonts w:hint="eastAsia" w:ascii="宋体" w:hAnsi="宋体" w:cs="宋体"/>
                <w:sz w:val="24"/>
              </w:rPr>
              <w:t>确保项目实施及管理体系合理性和可行性差，或者方案存在明显不合理，以及未提供质量保证体系与措施的，不得分。</w:t>
            </w:r>
          </w:p>
        </w:tc>
      </w:tr>
      <w:tr w14:paraId="7A76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trPr>
        <w:tc>
          <w:tcPr>
            <w:tcW w:w="346" w:type="pct"/>
            <w:vMerge w:val="continue"/>
            <w:vAlign w:val="center"/>
          </w:tcPr>
          <w:p w14:paraId="3D10F2E3">
            <w:pPr>
              <w:spacing w:line="240" w:lineRule="exact"/>
              <w:ind w:firstLine="420"/>
              <w:rPr>
                <w:rFonts w:ascii="宋体" w:hAnsi="宋体" w:cs="宋体"/>
                <w:sz w:val="24"/>
              </w:rPr>
            </w:pPr>
          </w:p>
        </w:tc>
        <w:tc>
          <w:tcPr>
            <w:tcW w:w="597" w:type="pct"/>
            <w:vMerge w:val="continue"/>
            <w:vAlign w:val="center"/>
          </w:tcPr>
          <w:p w14:paraId="56F2EF46">
            <w:pPr>
              <w:spacing w:line="240" w:lineRule="exact"/>
              <w:ind w:firstLine="420"/>
              <w:rPr>
                <w:rFonts w:ascii="宋体" w:hAnsi="宋体" w:cs="宋体"/>
                <w:sz w:val="24"/>
              </w:rPr>
            </w:pPr>
          </w:p>
        </w:tc>
        <w:tc>
          <w:tcPr>
            <w:tcW w:w="582" w:type="pct"/>
            <w:vAlign w:val="center"/>
          </w:tcPr>
          <w:p w14:paraId="0A480D78">
            <w:pPr>
              <w:spacing w:line="240" w:lineRule="exact"/>
              <w:rPr>
                <w:rFonts w:ascii="宋体" w:hAnsi="宋体" w:cs="宋体"/>
                <w:sz w:val="24"/>
              </w:rPr>
            </w:pPr>
            <w:r>
              <w:rPr>
                <w:rFonts w:hint="eastAsia" w:ascii="宋体" w:hAnsi="宋体" w:cs="宋体"/>
                <w:sz w:val="24"/>
              </w:rPr>
              <w:t>运输、交货阶段实施方案 （10分）</w:t>
            </w:r>
          </w:p>
        </w:tc>
        <w:tc>
          <w:tcPr>
            <w:tcW w:w="3475" w:type="pct"/>
            <w:vAlign w:val="center"/>
          </w:tcPr>
          <w:p w14:paraId="383C9569">
            <w:pPr>
              <w:rPr>
                <w:rFonts w:ascii="宋体" w:hAnsi="宋体" w:cs="宋体"/>
                <w:sz w:val="24"/>
              </w:rPr>
            </w:pPr>
            <w:r>
              <w:rPr>
                <w:rFonts w:hint="eastAsia" w:ascii="宋体" w:hAnsi="宋体" w:cs="宋体"/>
                <w:sz w:val="24"/>
              </w:rPr>
              <w:t>供应商针对此项目需求制定的运输、交货阶段实施方案。</w:t>
            </w:r>
          </w:p>
          <w:p w14:paraId="355EA31F">
            <w:pPr>
              <w:ind w:firstLine="480" w:firstLineChars="200"/>
              <w:rPr>
                <w:rFonts w:ascii="宋体" w:hAnsi="宋体" w:cs="宋体"/>
                <w:sz w:val="24"/>
              </w:rPr>
            </w:pPr>
            <w:r>
              <w:rPr>
                <w:rFonts w:hint="eastAsia" w:ascii="宋体" w:hAnsi="宋体" w:cs="宋体"/>
                <w:sz w:val="24"/>
              </w:rPr>
              <w:t>评分标准：</w:t>
            </w:r>
          </w:p>
          <w:p w14:paraId="7A409DE4">
            <w:pPr>
              <w:ind w:firstLine="480" w:firstLineChars="200"/>
              <w:rPr>
                <w:rFonts w:ascii="宋体" w:hAnsi="宋体" w:cs="宋体"/>
                <w:sz w:val="24"/>
              </w:rPr>
            </w:pPr>
            <w:r>
              <w:rPr>
                <w:rFonts w:hint="eastAsia" w:ascii="宋体" w:hAnsi="宋体" w:cs="宋体"/>
                <w:sz w:val="24"/>
              </w:rPr>
              <w:t>确保项目质量及管理体系完善、全面，组织措施针对性强、可行性强的，得10分；</w:t>
            </w:r>
          </w:p>
          <w:p w14:paraId="70C8F528">
            <w:pPr>
              <w:ind w:firstLine="480" w:firstLineChars="200"/>
              <w:rPr>
                <w:rFonts w:ascii="宋体" w:hAnsi="宋体" w:cs="宋体"/>
                <w:sz w:val="24"/>
              </w:rPr>
            </w:pPr>
            <w:r>
              <w:rPr>
                <w:rFonts w:hint="eastAsia" w:ascii="宋体" w:hAnsi="宋体" w:cs="宋体"/>
                <w:sz w:val="24"/>
              </w:rPr>
              <w:t>确保项目质量及管理体系完善、全面，组织措施有针对性及可行性的，得7分；</w:t>
            </w:r>
          </w:p>
          <w:p w14:paraId="633E68D0">
            <w:pPr>
              <w:ind w:firstLine="480" w:firstLineChars="200"/>
              <w:rPr>
                <w:rFonts w:ascii="宋体" w:hAnsi="宋体" w:cs="宋体"/>
                <w:sz w:val="24"/>
              </w:rPr>
            </w:pPr>
            <w:r>
              <w:rPr>
                <w:rFonts w:hint="eastAsia" w:ascii="宋体" w:hAnsi="宋体" w:cs="宋体"/>
                <w:sz w:val="24"/>
              </w:rPr>
              <w:t>确保项目实施及管理体系基本完善，组织措施基本可行的，得3分；</w:t>
            </w:r>
          </w:p>
          <w:p w14:paraId="7645671C">
            <w:pPr>
              <w:ind w:firstLine="480" w:firstLineChars="200"/>
              <w:rPr>
                <w:rFonts w:ascii="宋体" w:hAnsi="宋体" w:cs="宋体"/>
                <w:sz w:val="24"/>
              </w:rPr>
            </w:pPr>
            <w:r>
              <w:rPr>
                <w:rFonts w:hint="eastAsia" w:ascii="宋体" w:hAnsi="宋体" w:cs="宋体"/>
                <w:sz w:val="24"/>
              </w:rPr>
              <w:t>确保项目实施及管理体系合理性和可行性差，或者方案存在明显不合理，以及未提供质量保证体系与措施的，不得分。</w:t>
            </w:r>
          </w:p>
        </w:tc>
      </w:tr>
      <w:tr w14:paraId="4879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trPr>
        <w:tc>
          <w:tcPr>
            <w:tcW w:w="346" w:type="pct"/>
            <w:vMerge w:val="continue"/>
            <w:vAlign w:val="center"/>
          </w:tcPr>
          <w:p w14:paraId="76C35F22">
            <w:pPr>
              <w:spacing w:line="240" w:lineRule="exact"/>
              <w:ind w:firstLine="420"/>
              <w:rPr>
                <w:rFonts w:ascii="宋体" w:hAnsi="宋体" w:cs="宋体"/>
                <w:sz w:val="24"/>
              </w:rPr>
            </w:pPr>
          </w:p>
        </w:tc>
        <w:tc>
          <w:tcPr>
            <w:tcW w:w="597" w:type="pct"/>
            <w:vMerge w:val="continue"/>
            <w:vAlign w:val="center"/>
          </w:tcPr>
          <w:p w14:paraId="41538EEB">
            <w:pPr>
              <w:spacing w:line="240" w:lineRule="exact"/>
              <w:ind w:firstLine="420"/>
              <w:rPr>
                <w:rFonts w:ascii="宋体" w:hAnsi="宋体" w:cs="宋体"/>
                <w:sz w:val="24"/>
              </w:rPr>
            </w:pPr>
          </w:p>
        </w:tc>
        <w:tc>
          <w:tcPr>
            <w:tcW w:w="582" w:type="pct"/>
            <w:vAlign w:val="center"/>
          </w:tcPr>
          <w:p w14:paraId="76D7B794">
            <w:pPr>
              <w:spacing w:line="240" w:lineRule="exact"/>
              <w:rPr>
                <w:rFonts w:ascii="宋体" w:hAnsi="宋体" w:cs="宋体"/>
                <w:sz w:val="24"/>
              </w:rPr>
            </w:pPr>
            <w:r>
              <w:rPr>
                <w:rFonts w:hint="eastAsia" w:ascii="宋体" w:hAnsi="宋体" w:cs="宋体"/>
                <w:sz w:val="24"/>
              </w:rPr>
              <w:t>安装、验收阶段实施方案 （10分）</w:t>
            </w:r>
          </w:p>
        </w:tc>
        <w:tc>
          <w:tcPr>
            <w:tcW w:w="3475" w:type="pct"/>
            <w:vAlign w:val="center"/>
          </w:tcPr>
          <w:p w14:paraId="41B55A33">
            <w:pPr>
              <w:rPr>
                <w:rFonts w:ascii="宋体" w:hAnsi="宋体" w:cs="宋体"/>
                <w:sz w:val="24"/>
              </w:rPr>
            </w:pPr>
            <w:r>
              <w:rPr>
                <w:rFonts w:hint="eastAsia" w:ascii="宋体" w:hAnsi="宋体" w:cs="宋体"/>
                <w:sz w:val="24"/>
              </w:rPr>
              <w:t>供应商针对此项目需求制定的安装、验收阶段实施方案。</w:t>
            </w:r>
          </w:p>
          <w:p w14:paraId="74BCBFD6">
            <w:pPr>
              <w:ind w:firstLine="480" w:firstLineChars="200"/>
              <w:rPr>
                <w:rFonts w:ascii="宋体" w:hAnsi="宋体" w:cs="宋体"/>
                <w:sz w:val="24"/>
              </w:rPr>
            </w:pPr>
            <w:r>
              <w:rPr>
                <w:rFonts w:hint="eastAsia" w:ascii="宋体" w:hAnsi="宋体" w:cs="宋体"/>
                <w:sz w:val="24"/>
              </w:rPr>
              <w:t>评分标准：</w:t>
            </w:r>
          </w:p>
          <w:p w14:paraId="1CED6511">
            <w:pPr>
              <w:ind w:firstLine="480" w:firstLineChars="200"/>
              <w:rPr>
                <w:rFonts w:ascii="宋体" w:hAnsi="宋体" w:cs="宋体"/>
                <w:sz w:val="24"/>
              </w:rPr>
            </w:pPr>
            <w:r>
              <w:rPr>
                <w:rFonts w:hint="eastAsia" w:ascii="宋体" w:hAnsi="宋体" w:cs="宋体"/>
                <w:sz w:val="24"/>
              </w:rPr>
              <w:t>确保项目质量及管理体系完善、全面，组织措施针对性强、可行性强的，得10分；</w:t>
            </w:r>
          </w:p>
          <w:p w14:paraId="55F445FC">
            <w:pPr>
              <w:ind w:firstLine="480" w:firstLineChars="200"/>
              <w:rPr>
                <w:rFonts w:ascii="宋体" w:hAnsi="宋体" w:cs="宋体"/>
                <w:sz w:val="24"/>
              </w:rPr>
            </w:pPr>
            <w:r>
              <w:rPr>
                <w:rFonts w:hint="eastAsia" w:ascii="宋体" w:hAnsi="宋体" w:cs="宋体"/>
                <w:sz w:val="24"/>
              </w:rPr>
              <w:t>确保项目质量及管理体系完善、全面，组织措施有针对性及可行性的，得7分；</w:t>
            </w:r>
          </w:p>
          <w:p w14:paraId="025A89C4">
            <w:pPr>
              <w:ind w:firstLine="480" w:firstLineChars="200"/>
              <w:rPr>
                <w:rFonts w:ascii="宋体" w:hAnsi="宋体" w:cs="宋体"/>
                <w:sz w:val="24"/>
              </w:rPr>
            </w:pPr>
            <w:r>
              <w:rPr>
                <w:rFonts w:hint="eastAsia" w:ascii="宋体" w:hAnsi="宋体" w:cs="宋体"/>
                <w:sz w:val="24"/>
              </w:rPr>
              <w:t>确保项目实施及管理体系基本完善，组织措施基本可行的，得3分；</w:t>
            </w:r>
          </w:p>
          <w:p w14:paraId="36F47F6B">
            <w:pPr>
              <w:ind w:firstLine="480" w:firstLineChars="200"/>
              <w:rPr>
                <w:rFonts w:ascii="宋体" w:hAnsi="宋体" w:cs="宋体"/>
                <w:sz w:val="24"/>
              </w:rPr>
            </w:pPr>
            <w:r>
              <w:rPr>
                <w:rFonts w:hint="eastAsia" w:ascii="宋体" w:hAnsi="宋体" w:cs="宋体"/>
                <w:sz w:val="24"/>
              </w:rPr>
              <w:t>确保项目实施及管理体系合理性和可行性差，或者方案存在明显不合理，以及未提供质量保证体系与措施的，不得分。</w:t>
            </w:r>
          </w:p>
        </w:tc>
      </w:tr>
      <w:tr w14:paraId="489A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346" w:type="pct"/>
            <w:vMerge w:val="continue"/>
            <w:vAlign w:val="center"/>
          </w:tcPr>
          <w:p w14:paraId="19E7C146">
            <w:pPr>
              <w:spacing w:line="240" w:lineRule="exact"/>
              <w:ind w:firstLine="420"/>
              <w:rPr>
                <w:rFonts w:ascii="宋体" w:hAnsi="宋体" w:cs="宋体"/>
                <w:sz w:val="24"/>
              </w:rPr>
            </w:pPr>
          </w:p>
        </w:tc>
        <w:tc>
          <w:tcPr>
            <w:tcW w:w="597" w:type="pct"/>
            <w:vMerge w:val="continue"/>
            <w:vAlign w:val="center"/>
          </w:tcPr>
          <w:p w14:paraId="72B92C72">
            <w:pPr>
              <w:spacing w:line="240" w:lineRule="exact"/>
              <w:ind w:firstLine="420"/>
              <w:rPr>
                <w:rFonts w:ascii="宋体" w:hAnsi="宋体" w:cs="宋体"/>
                <w:sz w:val="24"/>
              </w:rPr>
            </w:pPr>
          </w:p>
        </w:tc>
        <w:tc>
          <w:tcPr>
            <w:tcW w:w="582" w:type="pct"/>
            <w:vAlign w:val="center"/>
          </w:tcPr>
          <w:p w14:paraId="5404A894">
            <w:pPr>
              <w:spacing w:line="240" w:lineRule="exact"/>
              <w:ind w:firstLine="420"/>
              <w:rPr>
                <w:rFonts w:ascii="宋体" w:hAnsi="宋体" w:cs="宋体"/>
                <w:sz w:val="24"/>
              </w:rPr>
            </w:pPr>
          </w:p>
          <w:p w14:paraId="1770DE02">
            <w:pPr>
              <w:spacing w:line="240" w:lineRule="exact"/>
              <w:rPr>
                <w:rFonts w:ascii="宋体" w:hAnsi="宋体" w:cs="宋体"/>
                <w:sz w:val="24"/>
              </w:rPr>
            </w:pPr>
            <w:r>
              <w:rPr>
                <w:rFonts w:hint="eastAsia" w:ascii="宋体" w:hAnsi="宋体" w:cs="宋体"/>
                <w:sz w:val="24"/>
              </w:rPr>
              <w:t>售后服务方案</w:t>
            </w:r>
          </w:p>
          <w:p w14:paraId="12CE29E0">
            <w:pPr>
              <w:spacing w:line="240" w:lineRule="exact"/>
              <w:rPr>
                <w:rFonts w:ascii="宋体" w:hAnsi="宋体" w:cs="宋体"/>
                <w:sz w:val="24"/>
              </w:rPr>
            </w:pPr>
            <w:r>
              <w:rPr>
                <w:rFonts w:hint="eastAsia" w:ascii="宋体" w:hAnsi="宋体" w:cs="宋体"/>
                <w:sz w:val="24"/>
              </w:rPr>
              <w:t>（10分）</w:t>
            </w:r>
          </w:p>
        </w:tc>
        <w:tc>
          <w:tcPr>
            <w:tcW w:w="3475" w:type="pct"/>
            <w:vAlign w:val="center"/>
          </w:tcPr>
          <w:p w14:paraId="6838EA1B">
            <w:pPr>
              <w:ind w:firstLine="420" w:firstLineChars="175"/>
              <w:rPr>
                <w:rFonts w:ascii="宋体" w:hAnsi="宋体" w:cs="宋体"/>
                <w:sz w:val="24"/>
              </w:rPr>
            </w:pPr>
            <w:r>
              <w:rPr>
                <w:rFonts w:hint="eastAsia" w:ascii="宋体" w:hAnsi="宋体" w:cs="宋体"/>
                <w:sz w:val="24"/>
              </w:rPr>
              <w:t>售后服务方案能够满足采购文件的要求，详细具体，针对性强，与项目的实际情况相契合，可行性强的，得10分；</w:t>
            </w:r>
          </w:p>
          <w:p w14:paraId="3188756A">
            <w:pPr>
              <w:ind w:firstLine="480" w:firstLineChars="200"/>
              <w:rPr>
                <w:rFonts w:ascii="宋体" w:hAnsi="宋体" w:cs="宋体"/>
                <w:sz w:val="24"/>
              </w:rPr>
            </w:pPr>
            <w:r>
              <w:rPr>
                <w:rFonts w:hint="eastAsia" w:ascii="宋体" w:hAnsi="宋体" w:cs="宋体"/>
                <w:sz w:val="24"/>
              </w:rPr>
              <w:t>售后服务方案基本能够满足采购文件的要求，详细具体，有针对性和可行性的，得7分；</w:t>
            </w:r>
          </w:p>
          <w:p w14:paraId="46F237C8">
            <w:pPr>
              <w:ind w:firstLine="480" w:firstLineChars="200"/>
              <w:rPr>
                <w:rFonts w:ascii="宋体" w:hAnsi="宋体" w:cs="宋体"/>
                <w:sz w:val="24"/>
              </w:rPr>
            </w:pPr>
            <w:r>
              <w:rPr>
                <w:rFonts w:hint="eastAsia" w:ascii="宋体" w:hAnsi="宋体" w:cs="宋体"/>
                <w:sz w:val="24"/>
              </w:rPr>
              <w:t>售后服务方案部分满足采购文件要求，针对性和可行性一般的，得3分；</w:t>
            </w:r>
          </w:p>
          <w:p w14:paraId="102D280F">
            <w:pPr>
              <w:ind w:firstLine="480" w:firstLineChars="200"/>
              <w:rPr>
                <w:rFonts w:ascii="宋体" w:hAnsi="宋体" w:cs="宋体"/>
                <w:sz w:val="24"/>
              </w:rPr>
            </w:pPr>
            <w:r>
              <w:rPr>
                <w:rFonts w:hint="eastAsia" w:ascii="宋体" w:hAnsi="宋体" w:cs="宋体"/>
                <w:sz w:val="24"/>
              </w:rPr>
              <w:t>售后服务方案不能满足采购文件要求，合理性和可行性差，或者方案明显不合理，以及未提供方案的，不得分。</w:t>
            </w:r>
          </w:p>
        </w:tc>
      </w:tr>
    </w:tbl>
    <w:p w14:paraId="0533C650">
      <w:pPr>
        <w:spacing w:line="360" w:lineRule="auto"/>
        <w:ind w:firstLine="420"/>
        <w:jc w:val="center"/>
        <w:rPr>
          <w:rFonts w:ascii="方正小标宋简体" w:hAnsi="方正小标宋简体" w:eastAsia="方正小标宋简体" w:cs="方正小标宋简体"/>
          <w:sz w:val="44"/>
          <w:szCs w:val="44"/>
        </w:rPr>
      </w:pPr>
    </w:p>
    <w:p w14:paraId="01F6EADC">
      <w:pPr>
        <w:spacing w:line="360" w:lineRule="auto"/>
        <w:ind w:firstLine="420"/>
        <w:jc w:val="center"/>
        <w:rPr>
          <w:rFonts w:ascii="方正小标宋简体" w:hAnsi="方正小标宋简体" w:eastAsia="方正小标宋简体" w:cs="方正小标宋简体"/>
          <w:sz w:val="44"/>
          <w:szCs w:val="44"/>
        </w:rPr>
      </w:pPr>
    </w:p>
    <w:p w14:paraId="78227E5F">
      <w:pPr>
        <w:spacing w:line="360" w:lineRule="auto"/>
        <w:ind w:firstLine="420"/>
        <w:jc w:val="center"/>
        <w:rPr>
          <w:rFonts w:ascii="仿宋_GB2312" w:hAnsi="仿宋_GB2312" w:eastAsia="仿宋_GB2312" w:cs="仿宋_GB2312"/>
          <w:sz w:val="32"/>
          <w:szCs w:val="32"/>
          <w:highlight w:val="yellow"/>
        </w:rPr>
        <w:sectPr>
          <w:footerReference r:id="rId3" w:type="default"/>
          <w:pgSz w:w="11906" w:h="16838"/>
          <w:pgMar w:top="1440" w:right="1800" w:bottom="1440" w:left="1800" w:header="720" w:footer="720" w:gutter="0"/>
          <w:cols w:space="720" w:num="1"/>
          <w:docGrid w:type="lines" w:linePitch="312" w:charSpace="0"/>
        </w:sectPr>
      </w:pPr>
    </w:p>
    <w:p w14:paraId="35B76076">
      <w:pPr>
        <w:spacing w:line="360" w:lineRule="auto"/>
        <w:ind w:firstLine="420"/>
        <w:jc w:val="center"/>
        <w:rPr>
          <w:rFonts w:ascii="仿宋_GB2312" w:hAnsi="仿宋_GB2312" w:eastAsia="仿宋_GB2312" w:cs="仿宋_GB2312"/>
          <w:sz w:val="44"/>
          <w:szCs w:val="44"/>
          <w:highlight w:val="none"/>
        </w:rPr>
      </w:pPr>
      <w:r>
        <w:rPr>
          <w:rFonts w:hint="eastAsia" w:ascii="仿宋_GB2312" w:hAnsi="仿宋_GB2312" w:eastAsia="仿宋_GB2312" w:cs="仿宋_GB2312"/>
          <w:sz w:val="44"/>
          <w:szCs w:val="44"/>
          <w:highlight w:val="none"/>
        </w:rPr>
        <w:t>国家税务总局天津市滨海新区税务局办公家具采购项目需求表</w:t>
      </w:r>
    </w:p>
    <w:tbl>
      <w:tblPr>
        <w:tblStyle w:val="13"/>
        <w:tblW w:w="16019" w:type="dxa"/>
        <w:tblInd w:w="-885" w:type="dxa"/>
        <w:tblLayout w:type="fixed"/>
        <w:tblCellMar>
          <w:top w:w="0" w:type="dxa"/>
          <w:left w:w="108" w:type="dxa"/>
          <w:bottom w:w="0" w:type="dxa"/>
          <w:right w:w="108" w:type="dxa"/>
        </w:tblCellMar>
      </w:tblPr>
      <w:tblGrid>
        <w:gridCol w:w="720"/>
        <w:gridCol w:w="1180"/>
        <w:gridCol w:w="2060"/>
        <w:gridCol w:w="1428"/>
        <w:gridCol w:w="708"/>
        <w:gridCol w:w="851"/>
        <w:gridCol w:w="1276"/>
        <w:gridCol w:w="1275"/>
        <w:gridCol w:w="6521"/>
      </w:tblGrid>
      <w:tr w14:paraId="189E1448">
        <w:tblPrEx>
          <w:tblCellMar>
            <w:top w:w="0" w:type="dxa"/>
            <w:left w:w="108" w:type="dxa"/>
            <w:bottom w:w="0" w:type="dxa"/>
            <w:right w:w="108" w:type="dxa"/>
          </w:tblCellMar>
        </w:tblPrEx>
        <w:trPr>
          <w:trHeight w:val="64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17DDE73A">
            <w:pPr>
              <w:widowControl/>
              <w:suppressAutoHyphens w:val="0"/>
              <w:jc w:val="center"/>
              <w:rPr>
                <w:rFonts w:ascii="黑体" w:hAnsi="黑体" w:eastAsia="黑体" w:cs="宋体"/>
                <w:kern w:val="0"/>
                <w:sz w:val="24"/>
              </w:rPr>
            </w:pPr>
            <w:r>
              <w:rPr>
                <w:rFonts w:hint="eastAsia" w:ascii="黑体" w:hAnsi="黑体" w:eastAsia="黑体" w:cs="宋体"/>
                <w:kern w:val="0"/>
                <w:sz w:val="24"/>
              </w:rPr>
              <w:t>序号</w:t>
            </w:r>
          </w:p>
        </w:tc>
        <w:tc>
          <w:tcPr>
            <w:tcW w:w="1180" w:type="dxa"/>
            <w:tcBorders>
              <w:top w:val="single" w:color="auto" w:sz="4" w:space="0"/>
              <w:left w:val="nil"/>
              <w:bottom w:val="single" w:color="auto" w:sz="4" w:space="0"/>
              <w:right w:val="single" w:color="auto" w:sz="4" w:space="0"/>
            </w:tcBorders>
            <w:shd w:val="clear" w:color="auto" w:fill="auto"/>
            <w:vAlign w:val="center"/>
          </w:tcPr>
          <w:p w14:paraId="24465362">
            <w:pPr>
              <w:widowControl/>
              <w:suppressAutoHyphens w:val="0"/>
              <w:jc w:val="center"/>
              <w:rPr>
                <w:rFonts w:ascii="黑体" w:hAnsi="黑体" w:eastAsia="黑体" w:cs="宋体"/>
                <w:kern w:val="0"/>
                <w:sz w:val="24"/>
              </w:rPr>
            </w:pPr>
            <w:r>
              <w:rPr>
                <w:rFonts w:hint="eastAsia" w:ascii="黑体" w:hAnsi="黑体" w:eastAsia="黑体" w:cs="宋体"/>
                <w:kern w:val="0"/>
                <w:sz w:val="24"/>
              </w:rPr>
              <w:t xml:space="preserve">货物名称 </w:t>
            </w:r>
          </w:p>
        </w:tc>
        <w:tc>
          <w:tcPr>
            <w:tcW w:w="2060" w:type="dxa"/>
            <w:tcBorders>
              <w:top w:val="single" w:color="auto" w:sz="4" w:space="0"/>
              <w:left w:val="nil"/>
              <w:bottom w:val="single" w:color="auto" w:sz="4" w:space="0"/>
              <w:right w:val="single" w:color="auto" w:sz="4" w:space="0"/>
            </w:tcBorders>
            <w:shd w:val="clear" w:color="auto" w:fill="auto"/>
            <w:vAlign w:val="center"/>
          </w:tcPr>
          <w:p w14:paraId="5189CDC6">
            <w:pPr>
              <w:widowControl/>
              <w:suppressAutoHyphens w:val="0"/>
              <w:jc w:val="center"/>
              <w:rPr>
                <w:rFonts w:ascii="黑体" w:hAnsi="黑体" w:eastAsia="黑体" w:cs="宋体"/>
                <w:kern w:val="0"/>
                <w:sz w:val="24"/>
              </w:rPr>
            </w:pPr>
            <w:r>
              <w:rPr>
                <w:rFonts w:hint="eastAsia" w:ascii="黑体" w:hAnsi="黑体" w:eastAsia="黑体" w:cs="宋体"/>
                <w:kern w:val="0"/>
                <w:sz w:val="24"/>
              </w:rPr>
              <w:t>图示</w:t>
            </w:r>
          </w:p>
        </w:tc>
        <w:tc>
          <w:tcPr>
            <w:tcW w:w="1428" w:type="dxa"/>
            <w:tcBorders>
              <w:top w:val="single" w:color="auto" w:sz="4" w:space="0"/>
              <w:left w:val="nil"/>
              <w:bottom w:val="single" w:color="auto" w:sz="4" w:space="0"/>
              <w:right w:val="single" w:color="auto" w:sz="4" w:space="0"/>
            </w:tcBorders>
            <w:shd w:val="clear" w:color="auto" w:fill="auto"/>
            <w:vAlign w:val="center"/>
          </w:tcPr>
          <w:p w14:paraId="17D8714F">
            <w:pPr>
              <w:widowControl/>
              <w:suppressAutoHyphens w:val="0"/>
              <w:jc w:val="center"/>
              <w:rPr>
                <w:rFonts w:ascii="黑体" w:hAnsi="黑体" w:eastAsia="黑体" w:cs="宋体"/>
                <w:kern w:val="0"/>
                <w:sz w:val="24"/>
              </w:rPr>
            </w:pPr>
            <w:r>
              <w:rPr>
                <w:rFonts w:hint="eastAsia" w:ascii="黑体" w:hAnsi="黑体" w:eastAsia="黑体" w:cs="宋体"/>
                <w:kern w:val="0"/>
                <w:sz w:val="24"/>
              </w:rPr>
              <w:t xml:space="preserve">规格型号(W*D*H)   </w:t>
            </w:r>
          </w:p>
        </w:tc>
        <w:tc>
          <w:tcPr>
            <w:tcW w:w="708" w:type="dxa"/>
            <w:tcBorders>
              <w:top w:val="single" w:color="auto" w:sz="4" w:space="0"/>
              <w:left w:val="nil"/>
              <w:bottom w:val="single" w:color="auto" w:sz="4" w:space="0"/>
              <w:right w:val="single" w:color="auto" w:sz="4" w:space="0"/>
            </w:tcBorders>
            <w:shd w:val="clear" w:color="auto" w:fill="auto"/>
            <w:vAlign w:val="center"/>
          </w:tcPr>
          <w:p w14:paraId="13390039">
            <w:pPr>
              <w:widowControl/>
              <w:suppressAutoHyphens w:val="0"/>
              <w:jc w:val="center"/>
              <w:rPr>
                <w:rFonts w:ascii="黑体" w:hAnsi="黑体" w:eastAsia="黑体" w:cs="宋体"/>
                <w:kern w:val="0"/>
                <w:sz w:val="24"/>
              </w:rPr>
            </w:pPr>
            <w:r>
              <w:rPr>
                <w:rFonts w:hint="eastAsia" w:ascii="黑体" w:hAnsi="黑体" w:eastAsia="黑体" w:cs="宋体"/>
                <w:kern w:val="0"/>
                <w:sz w:val="24"/>
              </w:rPr>
              <w:t xml:space="preserve">单位 </w:t>
            </w:r>
          </w:p>
        </w:tc>
        <w:tc>
          <w:tcPr>
            <w:tcW w:w="851" w:type="dxa"/>
            <w:tcBorders>
              <w:top w:val="single" w:color="auto" w:sz="4" w:space="0"/>
              <w:left w:val="nil"/>
              <w:bottom w:val="single" w:color="auto" w:sz="4" w:space="0"/>
              <w:right w:val="single" w:color="auto" w:sz="4" w:space="0"/>
            </w:tcBorders>
            <w:shd w:val="clear" w:color="auto" w:fill="auto"/>
            <w:vAlign w:val="center"/>
          </w:tcPr>
          <w:p w14:paraId="7E561D51">
            <w:pPr>
              <w:widowControl/>
              <w:suppressAutoHyphens w:val="0"/>
              <w:jc w:val="center"/>
              <w:rPr>
                <w:rFonts w:ascii="黑体" w:hAnsi="黑体" w:eastAsia="黑体" w:cs="宋体"/>
                <w:kern w:val="0"/>
                <w:sz w:val="24"/>
              </w:rPr>
            </w:pPr>
            <w:r>
              <w:rPr>
                <w:rFonts w:hint="eastAsia" w:ascii="黑体" w:hAnsi="黑体" w:eastAsia="黑体" w:cs="宋体"/>
                <w:kern w:val="0"/>
                <w:sz w:val="24"/>
              </w:rPr>
              <w:t xml:space="preserve">数量 </w:t>
            </w:r>
          </w:p>
        </w:tc>
        <w:tc>
          <w:tcPr>
            <w:tcW w:w="1276" w:type="dxa"/>
            <w:tcBorders>
              <w:top w:val="single" w:color="auto" w:sz="4" w:space="0"/>
              <w:left w:val="nil"/>
              <w:bottom w:val="single" w:color="auto" w:sz="4" w:space="0"/>
              <w:right w:val="single" w:color="auto" w:sz="4" w:space="0"/>
            </w:tcBorders>
            <w:shd w:val="clear" w:color="auto" w:fill="auto"/>
            <w:vAlign w:val="center"/>
          </w:tcPr>
          <w:p w14:paraId="7D113319">
            <w:pPr>
              <w:widowControl/>
              <w:suppressAutoHyphens w:val="0"/>
              <w:jc w:val="center"/>
              <w:rPr>
                <w:rFonts w:ascii="黑体" w:hAnsi="黑体" w:eastAsia="黑体" w:cs="宋体"/>
                <w:kern w:val="0"/>
                <w:sz w:val="24"/>
              </w:rPr>
            </w:pPr>
            <w:r>
              <w:rPr>
                <w:rFonts w:hint="eastAsia" w:ascii="黑体" w:hAnsi="黑体" w:eastAsia="黑体" w:cs="宋体"/>
                <w:kern w:val="0"/>
                <w:sz w:val="24"/>
              </w:rPr>
              <w:t>预算单价（元）</w:t>
            </w:r>
          </w:p>
        </w:tc>
        <w:tc>
          <w:tcPr>
            <w:tcW w:w="1275" w:type="dxa"/>
            <w:tcBorders>
              <w:top w:val="single" w:color="auto" w:sz="4" w:space="0"/>
              <w:left w:val="nil"/>
              <w:bottom w:val="single" w:color="auto" w:sz="4" w:space="0"/>
              <w:right w:val="single" w:color="auto" w:sz="4" w:space="0"/>
            </w:tcBorders>
            <w:shd w:val="clear" w:color="auto" w:fill="auto"/>
            <w:vAlign w:val="center"/>
          </w:tcPr>
          <w:p w14:paraId="2C882B40">
            <w:pPr>
              <w:widowControl/>
              <w:suppressAutoHyphens w:val="0"/>
              <w:jc w:val="center"/>
              <w:rPr>
                <w:rFonts w:ascii="黑体" w:hAnsi="黑体" w:eastAsia="黑体" w:cs="宋体"/>
                <w:kern w:val="0"/>
                <w:sz w:val="24"/>
              </w:rPr>
            </w:pPr>
            <w:r>
              <w:rPr>
                <w:rFonts w:hint="eastAsia" w:ascii="黑体" w:hAnsi="黑体" w:eastAsia="黑体" w:cs="宋体"/>
                <w:kern w:val="0"/>
                <w:sz w:val="24"/>
              </w:rPr>
              <w:t>预算金额（元）</w:t>
            </w:r>
          </w:p>
        </w:tc>
        <w:tc>
          <w:tcPr>
            <w:tcW w:w="6521" w:type="dxa"/>
            <w:tcBorders>
              <w:top w:val="single" w:color="auto" w:sz="4" w:space="0"/>
              <w:left w:val="nil"/>
              <w:bottom w:val="single" w:color="auto" w:sz="4" w:space="0"/>
              <w:right w:val="single" w:color="auto" w:sz="4" w:space="0"/>
            </w:tcBorders>
            <w:shd w:val="clear" w:color="auto" w:fill="auto"/>
            <w:vAlign w:val="center"/>
          </w:tcPr>
          <w:p w14:paraId="117F0AF4">
            <w:pPr>
              <w:widowControl/>
              <w:suppressAutoHyphens w:val="0"/>
              <w:jc w:val="center"/>
              <w:rPr>
                <w:rFonts w:ascii="黑体" w:hAnsi="黑体" w:eastAsia="黑体" w:cs="宋体"/>
                <w:kern w:val="0"/>
                <w:sz w:val="24"/>
              </w:rPr>
            </w:pPr>
            <w:r>
              <w:rPr>
                <w:rFonts w:hint="eastAsia" w:ascii="黑体" w:hAnsi="黑体" w:eastAsia="黑体" w:cs="宋体"/>
                <w:kern w:val="0"/>
                <w:sz w:val="24"/>
              </w:rPr>
              <w:t xml:space="preserve">材质技术说明 </w:t>
            </w:r>
          </w:p>
        </w:tc>
      </w:tr>
      <w:tr w14:paraId="7253CB07">
        <w:tblPrEx>
          <w:tblCellMar>
            <w:top w:w="0" w:type="dxa"/>
            <w:left w:w="108" w:type="dxa"/>
            <w:bottom w:w="0" w:type="dxa"/>
            <w:right w:w="108" w:type="dxa"/>
          </w:tblCellMar>
        </w:tblPrEx>
        <w:trPr>
          <w:trHeight w:val="5898" w:hRule="atLeast"/>
        </w:trPr>
        <w:tc>
          <w:tcPr>
            <w:tcW w:w="720" w:type="dxa"/>
            <w:tcBorders>
              <w:top w:val="nil"/>
              <w:left w:val="single" w:color="auto" w:sz="4" w:space="0"/>
              <w:bottom w:val="single" w:color="auto" w:sz="4" w:space="0"/>
              <w:right w:val="single" w:color="auto" w:sz="4" w:space="0"/>
            </w:tcBorders>
            <w:shd w:val="clear" w:color="000000" w:fill="FFFFFF"/>
            <w:noWrap/>
            <w:vAlign w:val="center"/>
          </w:tcPr>
          <w:p w14:paraId="6F8A7E79">
            <w:pPr>
              <w:widowControl/>
              <w:suppressAutoHyphens w:val="0"/>
              <w:jc w:val="center"/>
              <w:rPr>
                <w:rFonts w:ascii="宋体" w:hAnsi="宋体" w:cs="宋体"/>
                <w:color w:val="000000"/>
                <w:kern w:val="0"/>
                <w:sz w:val="24"/>
              </w:rPr>
            </w:pPr>
            <w:r>
              <w:rPr>
                <w:rFonts w:hint="eastAsia" w:ascii="宋体" w:hAnsi="宋体" w:cs="宋体"/>
                <w:color w:val="000000"/>
                <w:kern w:val="0"/>
                <w:sz w:val="24"/>
              </w:rPr>
              <w:t>1</w:t>
            </w:r>
          </w:p>
        </w:tc>
        <w:tc>
          <w:tcPr>
            <w:tcW w:w="1180" w:type="dxa"/>
            <w:tcBorders>
              <w:top w:val="nil"/>
              <w:left w:val="nil"/>
              <w:bottom w:val="nil"/>
              <w:right w:val="single" w:color="auto" w:sz="4" w:space="0"/>
            </w:tcBorders>
            <w:shd w:val="clear" w:color="000000" w:fill="FFFFFF"/>
            <w:vAlign w:val="center"/>
          </w:tcPr>
          <w:p w14:paraId="26547739">
            <w:pPr>
              <w:widowControl/>
              <w:suppressAutoHyphens w:val="0"/>
              <w:jc w:val="center"/>
              <w:rPr>
                <w:rFonts w:ascii="宋体" w:hAnsi="宋体" w:cs="宋体"/>
                <w:color w:val="000000"/>
                <w:kern w:val="0"/>
                <w:sz w:val="24"/>
              </w:rPr>
            </w:pPr>
            <w:r>
              <w:rPr>
                <w:rFonts w:hint="eastAsia" w:ascii="宋体" w:hAnsi="宋体" w:cs="宋体"/>
                <w:color w:val="000000"/>
                <w:kern w:val="0"/>
                <w:sz w:val="24"/>
              </w:rPr>
              <w:t>等候椅</w:t>
            </w:r>
          </w:p>
        </w:tc>
        <w:tc>
          <w:tcPr>
            <w:tcW w:w="2060" w:type="dxa"/>
            <w:tcBorders>
              <w:top w:val="nil"/>
              <w:left w:val="nil"/>
              <w:bottom w:val="nil"/>
              <w:right w:val="single" w:color="auto" w:sz="4" w:space="0"/>
            </w:tcBorders>
            <w:shd w:val="clear" w:color="000000" w:fill="FFFFFF"/>
            <w:vAlign w:val="center"/>
          </w:tcPr>
          <w:p w14:paraId="5B8298D5">
            <w:pPr>
              <w:widowControl/>
              <w:suppressAutoHyphens w:val="0"/>
              <w:jc w:val="center"/>
              <w:rPr>
                <w:rFonts w:ascii="宋体" w:hAnsi="宋体" w:cs="宋体"/>
                <w:color w:val="000000"/>
                <w:kern w:val="0"/>
                <w:sz w:val="24"/>
              </w:rPr>
            </w:pPr>
            <w:r>
              <w:rPr>
                <w:rFonts w:ascii="宋体" w:hAnsi="宋体" w:cs="宋体"/>
                <w:color w:val="000000"/>
                <w:kern w:val="0"/>
                <w:sz w:val="24"/>
              </w:rPr>
              <w:drawing>
                <wp:anchor distT="0" distB="0" distL="114300" distR="114300" simplePos="0" relativeHeight="251660288" behindDoc="0" locked="0" layoutInCell="1" allowOverlap="1">
                  <wp:simplePos x="0" y="0"/>
                  <wp:positionH relativeFrom="column">
                    <wp:posOffset>171450</wp:posOffset>
                  </wp:positionH>
                  <wp:positionV relativeFrom="paragraph">
                    <wp:posOffset>352425</wp:posOffset>
                  </wp:positionV>
                  <wp:extent cx="904875" cy="1438275"/>
                  <wp:effectExtent l="0" t="0" r="0" b="0"/>
                  <wp:wrapNone/>
                  <wp:docPr id="13"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58"/>
                          <pic:cNvPicPr>
                            <a:picLocks noChangeAspect="1" noChangeArrowheads="1"/>
                          </pic:cNvPicPr>
                        </pic:nvPicPr>
                        <pic:blipFill>
                          <a:blip r:embed="rId7" cstate="print"/>
                          <a:srcRect/>
                          <a:stretch>
                            <a:fillRect/>
                          </a:stretch>
                        </pic:blipFill>
                        <pic:spPr>
                          <a:xfrm>
                            <a:off x="0" y="0"/>
                            <a:ext cx="895350" cy="1428750"/>
                          </a:xfrm>
                          <a:prstGeom prst="rect">
                            <a:avLst/>
                          </a:prstGeom>
                          <a:noFill/>
                          <a:ln w="1">
                            <a:noFill/>
                            <a:miter lim="800000"/>
                            <a:headEnd/>
                            <a:tailEnd/>
                          </a:ln>
                        </pic:spPr>
                      </pic:pic>
                    </a:graphicData>
                  </a:graphic>
                </wp:anchor>
              </w:drawing>
            </w:r>
          </w:p>
        </w:tc>
        <w:tc>
          <w:tcPr>
            <w:tcW w:w="1428" w:type="dxa"/>
            <w:tcBorders>
              <w:top w:val="nil"/>
              <w:left w:val="nil"/>
              <w:bottom w:val="single" w:color="auto" w:sz="4" w:space="0"/>
              <w:right w:val="single" w:color="auto" w:sz="4" w:space="0"/>
            </w:tcBorders>
            <w:shd w:val="clear" w:color="000000" w:fill="FFFFFF"/>
            <w:vAlign w:val="center"/>
          </w:tcPr>
          <w:p w14:paraId="6482434B">
            <w:pPr>
              <w:widowControl/>
              <w:suppressAutoHyphens w:val="0"/>
              <w:jc w:val="center"/>
              <w:rPr>
                <w:rFonts w:ascii="宋体" w:hAnsi="宋体" w:cs="宋体"/>
                <w:kern w:val="0"/>
                <w:sz w:val="24"/>
              </w:rPr>
            </w:pPr>
            <w:r>
              <w:rPr>
                <w:rFonts w:hint="eastAsia" w:ascii="宋体" w:hAnsi="宋体" w:cs="宋体"/>
                <w:kern w:val="0"/>
                <w:sz w:val="24"/>
              </w:rPr>
              <w:t>气动倾仰</w:t>
            </w:r>
          </w:p>
        </w:tc>
        <w:tc>
          <w:tcPr>
            <w:tcW w:w="708" w:type="dxa"/>
            <w:tcBorders>
              <w:top w:val="nil"/>
              <w:left w:val="nil"/>
              <w:bottom w:val="single" w:color="auto" w:sz="4" w:space="0"/>
              <w:right w:val="single" w:color="auto" w:sz="4" w:space="0"/>
            </w:tcBorders>
            <w:shd w:val="clear" w:color="000000" w:fill="FFFFFF"/>
            <w:vAlign w:val="center"/>
          </w:tcPr>
          <w:p w14:paraId="37FB9159">
            <w:pPr>
              <w:widowControl/>
              <w:suppressAutoHyphens w:val="0"/>
              <w:jc w:val="center"/>
              <w:rPr>
                <w:rFonts w:ascii="宋体" w:hAnsi="宋体" w:cs="宋体"/>
                <w:color w:val="000000"/>
                <w:kern w:val="0"/>
                <w:sz w:val="24"/>
              </w:rPr>
            </w:pPr>
            <w:r>
              <w:rPr>
                <w:rFonts w:hint="eastAsia" w:ascii="宋体" w:hAnsi="宋体" w:cs="宋体"/>
                <w:color w:val="000000"/>
                <w:kern w:val="0"/>
                <w:sz w:val="24"/>
              </w:rPr>
              <w:t>把</w:t>
            </w:r>
          </w:p>
        </w:tc>
        <w:tc>
          <w:tcPr>
            <w:tcW w:w="851" w:type="dxa"/>
            <w:tcBorders>
              <w:top w:val="nil"/>
              <w:left w:val="nil"/>
              <w:bottom w:val="single" w:color="auto" w:sz="4" w:space="0"/>
              <w:right w:val="single" w:color="auto" w:sz="4" w:space="0"/>
            </w:tcBorders>
            <w:shd w:val="clear" w:color="000000" w:fill="FFFFFF"/>
            <w:vAlign w:val="center"/>
          </w:tcPr>
          <w:p w14:paraId="6DDD5170">
            <w:pPr>
              <w:widowControl/>
              <w:suppressAutoHyphens w:val="0"/>
              <w:jc w:val="center"/>
              <w:rPr>
                <w:rFonts w:ascii="宋体" w:hAnsi="宋体" w:cs="宋体"/>
                <w:color w:val="000000"/>
                <w:kern w:val="0"/>
                <w:sz w:val="24"/>
              </w:rPr>
            </w:pPr>
            <w:r>
              <w:rPr>
                <w:rFonts w:hint="eastAsia" w:ascii="宋体" w:hAnsi="宋体" w:cs="宋体"/>
                <w:color w:val="000000"/>
                <w:kern w:val="0"/>
                <w:sz w:val="24"/>
              </w:rPr>
              <w:t>100</w:t>
            </w:r>
          </w:p>
        </w:tc>
        <w:tc>
          <w:tcPr>
            <w:tcW w:w="1276" w:type="dxa"/>
            <w:tcBorders>
              <w:top w:val="nil"/>
              <w:left w:val="nil"/>
              <w:bottom w:val="single" w:color="auto" w:sz="4" w:space="0"/>
              <w:right w:val="single" w:color="auto" w:sz="4" w:space="0"/>
            </w:tcBorders>
            <w:shd w:val="clear" w:color="000000" w:fill="FFFFFF"/>
            <w:vAlign w:val="center"/>
          </w:tcPr>
          <w:p w14:paraId="64746CBE">
            <w:pPr>
              <w:widowControl/>
              <w:suppressAutoHyphens w:val="0"/>
              <w:jc w:val="center"/>
              <w:rPr>
                <w:rFonts w:ascii="宋体" w:hAnsi="宋体" w:cs="宋体"/>
                <w:color w:val="000000"/>
                <w:kern w:val="0"/>
                <w:sz w:val="24"/>
              </w:rPr>
            </w:pPr>
            <w:r>
              <w:rPr>
                <w:rFonts w:hint="eastAsia" w:ascii="宋体" w:hAnsi="宋体" w:cs="宋体"/>
                <w:color w:val="000000"/>
                <w:kern w:val="0"/>
                <w:sz w:val="24"/>
              </w:rPr>
              <w:t>800</w:t>
            </w:r>
          </w:p>
        </w:tc>
        <w:tc>
          <w:tcPr>
            <w:tcW w:w="1275" w:type="dxa"/>
            <w:tcBorders>
              <w:top w:val="nil"/>
              <w:left w:val="nil"/>
              <w:bottom w:val="single" w:color="auto" w:sz="4" w:space="0"/>
              <w:right w:val="single" w:color="auto" w:sz="4" w:space="0"/>
            </w:tcBorders>
            <w:shd w:val="clear" w:color="000000" w:fill="FFFFFF"/>
            <w:vAlign w:val="center"/>
          </w:tcPr>
          <w:p w14:paraId="3545485D">
            <w:pPr>
              <w:widowControl/>
              <w:suppressAutoHyphens w:val="0"/>
              <w:jc w:val="center"/>
              <w:rPr>
                <w:rFonts w:ascii="宋体" w:hAnsi="宋体" w:cs="宋体"/>
                <w:color w:val="000000"/>
                <w:kern w:val="0"/>
                <w:sz w:val="24"/>
              </w:rPr>
            </w:pPr>
            <w:r>
              <w:rPr>
                <w:rFonts w:hint="eastAsia" w:ascii="宋体" w:hAnsi="宋体" w:cs="宋体"/>
                <w:color w:val="000000"/>
                <w:kern w:val="0"/>
                <w:sz w:val="24"/>
              </w:rPr>
              <w:t>80000</w:t>
            </w:r>
          </w:p>
        </w:tc>
        <w:tc>
          <w:tcPr>
            <w:tcW w:w="6521" w:type="dxa"/>
            <w:tcBorders>
              <w:top w:val="nil"/>
              <w:left w:val="nil"/>
              <w:bottom w:val="single" w:color="auto" w:sz="4" w:space="0"/>
              <w:right w:val="single" w:color="auto" w:sz="4" w:space="0"/>
            </w:tcBorders>
            <w:shd w:val="clear" w:color="000000" w:fill="FFFFFF"/>
            <w:vAlign w:val="center"/>
          </w:tcPr>
          <w:p w14:paraId="13D8EA18">
            <w:pPr>
              <w:widowControl/>
              <w:suppressAutoHyphens w:val="0"/>
              <w:jc w:val="left"/>
              <w:rPr>
                <w:rFonts w:ascii="宋体" w:hAnsi="宋体" w:cs="宋体"/>
                <w:color w:val="000000"/>
                <w:kern w:val="0"/>
                <w:sz w:val="20"/>
                <w:szCs w:val="20"/>
              </w:rPr>
            </w:pPr>
            <w:r>
              <w:rPr>
                <w:rFonts w:hint="eastAsia" w:ascii="宋体" w:hAnsi="宋体" w:cs="宋体"/>
                <w:color w:val="000000"/>
                <w:kern w:val="0"/>
                <w:sz w:val="20"/>
                <w:szCs w:val="20"/>
              </w:rPr>
              <w:t>1.面材: 采用阻燃网布，达到GB 18401-2010《国家纺织产品基本安全技术规范》的国家标准。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2.海绵：椅座采用阻燃泡绵，3D零压力坐垫设计，坐垫表面有独特的曲线结构使用者重量均匀分布。椅座采用密度≥35kg/m³，回弹性能好，不变形。不存在粘接剂等有害物质，不含氟氨化合物。符合GB/T 10802-2006《通用软质聚醚型聚氨酯泡沫塑料》、GB 17927.2-2011《软体家具 床垫和沙发 抗引燃特性的评定 第2部分：模拟火柴火焰》国家标准。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3.厚度≥15mm曲木板齿接热压成型，板材承受压力达300KG，具有防潮、防腐、防虫等环保性能。</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4.气压棒：气压棒采用优质品牌，上下伸缩≥30万次不漏气，保持特有的柔和升降功能，承受压力≥250kg，气动行程60-100mm。</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5.机构底盘采用追背分体倾仰机构，原位锁定功能，具备升降、倾仰、锁定功能。</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6.星盘脚轮：尼龙脚轮含量90%纤维含量10%，可承重静压力≥1200kg。</w:t>
            </w:r>
          </w:p>
        </w:tc>
      </w:tr>
      <w:tr w14:paraId="44931608">
        <w:tblPrEx>
          <w:tblCellMar>
            <w:top w:w="0" w:type="dxa"/>
            <w:left w:w="108" w:type="dxa"/>
            <w:bottom w:w="0" w:type="dxa"/>
            <w:right w:w="108" w:type="dxa"/>
          </w:tblCellMar>
        </w:tblPrEx>
        <w:trPr>
          <w:trHeight w:val="2107" w:hRule="atLeast"/>
        </w:trPr>
        <w:tc>
          <w:tcPr>
            <w:tcW w:w="720" w:type="dxa"/>
            <w:tcBorders>
              <w:top w:val="nil"/>
              <w:left w:val="single" w:color="auto" w:sz="4" w:space="0"/>
              <w:bottom w:val="single" w:color="auto" w:sz="4" w:space="0"/>
              <w:right w:val="single" w:color="auto" w:sz="4" w:space="0"/>
            </w:tcBorders>
            <w:shd w:val="clear" w:color="000000" w:fill="FFFFFF"/>
            <w:noWrap/>
            <w:vAlign w:val="center"/>
          </w:tcPr>
          <w:p w14:paraId="5A25D602">
            <w:pPr>
              <w:widowControl/>
              <w:suppressAutoHyphens w:val="0"/>
              <w:jc w:val="center"/>
              <w:rPr>
                <w:rFonts w:ascii="宋体" w:hAnsi="宋体" w:cs="宋体"/>
                <w:color w:val="000000"/>
                <w:kern w:val="0"/>
                <w:sz w:val="24"/>
              </w:rPr>
            </w:pPr>
            <w:r>
              <w:rPr>
                <w:rFonts w:hint="eastAsia" w:ascii="宋体" w:hAnsi="宋体" w:cs="宋体"/>
                <w:color w:val="000000"/>
                <w:kern w:val="0"/>
                <w:sz w:val="24"/>
              </w:rPr>
              <w:t>2</w:t>
            </w:r>
          </w:p>
        </w:tc>
        <w:tc>
          <w:tcPr>
            <w:tcW w:w="1180" w:type="dxa"/>
            <w:tcBorders>
              <w:top w:val="single" w:color="auto" w:sz="4" w:space="0"/>
              <w:left w:val="nil"/>
              <w:bottom w:val="single" w:color="auto" w:sz="4" w:space="0"/>
              <w:right w:val="single" w:color="auto" w:sz="4" w:space="0"/>
            </w:tcBorders>
            <w:shd w:val="clear" w:color="000000" w:fill="FFFFFF"/>
            <w:vAlign w:val="center"/>
          </w:tcPr>
          <w:p w14:paraId="71D0966D">
            <w:pPr>
              <w:widowControl/>
              <w:suppressAutoHyphens w:val="0"/>
              <w:jc w:val="center"/>
              <w:rPr>
                <w:rFonts w:ascii="宋体" w:hAnsi="宋体" w:cs="宋体"/>
                <w:color w:val="000000"/>
                <w:kern w:val="0"/>
                <w:sz w:val="24"/>
              </w:rPr>
            </w:pPr>
            <w:r>
              <w:rPr>
                <w:rFonts w:hint="eastAsia" w:ascii="宋体" w:hAnsi="宋体" w:cs="宋体"/>
                <w:color w:val="000000"/>
                <w:kern w:val="0"/>
                <w:sz w:val="24"/>
              </w:rPr>
              <w:t>档案架</w:t>
            </w:r>
          </w:p>
        </w:tc>
        <w:tc>
          <w:tcPr>
            <w:tcW w:w="2060" w:type="dxa"/>
            <w:tcBorders>
              <w:top w:val="single" w:color="auto" w:sz="4" w:space="0"/>
              <w:left w:val="nil"/>
              <w:bottom w:val="single" w:color="auto" w:sz="4" w:space="0"/>
              <w:right w:val="single" w:color="auto" w:sz="4" w:space="0"/>
            </w:tcBorders>
            <w:shd w:val="clear" w:color="000000" w:fill="FFFFFF"/>
            <w:vAlign w:val="center"/>
          </w:tcPr>
          <w:p w14:paraId="038872D7">
            <w:pPr>
              <w:widowControl/>
              <w:suppressAutoHyphens w:val="0"/>
              <w:jc w:val="center"/>
              <w:rPr>
                <w:rFonts w:ascii="宋体" w:hAnsi="宋体" w:cs="宋体"/>
                <w:color w:val="000000"/>
                <w:kern w:val="0"/>
                <w:sz w:val="24"/>
              </w:rPr>
            </w:pPr>
            <w:r>
              <w:rPr>
                <w:rFonts w:ascii="宋体" w:hAnsi="宋体" w:cs="宋体"/>
                <w:color w:val="000000"/>
                <w:kern w:val="0"/>
                <w:sz w:val="24"/>
              </w:rPr>
              <w:drawing>
                <wp:anchor distT="0" distB="0" distL="114300" distR="114300" simplePos="0" relativeHeight="251661312" behindDoc="0" locked="0" layoutInCell="1" allowOverlap="1">
                  <wp:simplePos x="0" y="0"/>
                  <wp:positionH relativeFrom="column">
                    <wp:posOffset>95250</wp:posOffset>
                  </wp:positionH>
                  <wp:positionV relativeFrom="paragraph">
                    <wp:posOffset>295275</wp:posOffset>
                  </wp:positionV>
                  <wp:extent cx="1085850" cy="790575"/>
                  <wp:effectExtent l="0" t="0" r="0" b="0"/>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8" cstate="print"/>
                          <a:srcRect l="4118" t="3539" r="1176" b="4881"/>
                          <a:stretch>
                            <a:fillRect/>
                          </a:stretch>
                        </pic:blipFill>
                        <pic:spPr>
                          <a:xfrm>
                            <a:off x="0" y="0"/>
                            <a:ext cx="1078627" cy="779930"/>
                          </a:xfrm>
                          <a:prstGeom prst="rect">
                            <a:avLst/>
                          </a:prstGeom>
                          <a:noFill/>
                          <a:ln w="9525">
                            <a:noFill/>
                            <a:miter lim="800000"/>
                            <a:headEnd/>
                            <a:tailEnd/>
                          </a:ln>
                        </pic:spPr>
                      </pic:pic>
                    </a:graphicData>
                  </a:graphic>
                </wp:anchor>
              </w:drawing>
            </w:r>
          </w:p>
        </w:tc>
        <w:tc>
          <w:tcPr>
            <w:tcW w:w="1428" w:type="dxa"/>
            <w:tcBorders>
              <w:top w:val="nil"/>
              <w:left w:val="nil"/>
              <w:bottom w:val="single" w:color="auto" w:sz="4" w:space="0"/>
              <w:right w:val="single" w:color="auto" w:sz="4" w:space="0"/>
            </w:tcBorders>
            <w:shd w:val="clear" w:color="000000" w:fill="FFFFFF"/>
            <w:vAlign w:val="center"/>
          </w:tcPr>
          <w:p w14:paraId="01FC849F">
            <w:pPr>
              <w:widowControl/>
              <w:suppressAutoHyphens w:val="0"/>
              <w:jc w:val="center"/>
              <w:rPr>
                <w:rFonts w:ascii="宋体" w:hAnsi="宋体" w:cs="宋体"/>
                <w:color w:val="000000"/>
                <w:kern w:val="0"/>
                <w:sz w:val="24"/>
              </w:rPr>
            </w:pPr>
            <w:r>
              <w:rPr>
                <w:rFonts w:hint="eastAsia" w:ascii="宋体" w:hAnsi="宋体" w:cs="宋体"/>
                <w:color w:val="000000"/>
                <w:kern w:val="0"/>
                <w:sz w:val="24"/>
              </w:rPr>
              <w:t>1200*500*2300</w:t>
            </w:r>
          </w:p>
        </w:tc>
        <w:tc>
          <w:tcPr>
            <w:tcW w:w="708" w:type="dxa"/>
            <w:tcBorders>
              <w:top w:val="nil"/>
              <w:left w:val="nil"/>
              <w:bottom w:val="single" w:color="auto" w:sz="4" w:space="0"/>
              <w:right w:val="single" w:color="auto" w:sz="4" w:space="0"/>
            </w:tcBorders>
            <w:shd w:val="clear" w:color="000000" w:fill="FFFFFF"/>
            <w:vAlign w:val="center"/>
          </w:tcPr>
          <w:p w14:paraId="55FB76AB">
            <w:pPr>
              <w:widowControl/>
              <w:suppressAutoHyphens w:val="0"/>
              <w:jc w:val="center"/>
              <w:rPr>
                <w:rFonts w:ascii="宋体" w:hAnsi="宋体" w:cs="宋体"/>
                <w:color w:val="000000"/>
                <w:kern w:val="0"/>
                <w:sz w:val="24"/>
              </w:rPr>
            </w:pPr>
            <w:r>
              <w:rPr>
                <w:rFonts w:hint="eastAsia" w:ascii="宋体" w:hAnsi="宋体" w:cs="宋体"/>
                <w:color w:val="000000"/>
                <w:kern w:val="0"/>
                <w:sz w:val="24"/>
              </w:rPr>
              <w:t>组</w:t>
            </w:r>
          </w:p>
        </w:tc>
        <w:tc>
          <w:tcPr>
            <w:tcW w:w="851" w:type="dxa"/>
            <w:tcBorders>
              <w:top w:val="nil"/>
              <w:left w:val="nil"/>
              <w:bottom w:val="single" w:color="auto" w:sz="4" w:space="0"/>
              <w:right w:val="single" w:color="auto" w:sz="4" w:space="0"/>
            </w:tcBorders>
            <w:shd w:val="clear" w:color="000000" w:fill="FFFFFF"/>
            <w:vAlign w:val="center"/>
          </w:tcPr>
          <w:p w14:paraId="57947DD9">
            <w:pPr>
              <w:widowControl/>
              <w:suppressAutoHyphens w:val="0"/>
              <w:jc w:val="center"/>
              <w:rPr>
                <w:rFonts w:ascii="宋体" w:hAnsi="宋体" w:cs="宋体"/>
                <w:color w:val="000000"/>
                <w:kern w:val="0"/>
                <w:sz w:val="24"/>
              </w:rPr>
            </w:pPr>
            <w:r>
              <w:rPr>
                <w:rFonts w:hint="eastAsia" w:ascii="宋体" w:hAnsi="宋体" w:cs="宋体"/>
                <w:color w:val="000000"/>
                <w:kern w:val="0"/>
                <w:sz w:val="24"/>
              </w:rPr>
              <w:t>30</w:t>
            </w:r>
          </w:p>
        </w:tc>
        <w:tc>
          <w:tcPr>
            <w:tcW w:w="1276" w:type="dxa"/>
            <w:tcBorders>
              <w:top w:val="nil"/>
              <w:left w:val="nil"/>
              <w:bottom w:val="single" w:color="auto" w:sz="4" w:space="0"/>
              <w:right w:val="single" w:color="auto" w:sz="4" w:space="0"/>
            </w:tcBorders>
            <w:shd w:val="clear" w:color="000000" w:fill="FFFFFF"/>
            <w:vAlign w:val="center"/>
          </w:tcPr>
          <w:p w14:paraId="19F37526">
            <w:pPr>
              <w:widowControl/>
              <w:suppressAutoHyphens w:val="0"/>
              <w:jc w:val="center"/>
              <w:rPr>
                <w:rFonts w:ascii="宋体" w:hAnsi="宋体" w:cs="宋体"/>
                <w:color w:val="000000"/>
                <w:kern w:val="0"/>
                <w:sz w:val="24"/>
              </w:rPr>
            </w:pPr>
            <w:r>
              <w:rPr>
                <w:rFonts w:hint="eastAsia" w:ascii="宋体" w:hAnsi="宋体" w:cs="宋体"/>
                <w:color w:val="000000"/>
                <w:kern w:val="0"/>
                <w:sz w:val="24"/>
              </w:rPr>
              <w:t>2000</w:t>
            </w:r>
          </w:p>
        </w:tc>
        <w:tc>
          <w:tcPr>
            <w:tcW w:w="1275" w:type="dxa"/>
            <w:tcBorders>
              <w:top w:val="nil"/>
              <w:left w:val="nil"/>
              <w:bottom w:val="single" w:color="auto" w:sz="4" w:space="0"/>
              <w:right w:val="single" w:color="auto" w:sz="4" w:space="0"/>
            </w:tcBorders>
            <w:shd w:val="clear" w:color="000000" w:fill="FFFFFF"/>
            <w:vAlign w:val="center"/>
          </w:tcPr>
          <w:p w14:paraId="7BF13FFA">
            <w:pPr>
              <w:widowControl/>
              <w:suppressAutoHyphens w:val="0"/>
              <w:jc w:val="center"/>
              <w:rPr>
                <w:rFonts w:ascii="宋体" w:hAnsi="宋体" w:cs="宋体"/>
                <w:color w:val="000000"/>
                <w:kern w:val="0"/>
                <w:sz w:val="24"/>
              </w:rPr>
            </w:pPr>
            <w:r>
              <w:rPr>
                <w:rFonts w:hint="eastAsia" w:ascii="宋体" w:hAnsi="宋体" w:cs="宋体"/>
                <w:color w:val="000000"/>
                <w:kern w:val="0"/>
                <w:sz w:val="24"/>
              </w:rPr>
              <w:t>60000</w:t>
            </w:r>
          </w:p>
        </w:tc>
        <w:tc>
          <w:tcPr>
            <w:tcW w:w="6521" w:type="dxa"/>
            <w:tcBorders>
              <w:top w:val="nil"/>
              <w:left w:val="nil"/>
              <w:bottom w:val="single" w:color="auto" w:sz="4" w:space="0"/>
              <w:right w:val="single" w:color="auto" w:sz="4" w:space="0"/>
            </w:tcBorders>
            <w:shd w:val="clear" w:color="000000" w:fill="FFFFFF"/>
            <w:vAlign w:val="center"/>
          </w:tcPr>
          <w:p w14:paraId="02881FDD">
            <w:pPr>
              <w:widowControl/>
              <w:suppressAutoHyphens w:val="0"/>
              <w:jc w:val="left"/>
              <w:rPr>
                <w:rFonts w:ascii="宋体" w:hAnsi="宋体" w:cs="宋体"/>
                <w:color w:val="000000"/>
                <w:kern w:val="0"/>
                <w:sz w:val="20"/>
                <w:szCs w:val="20"/>
              </w:rPr>
            </w:pPr>
            <w:r>
              <w:rPr>
                <w:rFonts w:hint="eastAsia" w:ascii="宋体" w:hAnsi="宋体" w:cs="宋体"/>
                <w:color w:val="000000"/>
                <w:kern w:val="0"/>
                <w:sz w:val="20"/>
                <w:szCs w:val="20"/>
              </w:rPr>
              <w:t>立柱采用39*50壁厚1.5mm钢板，采用双压条设计，增加承重能力。隔板采用壁厚1.2mm钢板每层承重80kg。侧立板里侧、层板下侧均加加强筋。每件柜体中间采用实心分隔柱分隔。钢板采用优质一级冷轧钢板。整体外侧附板材装饰面。</w:t>
            </w:r>
          </w:p>
        </w:tc>
      </w:tr>
      <w:tr w14:paraId="70F0A87E">
        <w:tblPrEx>
          <w:tblCellMar>
            <w:top w:w="0" w:type="dxa"/>
            <w:left w:w="108" w:type="dxa"/>
            <w:bottom w:w="0" w:type="dxa"/>
            <w:right w:w="108" w:type="dxa"/>
          </w:tblCellMar>
        </w:tblPrEx>
        <w:trPr>
          <w:trHeight w:val="5367" w:hRule="atLeast"/>
        </w:trPr>
        <w:tc>
          <w:tcPr>
            <w:tcW w:w="720"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FDD16FB">
            <w:pPr>
              <w:widowControl/>
              <w:suppressAutoHyphens w:val="0"/>
              <w:jc w:val="center"/>
              <w:rPr>
                <w:rFonts w:ascii="宋体" w:hAnsi="宋体" w:cs="宋体"/>
                <w:color w:val="000000"/>
                <w:kern w:val="0"/>
                <w:sz w:val="24"/>
              </w:rPr>
            </w:pPr>
            <w:r>
              <w:rPr>
                <w:rFonts w:hint="eastAsia" w:ascii="宋体" w:hAnsi="宋体" w:cs="宋体"/>
                <w:color w:val="000000"/>
                <w:kern w:val="0"/>
                <w:sz w:val="24"/>
              </w:rPr>
              <w:t>3</w:t>
            </w:r>
          </w:p>
        </w:tc>
        <w:tc>
          <w:tcPr>
            <w:tcW w:w="1180" w:type="dxa"/>
            <w:tcBorders>
              <w:top w:val="single" w:color="auto" w:sz="4" w:space="0"/>
              <w:left w:val="nil"/>
              <w:bottom w:val="single" w:color="auto" w:sz="4" w:space="0"/>
              <w:right w:val="single" w:color="auto" w:sz="4" w:space="0"/>
            </w:tcBorders>
            <w:shd w:val="clear" w:color="000000" w:fill="FFFFFF"/>
            <w:vAlign w:val="center"/>
          </w:tcPr>
          <w:p w14:paraId="31939F9F">
            <w:pPr>
              <w:widowControl/>
              <w:suppressAutoHyphens w:val="0"/>
              <w:jc w:val="center"/>
              <w:rPr>
                <w:rFonts w:ascii="宋体" w:hAnsi="宋体" w:cs="宋体"/>
                <w:color w:val="000000"/>
                <w:kern w:val="0"/>
                <w:sz w:val="24"/>
              </w:rPr>
            </w:pPr>
            <w:r>
              <w:rPr>
                <w:rFonts w:hint="eastAsia" w:ascii="宋体" w:hAnsi="宋体" w:cs="宋体"/>
                <w:color w:val="000000"/>
                <w:kern w:val="0"/>
                <w:sz w:val="24"/>
              </w:rPr>
              <w:t>办公桌</w:t>
            </w:r>
          </w:p>
        </w:tc>
        <w:tc>
          <w:tcPr>
            <w:tcW w:w="2060" w:type="dxa"/>
            <w:tcBorders>
              <w:top w:val="single" w:color="auto" w:sz="4" w:space="0"/>
              <w:left w:val="nil"/>
              <w:bottom w:val="single" w:color="auto" w:sz="4" w:space="0"/>
              <w:right w:val="single" w:color="auto" w:sz="4" w:space="0"/>
            </w:tcBorders>
            <w:shd w:val="clear" w:color="000000" w:fill="FFFFFF"/>
            <w:vAlign w:val="center"/>
          </w:tcPr>
          <w:p w14:paraId="58AA3E44">
            <w:pPr>
              <w:widowControl/>
              <w:suppressAutoHyphens w:val="0"/>
              <w:jc w:val="center"/>
              <w:rPr>
                <w:rFonts w:ascii="宋体" w:hAnsi="宋体" w:cs="宋体"/>
                <w:color w:val="000000"/>
                <w:kern w:val="0"/>
                <w:sz w:val="24"/>
              </w:rPr>
            </w:pPr>
            <w:r>
              <w:rPr>
                <w:rFonts w:ascii="宋体" w:hAnsi="宋体" w:cs="宋体"/>
                <w:color w:val="000000"/>
                <w:kern w:val="0"/>
                <w:sz w:val="24"/>
              </w:rPr>
              <w:drawing>
                <wp:anchor distT="0" distB="0" distL="114300" distR="114300" simplePos="0" relativeHeight="251662336" behindDoc="0" locked="0" layoutInCell="1" allowOverlap="1">
                  <wp:simplePos x="0" y="0"/>
                  <wp:positionH relativeFrom="column">
                    <wp:posOffset>85725</wp:posOffset>
                  </wp:positionH>
                  <wp:positionV relativeFrom="paragraph">
                    <wp:posOffset>619125</wp:posOffset>
                  </wp:positionV>
                  <wp:extent cx="1114425" cy="981075"/>
                  <wp:effectExtent l="635" t="0" r="0" b="0"/>
                  <wp:wrapNone/>
                  <wp:docPr id="1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2"/>
                          <pic:cNvPicPr>
                            <a:picLocks noChangeAspect="1" noChangeArrowheads="1"/>
                          </pic:cNvPicPr>
                        </pic:nvPicPr>
                        <pic:blipFill>
                          <a:blip r:embed="rId9" cstate="print"/>
                          <a:srcRect/>
                          <a:stretch>
                            <a:fillRect/>
                          </a:stretch>
                        </pic:blipFill>
                        <pic:spPr>
                          <a:xfrm>
                            <a:off x="0" y="0"/>
                            <a:ext cx="1097686" cy="962586"/>
                          </a:xfrm>
                          <a:prstGeom prst="rect">
                            <a:avLst/>
                          </a:prstGeom>
                          <a:noFill/>
                          <a:ln w="1">
                            <a:noFill/>
                            <a:miter lim="800000"/>
                            <a:headEnd/>
                            <a:tailEnd/>
                          </a:ln>
                        </pic:spPr>
                      </pic:pic>
                    </a:graphicData>
                  </a:graphic>
                </wp:anchor>
              </w:drawing>
            </w:r>
          </w:p>
        </w:tc>
        <w:tc>
          <w:tcPr>
            <w:tcW w:w="1428" w:type="dxa"/>
            <w:tcBorders>
              <w:top w:val="single" w:color="auto" w:sz="4" w:space="0"/>
              <w:left w:val="nil"/>
              <w:bottom w:val="single" w:color="auto" w:sz="4" w:space="0"/>
              <w:right w:val="single" w:color="auto" w:sz="4" w:space="0"/>
            </w:tcBorders>
            <w:shd w:val="clear" w:color="000000" w:fill="FFFFFF"/>
            <w:vAlign w:val="center"/>
          </w:tcPr>
          <w:p w14:paraId="2DE56730">
            <w:pPr>
              <w:widowControl/>
              <w:suppressAutoHyphens w:val="0"/>
              <w:jc w:val="center"/>
              <w:rPr>
                <w:rFonts w:ascii="宋体" w:hAnsi="宋体" w:cs="宋体"/>
                <w:color w:val="000000"/>
                <w:kern w:val="0"/>
                <w:sz w:val="24"/>
              </w:rPr>
            </w:pPr>
            <w:r>
              <w:rPr>
                <w:rFonts w:hint="eastAsia" w:ascii="宋体" w:hAnsi="宋体" w:cs="宋体"/>
                <w:color w:val="000000"/>
                <w:kern w:val="0"/>
                <w:sz w:val="24"/>
              </w:rPr>
              <w:t>1600*1600*1200</w:t>
            </w:r>
          </w:p>
        </w:tc>
        <w:tc>
          <w:tcPr>
            <w:tcW w:w="708" w:type="dxa"/>
            <w:tcBorders>
              <w:top w:val="single" w:color="auto" w:sz="4" w:space="0"/>
              <w:left w:val="nil"/>
              <w:bottom w:val="single" w:color="auto" w:sz="4" w:space="0"/>
              <w:right w:val="single" w:color="auto" w:sz="4" w:space="0"/>
            </w:tcBorders>
            <w:shd w:val="clear" w:color="000000" w:fill="FFFFFF"/>
            <w:vAlign w:val="center"/>
          </w:tcPr>
          <w:p w14:paraId="6D9578E8">
            <w:pPr>
              <w:widowControl/>
              <w:suppressAutoHyphens w:val="0"/>
              <w:jc w:val="center"/>
              <w:rPr>
                <w:rFonts w:ascii="宋体" w:hAnsi="宋体" w:cs="宋体"/>
                <w:color w:val="000000"/>
                <w:kern w:val="0"/>
                <w:sz w:val="24"/>
              </w:rPr>
            </w:pPr>
            <w:r>
              <w:rPr>
                <w:rFonts w:hint="eastAsia" w:ascii="宋体" w:hAnsi="宋体" w:cs="宋体"/>
                <w:color w:val="000000"/>
                <w:kern w:val="0"/>
                <w:sz w:val="24"/>
              </w:rPr>
              <w:t>套</w:t>
            </w:r>
          </w:p>
        </w:tc>
        <w:tc>
          <w:tcPr>
            <w:tcW w:w="851" w:type="dxa"/>
            <w:tcBorders>
              <w:top w:val="single" w:color="auto" w:sz="4" w:space="0"/>
              <w:left w:val="nil"/>
              <w:bottom w:val="single" w:color="auto" w:sz="4" w:space="0"/>
              <w:right w:val="single" w:color="auto" w:sz="4" w:space="0"/>
            </w:tcBorders>
            <w:shd w:val="clear" w:color="000000" w:fill="FFFFFF"/>
            <w:vAlign w:val="center"/>
          </w:tcPr>
          <w:p w14:paraId="5036C6B9">
            <w:pPr>
              <w:widowControl/>
              <w:suppressAutoHyphens w:val="0"/>
              <w:jc w:val="center"/>
              <w:rPr>
                <w:rFonts w:ascii="宋体" w:hAnsi="宋体" w:cs="宋体"/>
                <w:color w:val="000000"/>
                <w:kern w:val="0"/>
                <w:sz w:val="24"/>
              </w:rPr>
            </w:pPr>
            <w:r>
              <w:rPr>
                <w:rFonts w:hint="eastAsia" w:ascii="宋体" w:hAnsi="宋体" w:cs="宋体"/>
                <w:color w:val="000000"/>
                <w:kern w:val="0"/>
                <w:sz w:val="24"/>
              </w:rPr>
              <w:t>31</w:t>
            </w:r>
          </w:p>
        </w:tc>
        <w:tc>
          <w:tcPr>
            <w:tcW w:w="1276" w:type="dxa"/>
            <w:tcBorders>
              <w:top w:val="single" w:color="auto" w:sz="4" w:space="0"/>
              <w:left w:val="nil"/>
              <w:bottom w:val="single" w:color="auto" w:sz="4" w:space="0"/>
              <w:right w:val="single" w:color="auto" w:sz="4" w:space="0"/>
            </w:tcBorders>
            <w:shd w:val="clear" w:color="000000" w:fill="FFFFFF"/>
            <w:vAlign w:val="center"/>
          </w:tcPr>
          <w:p w14:paraId="47D4E0F8">
            <w:pPr>
              <w:widowControl/>
              <w:suppressAutoHyphens w:val="0"/>
              <w:jc w:val="center"/>
              <w:rPr>
                <w:rFonts w:ascii="宋体" w:hAnsi="宋体" w:cs="宋体"/>
                <w:color w:val="000000"/>
                <w:kern w:val="0"/>
                <w:sz w:val="24"/>
              </w:rPr>
            </w:pPr>
            <w:r>
              <w:rPr>
                <w:rFonts w:hint="eastAsia" w:ascii="宋体" w:hAnsi="宋体" w:cs="宋体"/>
                <w:color w:val="000000"/>
                <w:kern w:val="0"/>
                <w:sz w:val="24"/>
              </w:rPr>
              <w:t>3000</w:t>
            </w:r>
          </w:p>
        </w:tc>
        <w:tc>
          <w:tcPr>
            <w:tcW w:w="1275" w:type="dxa"/>
            <w:tcBorders>
              <w:top w:val="single" w:color="auto" w:sz="4" w:space="0"/>
              <w:left w:val="nil"/>
              <w:bottom w:val="single" w:color="auto" w:sz="4" w:space="0"/>
              <w:right w:val="single" w:color="auto" w:sz="4" w:space="0"/>
            </w:tcBorders>
            <w:shd w:val="clear" w:color="000000" w:fill="FFFFFF"/>
            <w:vAlign w:val="center"/>
          </w:tcPr>
          <w:p w14:paraId="021DE88E">
            <w:pPr>
              <w:widowControl/>
              <w:suppressAutoHyphens w:val="0"/>
              <w:jc w:val="center"/>
              <w:rPr>
                <w:rFonts w:ascii="宋体" w:hAnsi="宋体" w:cs="宋体"/>
                <w:color w:val="000000"/>
                <w:kern w:val="0"/>
                <w:sz w:val="24"/>
              </w:rPr>
            </w:pPr>
            <w:r>
              <w:rPr>
                <w:rFonts w:hint="eastAsia" w:ascii="宋体" w:hAnsi="宋体" w:cs="宋体"/>
                <w:color w:val="000000"/>
                <w:kern w:val="0"/>
                <w:sz w:val="24"/>
              </w:rPr>
              <w:t>93000</w:t>
            </w:r>
          </w:p>
        </w:tc>
        <w:tc>
          <w:tcPr>
            <w:tcW w:w="6521" w:type="dxa"/>
            <w:tcBorders>
              <w:top w:val="single" w:color="auto" w:sz="4" w:space="0"/>
              <w:left w:val="nil"/>
              <w:bottom w:val="single" w:color="auto" w:sz="4" w:space="0"/>
              <w:right w:val="single" w:color="auto" w:sz="4" w:space="0"/>
            </w:tcBorders>
            <w:shd w:val="clear" w:color="000000" w:fill="FFFFFF"/>
            <w:vAlign w:val="center"/>
          </w:tcPr>
          <w:p w14:paraId="4ED2A747">
            <w:pPr>
              <w:widowControl/>
              <w:suppressAutoHyphens w:val="0"/>
              <w:jc w:val="left"/>
              <w:rPr>
                <w:rFonts w:ascii="宋体" w:hAnsi="宋体" w:cs="宋体"/>
                <w:kern w:val="0"/>
                <w:sz w:val="20"/>
                <w:szCs w:val="20"/>
              </w:rPr>
            </w:pPr>
            <w:r>
              <w:rPr>
                <w:rFonts w:hint="eastAsia" w:ascii="宋体" w:hAnsi="宋体" w:cs="宋体"/>
                <w:kern w:val="0"/>
                <w:sz w:val="20"/>
                <w:szCs w:val="20"/>
              </w:rPr>
              <w:t>(1)屏风款型厚度采用40mm。外型简洁流线形设计。(2)屏风边框、扣盖全部使用铝合金材料，框架铝材厚度1.5mm，顶盖收边铝材厚度1.2mm；顶盖收边角采用铝合金型材，壁厚1.5mm，内部角度连接件全部采用壁厚2.0mm金属配件，屏风托臂采用壁厚2.0mm钢制，屏风调节脚采用直径25mm实心钢制，调节脚调到最低状态时距地不低于20mm。屏风底部线槽采用1.0mm冷轧钢板外凸式设计保证线槽内部空间厚度不低于70mm，确保插座面板对向安装安全性。(3)主屏、侧屏均采用胶板饰面。桌面以下线槽位置预留有强弱电插座孔3个。(4)桌面采用进口品牌防火板双贴厚度27mm，要求正反面采用同色防火板。基材采用ENF级优质刨花板，密度700公斤/立方米，游离甲醛释放量≤5mg/100g，原材料树种一致，达到国际握钉力测试标准，封边采用2mmPVC封边，主台板宽600mm，副台板宽500mm，弧度圆滑自然。(5)配有全钢三抽落地柜、ABS键盘架。(6)采用手动密码锁。全部三节轨为进口品牌。(7)钢制部分采用静电喷涂粉末，隧道式全自动喷淋式处理（除油、除锈、磷化、清水、烘干），静电喷涂及恒定粉体固化炉温，厚度达80um-100um，硬度达2H级工序。</w:t>
            </w:r>
          </w:p>
        </w:tc>
      </w:tr>
      <w:tr w14:paraId="5811F8FF">
        <w:tblPrEx>
          <w:tblCellMar>
            <w:top w:w="0" w:type="dxa"/>
            <w:left w:w="108" w:type="dxa"/>
            <w:bottom w:w="0" w:type="dxa"/>
            <w:right w:w="108" w:type="dxa"/>
          </w:tblCellMar>
        </w:tblPrEx>
        <w:trPr>
          <w:trHeight w:val="4111" w:hRule="atLeast"/>
        </w:trPr>
        <w:tc>
          <w:tcPr>
            <w:tcW w:w="720"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04C76B9">
            <w:pPr>
              <w:widowControl/>
              <w:suppressAutoHyphens w:val="0"/>
              <w:jc w:val="center"/>
              <w:rPr>
                <w:rFonts w:ascii="宋体" w:hAnsi="宋体" w:cs="宋体"/>
                <w:color w:val="000000"/>
                <w:kern w:val="0"/>
                <w:sz w:val="24"/>
              </w:rPr>
            </w:pPr>
            <w:r>
              <w:rPr>
                <w:rFonts w:hint="eastAsia" w:ascii="宋体" w:hAnsi="宋体" w:cs="宋体"/>
                <w:color w:val="000000"/>
                <w:kern w:val="0"/>
                <w:sz w:val="24"/>
              </w:rPr>
              <w:t>4</w:t>
            </w:r>
          </w:p>
        </w:tc>
        <w:tc>
          <w:tcPr>
            <w:tcW w:w="1180" w:type="dxa"/>
            <w:tcBorders>
              <w:top w:val="single" w:color="auto" w:sz="4" w:space="0"/>
              <w:left w:val="nil"/>
              <w:bottom w:val="single" w:color="auto" w:sz="4" w:space="0"/>
              <w:right w:val="single" w:color="auto" w:sz="4" w:space="0"/>
            </w:tcBorders>
            <w:shd w:val="clear" w:color="000000" w:fill="FFFFFF"/>
            <w:vAlign w:val="center"/>
          </w:tcPr>
          <w:p w14:paraId="302A2538">
            <w:pPr>
              <w:widowControl/>
              <w:suppressAutoHyphens w:val="0"/>
              <w:jc w:val="center"/>
              <w:rPr>
                <w:rFonts w:ascii="宋体" w:hAnsi="宋体" w:cs="宋体"/>
                <w:color w:val="000000"/>
                <w:kern w:val="0"/>
                <w:sz w:val="24"/>
              </w:rPr>
            </w:pPr>
            <w:r>
              <w:rPr>
                <w:rFonts w:hint="eastAsia" w:ascii="宋体" w:hAnsi="宋体" w:cs="宋体"/>
                <w:color w:val="000000"/>
                <w:kern w:val="0"/>
                <w:sz w:val="24"/>
              </w:rPr>
              <w:t>办公椅</w:t>
            </w:r>
          </w:p>
        </w:tc>
        <w:tc>
          <w:tcPr>
            <w:tcW w:w="2060" w:type="dxa"/>
            <w:tcBorders>
              <w:top w:val="single" w:color="auto" w:sz="4" w:space="0"/>
              <w:left w:val="nil"/>
              <w:bottom w:val="single" w:color="auto" w:sz="4" w:space="0"/>
              <w:right w:val="single" w:color="auto" w:sz="4" w:space="0"/>
            </w:tcBorders>
            <w:shd w:val="clear" w:color="000000" w:fill="FFFFFF"/>
            <w:vAlign w:val="center"/>
          </w:tcPr>
          <w:p w14:paraId="777D35AF">
            <w:pPr>
              <w:widowControl/>
              <w:suppressAutoHyphens w:val="0"/>
              <w:jc w:val="center"/>
              <w:rPr>
                <w:rFonts w:ascii="宋体" w:hAnsi="宋体" w:cs="宋体"/>
                <w:color w:val="000000"/>
                <w:kern w:val="0"/>
                <w:sz w:val="24"/>
              </w:rPr>
            </w:pPr>
            <w:r>
              <w:rPr>
                <w:rFonts w:ascii="宋体" w:hAnsi="宋体" w:cs="宋体"/>
                <w:color w:val="000000"/>
                <w:kern w:val="0"/>
                <w:sz w:val="24"/>
              </w:rPr>
              <w:drawing>
                <wp:anchor distT="0" distB="0" distL="114300" distR="114300" simplePos="0" relativeHeight="251663360" behindDoc="0" locked="0" layoutInCell="1" allowOverlap="1">
                  <wp:simplePos x="0" y="0"/>
                  <wp:positionH relativeFrom="column">
                    <wp:posOffset>161925</wp:posOffset>
                  </wp:positionH>
                  <wp:positionV relativeFrom="paragraph">
                    <wp:posOffset>200025</wp:posOffset>
                  </wp:positionV>
                  <wp:extent cx="904875" cy="1428750"/>
                  <wp:effectExtent l="0" t="0" r="0" b="635"/>
                  <wp:wrapNone/>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noChangeArrowheads="1"/>
                          </pic:cNvPicPr>
                        </pic:nvPicPr>
                        <pic:blipFill>
                          <a:blip r:embed="rId10" cstate="print"/>
                          <a:srcRect/>
                          <a:stretch>
                            <a:fillRect/>
                          </a:stretch>
                        </pic:blipFill>
                        <pic:spPr>
                          <a:xfrm>
                            <a:off x="0" y="0"/>
                            <a:ext cx="895350" cy="1419225"/>
                          </a:xfrm>
                          <a:prstGeom prst="rect">
                            <a:avLst/>
                          </a:prstGeom>
                          <a:noFill/>
                          <a:ln w="1">
                            <a:noFill/>
                            <a:miter lim="800000"/>
                            <a:headEnd/>
                            <a:tailEnd/>
                          </a:ln>
                        </pic:spPr>
                      </pic:pic>
                    </a:graphicData>
                  </a:graphic>
                </wp:anchor>
              </w:drawing>
            </w:r>
          </w:p>
        </w:tc>
        <w:tc>
          <w:tcPr>
            <w:tcW w:w="1428" w:type="dxa"/>
            <w:tcBorders>
              <w:top w:val="single" w:color="auto" w:sz="4" w:space="0"/>
              <w:left w:val="nil"/>
              <w:bottom w:val="single" w:color="auto" w:sz="4" w:space="0"/>
              <w:right w:val="single" w:color="auto" w:sz="4" w:space="0"/>
            </w:tcBorders>
            <w:shd w:val="clear" w:color="000000" w:fill="FFFFFF"/>
            <w:vAlign w:val="center"/>
          </w:tcPr>
          <w:p w14:paraId="54297CEC">
            <w:pPr>
              <w:widowControl/>
              <w:suppressAutoHyphens w:val="0"/>
              <w:jc w:val="center"/>
              <w:rPr>
                <w:rFonts w:ascii="宋体" w:hAnsi="宋体" w:cs="宋体"/>
                <w:color w:val="000000"/>
                <w:kern w:val="0"/>
                <w:sz w:val="24"/>
              </w:rPr>
            </w:pPr>
            <w:r>
              <w:rPr>
                <w:rFonts w:hint="eastAsia" w:ascii="宋体" w:hAnsi="宋体" w:cs="宋体"/>
                <w:color w:val="000000"/>
                <w:kern w:val="0"/>
                <w:sz w:val="24"/>
              </w:rPr>
              <w:t>气动倾仰</w:t>
            </w:r>
          </w:p>
        </w:tc>
        <w:tc>
          <w:tcPr>
            <w:tcW w:w="708" w:type="dxa"/>
            <w:tcBorders>
              <w:top w:val="single" w:color="auto" w:sz="4" w:space="0"/>
              <w:left w:val="nil"/>
              <w:bottom w:val="single" w:color="auto" w:sz="4" w:space="0"/>
              <w:right w:val="single" w:color="auto" w:sz="4" w:space="0"/>
            </w:tcBorders>
            <w:shd w:val="clear" w:color="000000" w:fill="FFFFFF"/>
            <w:vAlign w:val="center"/>
          </w:tcPr>
          <w:p w14:paraId="3C8607C1">
            <w:pPr>
              <w:widowControl/>
              <w:suppressAutoHyphens w:val="0"/>
              <w:jc w:val="center"/>
              <w:rPr>
                <w:rFonts w:ascii="宋体" w:hAnsi="宋体" w:cs="宋体"/>
                <w:color w:val="000000"/>
                <w:kern w:val="0"/>
                <w:sz w:val="24"/>
              </w:rPr>
            </w:pPr>
            <w:r>
              <w:rPr>
                <w:rFonts w:hint="eastAsia" w:ascii="宋体" w:hAnsi="宋体" w:cs="宋体"/>
                <w:color w:val="000000"/>
                <w:kern w:val="0"/>
                <w:sz w:val="24"/>
              </w:rPr>
              <w:t>把</w:t>
            </w:r>
          </w:p>
        </w:tc>
        <w:tc>
          <w:tcPr>
            <w:tcW w:w="851" w:type="dxa"/>
            <w:tcBorders>
              <w:top w:val="single" w:color="auto" w:sz="4" w:space="0"/>
              <w:left w:val="nil"/>
              <w:bottom w:val="single" w:color="auto" w:sz="4" w:space="0"/>
              <w:right w:val="single" w:color="auto" w:sz="4" w:space="0"/>
            </w:tcBorders>
            <w:shd w:val="clear" w:color="000000" w:fill="FFFFFF"/>
            <w:vAlign w:val="center"/>
          </w:tcPr>
          <w:p w14:paraId="1C2D9F82">
            <w:pPr>
              <w:widowControl/>
              <w:suppressAutoHyphens w:val="0"/>
              <w:jc w:val="center"/>
              <w:rPr>
                <w:rFonts w:ascii="宋体" w:hAnsi="宋体" w:cs="宋体"/>
                <w:color w:val="000000"/>
                <w:kern w:val="0"/>
                <w:sz w:val="24"/>
              </w:rPr>
            </w:pPr>
            <w:r>
              <w:rPr>
                <w:rFonts w:hint="eastAsia" w:ascii="宋体" w:hAnsi="宋体" w:cs="宋体"/>
                <w:color w:val="000000"/>
                <w:kern w:val="0"/>
                <w:sz w:val="24"/>
              </w:rPr>
              <w:t>91</w:t>
            </w:r>
          </w:p>
        </w:tc>
        <w:tc>
          <w:tcPr>
            <w:tcW w:w="1276" w:type="dxa"/>
            <w:tcBorders>
              <w:top w:val="single" w:color="auto" w:sz="4" w:space="0"/>
              <w:left w:val="nil"/>
              <w:bottom w:val="single" w:color="auto" w:sz="4" w:space="0"/>
              <w:right w:val="single" w:color="auto" w:sz="4" w:space="0"/>
            </w:tcBorders>
            <w:shd w:val="clear" w:color="000000" w:fill="FFFFFF"/>
            <w:vAlign w:val="center"/>
          </w:tcPr>
          <w:p w14:paraId="1F1EC3E2">
            <w:pPr>
              <w:widowControl/>
              <w:suppressAutoHyphens w:val="0"/>
              <w:jc w:val="center"/>
              <w:rPr>
                <w:rFonts w:ascii="宋体" w:hAnsi="宋体" w:cs="宋体"/>
                <w:color w:val="000000"/>
                <w:kern w:val="0"/>
                <w:sz w:val="24"/>
              </w:rPr>
            </w:pPr>
            <w:r>
              <w:rPr>
                <w:rFonts w:hint="eastAsia" w:ascii="宋体" w:hAnsi="宋体" w:cs="宋体"/>
                <w:color w:val="000000"/>
                <w:kern w:val="0"/>
                <w:sz w:val="24"/>
              </w:rPr>
              <w:t>800</w:t>
            </w:r>
          </w:p>
        </w:tc>
        <w:tc>
          <w:tcPr>
            <w:tcW w:w="1275" w:type="dxa"/>
            <w:tcBorders>
              <w:top w:val="single" w:color="auto" w:sz="4" w:space="0"/>
              <w:left w:val="nil"/>
              <w:bottom w:val="single" w:color="auto" w:sz="4" w:space="0"/>
              <w:right w:val="single" w:color="auto" w:sz="4" w:space="0"/>
            </w:tcBorders>
            <w:shd w:val="clear" w:color="000000" w:fill="FFFFFF"/>
            <w:vAlign w:val="center"/>
          </w:tcPr>
          <w:p w14:paraId="417AD072">
            <w:pPr>
              <w:widowControl/>
              <w:suppressAutoHyphens w:val="0"/>
              <w:jc w:val="center"/>
              <w:rPr>
                <w:rFonts w:ascii="宋体" w:hAnsi="宋体" w:cs="宋体"/>
                <w:color w:val="000000"/>
                <w:kern w:val="0"/>
                <w:sz w:val="24"/>
              </w:rPr>
            </w:pPr>
            <w:r>
              <w:rPr>
                <w:rFonts w:hint="eastAsia" w:ascii="宋体" w:hAnsi="宋体" w:cs="宋体"/>
                <w:color w:val="000000"/>
                <w:kern w:val="0"/>
                <w:sz w:val="24"/>
              </w:rPr>
              <w:t>72800</w:t>
            </w:r>
          </w:p>
        </w:tc>
        <w:tc>
          <w:tcPr>
            <w:tcW w:w="6521" w:type="dxa"/>
            <w:tcBorders>
              <w:top w:val="single" w:color="auto" w:sz="4" w:space="0"/>
              <w:left w:val="nil"/>
              <w:bottom w:val="single" w:color="auto" w:sz="4" w:space="0"/>
              <w:right w:val="single" w:color="auto" w:sz="4" w:space="0"/>
            </w:tcBorders>
            <w:shd w:val="clear" w:color="000000" w:fill="FFFFFF"/>
            <w:vAlign w:val="center"/>
          </w:tcPr>
          <w:p w14:paraId="16FA2D98">
            <w:pPr>
              <w:widowControl/>
              <w:suppressAutoHyphens w:val="0"/>
              <w:jc w:val="left"/>
              <w:rPr>
                <w:rFonts w:ascii="宋体" w:hAnsi="宋体" w:cs="宋体"/>
                <w:color w:val="000000"/>
                <w:kern w:val="0"/>
                <w:sz w:val="20"/>
                <w:szCs w:val="20"/>
              </w:rPr>
            </w:pPr>
            <w:r>
              <w:rPr>
                <w:rFonts w:hint="eastAsia" w:ascii="宋体" w:hAnsi="宋体" w:cs="宋体"/>
                <w:color w:val="000000"/>
                <w:kern w:val="0"/>
                <w:sz w:val="20"/>
                <w:szCs w:val="20"/>
              </w:rPr>
              <w:t>1.面材: 采用阻燃网布，达到GB 18401-2010《国家纺织产品基本安全技术规范》的国家标准。</w:t>
            </w:r>
            <w:r>
              <w:rPr>
                <w:rFonts w:hint="eastAsia" w:ascii="宋体" w:hAnsi="宋体" w:cs="宋体"/>
                <w:color w:val="000000"/>
                <w:kern w:val="0"/>
                <w:sz w:val="20"/>
                <w:szCs w:val="20"/>
              </w:rPr>
              <w:br w:type="page"/>
            </w:r>
            <w:r>
              <w:rPr>
                <w:rFonts w:hint="eastAsia" w:ascii="宋体" w:hAnsi="宋体" w:cs="宋体"/>
                <w:color w:val="000000"/>
                <w:kern w:val="0"/>
                <w:sz w:val="20"/>
                <w:szCs w:val="20"/>
              </w:rPr>
              <w:t>2.海绵：椅座采用阻燃泡绵，3D零压力坐垫设计，坐垫表面有独特的曲线结构使用者重量均匀分布。椅座采用密度≥35kg/m³，回弹性能好，不变形。不存在粘接剂等有害物质，不含氟氨化合物。符合GB/T 10802-2006《通用软质聚醚型聚氨酯泡沫塑料》、GB 17927.2-2011《软体家具 床垫和沙发 抗引燃特性的评定 第2部分：模拟火柴火焰》国家标准。</w:t>
            </w:r>
            <w:r>
              <w:rPr>
                <w:rFonts w:hint="eastAsia" w:ascii="宋体" w:hAnsi="宋体" w:cs="宋体"/>
                <w:color w:val="000000"/>
                <w:kern w:val="0"/>
                <w:sz w:val="20"/>
                <w:szCs w:val="20"/>
              </w:rPr>
              <w:br w:type="page"/>
            </w:r>
            <w:r>
              <w:rPr>
                <w:rFonts w:hint="eastAsia" w:ascii="宋体" w:hAnsi="宋体" w:cs="宋体"/>
                <w:color w:val="000000"/>
                <w:kern w:val="0"/>
                <w:sz w:val="20"/>
                <w:szCs w:val="20"/>
              </w:rPr>
              <w:t>3.厚度≥15mm曲木板齿接热压成型，板材承受压力达300KG，具有防潮、防腐、防虫等环保性能。</w:t>
            </w:r>
            <w:r>
              <w:rPr>
                <w:rFonts w:hint="eastAsia" w:ascii="宋体" w:hAnsi="宋体" w:cs="宋体"/>
                <w:color w:val="000000"/>
                <w:kern w:val="0"/>
                <w:sz w:val="20"/>
                <w:szCs w:val="20"/>
              </w:rPr>
              <w:br w:type="page"/>
            </w:r>
            <w:r>
              <w:rPr>
                <w:rFonts w:hint="eastAsia" w:ascii="宋体" w:hAnsi="宋体" w:cs="宋体"/>
                <w:color w:val="000000"/>
                <w:kern w:val="0"/>
                <w:sz w:val="20"/>
                <w:szCs w:val="20"/>
              </w:rPr>
              <w:t>4.气压棒：气压棒采用优质品牌，上下伸缩≥30万次不漏气，保持特有的柔和升降功能，承受压力≥250kg，气动行程60-100mm。</w:t>
            </w:r>
            <w:r>
              <w:rPr>
                <w:rFonts w:hint="eastAsia" w:ascii="宋体" w:hAnsi="宋体" w:cs="宋体"/>
                <w:color w:val="000000"/>
                <w:kern w:val="0"/>
                <w:sz w:val="20"/>
                <w:szCs w:val="20"/>
              </w:rPr>
              <w:br w:type="page"/>
            </w:r>
            <w:r>
              <w:rPr>
                <w:rFonts w:hint="eastAsia" w:ascii="宋体" w:hAnsi="宋体" w:cs="宋体"/>
                <w:color w:val="000000"/>
                <w:kern w:val="0"/>
                <w:sz w:val="20"/>
                <w:szCs w:val="20"/>
              </w:rPr>
              <w:t>5.机构底盘采用追背分体倾仰机构，原位锁定功能，具备升降、倾仰、锁定功能。</w:t>
            </w:r>
            <w:r>
              <w:rPr>
                <w:rFonts w:hint="eastAsia" w:ascii="宋体" w:hAnsi="宋体" w:cs="宋体"/>
                <w:color w:val="000000"/>
                <w:kern w:val="0"/>
                <w:sz w:val="20"/>
                <w:szCs w:val="20"/>
              </w:rPr>
              <w:br w:type="page"/>
            </w:r>
            <w:r>
              <w:rPr>
                <w:rFonts w:hint="eastAsia" w:ascii="宋体" w:hAnsi="宋体" w:cs="宋体"/>
                <w:color w:val="000000"/>
                <w:kern w:val="0"/>
                <w:sz w:val="20"/>
                <w:szCs w:val="20"/>
              </w:rPr>
              <w:t>6.星盘脚轮：尼龙脚轮含量90%纤维含量10%，可承重静压力≥1200kg。</w:t>
            </w:r>
          </w:p>
        </w:tc>
      </w:tr>
      <w:tr w14:paraId="5F8FA220">
        <w:tblPrEx>
          <w:tblCellMar>
            <w:top w:w="0" w:type="dxa"/>
            <w:left w:w="108" w:type="dxa"/>
            <w:bottom w:w="0" w:type="dxa"/>
            <w:right w:w="108" w:type="dxa"/>
          </w:tblCellMar>
        </w:tblPrEx>
        <w:trPr>
          <w:trHeight w:val="1694" w:hRule="atLeast"/>
        </w:trPr>
        <w:tc>
          <w:tcPr>
            <w:tcW w:w="720" w:type="dxa"/>
            <w:vMerge w:val="restart"/>
            <w:tcBorders>
              <w:top w:val="single" w:color="auto" w:sz="4" w:space="0"/>
              <w:left w:val="single" w:color="auto" w:sz="4" w:space="0"/>
              <w:bottom w:val="single" w:color="000000" w:sz="4" w:space="0"/>
              <w:right w:val="single" w:color="auto" w:sz="4" w:space="0"/>
            </w:tcBorders>
            <w:shd w:val="clear" w:color="000000" w:fill="FFFFFF"/>
            <w:noWrap/>
            <w:vAlign w:val="center"/>
          </w:tcPr>
          <w:p w14:paraId="4FED7B68">
            <w:pPr>
              <w:widowControl/>
              <w:suppressAutoHyphens w:val="0"/>
              <w:jc w:val="center"/>
              <w:rPr>
                <w:rFonts w:ascii="宋体" w:hAnsi="宋体" w:cs="宋体"/>
                <w:color w:val="000000"/>
                <w:kern w:val="0"/>
                <w:sz w:val="24"/>
              </w:rPr>
            </w:pPr>
            <w:r>
              <w:rPr>
                <w:rFonts w:hint="eastAsia" w:ascii="宋体" w:hAnsi="宋体" w:cs="宋体"/>
                <w:color w:val="000000"/>
                <w:kern w:val="0"/>
                <w:sz w:val="24"/>
              </w:rPr>
              <w:t>5</w:t>
            </w:r>
          </w:p>
        </w:tc>
        <w:tc>
          <w:tcPr>
            <w:tcW w:w="118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14:paraId="2F44D9F2">
            <w:pPr>
              <w:widowControl/>
              <w:suppressAutoHyphens w:val="0"/>
              <w:jc w:val="center"/>
              <w:rPr>
                <w:rFonts w:ascii="宋体" w:hAnsi="宋体" w:cs="宋体"/>
                <w:color w:val="000000"/>
                <w:kern w:val="0"/>
                <w:sz w:val="24"/>
              </w:rPr>
            </w:pPr>
            <w:r>
              <w:rPr>
                <w:rFonts w:hint="eastAsia" w:ascii="宋体" w:hAnsi="宋体" w:cs="宋体"/>
                <w:color w:val="000000"/>
                <w:kern w:val="0"/>
                <w:sz w:val="24"/>
              </w:rPr>
              <w:t>会议条桌</w:t>
            </w:r>
          </w:p>
        </w:tc>
        <w:tc>
          <w:tcPr>
            <w:tcW w:w="2060" w:type="dxa"/>
            <w:tcBorders>
              <w:top w:val="single" w:color="auto" w:sz="4" w:space="0"/>
              <w:left w:val="nil"/>
              <w:bottom w:val="nil"/>
              <w:right w:val="single" w:color="auto" w:sz="4" w:space="0"/>
            </w:tcBorders>
            <w:shd w:val="clear" w:color="auto" w:fill="auto"/>
            <w:noWrap/>
            <w:vAlign w:val="center"/>
          </w:tcPr>
          <w:p w14:paraId="09CEA677">
            <w:pPr>
              <w:widowControl/>
              <w:suppressAutoHyphens w:val="0"/>
              <w:jc w:val="left"/>
              <w:rPr>
                <w:rFonts w:ascii="宋体" w:hAnsi="宋体" w:cs="宋体"/>
                <w:color w:val="000000"/>
                <w:kern w:val="0"/>
                <w:sz w:val="22"/>
                <w:szCs w:val="22"/>
              </w:rPr>
            </w:pPr>
            <w:r>
              <w:rPr>
                <w:rFonts w:ascii="宋体" w:hAnsi="宋体" w:cs="宋体"/>
                <w:color w:val="000000"/>
                <w:kern w:val="0"/>
                <w:sz w:val="22"/>
                <w:szCs w:val="22"/>
              </w:rPr>
              <w:drawing>
                <wp:anchor distT="0" distB="0" distL="114300" distR="114300" simplePos="0" relativeHeight="251664384" behindDoc="0" locked="0" layoutInCell="1" allowOverlap="1">
                  <wp:simplePos x="0" y="0"/>
                  <wp:positionH relativeFrom="column">
                    <wp:posOffset>56515</wp:posOffset>
                  </wp:positionH>
                  <wp:positionV relativeFrom="paragraph">
                    <wp:posOffset>596265</wp:posOffset>
                  </wp:positionV>
                  <wp:extent cx="1129030" cy="754380"/>
                  <wp:effectExtent l="19050" t="0" r="0" b="0"/>
                  <wp:wrapNone/>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11" cstate="print"/>
                          <a:srcRect r="29622"/>
                          <a:stretch>
                            <a:fillRect/>
                          </a:stretch>
                        </pic:blipFill>
                        <pic:spPr>
                          <a:xfrm>
                            <a:off x="0" y="0"/>
                            <a:ext cx="1129030" cy="754380"/>
                          </a:xfrm>
                          <a:prstGeom prst="rect">
                            <a:avLst/>
                          </a:prstGeom>
                          <a:noFill/>
                          <a:ln w="9525">
                            <a:noFill/>
                            <a:miter lim="800000"/>
                            <a:headEnd/>
                            <a:tailEnd/>
                          </a:ln>
                        </pic:spPr>
                      </pic:pic>
                    </a:graphicData>
                  </a:graphic>
                </wp:anchor>
              </w:drawing>
            </w:r>
          </w:p>
        </w:tc>
        <w:tc>
          <w:tcPr>
            <w:tcW w:w="1428" w:type="dxa"/>
            <w:tcBorders>
              <w:top w:val="single" w:color="auto" w:sz="4" w:space="0"/>
              <w:left w:val="single" w:color="auto" w:sz="4" w:space="0"/>
              <w:bottom w:val="single" w:color="auto" w:sz="4" w:space="0"/>
              <w:right w:val="single" w:color="auto" w:sz="4" w:space="0"/>
            </w:tcBorders>
            <w:shd w:val="clear" w:color="000000" w:fill="FFFFFF"/>
            <w:vAlign w:val="center"/>
          </w:tcPr>
          <w:p w14:paraId="779DB7E7">
            <w:pPr>
              <w:widowControl/>
              <w:suppressAutoHyphens w:val="0"/>
              <w:jc w:val="center"/>
              <w:rPr>
                <w:rFonts w:ascii="宋体" w:hAnsi="宋体" w:cs="宋体"/>
                <w:color w:val="000000"/>
                <w:kern w:val="0"/>
                <w:sz w:val="24"/>
              </w:rPr>
            </w:pPr>
            <w:r>
              <w:rPr>
                <w:rFonts w:hint="eastAsia" w:ascii="宋体" w:hAnsi="宋体" w:cs="宋体"/>
                <w:color w:val="000000"/>
                <w:kern w:val="0"/>
                <w:sz w:val="24"/>
              </w:rPr>
              <w:t>1600*600*750</w:t>
            </w:r>
          </w:p>
        </w:tc>
        <w:tc>
          <w:tcPr>
            <w:tcW w:w="708" w:type="dxa"/>
            <w:tcBorders>
              <w:top w:val="single" w:color="auto" w:sz="4" w:space="0"/>
              <w:left w:val="nil"/>
              <w:bottom w:val="single" w:color="auto" w:sz="4" w:space="0"/>
              <w:right w:val="single" w:color="auto" w:sz="4" w:space="0"/>
            </w:tcBorders>
            <w:shd w:val="clear" w:color="000000" w:fill="FFFFFF"/>
            <w:vAlign w:val="center"/>
          </w:tcPr>
          <w:p w14:paraId="14B98E2A">
            <w:pPr>
              <w:widowControl/>
              <w:suppressAutoHyphens w:val="0"/>
              <w:jc w:val="center"/>
              <w:rPr>
                <w:rFonts w:ascii="宋体" w:hAnsi="宋体" w:cs="宋体"/>
                <w:color w:val="000000"/>
                <w:kern w:val="0"/>
                <w:sz w:val="24"/>
              </w:rPr>
            </w:pPr>
            <w:r>
              <w:rPr>
                <w:rFonts w:hint="eastAsia" w:ascii="宋体" w:hAnsi="宋体" w:cs="宋体"/>
                <w:color w:val="000000"/>
                <w:kern w:val="0"/>
                <w:sz w:val="24"/>
              </w:rPr>
              <w:t>件</w:t>
            </w:r>
          </w:p>
        </w:tc>
        <w:tc>
          <w:tcPr>
            <w:tcW w:w="851" w:type="dxa"/>
            <w:tcBorders>
              <w:top w:val="single" w:color="auto" w:sz="4" w:space="0"/>
              <w:left w:val="nil"/>
              <w:bottom w:val="single" w:color="auto" w:sz="4" w:space="0"/>
              <w:right w:val="single" w:color="auto" w:sz="4" w:space="0"/>
            </w:tcBorders>
            <w:shd w:val="clear" w:color="000000" w:fill="FFFFFF"/>
            <w:vAlign w:val="center"/>
          </w:tcPr>
          <w:p w14:paraId="3B93746A">
            <w:pPr>
              <w:widowControl/>
              <w:suppressAutoHyphens w:val="0"/>
              <w:jc w:val="center"/>
              <w:rPr>
                <w:rFonts w:ascii="宋体" w:hAnsi="宋体" w:cs="宋体"/>
                <w:color w:val="000000"/>
                <w:kern w:val="0"/>
                <w:sz w:val="24"/>
              </w:rPr>
            </w:pPr>
            <w:r>
              <w:rPr>
                <w:rFonts w:hint="eastAsia" w:ascii="宋体" w:hAnsi="宋体" w:cs="宋体"/>
                <w:color w:val="000000"/>
                <w:kern w:val="0"/>
                <w:sz w:val="24"/>
              </w:rPr>
              <w:t>4</w:t>
            </w:r>
          </w:p>
        </w:tc>
        <w:tc>
          <w:tcPr>
            <w:tcW w:w="1276" w:type="dxa"/>
            <w:tcBorders>
              <w:top w:val="single" w:color="auto" w:sz="4" w:space="0"/>
              <w:left w:val="nil"/>
              <w:bottom w:val="single" w:color="auto" w:sz="4" w:space="0"/>
              <w:right w:val="single" w:color="auto" w:sz="4" w:space="0"/>
            </w:tcBorders>
            <w:shd w:val="clear" w:color="000000" w:fill="FFFFFF"/>
            <w:vAlign w:val="center"/>
          </w:tcPr>
          <w:p w14:paraId="149FE001">
            <w:pPr>
              <w:widowControl/>
              <w:suppressAutoHyphens w:val="0"/>
              <w:jc w:val="center"/>
              <w:rPr>
                <w:rFonts w:ascii="宋体" w:hAnsi="宋体" w:cs="宋体"/>
                <w:color w:val="000000"/>
                <w:kern w:val="0"/>
                <w:sz w:val="24"/>
              </w:rPr>
            </w:pPr>
            <w:r>
              <w:rPr>
                <w:rFonts w:hint="eastAsia" w:ascii="宋体" w:hAnsi="宋体" w:cs="宋体"/>
                <w:color w:val="000000"/>
                <w:kern w:val="0"/>
                <w:sz w:val="24"/>
              </w:rPr>
              <w:t>1000</w:t>
            </w:r>
          </w:p>
        </w:tc>
        <w:tc>
          <w:tcPr>
            <w:tcW w:w="1275" w:type="dxa"/>
            <w:tcBorders>
              <w:top w:val="single" w:color="auto" w:sz="4" w:space="0"/>
              <w:left w:val="nil"/>
              <w:bottom w:val="single" w:color="auto" w:sz="4" w:space="0"/>
              <w:right w:val="single" w:color="auto" w:sz="4" w:space="0"/>
            </w:tcBorders>
            <w:shd w:val="clear" w:color="000000" w:fill="FFFFFF"/>
            <w:vAlign w:val="center"/>
          </w:tcPr>
          <w:p w14:paraId="15ECEAF0">
            <w:pPr>
              <w:widowControl/>
              <w:suppressAutoHyphens w:val="0"/>
              <w:jc w:val="center"/>
              <w:rPr>
                <w:rFonts w:ascii="宋体" w:hAnsi="宋体" w:cs="宋体"/>
                <w:color w:val="000000"/>
                <w:kern w:val="0"/>
                <w:sz w:val="24"/>
              </w:rPr>
            </w:pPr>
            <w:r>
              <w:rPr>
                <w:rFonts w:hint="eastAsia" w:ascii="宋体" w:hAnsi="宋体" w:cs="宋体"/>
                <w:color w:val="000000"/>
                <w:kern w:val="0"/>
                <w:sz w:val="24"/>
              </w:rPr>
              <w:t>4000</w:t>
            </w:r>
          </w:p>
        </w:tc>
        <w:tc>
          <w:tcPr>
            <w:tcW w:w="652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93BC55C">
            <w:pPr>
              <w:widowControl/>
              <w:suppressAutoHyphens w:val="0"/>
              <w:jc w:val="left"/>
              <w:rPr>
                <w:rFonts w:ascii="宋体" w:hAnsi="宋体" w:cs="宋体"/>
                <w:color w:val="000000"/>
                <w:kern w:val="0"/>
                <w:sz w:val="20"/>
                <w:szCs w:val="20"/>
              </w:rPr>
            </w:pPr>
            <w:r>
              <w:rPr>
                <w:rFonts w:hint="eastAsia" w:ascii="宋体" w:hAnsi="宋体" w:cs="宋体"/>
                <w:color w:val="000000"/>
                <w:kern w:val="0"/>
                <w:sz w:val="20"/>
                <w:szCs w:val="20"/>
              </w:rPr>
              <w:t>1.面材为一级胡桃木皮厚度0.6mm，采用实木封边条。基材采用ENF级中密度纤维板；原材料树种一致，达到国际握钉力测试标准。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面漆采用优质品牌环保水性面漆，具有较好的耐磨、耐高温性能、透明度好、硬度高、耐磨性好；色泽柔和持久耐腐蚀手感良好；耐弱酸碱、耐腐蚀性、耐油性耐湿热性良好；采用优质品牌环保水性底漆、透明性好、附着力强；经不少于8次打磨，5次底漆，3次面漆，符合国家环保要求，漆面硬度达到 2H。</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3.采用优质品牌三合一连接件。</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4.所有隐蔽空间的材质、做工、颜色与台面相同。</w:t>
            </w:r>
          </w:p>
        </w:tc>
      </w:tr>
      <w:tr w14:paraId="1755B82C">
        <w:tblPrEx>
          <w:tblCellMar>
            <w:top w:w="0" w:type="dxa"/>
            <w:left w:w="108" w:type="dxa"/>
            <w:bottom w:w="0" w:type="dxa"/>
            <w:right w:w="108" w:type="dxa"/>
          </w:tblCellMar>
        </w:tblPrEx>
        <w:trPr>
          <w:trHeight w:val="1691"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14:paraId="52A6BF86">
            <w:pPr>
              <w:widowControl/>
              <w:suppressAutoHyphens w:val="0"/>
              <w:jc w:val="left"/>
              <w:rPr>
                <w:rFonts w:ascii="宋体" w:hAnsi="宋体" w:cs="宋体"/>
                <w:color w:val="000000"/>
                <w:kern w:val="0"/>
                <w:sz w:val="24"/>
              </w:rPr>
            </w:pP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14:paraId="04764B50">
            <w:pPr>
              <w:widowControl/>
              <w:suppressAutoHyphens w:val="0"/>
              <w:jc w:val="left"/>
              <w:rPr>
                <w:rFonts w:ascii="宋体" w:hAnsi="宋体" w:cs="宋体"/>
                <w:color w:val="000000"/>
                <w:kern w:val="0"/>
                <w:sz w:val="24"/>
              </w:rPr>
            </w:pPr>
          </w:p>
        </w:tc>
        <w:tc>
          <w:tcPr>
            <w:tcW w:w="2060" w:type="dxa"/>
            <w:tcBorders>
              <w:top w:val="nil"/>
              <w:left w:val="nil"/>
              <w:bottom w:val="single" w:color="auto" w:sz="4" w:space="0"/>
              <w:right w:val="single" w:color="auto" w:sz="4" w:space="0"/>
            </w:tcBorders>
            <w:shd w:val="clear" w:color="000000" w:fill="FFFFFF"/>
            <w:vAlign w:val="center"/>
          </w:tcPr>
          <w:p w14:paraId="2EFC4A68">
            <w:pPr>
              <w:widowControl/>
              <w:suppressAutoHyphens w:val="0"/>
              <w:jc w:val="center"/>
              <w:rPr>
                <w:rFonts w:ascii="宋体" w:hAnsi="宋体" w:cs="宋体"/>
                <w:color w:val="000000"/>
                <w:kern w:val="0"/>
                <w:sz w:val="24"/>
              </w:rPr>
            </w:pPr>
            <w:r>
              <w:rPr>
                <w:rFonts w:hint="eastAsia" w:ascii="宋体" w:hAnsi="宋体" w:cs="宋体"/>
                <w:color w:val="000000"/>
                <w:kern w:val="0"/>
                <w:sz w:val="24"/>
              </w:rPr>
              <w:t>　</w:t>
            </w:r>
          </w:p>
        </w:tc>
        <w:tc>
          <w:tcPr>
            <w:tcW w:w="1428" w:type="dxa"/>
            <w:tcBorders>
              <w:top w:val="single" w:color="auto" w:sz="4" w:space="0"/>
              <w:left w:val="nil"/>
              <w:bottom w:val="single" w:color="auto" w:sz="4" w:space="0"/>
              <w:right w:val="single" w:color="auto" w:sz="4" w:space="0"/>
            </w:tcBorders>
            <w:shd w:val="clear" w:color="000000" w:fill="FFFFFF"/>
            <w:vAlign w:val="center"/>
          </w:tcPr>
          <w:p w14:paraId="4A12BA76">
            <w:pPr>
              <w:widowControl/>
              <w:suppressAutoHyphens w:val="0"/>
              <w:jc w:val="center"/>
              <w:rPr>
                <w:rFonts w:ascii="宋体" w:hAnsi="宋体" w:cs="宋体"/>
                <w:color w:val="000000"/>
                <w:kern w:val="0"/>
                <w:sz w:val="24"/>
              </w:rPr>
            </w:pPr>
            <w:r>
              <w:rPr>
                <w:rFonts w:hint="eastAsia" w:ascii="宋体" w:hAnsi="宋体" w:cs="宋体"/>
                <w:color w:val="000000"/>
                <w:kern w:val="0"/>
                <w:sz w:val="24"/>
              </w:rPr>
              <w:t>1400*450*750</w:t>
            </w:r>
          </w:p>
        </w:tc>
        <w:tc>
          <w:tcPr>
            <w:tcW w:w="708" w:type="dxa"/>
            <w:tcBorders>
              <w:top w:val="nil"/>
              <w:left w:val="nil"/>
              <w:bottom w:val="single" w:color="auto" w:sz="4" w:space="0"/>
              <w:right w:val="single" w:color="auto" w:sz="4" w:space="0"/>
            </w:tcBorders>
            <w:shd w:val="clear" w:color="000000" w:fill="FFFFFF"/>
            <w:vAlign w:val="center"/>
          </w:tcPr>
          <w:p w14:paraId="34EFC386">
            <w:pPr>
              <w:widowControl/>
              <w:suppressAutoHyphens w:val="0"/>
              <w:jc w:val="center"/>
              <w:rPr>
                <w:rFonts w:ascii="宋体" w:hAnsi="宋体" w:cs="宋体"/>
                <w:color w:val="000000"/>
                <w:kern w:val="0"/>
                <w:sz w:val="24"/>
              </w:rPr>
            </w:pPr>
            <w:r>
              <w:rPr>
                <w:rFonts w:hint="eastAsia" w:ascii="宋体" w:hAnsi="宋体" w:cs="宋体"/>
                <w:color w:val="000000"/>
                <w:kern w:val="0"/>
                <w:sz w:val="24"/>
              </w:rPr>
              <w:t>件</w:t>
            </w:r>
          </w:p>
        </w:tc>
        <w:tc>
          <w:tcPr>
            <w:tcW w:w="851" w:type="dxa"/>
            <w:tcBorders>
              <w:top w:val="nil"/>
              <w:left w:val="nil"/>
              <w:bottom w:val="single" w:color="auto" w:sz="4" w:space="0"/>
              <w:right w:val="single" w:color="auto" w:sz="4" w:space="0"/>
            </w:tcBorders>
            <w:shd w:val="clear" w:color="000000" w:fill="FFFFFF"/>
            <w:vAlign w:val="center"/>
          </w:tcPr>
          <w:p w14:paraId="01E2C636">
            <w:pPr>
              <w:widowControl/>
              <w:suppressAutoHyphens w:val="0"/>
              <w:jc w:val="center"/>
              <w:rPr>
                <w:rFonts w:ascii="宋体" w:hAnsi="宋体" w:cs="宋体"/>
                <w:color w:val="000000"/>
                <w:kern w:val="0"/>
                <w:sz w:val="24"/>
              </w:rPr>
            </w:pPr>
            <w:r>
              <w:rPr>
                <w:rFonts w:hint="eastAsia" w:ascii="宋体" w:hAnsi="宋体" w:cs="宋体"/>
                <w:color w:val="000000"/>
                <w:kern w:val="0"/>
                <w:sz w:val="24"/>
              </w:rPr>
              <w:t>58</w:t>
            </w:r>
          </w:p>
        </w:tc>
        <w:tc>
          <w:tcPr>
            <w:tcW w:w="1276" w:type="dxa"/>
            <w:tcBorders>
              <w:top w:val="nil"/>
              <w:left w:val="nil"/>
              <w:bottom w:val="single" w:color="auto" w:sz="4" w:space="0"/>
              <w:right w:val="single" w:color="auto" w:sz="4" w:space="0"/>
            </w:tcBorders>
            <w:shd w:val="clear" w:color="000000" w:fill="FFFFFF"/>
            <w:vAlign w:val="center"/>
          </w:tcPr>
          <w:p w14:paraId="42C5632E">
            <w:pPr>
              <w:widowControl/>
              <w:suppressAutoHyphens w:val="0"/>
              <w:jc w:val="center"/>
              <w:rPr>
                <w:rFonts w:ascii="宋体" w:hAnsi="宋体" w:cs="宋体"/>
                <w:color w:val="000000"/>
                <w:kern w:val="0"/>
                <w:sz w:val="24"/>
              </w:rPr>
            </w:pPr>
            <w:r>
              <w:rPr>
                <w:rFonts w:hint="eastAsia" w:ascii="宋体" w:hAnsi="宋体" w:cs="宋体"/>
                <w:color w:val="000000"/>
                <w:kern w:val="0"/>
                <w:sz w:val="24"/>
              </w:rPr>
              <w:t>1000</w:t>
            </w:r>
          </w:p>
        </w:tc>
        <w:tc>
          <w:tcPr>
            <w:tcW w:w="1275" w:type="dxa"/>
            <w:tcBorders>
              <w:top w:val="nil"/>
              <w:left w:val="nil"/>
              <w:bottom w:val="single" w:color="auto" w:sz="4" w:space="0"/>
              <w:right w:val="single" w:color="auto" w:sz="4" w:space="0"/>
            </w:tcBorders>
            <w:shd w:val="clear" w:color="000000" w:fill="FFFFFF"/>
            <w:vAlign w:val="center"/>
          </w:tcPr>
          <w:p w14:paraId="387BEAC1">
            <w:pPr>
              <w:widowControl/>
              <w:suppressAutoHyphens w:val="0"/>
              <w:jc w:val="center"/>
              <w:rPr>
                <w:rFonts w:ascii="宋体" w:hAnsi="宋体" w:cs="宋体"/>
                <w:color w:val="000000"/>
                <w:kern w:val="0"/>
                <w:sz w:val="24"/>
              </w:rPr>
            </w:pPr>
            <w:r>
              <w:rPr>
                <w:rFonts w:hint="eastAsia" w:ascii="宋体" w:hAnsi="宋体" w:cs="宋体"/>
                <w:color w:val="000000"/>
                <w:kern w:val="0"/>
                <w:sz w:val="24"/>
              </w:rPr>
              <w:t>58000</w:t>
            </w:r>
          </w:p>
        </w:tc>
        <w:tc>
          <w:tcPr>
            <w:tcW w:w="6521" w:type="dxa"/>
            <w:vMerge w:val="continue"/>
            <w:tcBorders>
              <w:top w:val="single" w:color="auto" w:sz="4" w:space="0"/>
              <w:left w:val="single" w:color="auto" w:sz="4" w:space="0"/>
              <w:bottom w:val="single" w:color="auto" w:sz="4" w:space="0"/>
              <w:right w:val="single" w:color="auto" w:sz="4" w:space="0"/>
            </w:tcBorders>
            <w:vAlign w:val="center"/>
          </w:tcPr>
          <w:p w14:paraId="46455141">
            <w:pPr>
              <w:widowControl/>
              <w:suppressAutoHyphens w:val="0"/>
              <w:jc w:val="left"/>
              <w:rPr>
                <w:rFonts w:ascii="宋体" w:hAnsi="宋体" w:cs="宋体"/>
                <w:color w:val="000000"/>
                <w:kern w:val="0"/>
                <w:sz w:val="20"/>
                <w:szCs w:val="20"/>
              </w:rPr>
            </w:pPr>
          </w:p>
        </w:tc>
      </w:tr>
      <w:tr w14:paraId="1E7CDAB0">
        <w:tblPrEx>
          <w:tblCellMar>
            <w:top w:w="0" w:type="dxa"/>
            <w:left w:w="108" w:type="dxa"/>
            <w:bottom w:w="0" w:type="dxa"/>
            <w:right w:w="108" w:type="dxa"/>
          </w:tblCellMar>
        </w:tblPrEx>
        <w:trPr>
          <w:trHeight w:val="3104" w:hRule="atLeast"/>
        </w:trPr>
        <w:tc>
          <w:tcPr>
            <w:tcW w:w="720" w:type="dxa"/>
            <w:vMerge w:val="restart"/>
            <w:tcBorders>
              <w:top w:val="nil"/>
              <w:left w:val="single" w:color="auto" w:sz="4" w:space="0"/>
              <w:bottom w:val="single" w:color="000000" w:sz="4" w:space="0"/>
              <w:right w:val="single" w:color="auto" w:sz="4" w:space="0"/>
            </w:tcBorders>
            <w:shd w:val="clear" w:color="000000" w:fill="FFFFFF"/>
            <w:noWrap/>
            <w:vAlign w:val="center"/>
          </w:tcPr>
          <w:p w14:paraId="7C2BDE72">
            <w:pPr>
              <w:widowControl/>
              <w:suppressAutoHyphens w:val="0"/>
              <w:jc w:val="center"/>
              <w:rPr>
                <w:rFonts w:ascii="宋体" w:hAnsi="宋体" w:cs="宋体"/>
                <w:color w:val="000000"/>
                <w:kern w:val="0"/>
                <w:sz w:val="24"/>
              </w:rPr>
            </w:pPr>
            <w:r>
              <w:rPr>
                <w:rFonts w:hint="eastAsia" w:ascii="宋体" w:hAnsi="宋体" w:cs="宋体"/>
                <w:color w:val="000000"/>
                <w:kern w:val="0"/>
                <w:sz w:val="24"/>
              </w:rPr>
              <w:t>6</w:t>
            </w:r>
          </w:p>
        </w:tc>
        <w:tc>
          <w:tcPr>
            <w:tcW w:w="1180" w:type="dxa"/>
            <w:vMerge w:val="restart"/>
            <w:tcBorders>
              <w:top w:val="nil"/>
              <w:left w:val="single" w:color="auto" w:sz="4" w:space="0"/>
              <w:bottom w:val="single" w:color="000000" w:sz="4" w:space="0"/>
              <w:right w:val="single" w:color="auto" w:sz="4" w:space="0"/>
            </w:tcBorders>
            <w:shd w:val="clear" w:color="000000" w:fill="FFFFFF"/>
            <w:vAlign w:val="center"/>
          </w:tcPr>
          <w:p w14:paraId="05DF30FD">
            <w:pPr>
              <w:widowControl/>
              <w:suppressAutoHyphens w:val="0"/>
              <w:jc w:val="center"/>
              <w:rPr>
                <w:rFonts w:ascii="宋体" w:hAnsi="宋体" w:cs="宋体"/>
                <w:color w:val="000000"/>
                <w:kern w:val="0"/>
                <w:sz w:val="24"/>
              </w:rPr>
            </w:pPr>
            <w:r>
              <w:rPr>
                <w:rFonts w:hint="eastAsia" w:ascii="宋体" w:hAnsi="宋体" w:cs="宋体"/>
                <w:color w:val="000000"/>
                <w:kern w:val="0"/>
                <w:sz w:val="24"/>
              </w:rPr>
              <w:t>会议椅</w:t>
            </w:r>
          </w:p>
        </w:tc>
        <w:tc>
          <w:tcPr>
            <w:tcW w:w="2060" w:type="dxa"/>
            <w:tcBorders>
              <w:top w:val="nil"/>
              <w:left w:val="nil"/>
              <w:bottom w:val="single" w:color="auto" w:sz="4" w:space="0"/>
              <w:right w:val="single" w:color="auto" w:sz="4" w:space="0"/>
            </w:tcBorders>
            <w:shd w:val="clear" w:color="000000" w:fill="FFFFFF"/>
            <w:vAlign w:val="center"/>
          </w:tcPr>
          <w:p w14:paraId="60BA936F">
            <w:pPr>
              <w:widowControl/>
              <w:suppressAutoHyphens w:val="0"/>
              <w:jc w:val="center"/>
              <w:rPr>
                <w:rFonts w:ascii="宋体" w:hAnsi="宋体" w:cs="宋体"/>
                <w:color w:val="000000"/>
                <w:kern w:val="0"/>
                <w:sz w:val="24"/>
              </w:rPr>
            </w:pPr>
            <w:r>
              <w:rPr>
                <w:rFonts w:ascii="宋体" w:hAnsi="宋体" w:cs="宋体"/>
                <w:color w:val="000000"/>
                <w:kern w:val="0"/>
                <w:sz w:val="24"/>
              </w:rPr>
              <w:drawing>
                <wp:anchor distT="0" distB="0" distL="114300" distR="114300" simplePos="0" relativeHeight="251665408" behindDoc="0" locked="0" layoutInCell="1" allowOverlap="1">
                  <wp:simplePos x="0" y="0"/>
                  <wp:positionH relativeFrom="column">
                    <wp:posOffset>361950</wp:posOffset>
                  </wp:positionH>
                  <wp:positionV relativeFrom="paragraph">
                    <wp:posOffset>95250</wp:posOffset>
                  </wp:positionV>
                  <wp:extent cx="733425" cy="971550"/>
                  <wp:effectExtent l="0" t="0" r="635" b="0"/>
                  <wp:wrapNone/>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
                          <pic:cNvPicPr>
                            <a:picLocks noChangeAspect="1" noChangeArrowheads="1"/>
                          </pic:cNvPicPr>
                        </pic:nvPicPr>
                        <pic:blipFill>
                          <a:blip r:embed="rId12" cstate="print"/>
                          <a:srcRect/>
                          <a:stretch>
                            <a:fillRect/>
                          </a:stretch>
                        </pic:blipFill>
                        <pic:spPr>
                          <a:xfrm>
                            <a:off x="0" y="0"/>
                            <a:ext cx="723900" cy="952500"/>
                          </a:xfrm>
                          <a:prstGeom prst="rect">
                            <a:avLst/>
                          </a:prstGeom>
                          <a:noFill/>
                          <a:ln w="9525">
                            <a:noFill/>
                            <a:miter lim="800000"/>
                            <a:headEnd/>
                            <a:tailEnd/>
                          </a:ln>
                        </pic:spPr>
                      </pic:pic>
                    </a:graphicData>
                  </a:graphic>
                </wp:anchor>
              </w:drawing>
            </w:r>
          </w:p>
        </w:tc>
        <w:tc>
          <w:tcPr>
            <w:tcW w:w="1428" w:type="dxa"/>
            <w:tcBorders>
              <w:top w:val="nil"/>
              <w:left w:val="nil"/>
              <w:bottom w:val="single" w:color="auto" w:sz="4" w:space="0"/>
              <w:right w:val="single" w:color="auto" w:sz="4" w:space="0"/>
            </w:tcBorders>
            <w:shd w:val="clear" w:color="000000" w:fill="FFFFFF"/>
            <w:vAlign w:val="center"/>
          </w:tcPr>
          <w:p w14:paraId="75DEB3BB">
            <w:pPr>
              <w:widowControl/>
              <w:suppressAutoHyphens w:val="0"/>
              <w:jc w:val="center"/>
              <w:rPr>
                <w:rFonts w:ascii="宋体" w:hAnsi="宋体" w:cs="宋体"/>
                <w:color w:val="000000"/>
                <w:kern w:val="0"/>
                <w:sz w:val="24"/>
              </w:rPr>
            </w:pPr>
            <w:r>
              <w:rPr>
                <w:rFonts w:hint="eastAsia" w:ascii="宋体" w:hAnsi="宋体" w:cs="宋体"/>
                <w:color w:val="000000"/>
                <w:kern w:val="0"/>
                <w:sz w:val="24"/>
              </w:rPr>
              <w:t>620*600*1000</w:t>
            </w:r>
          </w:p>
        </w:tc>
        <w:tc>
          <w:tcPr>
            <w:tcW w:w="708" w:type="dxa"/>
            <w:tcBorders>
              <w:top w:val="nil"/>
              <w:left w:val="nil"/>
              <w:bottom w:val="single" w:color="auto" w:sz="4" w:space="0"/>
              <w:right w:val="single" w:color="auto" w:sz="4" w:space="0"/>
            </w:tcBorders>
            <w:shd w:val="clear" w:color="000000" w:fill="FFFFFF"/>
            <w:vAlign w:val="center"/>
          </w:tcPr>
          <w:p w14:paraId="543C8075">
            <w:pPr>
              <w:widowControl/>
              <w:suppressAutoHyphens w:val="0"/>
              <w:jc w:val="center"/>
              <w:rPr>
                <w:rFonts w:ascii="宋体" w:hAnsi="宋体" w:cs="宋体"/>
                <w:color w:val="000000"/>
                <w:kern w:val="0"/>
                <w:sz w:val="24"/>
              </w:rPr>
            </w:pPr>
            <w:r>
              <w:rPr>
                <w:rFonts w:hint="eastAsia" w:ascii="宋体" w:hAnsi="宋体" w:cs="宋体"/>
                <w:color w:val="000000"/>
                <w:kern w:val="0"/>
                <w:sz w:val="24"/>
              </w:rPr>
              <w:t>把</w:t>
            </w:r>
          </w:p>
        </w:tc>
        <w:tc>
          <w:tcPr>
            <w:tcW w:w="851" w:type="dxa"/>
            <w:tcBorders>
              <w:top w:val="nil"/>
              <w:left w:val="nil"/>
              <w:bottom w:val="single" w:color="auto" w:sz="4" w:space="0"/>
              <w:right w:val="single" w:color="auto" w:sz="4" w:space="0"/>
            </w:tcBorders>
            <w:shd w:val="clear" w:color="000000" w:fill="FFFFFF"/>
            <w:vAlign w:val="center"/>
          </w:tcPr>
          <w:p w14:paraId="3D065D7E">
            <w:pPr>
              <w:widowControl/>
              <w:suppressAutoHyphens w:val="0"/>
              <w:jc w:val="center"/>
              <w:rPr>
                <w:rFonts w:ascii="宋体" w:hAnsi="宋体" w:cs="宋体"/>
                <w:color w:val="000000"/>
                <w:kern w:val="0"/>
                <w:sz w:val="24"/>
              </w:rPr>
            </w:pPr>
            <w:r>
              <w:rPr>
                <w:rFonts w:hint="eastAsia" w:ascii="宋体" w:hAnsi="宋体" w:cs="宋体"/>
                <w:color w:val="000000"/>
                <w:kern w:val="0"/>
                <w:sz w:val="24"/>
              </w:rPr>
              <w:t>8</w:t>
            </w:r>
          </w:p>
        </w:tc>
        <w:tc>
          <w:tcPr>
            <w:tcW w:w="1276" w:type="dxa"/>
            <w:tcBorders>
              <w:top w:val="nil"/>
              <w:left w:val="nil"/>
              <w:bottom w:val="single" w:color="auto" w:sz="4" w:space="0"/>
              <w:right w:val="single" w:color="auto" w:sz="4" w:space="0"/>
            </w:tcBorders>
            <w:shd w:val="clear" w:color="000000" w:fill="FFFFFF"/>
            <w:vAlign w:val="center"/>
          </w:tcPr>
          <w:p w14:paraId="66C475E5">
            <w:pPr>
              <w:widowControl/>
              <w:suppressAutoHyphens w:val="0"/>
              <w:jc w:val="center"/>
              <w:rPr>
                <w:rFonts w:ascii="宋体" w:hAnsi="宋体" w:cs="宋体"/>
                <w:color w:val="000000"/>
                <w:kern w:val="0"/>
                <w:sz w:val="24"/>
              </w:rPr>
            </w:pPr>
            <w:r>
              <w:rPr>
                <w:rFonts w:hint="eastAsia" w:ascii="宋体" w:hAnsi="宋体" w:cs="宋体"/>
                <w:color w:val="000000"/>
                <w:kern w:val="0"/>
                <w:sz w:val="24"/>
              </w:rPr>
              <w:t>800</w:t>
            </w:r>
          </w:p>
        </w:tc>
        <w:tc>
          <w:tcPr>
            <w:tcW w:w="1275" w:type="dxa"/>
            <w:tcBorders>
              <w:top w:val="nil"/>
              <w:left w:val="nil"/>
              <w:bottom w:val="single" w:color="auto" w:sz="4" w:space="0"/>
              <w:right w:val="single" w:color="auto" w:sz="4" w:space="0"/>
            </w:tcBorders>
            <w:shd w:val="clear" w:color="000000" w:fill="FFFFFF"/>
            <w:vAlign w:val="center"/>
          </w:tcPr>
          <w:p w14:paraId="44232EAD">
            <w:pPr>
              <w:widowControl/>
              <w:suppressAutoHyphens w:val="0"/>
              <w:jc w:val="center"/>
              <w:rPr>
                <w:rFonts w:ascii="宋体" w:hAnsi="宋体" w:cs="宋体"/>
                <w:color w:val="000000"/>
                <w:kern w:val="0"/>
                <w:sz w:val="24"/>
              </w:rPr>
            </w:pPr>
            <w:r>
              <w:rPr>
                <w:rFonts w:hint="eastAsia" w:ascii="宋体" w:hAnsi="宋体" w:cs="宋体"/>
                <w:color w:val="000000"/>
                <w:kern w:val="0"/>
                <w:sz w:val="24"/>
              </w:rPr>
              <w:t>6400</w:t>
            </w:r>
          </w:p>
        </w:tc>
        <w:tc>
          <w:tcPr>
            <w:tcW w:w="652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02D541E">
            <w:pPr>
              <w:widowControl/>
              <w:suppressAutoHyphens w:val="0"/>
              <w:jc w:val="left"/>
              <w:rPr>
                <w:rFonts w:ascii="宋体" w:hAnsi="宋体" w:cs="宋体"/>
                <w:color w:val="000000"/>
                <w:kern w:val="0"/>
                <w:sz w:val="20"/>
                <w:szCs w:val="20"/>
              </w:rPr>
            </w:pPr>
            <w:r>
              <w:rPr>
                <w:rFonts w:hint="eastAsia" w:ascii="宋体" w:hAnsi="宋体" w:cs="宋体"/>
                <w:color w:val="000000"/>
                <w:kern w:val="0"/>
                <w:sz w:val="20"/>
                <w:szCs w:val="20"/>
              </w:rPr>
              <w:t>1.面料：采用优质超纤皮，厚度1.5mm，防潮、防污处理，皮面柔软舒适，光泽持久。</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2.海棉：椅座采用优质品牌阻燃海绵，3D零压力坐垫设计，坐垫表面有独特的曲线结构使用者重量均匀分布。椅座采用密度≥35kg/m³，回弹性能好，不变形。不存在粘接剂等有害物质，不含氟氨化合物。符合GB/T 10802-2023《通用软质聚氨酯泡沫塑料》。</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油漆：面漆采用优质品牌环保水性面漆，具有较好的耐磨、耐高温性能、透明度好、硬度高、耐磨性好；色泽柔和持久耐腐蚀手感良好；耐弱酸碱、耐腐蚀性、耐油性耐湿热性良好；采用优质品牌环保水性底漆、透明性好、附着力强；经不少于8次打磨，5次底漆，3次面漆，符合国家环保要求，漆面硬度达到 2H，含水率低于12%。</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4.其它：采用优质实木锯材四脚落地脚架,整体榫卯结构，扶手椅脚采用38*38mm实木，椅座两侧有88*30mm实木连接，靠背距离椅座有60mm距离。</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5.符合人体工学，坐感舒适，结实耐用，椅脚配有优质尼龙脚垫，具有防滑功能，并更好的保护地胶地面。</w:t>
            </w:r>
          </w:p>
        </w:tc>
      </w:tr>
      <w:tr w14:paraId="1496D8F2">
        <w:tblPrEx>
          <w:tblCellMar>
            <w:top w:w="0" w:type="dxa"/>
            <w:left w:w="108" w:type="dxa"/>
            <w:bottom w:w="0" w:type="dxa"/>
            <w:right w:w="108" w:type="dxa"/>
          </w:tblCellMar>
        </w:tblPrEx>
        <w:trPr>
          <w:trHeight w:val="2964" w:hRule="atLeast"/>
        </w:trPr>
        <w:tc>
          <w:tcPr>
            <w:tcW w:w="720" w:type="dxa"/>
            <w:vMerge w:val="continue"/>
            <w:tcBorders>
              <w:top w:val="nil"/>
              <w:left w:val="single" w:color="auto" w:sz="4" w:space="0"/>
              <w:bottom w:val="single" w:color="auto" w:sz="4" w:space="0"/>
              <w:right w:val="single" w:color="auto" w:sz="4" w:space="0"/>
            </w:tcBorders>
            <w:vAlign w:val="center"/>
          </w:tcPr>
          <w:p w14:paraId="723F6CEF">
            <w:pPr>
              <w:widowControl/>
              <w:suppressAutoHyphens w:val="0"/>
              <w:jc w:val="left"/>
              <w:rPr>
                <w:rFonts w:ascii="宋体" w:hAnsi="宋体" w:cs="宋体"/>
                <w:color w:val="000000"/>
                <w:kern w:val="0"/>
                <w:sz w:val="24"/>
              </w:rPr>
            </w:pPr>
          </w:p>
        </w:tc>
        <w:tc>
          <w:tcPr>
            <w:tcW w:w="1180" w:type="dxa"/>
            <w:vMerge w:val="continue"/>
            <w:tcBorders>
              <w:top w:val="nil"/>
              <w:left w:val="single" w:color="auto" w:sz="4" w:space="0"/>
              <w:bottom w:val="single" w:color="auto" w:sz="4" w:space="0"/>
              <w:right w:val="single" w:color="auto" w:sz="4" w:space="0"/>
            </w:tcBorders>
            <w:vAlign w:val="center"/>
          </w:tcPr>
          <w:p w14:paraId="23C103AB">
            <w:pPr>
              <w:widowControl/>
              <w:suppressAutoHyphens w:val="0"/>
              <w:jc w:val="left"/>
              <w:rPr>
                <w:rFonts w:ascii="宋体" w:hAnsi="宋体" w:cs="宋体"/>
                <w:color w:val="000000"/>
                <w:kern w:val="0"/>
                <w:sz w:val="24"/>
              </w:rPr>
            </w:pPr>
          </w:p>
        </w:tc>
        <w:tc>
          <w:tcPr>
            <w:tcW w:w="2060" w:type="dxa"/>
            <w:tcBorders>
              <w:top w:val="nil"/>
              <w:left w:val="nil"/>
              <w:bottom w:val="single" w:color="auto" w:sz="4" w:space="0"/>
              <w:right w:val="single" w:color="auto" w:sz="4" w:space="0"/>
            </w:tcBorders>
            <w:shd w:val="clear" w:color="000000" w:fill="FFFFFF"/>
            <w:vAlign w:val="center"/>
          </w:tcPr>
          <w:p w14:paraId="42A8D3C7">
            <w:pPr>
              <w:widowControl/>
              <w:suppressAutoHyphens w:val="0"/>
              <w:jc w:val="center"/>
              <w:rPr>
                <w:rFonts w:ascii="宋体" w:hAnsi="宋体" w:cs="宋体"/>
                <w:color w:val="000000"/>
                <w:kern w:val="0"/>
                <w:sz w:val="24"/>
              </w:rPr>
            </w:pPr>
            <w:r>
              <w:rPr>
                <w:rFonts w:ascii="宋体" w:hAnsi="宋体" w:cs="宋体"/>
                <w:color w:val="000000"/>
                <w:kern w:val="0"/>
                <w:sz w:val="24"/>
              </w:rPr>
              <w:drawing>
                <wp:anchor distT="0" distB="0" distL="114300" distR="114300" simplePos="0" relativeHeight="251666432" behindDoc="0" locked="0" layoutInCell="1" allowOverlap="1">
                  <wp:simplePos x="0" y="0"/>
                  <wp:positionH relativeFrom="column">
                    <wp:posOffset>266700</wp:posOffset>
                  </wp:positionH>
                  <wp:positionV relativeFrom="paragraph">
                    <wp:posOffset>57150</wp:posOffset>
                  </wp:positionV>
                  <wp:extent cx="742950" cy="1028700"/>
                  <wp:effectExtent l="0" t="0" r="0" b="0"/>
                  <wp:wrapNone/>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8"/>
                          <pic:cNvPicPr>
                            <a:picLocks noChangeAspect="1" noChangeArrowheads="1"/>
                          </pic:cNvPicPr>
                        </pic:nvPicPr>
                        <pic:blipFill>
                          <a:blip r:embed="rId13" cstate="print"/>
                          <a:srcRect/>
                          <a:stretch>
                            <a:fillRect/>
                          </a:stretch>
                        </pic:blipFill>
                        <pic:spPr>
                          <a:xfrm>
                            <a:off x="0" y="0"/>
                            <a:ext cx="733425" cy="1009650"/>
                          </a:xfrm>
                          <a:prstGeom prst="rect">
                            <a:avLst/>
                          </a:prstGeom>
                          <a:noFill/>
                          <a:ln w="9525">
                            <a:noFill/>
                            <a:miter lim="800000"/>
                            <a:headEnd/>
                            <a:tailEnd/>
                          </a:ln>
                        </pic:spPr>
                      </pic:pic>
                    </a:graphicData>
                  </a:graphic>
                </wp:anchor>
              </w:drawing>
            </w:r>
          </w:p>
        </w:tc>
        <w:tc>
          <w:tcPr>
            <w:tcW w:w="1428" w:type="dxa"/>
            <w:tcBorders>
              <w:top w:val="nil"/>
              <w:left w:val="nil"/>
              <w:bottom w:val="single" w:color="auto" w:sz="4" w:space="0"/>
              <w:right w:val="single" w:color="auto" w:sz="4" w:space="0"/>
            </w:tcBorders>
            <w:shd w:val="clear" w:color="000000" w:fill="FFFFFF"/>
            <w:vAlign w:val="center"/>
          </w:tcPr>
          <w:p w14:paraId="55940124">
            <w:pPr>
              <w:widowControl/>
              <w:suppressAutoHyphens w:val="0"/>
              <w:jc w:val="center"/>
              <w:rPr>
                <w:rFonts w:ascii="宋体" w:hAnsi="宋体" w:cs="宋体"/>
                <w:color w:val="000000"/>
                <w:kern w:val="0"/>
                <w:sz w:val="24"/>
              </w:rPr>
            </w:pPr>
            <w:r>
              <w:rPr>
                <w:rFonts w:hint="eastAsia" w:ascii="宋体" w:hAnsi="宋体" w:cs="宋体"/>
                <w:color w:val="000000"/>
                <w:kern w:val="0"/>
                <w:sz w:val="24"/>
              </w:rPr>
              <w:t>480*510*870</w:t>
            </w:r>
          </w:p>
        </w:tc>
        <w:tc>
          <w:tcPr>
            <w:tcW w:w="708" w:type="dxa"/>
            <w:tcBorders>
              <w:top w:val="nil"/>
              <w:left w:val="nil"/>
              <w:bottom w:val="single" w:color="auto" w:sz="4" w:space="0"/>
              <w:right w:val="single" w:color="auto" w:sz="4" w:space="0"/>
            </w:tcBorders>
            <w:shd w:val="clear" w:color="000000" w:fill="FFFFFF"/>
            <w:vAlign w:val="center"/>
          </w:tcPr>
          <w:p w14:paraId="01757EC7">
            <w:pPr>
              <w:widowControl/>
              <w:suppressAutoHyphens w:val="0"/>
              <w:jc w:val="center"/>
              <w:rPr>
                <w:rFonts w:ascii="宋体" w:hAnsi="宋体" w:cs="宋体"/>
                <w:color w:val="000000"/>
                <w:kern w:val="0"/>
                <w:sz w:val="24"/>
              </w:rPr>
            </w:pPr>
            <w:r>
              <w:rPr>
                <w:rFonts w:hint="eastAsia" w:ascii="宋体" w:hAnsi="宋体" w:cs="宋体"/>
                <w:color w:val="000000"/>
                <w:kern w:val="0"/>
                <w:sz w:val="24"/>
              </w:rPr>
              <w:t>把</w:t>
            </w:r>
          </w:p>
        </w:tc>
        <w:tc>
          <w:tcPr>
            <w:tcW w:w="851" w:type="dxa"/>
            <w:tcBorders>
              <w:top w:val="nil"/>
              <w:left w:val="nil"/>
              <w:bottom w:val="single" w:color="auto" w:sz="4" w:space="0"/>
              <w:right w:val="single" w:color="auto" w:sz="4" w:space="0"/>
            </w:tcBorders>
            <w:shd w:val="clear" w:color="000000" w:fill="FFFFFF"/>
            <w:vAlign w:val="center"/>
          </w:tcPr>
          <w:p w14:paraId="5BA8E161">
            <w:pPr>
              <w:widowControl/>
              <w:suppressAutoHyphens w:val="0"/>
              <w:jc w:val="center"/>
              <w:rPr>
                <w:rFonts w:ascii="宋体" w:hAnsi="宋体" w:cs="宋体"/>
                <w:color w:val="000000"/>
                <w:kern w:val="0"/>
                <w:sz w:val="24"/>
              </w:rPr>
            </w:pPr>
            <w:r>
              <w:rPr>
                <w:rFonts w:hint="eastAsia" w:ascii="宋体" w:hAnsi="宋体" w:cs="宋体"/>
                <w:color w:val="000000"/>
                <w:kern w:val="0"/>
                <w:sz w:val="24"/>
              </w:rPr>
              <w:t>116</w:t>
            </w:r>
          </w:p>
        </w:tc>
        <w:tc>
          <w:tcPr>
            <w:tcW w:w="1276" w:type="dxa"/>
            <w:tcBorders>
              <w:top w:val="nil"/>
              <w:left w:val="nil"/>
              <w:bottom w:val="single" w:color="auto" w:sz="4" w:space="0"/>
              <w:right w:val="single" w:color="auto" w:sz="4" w:space="0"/>
            </w:tcBorders>
            <w:shd w:val="clear" w:color="000000" w:fill="FFFFFF"/>
            <w:vAlign w:val="center"/>
          </w:tcPr>
          <w:p w14:paraId="609F4AAA">
            <w:pPr>
              <w:widowControl/>
              <w:suppressAutoHyphens w:val="0"/>
              <w:jc w:val="center"/>
              <w:rPr>
                <w:rFonts w:ascii="宋体" w:hAnsi="宋体" w:cs="宋体"/>
                <w:color w:val="000000"/>
                <w:kern w:val="0"/>
                <w:sz w:val="24"/>
              </w:rPr>
            </w:pPr>
            <w:r>
              <w:rPr>
                <w:rFonts w:hint="eastAsia" w:ascii="宋体" w:hAnsi="宋体" w:cs="宋体"/>
                <w:color w:val="000000"/>
                <w:kern w:val="0"/>
                <w:sz w:val="24"/>
              </w:rPr>
              <w:t>800</w:t>
            </w:r>
          </w:p>
        </w:tc>
        <w:tc>
          <w:tcPr>
            <w:tcW w:w="1275" w:type="dxa"/>
            <w:tcBorders>
              <w:top w:val="nil"/>
              <w:left w:val="nil"/>
              <w:bottom w:val="single" w:color="auto" w:sz="4" w:space="0"/>
              <w:right w:val="single" w:color="auto" w:sz="4" w:space="0"/>
            </w:tcBorders>
            <w:shd w:val="clear" w:color="000000" w:fill="FFFFFF"/>
            <w:vAlign w:val="center"/>
          </w:tcPr>
          <w:p w14:paraId="048B6764">
            <w:pPr>
              <w:widowControl/>
              <w:suppressAutoHyphens w:val="0"/>
              <w:jc w:val="center"/>
              <w:rPr>
                <w:rFonts w:ascii="宋体" w:hAnsi="宋体" w:cs="宋体"/>
                <w:color w:val="000000"/>
                <w:kern w:val="0"/>
                <w:sz w:val="24"/>
              </w:rPr>
            </w:pPr>
            <w:r>
              <w:rPr>
                <w:rFonts w:hint="eastAsia" w:ascii="宋体" w:hAnsi="宋体" w:cs="宋体"/>
                <w:color w:val="000000"/>
                <w:kern w:val="0"/>
                <w:sz w:val="24"/>
              </w:rPr>
              <w:t>92800</w:t>
            </w:r>
          </w:p>
        </w:tc>
        <w:tc>
          <w:tcPr>
            <w:tcW w:w="6521" w:type="dxa"/>
            <w:vMerge w:val="continue"/>
            <w:tcBorders>
              <w:top w:val="single" w:color="auto" w:sz="4" w:space="0"/>
              <w:left w:val="single" w:color="auto" w:sz="4" w:space="0"/>
              <w:bottom w:val="single" w:color="auto" w:sz="4" w:space="0"/>
              <w:right w:val="single" w:color="auto" w:sz="4" w:space="0"/>
            </w:tcBorders>
            <w:vAlign w:val="center"/>
          </w:tcPr>
          <w:p w14:paraId="7724B3F4">
            <w:pPr>
              <w:widowControl/>
              <w:suppressAutoHyphens w:val="0"/>
              <w:jc w:val="left"/>
              <w:rPr>
                <w:rFonts w:ascii="宋体" w:hAnsi="宋体" w:cs="宋体"/>
                <w:color w:val="000000"/>
                <w:kern w:val="0"/>
                <w:sz w:val="20"/>
                <w:szCs w:val="20"/>
              </w:rPr>
            </w:pPr>
          </w:p>
        </w:tc>
      </w:tr>
      <w:tr w14:paraId="2654951C">
        <w:tblPrEx>
          <w:tblCellMar>
            <w:top w:w="0" w:type="dxa"/>
            <w:left w:w="108" w:type="dxa"/>
            <w:bottom w:w="0" w:type="dxa"/>
            <w:right w:w="108" w:type="dxa"/>
          </w:tblCellMar>
        </w:tblPrEx>
        <w:trPr>
          <w:trHeight w:val="844" w:hRule="atLeast"/>
        </w:trPr>
        <w:tc>
          <w:tcPr>
            <w:tcW w:w="720"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73050CFB">
            <w:pPr>
              <w:widowControl/>
              <w:suppressAutoHyphens w:val="0"/>
              <w:jc w:val="center"/>
              <w:rPr>
                <w:rFonts w:hint="eastAsia" w:ascii="宋体" w:hAnsi="宋体" w:cs="宋体"/>
                <w:kern w:val="0"/>
                <w:sz w:val="24"/>
              </w:rPr>
            </w:pPr>
            <w:r>
              <w:rPr>
                <w:rFonts w:hint="eastAsia" w:ascii="宋体" w:hAnsi="宋体" w:cs="宋体"/>
                <w:kern w:val="0"/>
                <w:sz w:val="24"/>
              </w:rPr>
              <w:t>7</w:t>
            </w:r>
          </w:p>
        </w:tc>
        <w:tc>
          <w:tcPr>
            <w:tcW w:w="1180"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7D1E0F8D">
            <w:pPr>
              <w:widowControl/>
              <w:suppressAutoHyphens w:val="0"/>
              <w:jc w:val="center"/>
              <w:rPr>
                <w:rFonts w:hint="eastAsia" w:ascii="宋体" w:hAnsi="宋体" w:eastAsia="宋体" w:cs="宋体"/>
                <w:kern w:val="0"/>
                <w:sz w:val="24"/>
                <w:lang w:eastAsia="zh-CN"/>
              </w:rPr>
            </w:pPr>
            <w:r>
              <w:rPr>
                <w:rFonts w:hint="eastAsia" w:ascii="宋体" w:hAnsi="宋体" w:cs="宋体"/>
                <w:kern w:val="0"/>
                <w:sz w:val="24"/>
                <w:lang w:eastAsia="zh-CN"/>
              </w:rPr>
              <w:t>屏蔽机柜</w:t>
            </w:r>
          </w:p>
        </w:tc>
        <w:tc>
          <w:tcPr>
            <w:tcW w:w="2060"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64AC33A7">
            <w:pPr>
              <w:widowControl/>
              <w:suppressAutoHyphens w:val="0"/>
              <w:jc w:val="center"/>
              <w:rPr>
                <w:rFonts w:hint="eastAsia" w:ascii="宋体" w:hAnsi="宋体" w:cs="宋体"/>
                <w:kern w:val="0"/>
                <w:sz w:val="24"/>
              </w:rPr>
            </w:pPr>
            <w:r>
              <w:rPr>
                <w:rFonts w:ascii="宋体" w:hAnsi="宋体" w:cs="宋体"/>
                <w:kern w:val="0"/>
                <w:sz w:val="24"/>
              </w:rPr>
              <w:drawing>
                <wp:inline distT="0" distB="0" distL="0" distR="0">
                  <wp:extent cx="1143000" cy="5956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srcRect/>
                          <a:stretch>
                            <a:fillRect/>
                          </a:stretch>
                        </pic:blipFill>
                        <pic:spPr>
                          <a:xfrm>
                            <a:off x="0" y="0"/>
                            <a:ext cx="1143001" cy="595801"/>
                          </a:xfrm>
                          <a:prstGeom prst="rect">
                            <a:avLst/>
                          </a:prstGeom>
                          <a:noFill/>
                          <a:ln w="1">
                            <a:noFill/>
                            <a:miter lim="800000"/>
                            <a:headEnd/>
                            <a:tailEnd type="none" w="med" len="med"/>
                          </a:ln>
                          <a:effectLst/>
                        </pic:spPr>
                      </pic:pic>
                    </a:graphicData>
                  </a:graphic>
                </wp:inline>
              </w:drawing>
            </w:r>
          </w:p>
        </w:tc>
        <w:tc>
          <w:tcPr>
            <w:tcW w:w="142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79ABDE1">
            <w:pPr>
              <w:widowControl/>
              <w:suppressAutoHyphens w:val="0"/>
              <w:jc w:val="center"/>
              <w:rPr>
                <w:rFonts w:hint="eastAsia" w:ascii="宋体" w:hAnsi="宋体" w:cs="宋体"/>
                <w:bCs/>
                <w:kern w:val="0"/>
                <w:sz w:val="24"/>
              </w:rPr>
            </w:pPr>
            <w:r>
              <w:rPr>
                <w:rFonts w:hint="eastAsia" w:ascii="宋体" w:hAnsi="宋体" w:cs="宋体"/>
                <w:bCs/>
                <w:kern w:val="0"/>
                <w:sz w:val="24"/>
              </w:rPr>
              <w:t>32格</w:t>
            </w:r>
          </w:p>
        </w:tc>
        <w:tc>
          <w:tcPr>
            <w:tcW w:w="7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CA6C505">
            <w:pPr>
              <w:widowControl/>
              <w:suppressAutoHyphens w:val="0"/>
              <w:jc w:val="center"/>
              <w:rPr>
                <w:rFonts w:hint="eastAsia" w:ascii="宋体" w:hAnsi="宋体" w:cs="宋体"/>
                <w:bCs/>
                <w:kern w:val="0"/>
                <w:sz w:val="24"/>
              </w:rPr>
            </w:pPr>
            <w:r>
              <w:rPr>
                <w:rFonts w:hint="eastAsia" w:ascii="宋体" w:hAnsi="宋体" w:cs="宋体"/>
                <w:bCs/>
                <w:kern w:val="0"/>
                <w:sz w:val="24"/>
              </w:rPr>
              <w:t>件</w:t>
            </w:r>
          </w:p>
        </w:tc>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DA2B1B6">
            <w:pPr>
              <w:widowControl/>
              <w:suppressAutoHyphens w:val="0"/>
              <w:jc w:val="center"/>
              <w:rPr>
                <w:rFonts w:hint="eastAsia" w:ascii="宋体" w:hAnsi="宋体" w:cs="宋体"/>
                <w:bCs/>
                <w:kern w:val="0"/>
                <w:sz w:val="24"/>
              </w:rPr>
            </w:pPr>
            <w:r>
              <w:rPr>
                <w:rFonts w:hint="eastAsia" w:ascii="宋体" w:hAnsi="宋体" w:cs="宋体"/>
                <w:bCs/>
                <w:kern w:val="0"/>
                <w:sz w:val="24"/>
              </w:rPr>
              <w:t>4</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2B12D1F">
            <w:pPr>
              <w:widowControl/>
              <w:suppressAutoHyphens w:val="0"/>
              <w:jc w:val="center"/>
              <w:rPr>
                <w:rFonts w:hint="eastAsia" w:ascii="宋体" w:hAnsi="宋体" w:cs="宋体"/>
                <w:bCs/>
                <w:kern w:val="0"/>
                <w:sz w:val="24"/>
              </w:rPr>
            </w:pPr>
            <w:r>
              <w:rPr>
                <w:rFonts w:hint="eastAsia" w:ascii="宋体" w:hAnsi="宋体" w:cs="宋体"/>
                <w:bCs/>
                <w:kern w:val="0"/>
                <w:sz w:val="24"/>
                <w:lang w:val="en-US" w:eastAsia="zh-CN"/>
              </w:rPr>
              <w:t>16</w:t>
            </w:r>
            <w:r>
              <w:rPr>
                <w:rFonts w:hint="eastAsia" w:ascii="宋体" w:hAnsi="宋体" w:cs="宋体"/>
                <w:bCs/>
                <w:kern w:val="0"/>
                <w:sz w:val="24"/>
              </w:rPr>
              <w:t>00</w:t>
            </w:r>
          </w:p>
        </w:tc>
        <w:tc>
          <w:tcPr>
            <w:tcW w:w="127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3270C0C">
            <w:pPr>
              <w:widowControl/>
              <w:suppressAutoHyphens w:val="0"/>
              <w:jc w:val="center"/>
              <w:rPr>
                <w:rFonts w:hint="default" w:ascii="宋体" w:hAnsi="宋体" w:eastAsia="宋体" w:cs="宋体"/>
                <w:bCs/>
                <w:kern w:val="0"/>
                <w:sz w:val="24"/>
                <w:lang w:val="en-US" w:eastAsia="zh-CN"/>
              </w:rPr>
            </w:pPr>
            <w:r>
              <w:rPr>
                <w:rFonts w:hint="eastAsia" w:ascii="宋体" w:hAnsi="宋体" w:cs="宋体"/>
                <w:bCs/>
                <w:kern w:val="0"/>
                <w:sz w:val="24"/>
                <w:lang w:val="en-US" w:eastAsia="zh-CN"/>
              </w:rPr>
              <w:t>6400</w:t>
            </w:r>
          </w:p>
        </w:tc>
        <w:tc>
          <w:tcPr>
            <w:tcW w:w="6521"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734A8384">
            <w:pPr>
              <w:widowControl/>
              <w:suppressAutoHyphens w:val="0"/>
              <w:jc w:val="left"/>
              <w:rPr>
                <w:rFonts w:hint="eastAsia" w:ascii="宋体" w:hAnsi="宋体" w:cs="宋体"/>
                <w:kern w:val="0"/>
                <w:sz w:val="24"/>
              </w:rPr>
            </w:pPr>
            <w:r>
              <w:rPr>
                <w:rFonts w:hint="eastAsia" w:ascii="宋体" w:hAnsi="宋体" w:cs="宋体"/>
                <w:kern w:val="0"/>
                <w:sz w:val="24"/>
              </w:rPr>
              <w:t>1. 材质：钢板采用一级冷轧钢板，裸板板厚≥0.8mm；粉末采用品牌粉末。采用优质五金配件</w:t>
            </w:r>
          </w:p>
          <w:p w14:paraId="5FD118FF">
            <w:pPr>
              <w:widowControl/>
              <w:suppressAutoHyphens w:val="0"/>
              <w:jc w:val="left"/>
              <w:rPr>
                <w:rFonts w:hint="eastAsia" w:ascii="宋体" w:hAnsi="宋体" w:cs="宋体"/>
                <w:kern w:val="0"/>
                <w:sz w:val="24"/>
              </w:rPr>
            </w:pPr>
            <w:r>
              <w:rPr>
                <w:rFonts w:hint="eastAsia" w:ascii="宋体" w:hAnsi="宋体" w:cs="宋体"/>
                <w:kern w:val="0"/>
                <w:sz w:val="24"/>
              </w:rPr>
              <w:t>2. 工艺说明：侧板上盖连接处做特殊加强，柜体与柜门连接处采用冰箱合页。表面采用200摄氏度高温静电吸附粉末喷漆工艺，漆面光滑均匀，钢件要求有优良的流平性和光泽且无颗粒感，柜体环氧树脂，环保静电粉末喷涂，耐磨耐锈，防静电。颜色持久。</w:t>
            </w:r>
          </w:p>
        </w:tc>
      </w:tr>
      <w:tr w14:paraId="3A9515D7">
        <w:tblPrEx>
          <w:tblCellMar>
            <w:top w:w="0" w:type="dxa"/>
            <w:left w:w="108" w:type="dxa"/>
            <w:bottom w:w="0" w:type="dxa"/>
            <w:right w:w="108" w:type="dxa"/>
          </w:tblCellMar>
        </w:tblPrEx>
        <w:trPr>
          <w:trHeight w:val="830" w:hRule="atLeast"/>
        </w:trPr>
        <w:tc>
          <w:tcPr>
            <w:tcW w:w="720"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3827AD05">
            <w:pPr>
              <w:widowControl/>
              <w:suppressAutoHyphens w:val="0"/>
              <w:jc w:val="center"/>
              <w:rPr>
                <w:rFonts w:hint="eastAsia" w:ascii="宋体" w:hAnsi="宋体" w:cs="宋体"/>
                <w:kern w:val="0"/>
                <w:sz w:val="24"/>
              </w:rPr>
            </w:pPr>
          </w:p>
        </w:tc>
        <w:tc>
          <w:tcPr>
            <w:tcW w:w="1180"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05CF9435">
            <w:pPr>
              <w:widowControl/>
              <w:suppressAutoHyphens w:val="0"/>
              <w:jc w:val="center"/>
              <w:rPr>
                <w:rFonts w:hint="eastAsia" w:ascii="宋体" w:hAnsi="宋体" w:cs="宋体"/>
                <w:kern w:val="0"/>
                <w:sz w:val="24"/>
              </w:rPr>
            </w:pPr>
          </w:p>
        </w:tc>
        <w:tc>
          <w:tcPr>
            <w:tcW w:w="2060"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2A0E7A78">
            <w:pPr>
              <w:widowControl/>
              <w:suppressAutoHyphens w:val="0"/>
              <w:jc w:val="center"/>
              <w:rPr>
                <w:rFonts w:hint="eastAsia" w:ascii="宋体" w:hAnsi="宋体" w:cs="宋体"/>
                <w:kern w:val="0"/>
                <w:sz w:val="24"/>
              </w:rPr>
            </w:pPr>
          </w:p>
        </w:tc>
        <w:tc>
          <w:tcPr>
            <w:tcW w:w="142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2514810">
            <w:pPr>
              <w:widowControl/>
              <w:suppressAutoHyphens w:val="0"/>
              <w:jc w:val="center"/>
              <w:rPr>
                <w:rFonts w:hint="eastAsia" w:ascii="宋体" w:hAnsi="宋体" w:cs="宋体"/>
                <w:bCs/>
                <w:kern w:val="0"/>
                <w:sz w:val="24"/>
              </w:rPr>
            </w:pPr>
            <w:r>
              <w:rPr>
                <w:rFonts w:hint="eastAsia" w:ascii="宋体" w:hAnsi="宋体" w:cs="宋体"/>
                <w:bCs/>
                <w:kern w:val="0"/>
                <w:sz w:val="24"/>
              </w:rPr>
              <w:t>20格</w:t>
            </w:r>
          </w:p>
        </w:tc>
        <w:tc>
          <w:tcPr>
            <w:tcW w:w="7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9CD2F19">
            <w:pPr>
              <w:widowControl/>
              <w:suppressAutoHyphens w:val="0"/>
              <w:jc w:val="center"/>
              <w:rPr>
                <w:rFonts w:hint="eastAsia" w:ascii="宋体" w:hAnsi="宋体" w:cs="宋体"/>
                <w:bCs/>
                <w:kern w:val="0"/>
                <w:sz w:val="24"/>
              </w:rPr>
            </w:pPr>
            <w:r>
              <w:rPr>
                <w:rFonts w:hint="eastAsia" w:ascii="宋体" w:hAnsi="宋体" w:cs="宋体"/>
                <w:bCs/>
                <w:kern w:val="0"/>
                <w:sz w:val="24"/>
              </w:rPr>
              <w:t>件</w:t>
            </w:r>
          </w:p>
        </w:tc>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6D066FE">
            <w:pPr>
              <w:widowControl/>
              <w:suppressAutoHyphens w:val="0"/>
              <w:jc w:val="center"/>
              <w:rPr>
                <w:rFonts w:hint="eastAsia" w:ascii="宋体" w:hAnsi="宋体" w:cs="宋体"/>
                <w:bCs/>
                <w:kern w:val="0"/>
                <w:sz w:val="24"/>
              </w:rPr>
            </w:pPr>
            <w:r>
              <w:rPr>
                <w:rFonts w:hint="eastAsia" w:ascii="宋体" w:hAnsi="宋体" w:cs="宋体"/>
                <w:bCs/>
                <w:kern w:val="0"/>
                <w:sz w:val="24"/>
              </w:rPr>
              <w:t>1</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D0D50A0">
            <w:pPr>
              <w:widowControl/>
              <w:suppressAutoHyphens w:val="0"/>
              <w:jc w:val="center"/>
              <w:rPr>
                <w:rFonts w:hint="eastAsia" w:ascii="宋体" w:hAnsi="宋体" w:cs="宋体"/>
                <w:bCs/>
                <w:kern w:val="0"/>
                <w:sz w:val="24"/>
              </w:rPr>
            </w:pPr>
            <w:r>
              <w:rPr>
                <w:rFonts w:hint="eastAsia" w:ascii="宋体" w:hAnsi="宋体" w:cs="宋体"/>
                <w:bCs/>
                <w:kern w:val="0"/>
                <w:sz w:val="24"/>
              </w:rPr>
              <w:t>1</w:t>
            </w:r>
            <w:r>
              <w:rPr>
                <w:rFonts w:hint="eastAsia" w:ascii="宋体" w:hAnsi="宋体" w:cs="宋体"/>
                <w:bCs/>
                <w:kern w:val="0"/>
                <w:sz w:val="24"/>
                <w:lang w:val="en-US" w:eastAsia="zh-CN"/>
              </w:rPr>
              <w:t>24</w:t>
            </w:r>
            <w:r>
              <w:rPr>
                <w:rFonts w:hint="eastAsia" w:ascii="宋体" w:hAnsi="宋体" w:cs="宋体"/>
                <w:bCs/>
                <w:kern w:val="0"/>
                <w:sz w:val="24"/>
              </w:rPr>
              <w:t>0</w:t>
            </w:r>
          </w:p>
        </w:tc>
        <w:tc>
          <w:tcPr>
            <w:tcW w:w="127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B3E62B0">
            <w:pPr>
              <w:widowControl/>
              <w:suppressAutoHyphens w:val="0"/>
              <w:jc w:val="center"/>
              <w:rPr>
                <w:rFonts w:hint="default" w:ascii="宋体" w:hAnsi="宋体" w:eastAsia="宋体" w:cs="宋体"/>
                <w:bCs/>
                <w:kern w:val="0"/>
                <w:sz w:val="24"/>
                <w:lang w:val="en-US" w:eastAsia="zh-CN"/>
              </w:rPr>
            </w:pPr>
            <w:r>
              <w:rPr>
                <w:rFonts w:hint="eastAsia" w:ascii="宋体" w:hAnsi="宋体" w:cs="宋体"/>
                <w:bCs/>
                <w:kern w:val="0"/>
                <w:sz w:val="24"/>
                <w:lang w:val="en-US" w:eastAsia="zh-CN"/>
              </w:rPr>
              <w:t>1240</w:t>
            </w:r>
          </w:p>
        </w:tc>
        <w:tc>
          <w:tcPr>
            <w:tcW w:w="6521"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58F21E6B">
            <w:pPr>
              <w:widowControl/>
              <w:suppressAutoHyphens w:val="0"/>
              <w:jc w:val="left"/>
              <w:rPr>
                <w:rFonts w:hint="eastAsia" w:ascii="宋体" w:hAnsi="宋体" w:cs="宋体"/>
                <w:kern w:val="0"/>
                <w:sz w:val="24"/>
              </w:rPr>
            </w:pPr>
          </w:p>
        </w:tc>
      </w:tr>
      <w:tr w14:paraId="61B5DEE1">
        <w:tblPrEx>
          <w:tblCellMar>
            <w:top w:w="0" w:type="dxa"/>
            <w:left w:w="108" w:type="dxa"/>
            <w:bottom w:w="0" w:type="dxa"/>
            <w:right w:w="108" w:type="dxa"/>
          </w:tblCellMar>
        </w:tblPrEx>
        <w:trPr>
          <w:trHeight w:val="844" w:hRule="atLeast"/>
        </w:trPr>
        <w:tc>
          <w:tcPr>
            <w:tcW w:w="720"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2996DE94">
            <w:pPr>
              <w:widowControl/>
              <w:suppressAutoHyphens w:val="0"/>
              <w:jc w:val="center"/>
              <w:rPr>
                <w:rFonts w:hint="eastAsia" w:ascii="宋体" w:hAnsi="宋体" w:cs="宋体"/>
                <w:kern w:val="0"/>
                <w:sz w:val="24"/>
              </w:rPr>
            </w:pPr>
          </w:p>
        </w:tc>
        <w:tc>
          <w:tcPr>
            <w:tcW w:w="1180"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6AAC60B1">
            <w:pPr>
              <w:widowControl/>
              <w:suppressAutoHyphens w:val="0"/>
              <w:jc w:val="center"/>
              <w:rPr>
                <w:rFonts w:hint="eastAsia" w:ascii="宋体" w:hAnsi="宋体" w:cs="宋体"/>
                <w:kern w:val="0"/>
                <w:sz w:val="24"/>
              </w:rPr>
            </w:pPr>
          </w:p>
        </w:tc>
        <w:tc>
          <w:tcPr>
            <w:tcW w:w="2060"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73A98429">
            <w:pPr>
              <w:widowControl/>
              <w:suppressAutoHyphens w:val="0"/>
              <w:jc w:val="center"/>
              <w:rPr>
                <w:rFonts w:hint="eastAsia" w:ascii="宋体" w:hAnsi="宋体" w:cs="宋体"/>
                <w:kern w:val="0"/>
                <w:sz w:val="24"/>
              </w:rPr>
            </w:pPr>
          </w:p>
        </w:tc>
        <w:tc>
          <w:tcPr>
            <w:tcW w:w="142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AD6AEBD">
            <w:pPr>
              <w:widowControl/>
              <w:suppressAutoHyphens w:val="0"/>
              <w:jc w:val="center"/>
              <w:rPr>
                <w:rFonts w:hint="eastAsia" w:ascii="宋体" w:hAnsi="宋体" w:cs="宋体"/>
                <w:bCs/>
                <w:kern w:val="0"/>
                <w:sz w:val="24"/>
              </w:rPr>
            </w:pPr>
            <w:r>
              <w:rPr>
                <w:rFonts w:hint="eastAsia" w:ascii="宋体" w:hAnsi="宋体" w:cs="宋体"/>
                <w:bCs/>
                <w:kern w:val="0"/>
                <w:sz w:val="24"/>
              </w:rPr>
              <w:t>6格</w:t>
            </w:r>
          </w:p>
        </w:tc>
        <w:tc>
          <w:tcPr>
            <w:tcW w:w="7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02A40B2">
            <w:pPr>
              <w:widowControl/>
              <w:suppressAutoHyphens w:val="0"/>
              <w:jc w:val="center"/>
              <w:rPr>
                <w:rFonts w:hint="eastAsia" w:ascii="宋体" w:hAnsi="宋体" w:cs="宋体"/>
                <w:bCs/>
                <w:kern w:val="0"/>
                <w:sz w:val="24"/>
              </w:rPr>
            </w:pPr>
            <w:r>
              <w:rPr>
                <w:rFonts w:hint="eastAsia" w:ascii="宋体" w:hAnsi="宋体" w:cs="宋体"/>
                <w:bCs/>
                <w:kern w:val="0"/>
                <w:sz w:val="24"/>
              </w:rPr>
              <w:t>件</w:t>
            </w:r>
          </w:p>
        </w:tc>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6D1653C">
            <w:pPr>
              <w:widowControl/>
              <w:suppressAutoHyphens w:val="0"/>
              <w:jc w:val="center"/>
              <w:rPr>
                <w:rFonts w:hint="eastAsia" w:ascii="宋体" w:hAnsi="宋体" w:cs="宋体"/>
                <w:bCs/>
                <w:kern w:val="0"/>
                <w:sz w:val="24"/>
              </w:rPr>
            </w:pPr>
            <w:r>
              <w:rPr>
                <w:rFonts w:hint="eastAsia" w:ascii="宋体" w:hAnsi="宋体" w:cs="宋体"/>
                <w:bCs/>
                <w:kern w:val="0"/>
                <w:sz w:val="24"/>
              </w:rPr>
              <w:t>1</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D060930">
            <w:pPr>
              <w:widowControl/>
              <w:suppressAutoHyphens w:val="0"/>
              <w:jc w:val="center"/>
              <w:rPr>
                <w:rFonts w:hint="default" w:ascii="宋体" w:hAnsi="宋体" w:eastAsia="宋体" w:cs="宋体"/>
                <w:bCs/>
                <w:kern w:val="0"/>
                <w:sz w:val="24"/>
                <w:lang w:val="en-US" w:eastAsia="zh-CN"/>
              </w:rPr>
            </w:pPr>
            <w:r>
              <w:rPr>
                <w:rFonts w:hint="eastAsia" w:ascii="宋体" w:hAnsi="宋体" w:cs="宋体"/>
                <w:bCs/>
                <w:kern w:val="0"/>
                <w:sz w:val="24"/>
                <w:lang w:val="en-US" w:eastAsia="zh-CN"/>
              </w:rPr>
              <w:t>650</w:t>
            </w:r>
          </w:p>
        </w:tc>
        <w:tc>
          <w:tcPr>
            <w:tcW w:w="127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783D5B9">
            <w:pPr>
              <w:widowControl/>
              <w:suppressAutoHyphens w:val="0"/>
              <w:jc w:val="center"/>
              <w:rPr>
                <w:rFonts w:hint="default" w:ascii="宋体" w:hAnsi="宋体" w:eastAsia="宋体" w:cs="宋体"/>
                <w:bCs/>
                <w:kern w:val="0"/>
                <w:sz w:val="24"/>
                <w:lang w:val="en-US" w:eastAsia="zh-CN"/>
              </w:rPr>
            </w:pPr>
            <w:r>
              <w:rPr>
                <w:rFonts w:hint="eastAsia" w:ascii="宋体" w:hAnsi="宋体" w:cs="宋体"/>
                <w:bCs/>
                <w:kern w:val="0"/>
                <w:sz w:val="24"/>
                <w:lang w:val="en-US" w:eastAsia="zh-CN"/>
              </w:rPr>
              <w:t>650</w:t>
            </w:r>
          </w:p>
        </w:tc>
        <w:tc>
          <w:tcPr>
            <w:tcW w:w="6521"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10851982">
            <w:pPr>
              <w:widowControl/>
              <w:suppressAutoHyphens w:val="0"/>
              <w:jc w:val="left"/>
              <w:rPr>
                <w:rFonts w:hint="eastAsia" w:ascii="宋体" w:hAnsi="宋体" w:cs="宋体"/>
                <w:kern w:val="0"/>
                <w:sz w:val="24"/>
              </w:rPr>
            </w:pPr>
          </w:p>
        </w:tc>
      </w:tr>
      <w:tr w14:paraId="690D8EF3">
        <w:tblPrEx>
          <w:tblCellMar>
            <w:top w:w="0" w:type="dxa"/>
            <w:left w:w="108" w:type="dxa"/>
            <w:bottom w:w="0" w:type="dxa"/>
            <w:right w:w="108" w:type="dxa"/>
          </w:tblCellMar>
        </w:tblPrEx>
        <w:trPr>
          <w:trHeight w:val="480" w:hRule="atLeast"/>
        </w:trPr>
        <w:tc>
          <w:tcPr>
            <w:tcW w:w="720" w:type="dxa"/>
            <w:tcBorders>
              <w:top w:val="nil"/>
              <w:left w:val="single" w:color="auto" w:sz="4" w:space="0"/>
              <w:bottom w:val="single" w:color="auto" w:sz="4" w:space="0"/>
              <w:right w:val="nil"/>
            </w:tcBorders>
            <w:shd w:val="clear" w:color="000000" w:fill="FFFFFF"/>
            <w:noWrap/>
            <w:vAlign w:val="center"/>
          </w:tcPr>
          <w:p w14:paraId="2691AB0A">
            <w:pPr>
              <w:widowControl/>
              <w:suppressAutoHyphens w:val="0"/>
              <w:jc w:val="left"/>
              <w:rPr>
                <w:rFonts w:ascii="宋体" w:hAnsi="宋体" w:cs="宋体"/>
                <w:kern w:val="0"/>
                <w:sz w:val="24"/>
              </w:rPr>
            </w:pPr>
            <w:r>
              <w:rPr>
                <w:rFonts w:hint="eastAsia" w:ascii="宋体" w:hAnsi="宋体" w:cs="宋体"/>
                <w:kern w:val="0"/>
                <w:sz w:val="24"/>
              </w:rPr>
              <w:t>　</w:t>
            </w:r>
          </w:p>
        </w:tc>
        <w:tc>
          <w:tcPr>
            <w:tcW w:w="1180" w:type="dxa"/>
            <w:tcBorders>
              <w:top w:val="nil"/>
              <w:left w:val="nil"/>
              <w:bottom w:val="single" w:color="auto" w:sz="4" w:space="0"/>
              <w:right w:val="nil"/>
            </w:tcBorders>
            <w:shd w:val="clear" w:color="000000" w:fill="FFFFFF"/>
            <w:noWrap/>
            <w:vAlign w:val="center"/>
          </w:tcPr>
          <w:p w14:paraId="63E2272F">
            <w:pPr>
              <w:widowControl/>
              <w:suppressAutoHyphens w:val="0"/>
              <w:jc w:val="left"/>
              <w:rPr>
                <w:rFonts w:ascii="宋体" w:hAnsi="宋体" w:cs="宋体"/>
                <w:kern w:val="0"/>
                <w:sz w:val="24"/>
              </w:rPr>
            </w:pPr>
            <w:r>
              <w:rPr>
                <w:rFonts w:hint="eastAsia" w:ascii="宋体" w:hAnsi="宋体" w:cs="宋体"/>
                <w:kern w:val="0"/>
                <w:sz w:val="24"/>
              </w:rPr>
              <w:t>　</w:t>
            </w:r>
          </w:p>
        </w:tc>
        <w:tc>
          <w:tcPr>
            <w:tcW w:w="2060" w:type="dxa"/>
            <w:tcBorders>
              <w:top w:val="nil"/>
              <w:left w:val="nil"/>
              <w:bottom w:val="single" w:color="auto" w:sz="4" w:space="0"/>
              <w:right w:val="nil"/>
            </w:tcBorders>
            <w:shd w:val="clear" w:color="000000" w:fill="FFFFFF"/>
            <w:noWrap/>
            <w:vAlign w:val="center"/>
          </w:tcPr>
          <w:p w14:paraId="0193A07A">
            <w:pPr>
              <w:widowControl/>
              <w:suppressAutoHyphens w:val="0"/>
              <w:jc w:val="left"/>
              <w:rPr>
                <w:rFonts w:ascii="宋体" w:hAnsi="宋体" w:cs="宋体"/>
                <w:kern w:val="0"/>
                <w:sz w:val="24"/>
              </w:rPr>
            </w:pPr>
            <w:r>
              <w:rPr>
                <w:rFonts w:hint="eastAsia" w:ascii="宋体" w:hAnsi="宋体" w:cs="宋体"/>
                <w:kern w:val="0"/>
                <w:sz w:val="24"/>
              </w:rPr>
              <w:t>　</w:t>
            </w:r>
          </w:p>
        </w:tc>
        <w:tc>
          <w:tcPr>
            <w:tcW w:w="1428" w:type="dxa"/>
            <w:tcBorders>
              <w:top w:val="nil"/>
              <w:left w:val="nil"/>
              <w:bottom w:val="single" w:color="auto" w:sz="4" w:space="0"/>
              <w:right w:val="nil"/>
            </w:tcBorders>
            <w:shd w:val="clear" w:color="000000" w:fill="FFFFFF"/>
            <w:noWrap/>
            <w:vAlign w:val="center"/>
          </w:tcPr>
          <w:p w14:paraId="754D7B08">
            <w:pPr>
              <w:widowControl/>
              <w:suppressAutoHyphens w:val="0"/>
              <w:jc w:val="center"/>
              <w:rPr>
                <w:rFonts w:ascii="宋体" w:hAnsi="宋体" w:cs="宋体"/>
                <w:b/>
                <w:bCs/>
                <w:kern w:val="0"/>
                <w:sz w:val="24"/>
              </w:rPr>
            </w:pPr>
            <w:r>
              <w:rPr>
                <w:rFonts w:hint="eastAsia" w:ascii="宋体" w:hAnsi="宋体" w:cs="宋体"/>
                <w:b/>
                <w:bCs/>
                <w:kern w:val="0"/>
                <w:sz w:val="24"/>
              </w:rPr>
              <w:t>采购预算</w:t>
            </w:r>
          </w:p>
        </w:tc>
        <w:tc>
          <w:tcPr>
            <w:tcW w:w="708" w:type="dxa"/>
            <w:tcBorders>
              <w:top w:val="nil"/>
              <w:left w:val="nil"/>
              <w:bottom w:val="single" w:color="auto" w:sz="4" w:space="0"/>
              <w:right w:val="nil"/>
            </w:tcBorders>
            <w:shd w:val="clear" w:color="000000" w:fill="FFFFFF"/>
            <w:noWrap/>
            <w:vAlign w:val="center"/>
          </w:tcPr>
          <w:p w14:paraId="625EE720">
            <w:pPr>
              <w:widowControl/>
              <w:suppressAutoHyphens w:val="0"/>
              <w:jc w:val="left"/>
              <w:rPr>
                <w:rFonts w:ascii="宋体" w:hAnsi="宋体" w:cs="宋体"/>
                <w:b/>
                <w:bCs/>
                <w:kern w:val="0"/>
                <w:sz w:val="24"/>
              </w:rPr>
            </w:pPr>
            <w:r>
              <w:rPr>
                <w:rFonts w:hint="eastAsia" w:ascii="宋体" w:hAnsi="宋体" w:cs="宋体"/>
                <w:b/>
                <w:bCs/>
                <w:kern w:val="0"/>
                <w:sz w:val="24"/>
              </w:rPr>
              <w:t>　</w:t>
            </w:r>
          </w:p>
        </w:tc>
        <w:tc>
          <w:tcPr>
            <w:tcW w:w="851" w:type="dxa"/>
            <w:tcBorders>
              <w:top w:val="nil"/>
              <w:left w:val="nil"/>
              <w:bottom w:val="single" w:color="auto" w:sz="4" w:space="0"/>
              <w:right w:val="nil"/>
            </w:tcBorders>
            <w:shd w:val="clear" w:color="000000" w:fill="FFFFFF"/>
            <w:noWrap/>
            <w:vAlign w:val="center"/>
          </w:tcPr>
          <w:p w14:paraId="2BC1A9C8">
            <w:pPr>
              <w:widowControl/>
              <w:suppressAutoHyphens w:val="0"/>
              <w:jc w:val="left"/>
              <w:rPr>
                <w:rFonts w:ascii="宋体" w:hAnsi="宋体" w:cs="宋体"/>
                <w:b/>
                <w:bCs/>
                <w:kern w:val="0"/>
                <w:sz w:val="24"/>
              </w:rPr>
            </w:pPr>
            <w:r>
              <w:rPr>
                <w:rFonts w:hint="eastAsia" w:ascii="宋体" w:hAnsi="宋体" w:cs="宋体"/>
                <w:b/>
                <w:bCs/>
                <w:kern w:val="0"/>
                <w:sz w:val="24"/>
              </w:rPr>
              <w:t>　</w:t>
            </w:r>
          </w:p>
        </w:tc>
        <w:tc>
          <w:tcPr>
            <w:tcW w:w="1276" w:type="dxa"/>
            <w:tcBorders>
              <w:top w:val="nil"/>
              <w:left w:val="nil"/>
              <w:bottom w:val="single" w:color="auto" w:sz="4" w:space="0"/>
              <w:right w:val="nil"/>
            </w:tcBorders>
            <w:shd w:val="clear" w:color="000000" w:fill="FFFFFF"/>
            <w:noWrap/>
            <w:vAlign w:val="center"/>
          </w:tcPr>
          <w:p w14:paraId="144BB624">
            <w:pPr>
              <w:widowControl/>
              <w:suppressAutoHyphens w:val="0"/>
              <w:jc w:val="left"/>
              <w:rPr>
                <w:rFonts w:ascii="宋体" w:hAnsi="宋体" w:cs="宋体"/>
                <w:b/>
                <w:bCs/>
                <w:kern w:val="0"/>
                <w:sz w:val="24"/>
              </w:rPr>
            </w:pPr>
            <w:r>
              <w:rPr>
                <w:rFonts w:hint="eastAsia" w:ascii="宋体" w:hAnsi="宋体" w:cs="宋体"/>
                <w:b/>
                <w:bCs/>
                <w:kern w:val="0"/>
                <w:sz w:val="24"/>
              </w:rPr>
              <w:t>　</w:t>
            </w:r>
          </w:p>
        </w:tc>
        <w:tc>
          <w:tcPr>
            <w:tcW w:w="1275" w:type="dxa"/>
            <w:tcBorders>
              <w:top w:val="nil"/>
              <w:left w:val="nil"/>
              <w:bottom w:val="single" w:color="auto" w:sz="4" w:space="0"/>
              <w:right w:val="nil"/>
            </w:tcBorders>
            <w:shd w:val="clear" w:color="000000" w:fill="FFFFFF"/>
            <w:noWrap/>
            <w:vAlign w:val="center"/>
          </w:tcPr>
          <w:p w14:paraId="110C0253">
            <w:pPr>
              <w:widowControl/>
              <w:suppressAutoHyphens w:val="0"/>
              <w:jc w:val="center"/>
              <w:rPr>
                <w:rFonts w:hint="default" w:ascii="宋体" w:hAnsi="宋体" w:eastAsia="宋体" w:cs="宋体"/>
                <w:b/>
                <w:bCs/>
                <w:kern w:val="0"/>
                <w:sz w:val="24"/>
                <w:lang w:val="en-US" w:eastAsia="zh-CN"/>
              </w:rPr>
            </w:pPr>
            <w:r>
              <w:rPr>
                <w:rFonts w:hint="eastAsia" w:ascii="宋体" w:hAnsi="宋体" w:cs="宋体"/>
                <w:b/>
                <w:bCs/>
                <w:kern w:val="0"/>
                <w:sz w:val="24"/>
              </w:rPr>
              <w:t>47</w:t>
            </w:r>
            <w:r>
              <w:rPr>
                <w:rFonts w:hint="eastAsia" w:ascii="宋体" w:hAnsi="宋体" w:cs="宋体"/>
                <w:b/>
                <w:bCs/>
                <w:kern w:val="0"/>
                <w:sz w:val="24"/>
                <w:lang w:val="en-US" w:eastAsia="zh-CN"/>
              </w:rPr>
              <w:t>5290</w:t>
            </w:r>
          </w:p>
        </w:tc>
        <w:tc>
          <w:tcPr>
            <w:tcW w:w="6521" w:type="dxa"/>
            <w:tcBorders>
              <w:top w:val="single" w:color="auto" w:sz="4" w:space="0"/>
              <w:left w:val="nil"/>
              <w:bottom w:val="single" w:color="auto" w:sz="4" w:space="0"/>
              <w:right w:val="single" w:color="auto" w:sz="4" w:space="0"/>
            </w:tcBorders>
            <w:shd w:val="clear" w:color="000000" w:fill="FFFFFF"/>
            <w:noWrap/>
            <w:vAlign w:val="center"/>
          </w:tcPr>
          <w:p w14:paraId="52A5B32A">
            <w:pPr>
              <w:widowControl/>
              <w:suppressAutoHyphens w:val="0"/>
              <w:jc w:val="left"/>
              <w:rPr>
                <w:rFonts w:ascii="宋体" w:hAnsi="宋体" w:cs="宋体"/>
                <w:kern w:val="0"/>
                <w:sz w:val="24"/>
              </w:rPr>
            </w:pPr>
            <w:r>
              <w:rPr>
                <w:rFonts w:hint="eastAsia" w:ascii="宋体" w:hAnsi="宋体" w:cs="宋体"/>
                <w:kern w:val="0"/>
                <w:sz w:val="24"/>
              </w:rPr>
              <w:t>　</w:t>
            </w:r>
          </w:p>
        </w:tc>
      </w:tr>
    </w:tbl>
    <w:p w14:paraId="16F22D0F">
      <w:pPr>
        <w:spacing w:line="360" w:lineRule="auto"/>
        <w:jc w:val="left"/>
        <w:rPr>
          <w:rFonts w:ascii="方正小标宋简体" w:hAnsi="方正小标宋简体" w:eastAsia="方正小标宋简体" w:cs="方正小标宋简体"/>
          <w:b/>
          <w:sz w:val="28"/>
          <w:szCs w:val="28"/>
        </w:rPr>
      </w:pPr>
      <w:r>
        <w:rPr>
          <w:rFonts w:hint="eastAsia" w:ascii="方正小标宋简体" w:hAnsi="方正小标宋简体" w:eastAsia="方正小标宋简体" w:cs="方正小标宋简体"/>
          <w:b/>
          <w:sz w:val="28"/>
          <w:szCs w:val="28"/>
        </w:rPr>
        <w:t>注：供应商所报单价不可超过以上每项产品的预算单价，否则做无效标处理。</w:t>
      </w:r>
    </w:p>
    <w:sectPr>
      <w:headerReference r:id="rId4" w:type="default"/>
      <w:footerReference r:id="rId5" w:type="default"/>
      <w:pgSz w:w="16838" w:h="11906" w:orient="landscape"/>
      <w:pgMar w:top="1129" w:right="1440" w:bottom="993" w:left="1440" w:header="720" w:footer="628"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昆仑楷体">
    <w:altName w:val="楷体_GB2312"/>
    <w:panose1 w:val="00000000000000000000"/>
    <w:charset w:val="86"/>
    <w:family w:val="modern"/>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ans">
    <w:panose1 w:val="020B0604020202020204"/>
    <w:charset w:val="00"/>
    <w:family w:val="swiss"/>
    <w:pitch w:val="default"/>
    <w:sig w:usb0="A00002AF" w:usb1="500078FB"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Batang">
    <w:altName w:val="宋体"/>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169F6">
    <w:pPr>
      <w:pStyle w:val="9"/>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CEA10D0">
                <w:pPr>
                  <w:pStyle w:val="9"/>
                  <w:rPr>
                    <w:rFonts w:ascii="Batang" w:hAnsi="Batang" w:eastAsia="Batang" w:cs="Batang"/>
                    <w:sz w:val="28"/>
                    <w:szCs w:val="28"/>
                  </w:rPr>
                </w:pPr>
                <w:r>
                  <w:rPr>
                    <w:rFonts w:hint="eastAsia" w:ascii="Batang" w:hAnsi="Batang" w:eastAsia="Batang" w:cs="Batang"/>
                    <w:sz w:val="28"/>
                    <w:szCs w:val="28"/>
                  </w:rPr>
                  <w:t xml:space="preserve">— </w:t>
                </w:r>
                <w:r>
                  <w:rPr>
                    <w:rFonts w:hint="eastAsia" w:ascii="Batang" w:hAnsi="Batang" w:eastAsia="Batang" w:cs="Batang"/>
                    <w:sz w:val="28"/>
                    <w:szCs w:val="28"/>
                  </w:rPr>
                  <w:fldChar w:fldCharType="begin"/>
                </w:r>
                <w:r>
                  <w:rPr>
                    <w:rFonts w:hint="eastAsia" w:ascii="Batang" w:hAnsi="Batang" w:eastAsia="Batang" w:cs="Batang"/>
                    <w:sz w:val="28"/>
                    <w:szCs w:val="28"/>
                  </w:rPr>
                  <w:instrText xml:space="preserve"> PAGE  \* MERGEFORMAT </w:instrText>
                </w:r>
                <w:r>
                  <w:rPr>
                    <w:rFonts w:hint="eastAsia" w:ascii="Batang" w:hAnsi="Batang" w:eastAsia="Batang" w:cs="Batang"/>
                    <w:sz w:val="28"/>
                    <w:szCs w:val="28"/>
                  </w:rPr>
                  <w:fldChar w:fldCharType="separate"/>
                </w:r>
                <w:r>
                  <w:rPr>
                    <w:rFonts w:ascii="Batang" w:hAnsi="Batang" w:eastAsia="Batang" w:cs="Batang"/>
                    <w:sz w:val="28"/>
                    <w:szCs w:val="28"/>
                  </w:rPr>
                  <w:t>1</w:t>
                </w:r>
                <w:r>
                  <w:rPr>
                    <w:rFonts w:hint="eastAsia" w:ascii="Batang" w:hAnsi="Batang" w:eastAsia="Batang" w:cs="Batang"/>
                    <w:sz w:val="28"/>
                    <w:szCs w:val="28"/>
                  </w:rPr>
                  <w:fldChar w:fldCharType="end"/>
                </w:r>
                <w:r>
                  <w:rPr>
                    <w:rFonts w:hint="eastAsia" w:ascii="Batang" w:hAnsi="Batang" w:eastAsia="Batang" w:cs="Batang"/>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91067">
    <w:pPr>
      <w:pStyle w:val="9"/>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4880C2F">
                <w:pPr>
                  <w:pStyle w:val="9"/>
                  <w:rPr>
                    <w:rFonts w:ascii="Batang" w:hAnsi="Batang" w:eastAsia="Batang" w:cs="Batang"/>
                    <w:sz w:val="28"/>
                    <w:szCs w:val="28"/>
                  </w:rPr>
                </w:pPr>
                <w:r>
                  <w:rPr>
                    <w:rFonts w:hint="eastAsia" w:ascii="Batang" w:hAnsi="Batang" w:eastAsia="Batang" w:cs="Batang"/>
                    <w:sz w:val="28"/>
                    <w:szCs w:val="28"/>
                  </w:rPr>
                  <w:t xml:space="preserve">— </w:t>
                </w:r>
                <w:r>
                  <w:rPr>
                    <w:rFonts w:hint="eastAsia" w:ascii="Batang" w:hAnsi="Batang" w:eastAsia="Batang" w:cs="Batang"/>
                    <w:sz w:val="28"/>
                    <w:szCs w:val="28"/>
                  </w:rPr>
                  <w:fldChar w:fldCharType="begin"/>
                </w:r>
                <w:r>
                  <w:rPr>
                    <w:rFonts w:hint="eastAsia" w:ascii="Batang" w:hAnsi="Batang" w:eastAsia="Batang" w:cs="Batang"/>
                    <w:sz w:val="28"/>
                    <w:szCs w:val="28"/>
                  </w:rPr>
                  <w:instrText xml:space="preserve"> PAGE  \* MERGEFORMAT </w:instrText>
                </w:r>
                <w:r>
                  <w:rPr>
                    <w:rFonts w:hint="eastAsia" w:ascii="Batang" w:hAnsi="Batang" w:eastAsia="Batang" w:cs="Batang"/>
                    <w:sz w:val="28"/>
                    <w:szCs w:val="28"/>
                  </w:rPr>
                  <w:fldChar w:fldCharType="separate"/>
                </w:r>
                <w:r>
                  <w:rPr>
                    <w:rFonts w:ascii="Batang" w:hAnsi="Batang" w:eastAsia="Batang" w:cs="Batang"/>
                    <w:sz w:val="28"/>
                    <w:szCs w:val="28"/>
                  </w:rPr>
                  <w:t>17</w:t>
                </w:r>
                <w:r>
                  <w:rPr>
                    <w:rFonts w:hint="eastAsia" w:ascii="Batang" w:hAnsi="Batang" w:eastAsia="Batang" w:cs="Batang"/>
                    <w:sz w:val="28"/>
                    <w:szCs w:val="28"/>
                  </w:rPr>
                  <w:fldChar w:fldCharType="end"/>
                </w:r>
                <w:r>
                  <w:rPr>
                    <w:rFonts w:hint="eastAsia" w:ascii="Batang" w:hAnsi="Batang" w:eastAsia="Batang" w:cs="Batang"/>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1654">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987B9B"/>
    <w:multiLevelType w:val="multilevel"/>
    <w:tmpl w:val="6B987B9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4C276F6"/>
    <w:multiLevelType w:val="singleLevel"/>
    <w:tmpl w:val="74C276F6"/>
    <w:lvl w:ilvl="0" w:tentative="0">
      <w:start w:val="1"/>
      <w:numFmt w:val="chineseCounting"/>
      <w:suff w:val="nothing"/>
      <w:lvlText w:val="（%1）"/>
      <w:lvlJc w:val="left"/>
      <w:rPr>
        <w:rFonts w:hint="eastAsia"/>
      </w:rPr>
    </w:lvl>
  </w:abstractNum>
  <w:abstractNum w:abstractNumId="2">
    <w:nsid w:val="778214ED"/>
    <w:multiLevelType w:val="multilevel"/>
    <w:tmpl w:val="778214E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D66FB"/>
    <w:rsid w:val="00044332"/>
    <w:rsid w:val="00141854"/>
    <w:rsid w:val="001C2113"/>
    <w:rsid w:val="002061F7"/>
    <w:rsid w:val="00234B5A"/>
    <w:rsid w:val="00354F34"/>
    <w:rsid w:val="003B358A"/>
    <w:rsid w:val="003C3D49"/>
    <w:rsid w:val="00480118"/>
    <w:rsid w:val="005F186F"/>
    <w:rsid w:val="00630CA7"/>
    <w:rsid w:val="006566B8"/>
    <w:rsid w:val="006673A4"/>
    <w:rsid w:val="006944ED"/>
    <w:rsid w:val="00697FC3"/>
    <w:rsid w:val="006D66FB"/>
    <w:rsid w:val="007065F7"/>
    <w:rsid w:val="007A166C"/>
    <w:rsid w:val="007C5306"/>
    <w:rsid w:val="008B7917"/>
    <w:rsid w:val="0091597F"/>
    <w:rsid w:val="00945A46"/>
    <w:rsid w:val="00BF1744"/>
    <w:rsid w:val="00CA598A"/>
    <w:rsid w:val="00D06729"/>
    <w:rsid w:val="00EA2FE9"/>
    <w:rsid w:val="00F53416"/>
    <w:rsid w:val="02776640"/>
    <w:rsid w:val="0FDFBD3D"/>
    <w:rsid w:val="152A78CE"/>
    <w:rsid w:val="1BF7F8C8"/>
    <w:rsid w:val="217B5399"/>
    <w:rsid w:val="2B612D23"/>
    <w:rsid w:val="32733577"/>
    <w:rsid w:val="337D5011"/>
    <w:rsid w:val="353961B0"/>
    <w:rsid w:val="363DD67C"/>
    <w:rsid w:val="3DEB0774"/>
    <w:rsid w:val="3FF0143C"/>
    <w:rsid w:val="45135B81"/>
    <w:rsid w:val="4C354AA5"/>
    <w:rsid w:val="560A26AF"/>
    <w:rsid w:val="5D7E8F6E"/>
    <w:rsid w:val="603213F4"/>
    <w:rsid w:val="6B785185"/>
    <w:rsid w:val="6FFE574D"/>
    <w:rsid w:val="732A00C2"/>
    <w:rsid w:val="78B600C1"/>
    <w:rsid w:val="7B2D42F0"/>
    <w:rsid w:val="7BCD1515"/>
    <w:rsid w:val="7CE59D0A"/>
    <w:rsid w:val="7D1A4CE6"/>
    <w:rsid w:val="7D761C31"/>
    <w:rsid w:val="7EFF1732"/>
    <w:rsid w:val="7FAFC680"/>
    <w:rsid w:val="A9FAEF6B"/>
    <w:rsid w:val="AD56DC1F"/>
    <w:rsid w:val="BAEB6A8C"/>
    <w:rsid w:val="BBBEB9D6"/>
    <w:rsid w:val="BBFF6E68"/>
    <w:rsid w:val="BF33D6BD"/>
    <w:rsid w:val="DFE5FFBE"/>
    <w:rsid w:val="EF5E6F5A"/>
    <w:rsid w:val="FBFB5DC1"/>
    <w:rsid w:val="FBFFB2F6"/>
    <w:rsid w:val="FFF36209"/>
    <w:rsid w:val="FFFA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caption"/>
    <w:basedOn w:val="1"/>
    <w:qFormat/>
    <w:uiPriority w:val="0"/>
    <w:pPr>
      <w:suppressLineNumbers/>
      <w:spacing w:before="120" w:after="120"/>
    </w:pPr>
    <w:rPr>
      <w:i/>
      <w:iCs/>
      <w:sz w:val="24"/>
    </w:rPr>
  </w:style>
  <w:style w:type="paragraph" w:styleId="4">
    <w:name w:val="annotation text"/>
    <w:basedOn w:val="1"/>
    <w:qFormat/>
    <w:uiPriority w:val="0"/>
    <w:pPr>
      <w:jc w:val="left"/>
    </w:pPr>
  </w:style>
  <w:style w:type="paragraph" w:styleId="5">
    <w:name w:val="Body Text"/>
    <w:basedOn w:val="1"/>
    <w:next w:val="1"/>
    <w:qFormat/>
    <w:uiPriority w:val="0"/>
    <w:pPr>
      <w:spacing w:after="140" w:line="276" w:lineRule="auto"/>
    </w:pPr>
  </w:style>
  <w:style w:type="paragraph" w:styleId="6">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7">
    <w:name w:val="Plain Text"/>
    <w:basedOn w:val="1"/>
    <w:qFormat/>
    <w:uiPriority w:val="0"/>
    <w:rPr>
      <w:rFonts w:ascii="宋体" w:hAnsi="Courier New" w:cs="Courier New"/>
      <w:szCs w:val="21"/>
    </w:rPr>
  </w:style>
  <w:style w:type="paragraph" w:styleId="8">
    <w:name w:val="Balloon Text"/>
    <w:basedOn w:val="1"/>
    <w:link w:val="24"/>
    <w:qFormat/>
    <w:uiPriority w:val="0"/>
    <w:rPr>
      <w:sz w:val="18"/>
      <w:szCs w:val="18"/>
    </w:rPr>
  </w:style>
  <w:style w:type="paragraph" w:styleId="9">
    <w:name w:val="footer"/>
    <w:basedOn w:val="1"/>
    <w:link w:val="16"/>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5"/>
    <w:qFormat/>
    <w:uiPriority w:val="0"/>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页脚 Char"/>
    <w:link w:val="9"/>
    <w:qFormat/>
    <w:uiPriority w:val="0"/>
    <w:rPr>
      <w:rFonts w:ascii="Calibri" w:hAnsi="Calibri"/>
      <w:kern w:val="2"/>
      <w:sz w:val="18"/>
      <w:szCs w:val="18"/>
    </w:rPr>
  </w:style>
  <w:style w:type="character" w:customStyle="1" w:styleId="17">
    <w:name w:val="页眉 Char"/>
    <w:link w:val="10"/>
    <w:qFormat/>
    <w:uiPriority w:val="0"/>
    <w:rPr>
      <w:rFonts w:ascii="Calibri" w:hAnsi="Calibri"/>
      <w:kern w:val="2"/>
      <w:sz w:val="18"/>
      <w:szCs w:val="18"/>
    </w:rPr>
  </w:style>
  <w:style w:type="character" w:customStyle="1" w:styleId="18">
    <w:name w:val="默认段落字体1"/>
    <w:qFormat/>
    <w:uiPriority w:val="0"/>
  </w:style>
  <w:style w:type="paragraph" w:customStyle="1" w:styleId="19">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20">
    <w:name w:val="Index"/>
    <w:basedOn w:val="1"/>
    <w:qFormat/>
    <w:uiPriority w:val="0"/>
    <w:pPr>
      <w:suppressLineNumbers/>
    </w:pPr>
  </w:style>
  <w:style w:type="paragraph" w:customStyle="1" w:styleId="21">
    <w:name w:val="标题 2（绿盟科技）"/>
    <w:basedOn w:val="2"/>
    <w:next w:val="1"/>
    <w:qFormat/>
    <w:uiPriority w:val="0"/>
    <w:pPr>
      <w:spacing w:line="415" w:lineRule="auto"/>
      <w:jc w:val="left"/>
    </w:pPr>
    <w:rPr>
      <w:rFonts w:ascii="Arial" w:hAnsi="Arial" w:eastAsia="黑体" w:cs="Times New Roman"/>
      <w:bCs w:val="0"/>
      <w:snapToGrid w:val="0"/>
      <w:lang w:val="zh-CN"/>
    </w:rPr>
  </w:style>
  <w:style w:type="paragraph" w:styleId="22">
    <w:name w:val="List Paragraph"/>
    <w:basedOn w:val="1"/>
    <w:link w:val="23"/>
    <w:qFormat/>
    <w:uiPriority w:val="34"/>
    <w:pPr>
      <w:suppressAutoHyphens w:val="0"/>
      <w:ind w:firstLine="420" w:firstLineChars="200"/>
    </w:pPr>
    <w:rPr>
      <w:rFonts w:ascii="Times New Roman" w:hAnsi="Times New Roman"/>
      <w:szCs w:val="20"/>
    </w:rPr>
  </w:style>
  <w:style w:type="character" w:customStyle="1" w:styleId="23">
    <w:name w:val="列出段落 Char"/>
    <w:link w:val="22"/>
    <w:qFormat/>
    <w:uiPriority w:val="34"/>
    <w:rPr>
      <w:kern w:val="2"/>
      <w:sz w:val="21"/>
    </w:rPr>
  </w:style>
  <w:style w:type="character" w:customStyle="1" w:styleId="24">
    <w:name w:val="批注框文本 Char"/>
    <w:basedOn w:val="15"/>
    <w:link w:val="8"/>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19</Pages>
  <Words>7129</Words>
  <Characters>1766</Characters>
  <Lines>14</Lines>
  <Paragraphs>17</Paragraphs>
  <TotalTime>48</TotalTime>
  <ScaleCrop>false</ScaleCrop>
  <LinksUpToDate>false</LinksUpToDate>
  <CharactersWithSpaces>8878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2026-06-14T22:45:00Z</dcterms:created>
  <dc:creator>user</dc:creator>
  <cp:lastModifiedBy>greatwall</cp:lastModifiedBy>
  <dcterms:modified xsi:type="dcterms:W3CDTF">2026-06-17T11:22:14Z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1ABAC8CF34CD9A309E602F6A00F50FD6_42</vt:lpwstr>
  </property>
</Properties>
</file>