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00F" w:rsidRDefault="001B300F">
      <w:pPr>
        <w:rPr>
          <w:rFonts w:eastAsia="仿宋_GB2312"/>
          <w:sz w:val="84"/>
        </w:rPr>
      </w:pPr>
    </w:p>
    <w:p w:rsidR="001B300F" w:rsidRDefault="004555CE">
      <w:pPr>
        <w:ind w:right="105"/>
        <w:jc w:val="right"/>
        <w:rPr>
          <w:rFonts w:eastAsia="黑体"/>
          <w:b/>
          <w:spacing w:val="40"/>
          <w:w w:val="66"/>
          <w:sz w:val="60"/>
          <w:szCs w:val="60"/>
        </w:rPr>
      </w:pPr>
      <w:r>
        <w:rPr>
          <w:rFonts w:eastAsia="黑体" w:hint="eastAsia"/>
          <w:b/>
          <w:spacing w:val="40"/>
          <w:w w:val="66"/>
          <w:sz w:val="60"/>
          <w:szCs w:val="60"/>
        </w:rPr>
        <w:t>天津税务</w:t>
      </w:r>
      <w:r>
        <w:rPr>
          <w:rFonts w:eastAsia="黑体" w:hint="eastAsia"/>
          <w:b/>
          <w:spacing w:val="40"/>
          <w:w w:val="66"/>
          <w:sz w:val="60"/>
          <w:szCs w:val="60"/>
        </w:rPr>
        <w:t>2026</w:t>
      </w:r>
      <w:r>
        <w:rPr>
          <w:rFonts w:eastAsia="黑体" w:hint="eastAsia"/>
          <w:b/>
          <w:spacing w:val="40"/>
          <w:w w:val="66"/>
          <w:sz w:val="60"/>
          <w:szCs w:val="60"/>
        </w:rPr>
        <w:t>年应用支撑平台等系统</w:t>
      </w:r>
    </w:p>
    <w:p w:rsidR="001B300F" w:rsidRDefault="004555CE">
      <w:pPr>
        <w:ind w:right="105"/>
        <w:jc w:val="right"/>
        <w:rPr>
          <w:rFonts w:eastAsia="黑体"/>
          <w:b/>
          <w:spacing w:val="40"/>
          <w:w w:val="66"/>
          <w:sz w:val="60"/>
          <w:szCs w:val="60"/>
        </w:rPr>
      </w:pPr>
      <w:r>
        <w:rPr>
          <w:rFonts w:eastAsia="黑体" w:hint="eastAsia"/>
          <w:b/>
          <w:spacing w:val="40"/>
          <w:w w:val="66"/>
          <w:sz w:val="60"/>
          <w:szCs w:val="60"/>
        </w:rPr>
        <w:t>运行维护</w:t>
      </w: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72009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7.4pt;height:0pt;width:56.7pt;z-index:251659264;mso-width-relative:page;mso-height-relative:page;" filled="f" stroked="t" coordsize="21600,21600" o:gfxdata="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sIvGnWAAAA&#10;CA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r>
        <w:rPr>
          <w:rFonts w:eastAsia="黑体"/>
          <w:b/>
          <w:spacing w:val="40"/>
          <w:w w:val="66"/>
          <w:sz w:val="60"/>
          <w:szCs w:val="60"/>
        </w:rPr>
        <w:t>项目</w:t>
      </w:r>
    </w:p>
    <w:p w:rsidR="001B300F" w:rsidRDefault="004555CE">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1B300F" w:rsidRDefault="001B300F">
      <w:pPr>
        <w:ind w:right="1025"/>
        <w:jc w:val="center"/>
        <w:rPr>
          <w:rFonts w:eastAsia="黑体"/>
          <w:b/>
          <w:spacing w:val="40"/>
          <w:w w:val="66"/>
          <w:sz w:val="60"/>
          <w:szCs w:val="60"/>
        </w:rPr>
      </w:pPr>
    </w:p>
    <w:p w:rsidR="001B300F" w:rsidRDefault="004555CE">
      <w:pPr>
        <w:jc w:val="center"/>
        <w:rPr>
          <w:rFonts w:eastAsia="黑体"/>
          <w:b/>
          <w:spacing w:val="40"/>
          <w:w w:val="66"/>
          <w:sz w:val="15"/>
          <w:szCs w:val="15"/>
        </w:rPr>
      </w:pPr>
      <w:r>
        <w:rPr>
          <w:rFonts w:eastAsia="黑体"/>
          <w:b/>
          <w:spacing w:val="40"/>
          <w:w w:val="66"/>
          <w:sz w:val="56"/>
          <w:szCs w:val="56"/>
        </w:rPr>
        <w:t xml:space="preserve">            </w:t>
      </w:r>
    </w:p>
    <w:p w:rsidR="001B300F" w:rsidRDefault="004555CE">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TGPC-2026-D-0569</w:t>
      </w:r>
      <w:r>
        <w:rPr>
          <w:rFonts w:eastAsia="黑体"/>
          <w:spacing w:val="40"/>
          <w:w w:val="66"/>
          <w:sz w:val="32"/>
          <w:szCs w:val="32"/>
        </w:rPr>
        <w:t>）</w:t>
      </w:r>
    </w:p>
    <w:p w:rsidR="001B300F" w:rsidRDefault="001B300F">
      <w:pPr>
        <w:rPr>
          <w:sz w:val="40"/>
        </w:rPr>
      </w:pPr>
    </w:p>
    <w:p w:rsidR="001B300F" w:rsidRDefault="001B300F">
      <w:pPr>
        <w:rPr>
          <w:sz w:val="36"/>
        </w:rPr>
      </w:pPr>
    </w:p>
    <w:p w:rsidR="001B300F" w:rsidRDefault="001B300F">
      <w:pPr>
        <w:rPr>
          <w:sz w:val="36"/>
        </w:rPr>
      </w:pPr>
    </w:p>
    <w:p w:rsidR="001B300F" w:rsidRDefault="001B300F">
      <w:pPr>
        <w:rPr>
          <w:sz w:val="36"/>
        </w:rPr>
      </w:pPr>
    </w:p>
    <w:p w:rsidR="001B300F" w:rsidRDefault="001B300F">
      <w:pPr>
        <w:rPr>
          <w:sz w:val="36"/>
        </w:rPr>
      </w:pPr>
    </w:p>
    <w:p w:rsidR="001B300F" w:rsidRDefault="001B300F">
      <w:pPr>
        <w:rPr>
          <w:sz w:val="36"/>
        </w:rPr>
      </w:pPr>
    </w:p>
    <w:p w:rsidR="001B300F" w:rsidRDefault="001B300F">
      <w:pPr>
        <w:rPr>
          <w:sz w:val="36"/>
        </w:rPr>
      </w:pPr>
    </w:p>
    <w:p w:rsidR="001B300F" w:rsidRDefault="001B300F">
      <w:pPr>
        <w:rPr>
          <w:sz w:val="36"/>
        </w:rPr>
      </w:pPr>
    </w:p>
    <w:p w:rsidR="001B300F" w:rsidRDefault="001B300F">
      <w:pPr>
        <w:rPr>
          <w:sz w:val="36"/>
        </w:rPr>
      </w:pPr>
    </w:p>
    <w:p w:rsidR="001B300F" w:rsidRDefault="004555CE" w:rsidP="004555CE">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1B300F" w:rsidRDefault="004555CE">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6</w:t>
      </w:r>
      <w:r>
        <w:rPr>
          <w:rFonts w:eastAsia="仿宋_GB2312"/>
          <w:b/>
          <w:bCs/>
          <w:kern w:val="0"/>
          <w:sz w:val="44"/>
          <w:szCs w:val="44"/>
        </w:rPr>
        <w:t xml:space="preserve"> </w:t>
      </w:r>
    </w:p>
    <w:p w:rsidR="001B300F" w:rsidRDefault="001B300F">
      <w:pPr>
        <w:widowControl/>
        <w:jc w:val="left"/>
        <w:rPr>
          <w:rFonts w:eastAsia="仿宋_GB2312"/>
          <w:b/>
          <w:bCs/>
          <w:kern w:val="0"/>
          <w:sz w:val="44"/>
          <w:szCs w:val="44"/>
        </w:rPr>
      </w:pPr>
    </w:p>
    <w:p w:rsidR="001B300F" w:rsidRDefault="001B300F" w:rsidP="004555CE">
      <w:pPr>
        <w:ind w:firstLineChars="100" w:firstLine="411"/>
        <w:jc w:val="center"/>
        <w:rPr>
          <w:b/>
          <w:spacing w:val="20"/>
          <w:w w:val="80"/>
          <w:sz w:val="48"/>
          <w:szCs w:val="48"/>
        </w:rPr>
        <w:sectPr w:rsidR="001B300F">
          <w:headerReference w:type="default" r:id="rId11"/>
          <w:pgSz w:w="11906" w:h="16838"/>
          <w:pgMar w:top="1440" w:right="1797" w:bottom="1440" w:left="1797" w:header="851" w:footer="992" w:gutter="0"/>
          <w:pgNumType w:start="1"/>
          <w:cols w:space="425"/>
          <w:docGrid w:type="linesAndChars" w:linePitch="285" w:charSpace="-3449"/>
        </w:sectPr>
      </w:pPr>
    </w:p>
    <w:p w:rsidR="001B300F" w:rsidRDefault="004555CE" w:rsidP="004555CE">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1B300F" w:rsidRDefault="004555CE">
      <w:pPr>
        <w:spacing w:line="560" w:lineRule="exact"/>
        <w:ind w:rightChars="-73" w:right="-141"/>
        <w:rPr>
          <w:b/>
          <w:sz w:val="24"/>
        </w:rPr>
      </w:pPr>
      <w:r>
        <w:rPr>
          <w:b/>
          <w:sz w:val="24"/>
        </w:rPr>
        <w:t>第一部分</w:t>
      </w:r>
      <w:r>
        <w:rPr>
          <w:b/>
          <w:sz w:val="24"/>
        </w:rPr>
        <w:t xml:space="preserve">  </w:t>
      </w:r>
      <w:r>
        <w:rPr>
          <w:b/>
          <w:sz w:val="24"/>
        </w:rPr>
        <w:t>投标邀请函</w:t>
      </w:r>
    </w:p>
    <w:p w:rsidR="001B300F" w:rsidRDefault="001B300F">
      <w:pPr>
        <w:spacing w:line="560" w:lineRule="exact"/>
        <w:ind w:rightChars="-73" w:right="-141"/>
        <w:rPr>
          <w:b/>
          <w:sz w:val="24"/>
        </w:rPr>
      </w:pPr>
    </w:p>
    <w:p w:rsidR="001B300F" w:rsidRDefault="004555CE">
      <w:pPr>
        <w:spacing w:line="560" w:lineRule="exact"/>
        <w:ind w:rightChars="-73" w:right="-141"/>
        <w:rPr>
          <w:b/>
          <w:sz w:val="24"/>
        </w:rPr>
      </w:pPr>
      <w:r>
        <w:rPr>
          <w:b/>
          <w:sz w:val="24"/>
        </w:rPr>
        <w:t>第二部分</w:t>
      </w:r>
      <w:r>
        <w:rPr>
          <w:b/>
          <w:sz w:val="24"/>
        </w:rPr>
        <w:t xml:space="preserve">  </w:t>
      </w:r>
      <w:r>
        <w:rPr>
          <w:b/>
          <w:sz w:val="24"/>
        </w:rPr>
        <w:t>招标项目需求</w:t>
      </w:r>
    </w:p>
    <w:p w:rsidR="001B300F" w:rsidRDefault="001B300F">
      <w:pPr>
        <w:spacing w:line="560" w:lineRule="exact"/>
        <w:ind w:rightChars="-73" w:right="-141"/>
        <w:rPr>
          <w:b/>
          <w:sz w:val="24"/>
        </w:rPr>
      </w:pPr>
    </w:p>
    <w:p w:rsidR="001B300F" w:rsidRDefault="004555CE">
      <w:pPr>
        <w:spacing w:line="560" w:lineRule="exact"/>
        <w:ind w:rightChars="-73" w:right="-141"/>
        <w:rPr>
          <w:b/>
          <w:sz w:val="24"/>
        </w:rPr>
      </w:pPr>
      <w:r>
        <w:rPr>
          <w:b/>
          <w:sz w:val="24"/>
        </w:rPr>
        <w:t>第三部分</w:t>
      </w:r>
      <w:r>
        <w:rPr>
          <w:b/>
          <w:sz w:val="24"/>
        </w:rPr>
        <w:t xml:space="preserve">  </w:t>
      </w:r>
      <w:r>
        <w:rPr>
          <w:b/>
          <w:sz w:val="24"/>
        </w:rPr>
        <w:t>投标须知</w:t>
      </w:r>
    </w:p>
    <w:p w:rsidR="001B300F" w:rsidRDefault="001B300F">
      <w:pPr>
        <w:spacing w:line="560" w:lineRule="exact"/>
        <w:ind w:rightChars="-73" w:right="-141"/>
        <w:rPr>
          <w:sz w:val="24"/>
        </w:rPr>
      </w:pPr>
    </w:p>
    <w:p w:rsidR="001B300F" w:rsidRDefault="004555CE">
      <w:pPr>
        <w:spacing w:line="560" w:lineRule="exact"/>
        <w:rPr>
          <w:b/>
          <w:sz w:val="24"/>
        </w:rPr>
      </w:pPr>
      <w:r>
        <w:rPr>
          <w:b/>
          <w:sz w:val="24"/>
        </w:rPr>
        <w:t>第四部分</w:t>
      </w:r>
      <w:r>
        <w:rPr>
          <w:b/>
          <w:sz w:val="24"/>
        </w:rPr>
        <w:t xml:space="preserve">  </w:t>
      </w:r>
      <w:r>
        <w:rPr>
          <w:b/>
          <w:sz w:val="24"/>
        </w:rPr>
        <w:t>合同条款</w:t>
      </w:r>
    </w:p>
    <w:p w:rsidR="001B300F" w:rsidRDefault="001B300F">
      <w:pPr>
        <w:spacing w:line="560" w:lineRule="exact"/>
        <w:rPr>
          <w:sz w:val="24"/>
        </w:rPr>
      </w:pPr>
    </w:p>
    <w:p w:rsidR="001B300F" w:rsidRDefault="004555CE">
      <w:pPr>
        <w:spacing w:line="560" w:lineRule="exact"/>
        <w:rPr>
          <w:sz w:val="24"/>
        </w:rPr>
      </w:pPr>
      <w:r>
        <w:rPr>
          <w:b/>
          <w:sz w:val="24"/>
        </w:rPr>
        <w:t>第五部分</w:t>
      </w:r>
      <w:r>
        <w:rPr>
          <w:b/>
          <w:sz w:val="24"/>
        </w:rPr>
        <w:t xml:space="preserve">  </w:t>
      </w:r>
      <w:r>
        <w:rPr>
          <w:b/>
          <w:sz w:val="24"/>
        </w:rPr>
        <w:t>投标文件格式</w:t>
      </w:r>
    </w:p>
    <w:p w:rsidR="001B300F" w:rsidRDefault="001B300F">
      <w:pPr>
        <w:rPr>
          <w:sz w:val="24"/>
        </w:rPr>
      </w:pPr>
    </w:p>
    <w:p w:rsidR="001B300F" w:rsidRDefault="001B300F">
      <w:pPr>
        <w:rPr>
          <w:sz w:val="24"/>
        </w:rPr>
      </w:pPr>
    </w:p>
    <w:p w:rsidR="001B300F" w:rsidRDefault="001B300F">
      <w:pPr>
        <w:rPr>
          <w:sz w:val="24"/>
        </w:rPr>
      </w:pPr>
    </w:p>
    <w:p w:rsidR="001B300F" w:rsidRDefault="001B300F">
      <w:pPr>
        <w:rPr>
          <w:sz w:val="24"/>
        </w:rPr>
      </w:pPr>
    </w:p>
    <w:p w:rsidR="001B300F" w:rsidRDefault="001B300F">
      <w:pPr>
        <w:rPr>
          <w:sz w:val="24"/>
        </w:rPr>
      </w:pPr>
    </w:p>
    <w:p w:rsidR="001B300F" w:rsidRDefault="001B300F">
      <w:pPr>
        <w:rPr>
          <w:sz w:val="24"/>
        </w:rPr>
      </w:pPr>
    </w:p>
    <w:p w:rsidR="001B300F" w:rsidRDefault="001B300F">
      <w:pPr>
        <w:rPr>
          <w:b/>
        </w:rPr>
      </w:pPr>
    </w:p>
    <w:p w:rsidR="001B300F" w:rsidRDefault="001B300F">
      <w:pPr>
        <w:pStyle w:val="ac"/>
        <w:rPr>
          <w:rFonts w:ascii="Times New Roman" w:hAnsi="Times New Roman"/>
        </w:rPr>
        <w:sectPr w:rsidR="001B300F">
          <w:pgSz w:w="11906" w:h="16838"/>
          <w:pgMar w:top="1440" w:right="1797" w:bottom="1440" w:left="1797" w:header="851" w:footer="992" w:gutter="0"/>
          <w:pgNumType w:start="1"/>
          <w:cols w:space="425"/>
          <w:docGrid w:type="linesAndChars" w:linePitch="285" w:charSpace="-3449"/>
        </w:sectPr>
      </w:pPr>
      <w:bookmarkStart w:id="0" w:name="_Toc412903614"/>
    </w:p>
    <w:p w:rsidR="001B300F" w:rsidRDefault="004555CE">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1B300F" w:rsidRDefault="004555CE" w:rsidP="004555CE">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天津税务</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年应用支撑平台等系统运行维护项目</w:t>
      </w:r>
      <w:r>
        <w:rPr>
          <w:rFonts w:ascii="Times New Roman" w:eastAsiaTheme="minorEastAsia" w:hAnsi="Times New Roman" w:cs="Times New Roman"/>
          <w:color w:val="auto"/>
          <w:szCs w:val="32"/>
        </w:rPr>
        <w:t>实施政府采购。现欢迎合格的供应商参加投标。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天津税务</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年应用支撑平台等系统运行维护项目</w:t>
      </w:r>
      <w:r>
        <w:rPr>
          <w:rFonts w:ascii="Times New Roman" w:eastAsia="宋体" w:hAnsi="Times New Roman" w:cs="Times New Roman"/>
          <w:color w:val="auto"/>
        </w:rPr>
        <w:t xml:space="preserve">  </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TGPC-2026-D-0569</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（五）本项目接受联合体参与。</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731"/>
        <w:gridCol w:w="1589"/>
        <w:gridCol w:w="1388"/>
        <w:gridCol w:w="1417"/>
        <w:gridCol w:w="2692"/>
        <w:gridCol w:w="1389"/>
      </w:tblGrid>
      <w:tr w:rsidR="001B300F">
        <w:trPr>
          <w:jc w:val="center"/>
        </w:trPr>
        <w:tc>
          <w:tcPr>
            <w:tcW w:w="731"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1589"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388"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417"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2692"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389"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1B300F">
        <w:trPr>
          <w:jc w:val="center"/>
        </w:trPr>
        <w:tc>
          <w:tcPr>
            <w:tcW w:w="731"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1589"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天津税务</w:t>
            </w:r>
            <w:r>
              <w:rPr>
                <w:rFonts w:ascii="Times New Roman" w:eastAsia="宋体" w:hAnsi="Times New Roman" w:cs="Times New Roman" w:hint="eastAsia"/>
                <w:color w:val="auto"/>
                <w:sz w:val="21"/>
                <w:szCs w:val="21"/>
              </w:rPr>
              <w:t>2026</w:t>
            </w:r>
            <w:r>
              <w:rPr>
                <w:rFonts w:ascii="Times New Roman" w:eastAsia="宋体" w:hAnsi="Times New Roman" w:cs="Times New Roman" w:hint="eastAsia"/>
                <w:color w:val="auto"/>
                <w:sz w:val="21"/>
                <w:szCs w:val="21"/>
              </w:rPr>
              <w:t>年应用支撑平台等系统运行维护</w:t>
            </w:r>
          </w:p>
        </w:tc>
        <w:tc>
          <w:tcPr>
            <w:tcW w:w="1388"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4902077.75</w:t>
            </w:r>
            <w:r>
              <w:rPr>
                <w:rFonts w:ascii="Times New Roman" w:eastAsia="宋体" w:hAnsi="Times New Roman" w:cs="Times New Roman" w:hint="eastAsia"/>
                <w:color w:val="auto"/>
                <w:sz w:val="21"/>
                <w:szCs w:val="21"/>
              </w:rPr>
              <w:t>元</w:t>
            </w:r>
          </w:p>
        </w:tc>
        <w:tc>
          <w:tcPr>
            <w:tcW w:w="1417"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4902077.75</w:t>
            </w:r>
            <w:r>
              <w:rPr>
                <w:rFonts w:ascii="Times New Roman" w:eastAsia="宋体" w:hAnsi="Times New Roman" w:cs="Times New Roman" w:hint="eastAsia"/>
                <w:color w:val="auto"/>
                <w:sz w:val="21"/>
                <w:szCs w:val="21"/>
              </w:rPr>
              <w:t>元</w:t>
            </w:r>
          </w:p>
        </w:tc>
        <w:tc>
          <w:tcPr>
            <w:tcW w:w="2692"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其中应用支撑平台、</w:t>
            </w:r>
            <w:proofErr w:type="gramStart"/>
            <w:r>
              <w:rPr>
                <w:rFonts w:ascii="Times New Roman" w:eastAsia="宋体" w:hAnsi="Times New Roman" w:cs="Times New Roman" w:hint="eastAsia"/>
                <w:color w:val="auto"/>
                <w:sz w:val="21"/>
                <w:szCs w:val="21"/>
              </w:rPr>
              <w:t>多云运维管理</w:t>
            </w:r>
            <w:proofErr w:type="gramEnd"/>
            <w:r>
              <w:rPr>
                <w:rFonts w:ascii="Times New Roman" w:eastAsia="宋体" w:hAnsi="Times New Roman" w:cs="Times New Roman" w:hint="eastAsia"/>
                <w:color w:val="auto"/>
                <w:sz w:val="21"/>
                <w:szCs w:val="21"/>
              </w:rPr>
              <w:t>平台、税务区块链基础平台等系统服务期限为合同规定之日起</w:t>
            </w:r>
            <w:r>
              <w:rPr>
                <w:rFonts w:ascii="Times New Roman" w:eastAsia="宋体" w:hAnsi="Times New Roman" w:cs="Times New Roman" w:hint="eastAsia"/>
                <w:color w:val="auto"/>
                <w:sz w:val="21"/>
                <w:szCs w:val="21"/>
              </w:rPr>
              <w:t>11</w:t>
            </w:r>
            <w:r>
              <w:rPr>
                <w:rFonts w:ascii="Times New Roman" w:eastAsia="宋体" w:hAnsi="Times New Roman" w:cs="Times New Roman" w:hint="eastAsia"/>
                <w:color w:val="auto"/>
                <w:sz w:val="21"/>
                <w:szCs w:val="21"/>
              </w:rPr>
              <w:t>个月，管理决策支持风险与信用系统、管理决策支持核算与分析系统、外部信息交换系统、税库</w:t>
            </w:r>
            <w:proofErr w:type="gramStart"/>
            <w:r>
              <w:rPr>
                <w:rFonts w:ascii="Times New Roman" w:eastAsia="宋体" w:hAnsi="Times New Roman" w:cs="Times New Roman" w:hint="eastAsia"/>
                <w:color w:val="auto"/>
                <w:sz w:val="21"/>
                <w:szCs w:val="21"/>
              </w:rPr>
              <w:t>银税收</w:t>
            </w:r>
            <w:proofErr w:type="gramEnd"/>
            <w:r>
              <w:rPr>
                <w:rFonts w:ascii="Times New Roman" w:eastAsia="宋体" w:hAnsi="Times New Roman" w:cs="Times New Roman" w:hint="eastAsia"/>
                <w:color w:val="auto"/>
                <w:sz w:val="21"/>
                <w:szCs w:val="21"/>
              </w:rPr>
              <w:t>收入电子缴库横向联网系统、社保</w:t>
            </w:r>
            <w:r>
              <w:rPr>
                <w:rFonts w:ascii="Times New Roman" w:eastAsia="宋体" w:hAnsi="Times New Roman" w:cs="Times New Roman" w:hint="eastAsia"/>
                <w:color w:val="auto"/>
                <w:sz w:val="21"/>
                <w:szCs w:val="21"/>
              </w:rPr>
              <w:lastRenderedPageBreak/>
              <w:t>费税银系统、电子印章系统、应用安全支撑平台等系统服务期限为合同规定之日起</w:t>
            </w:r>
            <w:r>
              <w:rPr>
                <w:rFonts w:ascii="Times New Roman" w:eastAsia="宋体" w:hAnsi="Times New Roman" w:cs="Times New Roman" w:hint="eastAsia"/>
                <w:color w:val="auto"/>
                <w:sz w:val="21"/>
                <w:szCs w:val="21"/>
              </w:rPr>
              <w:t>12</w:t>
            </w:r>
            <w:r>
              <w:rPr>
                <w:rFonts w:ascii="Times New Roman" w:eastAsia="宋体" w:hAnsi="Times New Roman" w:cs="Times New Roman" w:hint="eastAsia"/>
                <w:color w:val="auto"/>
                <w:sz w:val="21"/>
                <w:szCs w:val="21"/>
              </w:rPr>
              <w:t>个月。</w:t>
            </w:r>
          </w:p>
        </w:tc>
        <w:tc>
          <w:tcPr>
            <w:tcW w:w="1389" w:type="dxa"/>
            <w:vAlign w:val="center"/>
          </w:tcPr>
          <w:p w:rsidR="001B300F" w:rsidRDefault="004555CE">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lastRenderedPageBreak/>
              <w:t>软件和信息技术服务业</w:t>
            </w:r>
          </w:p>
        </w:tc>
      </w:tr>
    </w:tbl>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三</w:t>
      </w:r>
      <w:r>
        <w:rPr>
          <w:rFonts w:ascii="Times New Roman" w:eastAsia="宋体" w:hAnsi="Times New Roman" w:cs="Times New Roman"/>
          <w:color w:val="auto"/>
        </w:rPr>
        <w:t>、供应商资格要求（实质性要求）</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供应商应具备《中华人民共和国政府采购法》第二十二条第一款和《中华人民共和国政府采购法实施条例》第十八条规定的条件，</w:t>
      </w:r>
      <w:r>
        <w:rPr>
          <w:rFonts w:ascii="Times New Roman" w:eastAsia="宋体" w:hAnsi="Times New Roman" w:cs="Times New Roman"/>
          <w:color w:val="auto"/>
        </w:rPr>
        <w:t>提供以下材料：</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1B300F" w:rsidRDefault="004555CE" w:rsidP="004555CE">
      <w:pPr>
        <w:pStyle w:val="Default"/>
        <w:spacing w:line="360" w:lineRule="auto"/>
        <w:ind w:firstLineChars="200" w:firstLine="446"/>
        <w:rPr>
          <w:rFonts w:ascii="Times New Roman" w:eastAsia="宋体" w:hAnsi="Times New Roman" w:cs="Times New Roman"/>
          <w:color w:val="auto"/>
        </w:rPr>
      </w:pPr>
      <w:bookmarkStart w:id="1" w:name="OLE_LINK4"/>
      <w:bookmarkStart w:id="2" w:name="OLE_LINK3"/>
      <w:r>
        <w:rPr>
          <w:rFonts w:ascii="Times New Roman" w:eastAsia="宋体" w:hAnsi="Times New Roman" w:cs="Times New Roman"/>
          <w:color w:val="auto"/>
        </w:rPr>
        <w:t>（一）</w:t>
      </w:r>
      <w:r>
        <w:rPr>
          <w:rFonts w:ascii="Times New Roman" w:eastAsia="宋体" w:hAnsi="Times New Roman" w:cs="Times New Roman" w:hint="eastAsia"/>
          <w:color w:val="auto"/>
        </w:rPr>
        <w:t>本项目</w:t>
      </w:r>
      <w:r>
        <w:rPr>
          <w:rFonts w:ascii="Times New Roman" w:eastAsia="宋体" w:hAnsi="Times New Roman" w:cs="Times New Roman"/>
          <w:color w:val="auto"/>
        </w:rPr>
        <w:t>对小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hint="eastAsia"/>
          <w:color w:val="auto"/>
        </w:rPr>
        <w:t>报价</w:t>
      </w:r>
      <w:r>
        <w:rPr>
          <w:rFonts w:ascii="Times New Roman" w:eastAsia="宋体" w:hAnsi="Times New Roman" w:cs="Times New Roman"/>
          <w:color w:val="auto"/>
        </w:rPr>
        <w:t>给予</w:t>
      </w:r>
      <w:r>
        <w:rPr>
          <w:rFonts w:ascii="Times New Roman" w:eastAsia="宋体" w:hAnsi="Times New Roman" w:cs="Times New Roman" w:hint="eastAsia"/>
          <w:color w:val="auto"/>
        </w:rPr>
        <w:t>20</w:t>
      </w:r>
      <w:r>
        <w:rPr>
          <w:rFonts w:ascii="Times New Roman" w:eastAsia="宋体" w:hAnsi="Times New Roman" w:cs="Times New Roman"/>
          <w:color w:val="auto"/>
        </w:rPr>
        <w:t>%</w:t>
      </w:r>
      <w:r>
        <w:rPr>
          <w:rFonts w:ascii="Times New Roman" w:eastAsia="宋体" w:hAnsi="Times New Roman" w:cs="Times New Roman"/>
          <w:color w:val="auto"/>
        </w:rPr>
        <w:t>的扣除。</w:t>
      </w:r>
      <w:r>
        <w:rPr>
          <w:rFonts w:ascii="Times New Roman" w:eastAsia="宋体" w:hAnsi="Times New Roman" w:cs="Times New Roman" w:hint="eastAsia"/>
          <w:color w:val="auto"/>
        </w:rPr>
        <w:t>若为联合体投标，联合体的组成各方均为小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的，对该联合体报价给予</w:t>
      </w:r>
      <w:r>
        <w:rPr>
          <w:rFonts w:ascii="Times New Roman" w:eastAsia="宋体" w:hAnsi="Times New Roman" w:cs="Times New Roman" w:hint="eastAsia"/>
          <w:color w:val="auto"/>
        </w:rPr>
        <w:t>20%</w:t>
      </w:r>
      <w:r>
        <w:rPr>
          <w:rFonts w:ascii="Times New Roman" w:eastAsia="宋体" w:hAnsi="Times New Roman" w:cs="Times New Roman" w:hint="eastAsia"/>
          <w:color w:val="auto"/>
        </w:rPr>
        <w:t>的扣除；大中型企业与小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组成联合体共同参加本项目政府采购活动的，联合协议中约定，对于联合协议约定小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的合同份额占到合同总金额</w:t>
      </w:r>
      <w:r>
        <w:rPr>
          <w:rFonts w:ascii="Times New Roman" w:eastAsia="宋体" w:hAnsi="Times New Roman" w:cs="Times New Roman" w:hint="eastAsia"/>
          <w:color w:val="auto"/>
        </w:rPr>
        <w:t>30%</w:t>
      </w:r>
      <w:r>
        <w:rPr>
          <w:rFonts w:ascii="Times New Roman" w:eastAsia="宋体" w:hAnsi="Times New Roman" w:cs="Times New Roman" w:hint="eastAsia"/>
          <w:color w:val="auto"/>
        </w:rPr>
        <w:t>以上的，给予联合体报价</w:t>
      </w:r>
      <w:r>
        <w:rPr>
          <w:rFonts w:ascii="Times New Roman" w:eastAsia="宋体" w:hAnsi="Times New Roman" w:cs="Times New Roman" w:hint="eastAsia"/>
          <w:color w:val="auto"/>
        </w:rPr>
        <w:t>6%</w:t>
      </w:r>
      <w:r>
        <w:rPr>
          <w:rFonts w:ascii="Times New Roman" w:eastAsia="宋体" w:hAnsi="Times New Roman" w:cs="Times New Roman" w:hint="eastAsia"/>
          <w:color w:val="auto"/>
        </w:rPr>
        <w:t>的扣除。</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1B300F" w:rsidRDefault="004555CE" w:rsidP="004555CE">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1B300F" w:rsidRDefault="004555CE" w:rsidP="004555CE">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w:t>
      </w:r>
      <w:r>
        <w:rPr>
          <w:rFonts w:ascii="Times New Roman" w:eastAsia="宋体" w:hAnsi="Times New Roman" w:hint="eastAsia"/>
          <w:color w:val="auto"/>
        </w:rPr>
        <w:lastRenderedPageBreak/>
        <w:t>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（六）根据《关于推动解决政府采购异常低价问题的通知》（财库〔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1B300F">
        <w:trPr>
          <w:tblHeader/>
          <w:jc w:val="center"/>
        </w:trPr>
        <w:tc>
          <w:tcPr>
            <w:tcW w:w="779"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632"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1B300F">
        <w:trPr>
          <w:jc w:val="center"/>
        </w:trPr>
        <w:tc>
          <w:tcPr>
            <w:tcW w:w="779"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8</w:t>
            </w:r>
            <w:r>
              <w:rPr>
                <w:rFonts w:ascii="Times New Roman" w:eastAsia="宋体" w:hAnsi="Times New Roman" w:cs="Times New Roman"/>
                <w:color w:val="auto"/>
                <w:sz w:val="21"/>
                <w:szCs w:val="21"/>
              </w:rPr>
              <w:t>日</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15</w:t>
            </w:r>
            <w:r>
              <w:rPr>
                <w:rFonts w:ascii="Times New Roman" w:eastAsia="宋体" w:hAnsi="Times New Roman" w:cs="Times New Roman"/>
                <w:color w:val="auto"/>
                <w:sz w:val="21"/>
                <w:szCs w:val="21"/>
              </w:rPr>
              <w:t>日</w:t>
            </w:r>
          </w:p>
        </w:tc>
        <w:tc>
          <w:tcPr>
            <w:tcW w:w="2632" w:type="dxa"/>
            <w:vAlign w:val="center"/>
          </w:tcPr>
          <w:p w:rsidR="001B300F" w:rsidRDefault="004555CE">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1B300F" w:rsidRDefault="004555CE">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1B300F">
        <w:trPr>
          <w:jc w:val="center"/>
        </w:trPr>
        <w:tc>
          <w:tcPr>
            <w:tcW w:w="779"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8</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632" w:type="dxa"/>
            <w:vAlign w:val="center"/>
          </w:tcPr>
          <w:p w:rsidR="001B300F" w:rsidRDefault="004555CE">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1B300F">
        <w:trPr>
          <w:jc w:val="center"/>
        </w:trPr>
        <w:tc>
          <w:tcPr>
            <w:tcW w:w="779"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632" w:type="dxa"/>
            <w:vAlign w:val="center"/>
          </w:tcPr>
          <w:p w:rsidR="001B300F" w:rsidRDefault="004555CE">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1B300F">
        <w:trPr>
          <w:jc w:val="center"/>
        </w:trPr>
        <w:tc>
          <w:tcPr>
            <w:tcW w:w="779"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1891" w:type="dxa"/>
            <w:vAlign w:val="center"/>
          </w:tcPr>
          <w:p w:rsidR="001B300F" w:rsidRDefault="004555C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632" w:type="dxa"/>
            <w:vAlign w:val="center"/>
          </w:tcPr>
          <w:p w:rsidR="001B300F" w:rsidRDefault="001B300F">
            <w:pPr>
              <w:pStyle w:val="Default"/>
              <w:snapToGrid w:val="0"/>
              <w:jc w:val="both"/>
              <w:rPr>
                <w:rFonts w:ascii="Times New Roman" w:eastAsia="宋体" w:hAnsi="Times New Roman"/>
                <w:color w:val="auto"/>
                <w:sz w:val="21"/>
                <w:szCs w:val="21"/>
              </w:rPr>
            </w:pPr>
          </w:p>
        </w:tc>
      </w:tr>
    </w:tbl>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color w:val="auto"/>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1B300F" w:rsidRDefault="004555CE" w:rsidP="004555CE">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1B300F" w:rsidRDefault="004555CE" w:rsidP="004555CE">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bookmarkStart w:id="3" w:name="_Toc412903615"/>
      <w:r>
        <w:rPr>
          <w:rFonts w:ascii="Times New Roman" w:eastAsia="宋体" w:hAnsi="Times New Roman" w:cs="Times New Roman" w:hint="eastAsia"/>
          <w:color w:val="auto"/>
        </w:rPr>
        <w:t>六、现场考察、标前答疑会</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本项目不组织现场考察，不组织标前答疑会</w:t>
      </w:r>
      <w:r>
        <w:rPr>
          <w:rFonts w:ascii="Times New Roman" w:eastAsia="宋体" w:hAnsi="Times New Roman" w:cs="Times New Roman"/>
          <w:color w:val="auto"/>
        </w:rPr>
        <w:t>。</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联系人：张艳、李楠</w:t>
      </w:r>
      <w:r>
        <w:rPr>
          <w:rFonts w:ascii="Times New Roman" w:eastAsia="宋体" w:hAnsi="Times New Roman" w:cs="Times New Roman"/>
          <w:color w:val="auto"/>
        </w:rPr>
        <w:t xml:space="preserve"> </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8271</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（一）采购人名称：</w:t>
      </w:r>
      <w:r>
        <w:rPr>
          <w:rFonts w:ascii="Times New Roman" w:eastAsia="宋体" w:hAnsi="Times New Roman" w:cs="Times New Roman" w:hint="eastAsia"/>
          <w:color w:val="auto"/>
        </w:rPr>
        <w:t>国家税务总局天津市税务局</w:t>
      </w:r>
      <w:r>
        <w:rPr>
          <w:rFonts w:ascii="Times New Roman" w:eastAsia="宋体" w:hAnsi="Times New Roman" w:cs="Times New Roman"/>
          <w:color w:val="auto"/>
        </w:rPr>
        <w:t xml:space="preserve"> </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r>
        <w:rPr>
          <w:rFonts w:ascii="Times New Roman" w:eastAsia="宋体" w:hAnsi="Times New Roman" w:cs="Times New Roman"/>
          <w:color w:val="auto"/>
        </w:rPr>
        <w:t xml:space="preserve"> </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郭岚旭</w:t>
      </w:r>
      <w:r>
        <w:rPr>
          <w:rFonts w:ascii="Times New Roman" w:eastAsia="宋体" w:hAnsi="Times New Roman" w:cs="Times New Roman"/>
          <w:color w:val="auto"/>
        </w:rPr>
        <w:t xml:space="preserve"> </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color w:val="auto"/>
        </w:rPr>
        <w:t xml:space="preserve">022-24465517 </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联系部门：国家税务总局天津市税务局</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人：郭岚旭</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color w:val="auto"/>
        </w:rPr>
        <w:t>022-24465517</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1B300F">
        <w:trPr>
          <w:trHeight w:val="440"/>
          <w:tblHeader/>
          <w:jc w:val="center"/>
        </w:trPr>
        <w:tc>
          <w:tcPr>
            <w:tcW w:w="3656" w:type="dxa"/>
            <w:vAlign w:val="center"/>
          </w:tcPr>
          <w:p w:rsidR="001B300F" w:rsidRDefault="004555CE">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1B300F" w:rsidRDefault="004555CE">
            <w:pPr>
              <w:tabs>
                <w:tab w:val="left" w:pos="750"/>
                <w:tab w:val="left" w:pos="840"/>
              </w:tabs>
              <w:adjustRightInd w:val="0"/>
              <w:snapToGrid w:val="0"/>
              <w:jc w:val="center"/>
              <w:rPr>
                <w:sz w:val="24"/>
              </w:rPr>
            </w:pPr>
            <w:r>
              <w:rPr>
                <w:sz w:val="24"/>
              </w:rPr>
              <w:t>费率</w:t>
            </w:r>
          </w:p>
        </w:tc>
      </w:tr>
      <w:tr w:rsidR="001B300F">
        <w:trPr>
          <w:trHeight w:val="440"/>
          <w:jc w:val="center"/>
        </w:trPr>
        <w:tc>
          <w:tcPr>
            <w:tcW w:w="3656" w:type="dxa"/>
            <w:vAlign w:val="center"/>
          </w:tcPr>
          <w:p w:rsidR="001B300F" w:rsidRDefault="004555CE">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1B300F" w:rsidRDefault="004555CE">
            <w:pPr>
              <w:tabs>
                <w:tab w:val="left" w:pos="750"/>
                <w:tab w:val="left" w:pos="840"/>
              </w:tabs>
              <w:adjustRightInd w:val="0"/>
              <w:snapToGrid w:val="0"/>
              <w:jc w:val="center"/>
              <w:rPr>
                <w:sz w:val="24"/>
              </w:rPr>
            </w:pPr>
            <w:r>
              <w:rPr>
                <w:sz w:val="24"/>
              </w:rPr>
              <w:t>1%</w:t>
            </w:r>
          </w:p>
        </w:tc>
      </w:tr>
      <w:tr w:rsidR="001B300F">
        <w:trPr>
          <w:trHeight w:val="440"/>
          <w:jc w:val="center"/>
        </w:trPr>
        <w:tc>
          <w:tcPr>
            <w:tcW w:w="3656" w:type="dxa"/>
            <w:vAlign w:val="center"/>
          </w:tcPr>
          <w:p w:rsidR="001B300F" w:rsidRDefault="004555CE">
            <w:pPr>
              <w:tabs>
                <w:tab w:val="left" w:pos="750"/>
                <w:tab w:val="left" w:pos="840"/>
              </w:tabs>
              <w:adjustRightInd w:val="0"/>
              <w:snapToGrid w:val="0"/>
              <w:jc w:val="center"/>
              <w:rPr>
                <w:sz w:val="24"/>
              </w:rPr>
            </w:pPr>
            <w:r>
              <w:rPr>
                <w:sz w:val="24"/>
              </w:rPr>
              <w:t>100-500</w:t>
            </w:r>
          </w:p>
        </w:tc>
        <w:tc>
          <w:tcPr>
            <w:tcW w:w="3657" w:type="dxa"/>
            <w:vAlign w:val="center"/>
          </w:tcPr>
          <w:p w:rsidR="001B300F" w:rsidRDefault="004555CE">
            <w:pPr>
              <w:tabs>
                <w:tab w:val="left" w:pos="750"/>
                <w:tab w:val="left" w:pos="840"/>
              </w:tabs>
              <w:adjustRightInd w:val="0"/>
              <w:snapToGrid w:val="0"/>
              <w:jc w:val="center"/>
              <w:rPr>
                <w:sz w:val="24"/>
              </w:rPr>
            </w:pPr>
            <w:r>
              <w:rPr>
                <w:rFonts w:hint="eastAsia"/>
                <w:sz w:val="24"/>
              </w:rPr>
              <w:t>0.8</w:t>
            </w:r>
            <w:r>
              <w:rPr>
                <w:sz w:val="24"/>
              </w:rPr>
              <w:t>%</w:t>
            </w:r>
          </w:p>
        </w:tc>
      </w:tr>
      <w:tr w:rsidR="001B300F">
        <w:trPr>
          <w:trHeight w:val="440"/>
          <w:jc w:val="center"/>
        </w:trPr>
        <w:tc>
          <w:tcPr>
            <w:tcW w:w="3656" w:type="dxa"/>
            <w:vAlign w:val="center"/>
          </w:tcPr>
          <w:p w:rsidR="001B300F" w:rsidRDefault="004555CE">
            <w:pPr>
              <w:tabs>
                <w:tab w:val="left" w:pos="750"/>
                <w:tab w:val="left" w:pos="840"/>
              </w:tabs>
              <w:adjustRightInd w:val="0"/>
              <w:snapToGrid w:val="0"/>
              <w:jc w:val="center"/>
              <w:rPr>
                <w:sz w:val="24"/>
              </w:rPr>
            </w:pPr>
            <w:r>
              <w:rPr>
                <w:sz w:val="24"/>
              </w:rPr>
              <w:t>500-1000</w:t>
            </w:r>
          </w:p>
        </w:tc>
        <w:tc>
          <w:tcPr>
            <w:tcW w:w="3657" w:type="dxa"/>
            <w:vAlign w:val="center"/>
          </w:tcPr>
          <w:p w:rsidR="001B300F" w:rsidRDefault="004555CE">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1B300F">
        <w:trPr>
          <w:trHeight w:val="440"/>
          <w:jc w:val="center"/>
        </w:trPr>
        <w:tc>
          <w:tcPr>
            <w:tcW w:w="3656" w:type="dxa"/>
            <w:vAlign w:val="center"/>
          </w:tcPr>
          <w:p w:rsidR="001B300F" w:rsidRDefault="004555CE">
            <w:pPr>
              <w:tabs>
                <w:tab w:val="left" w:pos="750"/>
                <w:tab w:val="left" w:pos="840"/>
              </w:tabs>
              <w:adjustRightInd w:val="0"/>
              <w:snapToGrid w:val="0"/>
              <w:jc w:val="center"/>
              <w:rPr>
                <w:sz w:val="24"/>
              </w:rPr>
            </w:pPr>
            <w:r>
              <w:rPr>
                <w:sz w:val="24"/>
              </w:rPr>
              <w:lastRenderedPageBreak/>
              <w:t>1000</w:t>
            </w:r>
            <w:r>
              <w:rPr>
                <w:rFonts w:hint="eastAsia"/>
                <w:sz w:val="24"/>
              </w:rPr>
              <w:t>-5000</w:t>
            </w:r>
          </w:p>
        </w:tc>
        <w:tc>
          <w:tcPr>
            <w:tcW w:w="3657" w:type="dxa"/>
            <w:vAlign w:val="center"/>
          </w:tcPr>
          <w:p w:rsidR="001B300F" w:rsidRDefault="004555CE">
            <w:pPr>
              <w:tabs>
                <w:tab w:val="left" w:pos="750"/>
                <w:tab w:val="left" w:pos="840"/>
              </w:tabs>
              <w:adjustRightInd w:val="0"/>
              <w:snapToGrid w:val="0"/>
              <w:jc w:val="center"/>
              <w:rPr>
                <w:sz w:val="24"/>
              </w:rPr>
            </w:pPr>
            <w:r>
              <w:rPr>
                <w:rFonts w:hint="eastAsia"/>
                <w:sz w:val="24"/>
              </w:rPr>
              <w:t>0.25%</w:t>
            </w:r>
          </w:p>
        </w:tc>
      </w:tr>
      <w:tr w:rsidR="001B300F">
        <w:trPr>
          <w:trHeight w:val="440"/>
          <w:jc w:val="center"/>
        </w:trPr>
        <w:tc>
          <w:tcPr>
            <w:tcW w:w="3656" w:type="dxa"/>
            <w:vAlign w:val="center"/>
          </w:tcPr>
          <w:p w:rsidR="001B300F" w:rsidRDefault="004555CE">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1B300F" w:rsidRDefault="004555CE">
            <w:pPr>
              <w:tabs>
                <w:tab w:val="left" w:pos="750"/>
                <w:tab w:val="left" w:pos="840"/>
              </w:tabs>
              <w:adjustRightInd w:val="0"/>
              <w:snapToGrid w:val="0"/>
              <w:jc w:val="center"/>
              <w:rPr>
                <w:sz w:val="24"/>
              </w:rPr>
            </w:pPr>
            <w:r>
              <w:rPr>
                <w:rFonts w:hint="eastAsia"/>
                <w:sz w:val="24"/>
              </w:rPr>
              <w:t>0.1%</w:t>
            </w:r>
          </w:p>
        </w:tc>
      </w:tr>
      <w:tr w:rsidR="001B300F">
        <w:trPr>
          <w:trHeight w:val="440"/>
          <w:jc w:val="center"/>
        </w:trPr>
        <w:tc>
          <w:tcPr>
            <w:tcW w:w="3656" w:type="dxa"/>
            <w:vAlign w:val="center"/>
          </w:tcPr>
          <w:p w:rsidR="001B300F" w:rsidRDefault="004555CE">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1B300F" w:rsidRDefault="004555CE">
            <w:pPr>
              <w:tabs>
                <w:tab w:val="left" w:pos="750"/>
                <w:tab w:val="left" w:pos="840"/>
              </w:tabs>
              <w:adjustRightInd w:val="0"/>
              <w:snapToGrid w:val="0"/>
              <w:jc w:val="center"/>
              <w:rPr>
                <w:sz w:val="24"/>
              </w:rPr>
            </w:pPr>
            <w:r>
              <w:rPr>
                <w:rFonts w:hint="eastAsia"/>
                <w:sz w:val="24"/>
              </w:rPr>
              <w:t>0.05%</w:t>
            </w:r>
          </w:p>
        </w:tc>
      </w:tr>
    </w:tbl>
    <w:p w:rsidR="001B300F" w:rsidRDefault="004555CE" w:rsidP="004555CE">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1B300F" w:rsidRDefault="004555CE" w:rsidP="004555CE">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1B300F" w:rsidRDefault="004555CE" w:rsidP="004555CE">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1B300F" w:rsidRDefault="001B300F" w:rsidP="004555CE">
      <w:pPr>
        <w:pStyle w:val="Default"/>
        <w:spacing w:line="360" w:lineRule="auto"/>
        <w:ind w:firstLineChars="200" w:firstLine="446"/>
        <w:jc w:val="both"/>
        <w:rPr>
          <w:rFonts w:ascii="Times New Roman" w:eastAsia="宋体" w:hAnsi="Times New Roman" w:cs="Times New Roman"/>
          <w:color w:val="auto"/>
        </w:rPr>
      </w:pPr>
    </w:p>
    <w:p w:rsidR="001B300F" w:rsidRDefault="001B300F">
      <w:pPr>
        <w:pStyle w:val="Default"/>
        <w:spacing w:line="360" w:lineRule="auto"/>
        <w:jc w:val="both"/>
        <w:rPr>
          <w:rFonts w:ascii="Times New Roman" w:eastAsia="宋体" w:hAnsi="Times New Roman" w:cs="Times New Roman"/>
          <w:color w:val="auto"/>
        </w:rPr>
      </w:pPr>
    </w:p>
    <w:p w:rsidR="001B300F" w:rsidRDefault="004555CE">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8</w:t>
      </w:r>
      <w:r>
        <w:rPr>
          <w:rFonts w:ascii="Times New Roman" w:eastAsia="宋体" w:hAnsi="Times New Roman" w:cs="Times New Roman"/>
          <w:color w:val="auto"/>
        </w:rPr>
        <w:t>日</w:t>
      </w:r>
    </w:p>
    <w:p w:rsidR="001B300F" w:rsidRDefault="001B300F">
      <w:pPr>
        <w:pStyle w:val="Default"/>
        <w:spacing w:line="360" w:lineRule="auto"/>
        <w:ind w:right="892"/>
        <w:rPr>
          <w:rFonts w:ascii="Times New Roman" w:eastAsia="宋体" w:hAnsi="Times New Roman" w:cs="Times New Roman"/>
          <w:color w:val="auto"/>
        </w:rPr>
      </w:pPr>
    </w:p>
    <w:p w:rsidR="001B300F" w:rsidRDefault="004555CE">
      <w:pPr>
        <w:widowControl/>
        <w:jc w:val="left"/>
      </w:pPr>
      <w:r>
        <w:br w:type="page"/>
      </w:r>
    </w:p>
    <w:p w:rsidR="001B300F" w:rsidRDefault="004555CE">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3"/>
      <w:r>
        <w:rPr>
          <w:rFonts w:ascii="Times New Roman" w:hAnsi="Times New Roman"/>
        </w:rPr>
        <w:t>需求</w:t>
      </w:r>
    </w:p>
    <w:p w:rsidR="001B300F" w:rsidRDefault="004555CE" w:rsidP="004555CE">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1B300F" w:rsidRDefault="004555CE" w:rsidP="004555CE">
      <w:pPr>
        <w:widowControl/>
        <w:ind w:firstLineChars="200" w:firstLine="446"/>
        <w:jc w:val="left"/>
        <w:rPr>
          <w:sz w:val="24"/>
        </w:rPr>
      </w:pPr>
      <w:r>
        <w:rPr>
          <w:rFonts w:hint="eastAsia"/>
          <w:sz w:val="24"/>
        </w:rPr>
        <w:t>一、项目背景</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本项目涉及采购应用支撑平台、</w:t>
      </w:r>
      <w:proofErr w:type="gramStart"/>
      <w:r>
        <w:rPr>
          <w:rFonts w:hint="eastAsia"/>
          <w:sz w:val="24"/>
          <w:szCs w:val="24"/>
        </w:rPr>
        <w:t>多云运维管理</w:t>
      </w:r>
      <w:proofErr w:type="gramEnd"/>
      <w:r>
        <w:rPr>
          <w:rFonts w:hint="eastAsia"/>
          <w:sz w:val="24"/>
          <w:szCs w:val="24"/>
        </w:rPr>
        <w:t>平台、税务区块链基础平台、管理决策支持风险与信用系统、管理决策支持核算与分析系统、外部信息交换系统、税库</w:t>
      </w:r>
      <w:proofErr w:type="gramStart"/>
      <w:r>
        <w:rPr>
          <w:rFonts w:hint="eastAsia"/>
          <w:sz w:val="24"/>
          <w:szCs w:val="24"/>
        </w:rPr>
        <w:t>银税收</w:t>
      </w:r>
      <w:proofErr w:type="gramEnd"/>
      <w:r>
        <w:rPr>
          <w:rFonts w:hint="eastAsia"/>
          <w:sz w:val="24"/>
          <w:szCs w:val="24"/>
        </w:rPr>
        <w:t>收入电子缴库横向联网系统、社保费税银系统、电子印章系统、应用安全支撑平台运行维护服务。</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1.</w:t>
      </w:r>
      <w:r>
        <w:rPr>
          <w:rFonts w:hint="eastAsia"/>
          <w:sz w:val="24"/>
          <w:szCs w:val="24"/>
        </w:rPr>
        <w:t>应用支撑平台是天津市税务局税收业务</w:t>
      </w:r>
      <w:proofErr w:type="gramStart"/>
      <w:r>
        <w:rPr>
          <w:rFonts w:hint="eastAsia"/>
          <w:sz w:val="24"/>
          <w:szCs w:val="24"/>
        </w:rPr>
        <w:t>类核心</w:t>
      </w:r>
      <w:proofErr w:type="gramEnd"/>
      <w:r>
        <w:rPr>
          <w:rFonts w:hint="eastAsia"/>
          <w:sz w:val="24"/>
          <w:szCs w:val="24"/>
        </w:rPr>
        <w:t>系统之一，该系统以薄应用、厚中台为总体架构思路，以应用低代码为目标来体现“薄”，以组件化的微服务、模型、规则、数据、接口下沉到中台为手段来体现“厚”，应用支撑平台主要分为三大部分，分别为规则引擎和资料文书中心、标签引擎和工作流工具、数据汇聚和数据治理等，功能主要分为“水上”应用以及“水下”支撑，承担了金税四期整体数据支撑业务，还包括对电子发票服务平台、全国统一规范电子税务局、税务人</w:t>
      </w:r>
      <w:proofErr w:type="gramStart"/>
      <w:r>
        <w:rPr>
          <w:rFonts w:hint="eastAsia"/>
          <w:sz w:val="24"/>
          <w:szCs w:val="24"/>
        </w:rPr>
        <w:t>端慧办平台、核心征管</w:t>
      </w:r>
      <w:proofErr w:type="gramEnd"/>
      <w:r>
        <w:rPr>
          <w:rFonts w:hint="eastAsia"/>
          <w:sz w:val="24"/>
          <w:szCs w:val="24"/>
        </w:rPr>
        <w:t>系统、征纳互动服务等外部系统的支撑服务。</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2.</w:t>
      </w:r>
      <w:proofErr w:type="gramStart"/>
      <w:r>
        <w:rPr>
          <w:rFonts w:hint="eastAsia"/>
          <w:sz w:val="24"/>
          <w:szCs w:val="24"/>
        </w:rPr>
        <w:t>多云运维管理</w:t>
      </w:r>
      <w:proofErr w:type="gramEnd"/>
      <w:r>
        <w:rPr>
          <w:rFonts w:hint="eastAsia"/>
          <w:sz w:val="24"/>
          <w:szCs w:val="24"/>
        </w:rPr>
        <w:t>平台是天津市税务局税收行政</w:t>
      </w:r>
      <w:proofErr w:type="gramStart"/>
      <w:r>
        <w:rPr>
          <w:rFonts w:hint="eastAsia"/>
          <w:sz w:val="24"/>
          <w:szCs w:val="24"/>
        </w:rPr>
        <w:t>类核心</w:t>
      </w:r>
      <w:proofErr w:type="gramEnd"/>
      <w:r>
        <w:rPr>
          <w:rFonts w:hint="eastAsia"/>
          <w:sz w:val="24"/>
          <w:szCs w:val="24"/>
        </w:rPr>
        <w:t>系统之一，承担了天津市税务局金税三期、金税四期运维一体化业务。</w:t>
      </w:r>
      <w:proofErr w:type="gramStart"/>
      <w:r>
        <w:rPr>
          <w:rFonts w:hint="eastAsia"/>
          <w:sz w:val="24"/>
          <w:szCs w:val="24"/>
        </w:rPr>
        <w:t>多云运维管理平台采用总省</w:t>
      </w:r>
      <w:proofErr w:type="gramEnd"/>
      <w:r>
        <w:rPr>
          <w:rFonts w:hint="eastAsia"/>
          <w:sz w:val="24"/>
          <w:szCs w:val="24"/>
        </w:rPr>
        <w:t>两级部署，省局</w:t>
      </w:r>
      <w:proofErr w:type="gramStart"/>
      <w:r>
        <w:rPr>
          <w:rFonts w:hint="eastAsia"/>
          <w:sz w:val="24"/>
          <w:szCs w:val="24"/>
        </w:rPr>
        <w:t>多云运维管理</w:t>
      </w:r>
      <w:proofErr w:type="gramEnd"/>
      <w:r>
        <w:rPr>
          <w:rFonts w:hint="eastAsia"/>
          <w:sz w:val="24"/>
          <w:szCs w:val="24"/>
        </w:rPr>
        <w:t>平台包括</w:t>
      </w:r>
      <w:r>
        <w:rPr>
          <w:rFonts w:hint="eastAsia"/>
          <w:sz w:val="24"/>
          <w:szCs w:val="24"/>
        </w:rPr>
        <w:t>1</w:t>
      </w:r>
      <w:r>
        <w:rPr>
          <w:rFonts w:hint="eastAsia"/>
          <w:sz w:val="24"/>
          <w:szCs w:val="24"/>
        </w:rPr>
        <w:t>个门户、</w:t>
      </w:r>
      <w:r>
        <w:rPr>
          <w:rFonts w:hint="eastAsia"/>
          <w:sz w:val="24"/>
          <w:szCs w:val="24"/>
        </w:rPr>
        <w:t>7</w:t>
      </w:r>
      <w:r>
        <w:rPr>
          <w:rFonts w:hint="eastAsia"/>
          <w:sz w:val="24"/>
          <w:szCs w:val="24"/>
        </w:rPr>
        <w:t>个中心（分别为运维门户、监控中心、告警中心、流程中心、配置中心、作业中心、日志中心、知识中心），包括运维服务流程、综合监控和统一运维门户等功能，实现运维要素（制度、人员、工具）的统一管理和运维信息（人员、监控、工单、配置、版本、补丁、知识）的集中管理，实现运</w:t>
      </w:r>
      <w:proofErr w:type="gramStart"/>
      <w:r>
        <w:rPr>
          <w:rFonts w:hint="eastAsia"/>
          <w:sz w:val="24"/>
          <w:szCs w:val="24"/>
        </w:rPr>
        <w:t>维工作</w:t>
      </w:r>
      <w:proofErr w:type="gramEnd"/>
      <w:r>
        <w:rPr>
          <w:rFonts w:hint="eastAsia"/>
          <w:sz w:val="24"/>
          <w:szCs w:val="24"/>
        </w:rPr>
        <w:t>开展统一入口、运</w:t>
      </w:r>
      <w:proofErr w:type="gramStart"/>
      <w:r>
        <w:rPr>
          <w:rFonts w:hint="eastAsia"/>
          <w:sz w:val="24"/>
          <w:szCs w:val="24"/>
        </w:rPr>
        <w:t>维问题</w:t>
      </w:r>
      <w:proofErr w:type="gramEnd"/>
      <w:r>
        <w:rPr>
          <w:rFonts w:hint="eastAsia"/>
          <w:sz w:val="24"/>
          <w:szCs w:val="24"/>
        </w:rPr>
        <w:t>处理统一流程、多云异构资源统一管理、系统运行情况统一监控的运维一体化管理，支撑省局规范、有序、高效开展各金</w:t>
      </w:r>
      <w:proofErr w:type="gramStart"/>
      <w:r>
        <w:rPr>
          <w:rFonts w:hint="eastAsia"/>
          <w:sz w:val="24"/>
          <w:szCs w:val="24"/>
        </w:rPr>
        <w:t>四系统运</w:t>
      </w:r>
      <w:proofErr w:type="gramEnd"/>
      <w:r>
        <w:rPr>
          <w:rFonts w:hint="eastAsia"/>
          <w:sz w:val="24"/>
          <w:szCs w:val="24"/>
        </w:rPr>
        <w:t>维工作，并与税务总局实时交互监控信息。</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lastRenderedPageBreak/>
        <w:t>3.</w:t>
      </w:r>
      <w:r>
        <w:rPr>
          <w:rFonts w:hint="eastAsia"/>
          <w:sz w:val="24"/>
          <w:szCs w:val="24"/>
        </w:rPr>
        <w:t>税务区块链基础平台是天津市税务局税收业务</w:t>
      </w:r>
      <w:proofErr w:type="gramStart"/>
      <w:r>
        <w:rPr>
          <w:rFonts w:hint="eastAsia"/>
          <w:sz w:val="24"/>
          <w:szCs w:val="24"/>
        </w:rPr>
        <w:t>类核心</w:t>
      </w:r>
      <w:proofErr w:type="gramEnd"/>
      <w:r>
        <w:rPr>
          <w:rFonts w:hint="eastAsia"/>
          <w:sz w:val="24"/>
          <w:szCs w:val="24"/>
        </w:rPr>
        <w:t>系统之一，是推动税费业务与区块链技术的融合创新应用，可持续巩固税务区块链应用试点工作成果，构建自主可控、创新发展的税务区块链应用生态。</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4.</w:t>
      </w:r>
      <w:r>
        <w:rPr>
          <w:rFonts w:hint="eastAsia"/>
          <w:sz w:val="24"/>
          <w:szCs w:val="24"/>
        </w:rPr>
        <w:t>管理决策支持风险与信用系统是天津市税务局税收业务</w:t>
      </w:r>
      <w:proofErr w:type="gramStart"/>
      <w:r>
        <w:rPr>
          <w:rFonts w:hint="eastAsia"/>
          <w:sz w:val="24"/>
          <w:szCs w:val="24"/>
        </w:rPr>
        <w:t>类核心</w:t>
      </w:r>
      <w:proofErr w:type="gramEnd"/>
      <w:r>
        <w:rPr>
          <w:rFonts w:hint="eastAsia"/>
          <w:sz w:val="24"/>
          <w:szCs w:val="24"/>
        </w:rPr>
        <w:t>系统之一，承担了天津市税务局数据分析业务，包括风险管理系统，跨区域税收风险管理协作，纳税信用管理系统，涉税专业服务信用评价系统，税务稽查指挥管理应用系统，稽查双随机工作平台，土地增值税预评估系统，增值税发票全链条快反监控系统，留抵退税风险防控系统，出口</w:t>
      </w:r>
      <w:proofErr w:type="gramStart"/>
      <w:r>
        <w:rPr>
          <w:rFonts w:hint="eastAsia"/>
          <w:sz w:val="24"/>
          <w:szCs w:val="24"/>
        </w:rPr>
        <w:t>退税风控系统</w:t>
      </w:r>
      <w:proofErr w:type="gramEnd"/>
      <w:r>
        <w:rPr>
          <w:rFonts w:hint="eastAsia"/>
          <w:sz w:val="24"/>
          <w:szCs w:val="24"/>
        </w:rPr>
        <w:t>，征管质量</w:t>
      </w:r>
      <w:r>
        <w:rPr>
          <w:rFonts w:hint="eastAsia"/>
          <w:sz w:val="24"/>
          <w:szCs w:val="24"/>
        </w:rPr>
        <w:t>5C</w:t>
      </w:r>
      <w:r>
        <w:rPr>
          <w:rFonts w:hint="eastAsia"/>
          <w:sz w:val="24"/>
          <w:szCs w:val="24"/>
        </w:rPr>
        <w:t>监控评价系统，企业所得税汇算清缴（预缴）政策风险提示服务，企业所得税税前扣除凭证（发票）风险，成品油消费税监管平台，企业所得税汇算清缴政策风险提示服务等，为税务人员和纳税人提供服务。管理决策支持风险与信用系统是金税三期工程第二阶段建设的四大平台之一，通过搭建总局和省级两级应用环境，实现数据的集中存储、上下交流与共享，满足总局和各地当前急需、成熟、稳定的数据利用工作要求。并能依托此平台，按照统分结合的原则，不断拓展和丰富总局及各地的资源分析应用与全面管理，并按照金税三期工程第二阶段建设标准和进展要求，逐步建设形成金税三期管理决策支持环境，逐步接管税务系统全部的数据分析利用工作。</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5.</w:t>
      </w:r>
      <w:r>
        <w:rPr>
          <w:rFonts w:hint="eastAsia"/>
          <w:sz w:val="24"/>
          <w:szCs w:val="24"/>
        </w:rPr>
        <w:t>管理决策支持核算与分析系统是天津市税务局税收业务</w:t>
      </w:r>
      <w:proofErr w:type="gramStart"/>
      <w:r>
        <w:rPr>
          <w:rFonts w:hint="eastAsia"/>
          <w:sz w:val="24"/>
          <w:szCs w:val="24"/>
        </w:rPr>
        <w:t>类核心</w:t>
      </w:r>
      <w:proofErr w:type="gramEnd"/>
      <w:r>
        <w:rPr>
          <w:rFonts w:hint="eastAsia"/>
          <w:sz w:val="24"/>
          <w:szCs w:val="24"/>
        </w:rPr>
        <w:t>系统之一，是金税三期的重要组成部分，是基于“数据仓库”基础，根据税务机关目标需求和管理要求对数据进行归类、分析、统计、核算，生成各类查询表单、税收报表、分析报告等。实现了数据管理、数据挖掘、数据分析以及数据决策一体化，实现一户式查询。主要包括子系统：查询统计、报表管理、征管状况分析。承担了天津市税务局办理涉税业务、</w:t>
      </w:r>
      <w:proofErr w:type="gramStart"/>
      <w:r>
        <w:rPr>
          <w:rFonts w:hint="eastAsia"/>
          <w:sz w:val="24"/>
          <w:szCs w:val="24"/>
        </w:rPr>
        <w:t>涉费业务</w:t>
      </w:r>
      <w:proofErr w:type="gramEnd"/>
      <w:r>
        <w:rPr>
          <w:rFonts w:hint="eastAsia"/>
          <w:sz w:val="24"/>
          <w:szCs w:val="24"/>
        </w:rPr>
        <w:t>、税收统计分析查询专业性强、覆盖面宽、集成系统多，日常升级、维护、数据处理等工作。</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6.</w:t>
      </w:r>
      <w:r>
        <w:rPr>
          <w:rFonts w:hint="eastAsia"/>
          <w:sz w:val="24"/>
          <w:szCs w:val="24"/>
        </w:rPr>
        <w:t>外部信息交换系统是天津市税务局税收业务</w:t>
      </w:r>
      <w:proofErr w:type="gramStart"/>
      <w:r>
        <w:rPr>
          <w:rFonts w:hint="eastAsia"/>
          <w:sz w:val="24"/>
          <w:szCs w:val="24"/>
        </w:rPr>
        <w:t>类核心</w:t>
      </w:r>
      <w:proofErr w:type="gramEnd"/>
      <w:r>
        <w:rPr>
          <w:rFonts w:hint="eastAsia"/>
          <w:sz w:val="24"/>
          <w:szCs w:val="24"/>
        </w:rPr>
        <w:t>系统之一，承担了天津市税务</w:t>
      </w:r>
      <w:r>
        <w:rPr>
          <w:rFonts w:hint="eastAsia"/>
          <w:sz w:val="24"/>
          <w:szCs w:val="24"/>
        </w:rPr>
        <w:lastRenderedPageBreak/>
        <w:t>局与外部门之间的数据交互工作，专业性强、覆盖面宽、集成系统多，日常升级、维护、数据处理等工作。</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7.</w:t>
      </w:r>
      <w:r>
        <w:rPr>
          <w:rFonts w:hint="eastAsia"/>
          <w:sz w:val="24"/>
          <w:szCs w:val="24"/>
        </w:rPr>
        <w:t>税库</w:t>
      </w:r>
      <w:proofErr w:type="gramStart"/>
      <w:r>
        <w:rPr>
          <w:rFonts w:hint="eastAsia"/>
          <w:sz w:val="24"/>
          <w:szCs w:val="24"/>
        </w:rPr>
        <w:t>银税收</w:t>
      </w:r>
      <w:proofErr w:type="gramEnd"/>
      <w:r>
        <w:rPr>
          <w:rFonts w:hint="eastAsia"/>
          <w:sz w:val="24"/>
          <w:szCs w:val="24"/>
        </w:rPr>
        <w:t>收入电子缴库横向联网系统是天津市税务局税收业务</w:t>
      </w:r>
      <w:proofErr w:type="gramStart"/>
      <w:r>
        <w:rPr>
          <w:rFonts w:hint="eastAsia"/>
          <w:sz w:val="24"/>
          <w:szCs w:val="24"/>
        </w:rPr>
        <w:t>类核心</w:t>
      </w:r>
      <w:proofErr w:type="gramEnd"/>
      <w:r>
        <w:rPr>
          <w:rFonts w:hint="eastAsia"/>
          <w:sz w:val="24"/>
          <w:szCs w:val="24"/>
        </w:rPr>
        <w:t>系统之一，承担了天津市税务局税收电子缴款和退款业务。</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8.</w:t>
      </w:r>
      <w:r>
        <w:rPr>
          <w:rFonts w:hint="eastAsia"/>
          <w:sz w:val="24"/>
          <w:szCs w:val="24"/>
        </w:rPr>
        <w:t>社保费税银系统是天津市税务局税收业务</w:t>
      </w:r>
      <w:proofErr w:type="gramStart"/>
      <w:r>
        <w:rPr>
          <w:rFonts w:hint="eastAsia"/>
          <w:sz w:val="24"/>
          <w:szCs w:val="24"/>
        </w:rPr>
        <w:t>类核心</w:t>
      </w:r>
      <w:proofErr w:type="gramEnd"/>
      <w:r>
        <w:rPr>
          <w:rFonts w:hint="eastAsia"/>
          <w:sz w:val="24"/>
          <w:szCs w:val="24"/>
        </w:rPr>
        <w:t>系统之一，是天津市税务局系统办理社保费征缴业务的信息平台，专业性强、覆盖面宽、集成系统多，日常升级、维护、数据处理等工作。</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9.</w:t>
      </w:r>
      <w:r>
        <w:rPr>
          <w:rFonts w:hint="eastAsia"/>
          <w:sz w:val="24"/>
          <w:szCs w:val="24"/>
        </w:rPr>
        <w:t>电子印章系统是天津市税务局税收业务</w:t>
      </w:r>
      <w:proofErr w:type="gramStart"/>
      <w:r>
        <w:rPr>
          <w:rFonts w:hint="eastAsia"/>
          <w:sz w:val="24"/>
          <w:szCs w:val="24"/>
        </w:rPr>
        <w:t>类核心</w:t>
      </w:r>
      <w:proofErr w:type="gramEnd"/>
      <w:r>
        <w:rPr>
          <w:rFonts w:hint="eastAsia"/>
          <w:sz w:val="24"/>
          <w:szCs w:val="24"/>
        </w:rPr>
        <w:t>系统之一，为天津市税务局增值税发票管理系统、电子税务局、自然人电子税务局等提供电子印章服务，实现电子印章签发、版式文件签章、电子印章相互认证等功能。</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10.</w:t>
      </w:r>
      <w:r>
        <w:rPr>
          <w:rFonts w:hint="eastAsia"/>
          <w:sz w:val="24"/>
          <w:szCs w:val="24"/>
        </w:rPr>
        <w:t>应用安全支撑平台是天津市税务局税收业务</w:t>
      </w:r>
      <w:proofErr w:type="gramStart"/>
      <w:r>
        <w:rPr>
          <w:rFonts w:hint="eastAsia"/>
          <w:sz w:val="24"/>
          <w:szCs w:val="24"/>
        </w:rPr>
        <w:t>类核心</w:t>
      </w:r>
      <w:proofErr w:type="gramEnd"/>
      <w:r>
        <w:rPr>
          <w:rFonts w:hint="eastAsia"/>
          <w:sz w:val="24"/>
          <w:szCs w:val="24"/>
        </w:rPr>
        <w:t>系统之一，承担了天津市税务局税收和社</w:t>
      </w:r>
      <w:proofErr w:type="gramStart"/>
      <w:r>
        <w:rPr>
          <w:rFonts w:hint="eastAsia"/>
          <w:sz w:val="24"/>
          <w:szCs w:val="24"/>
        </w:rPr>
        <w:t>保费征收</w:t>
      </w:r>
      <w:proofErr w:type="gramEnd"/>
      <w:r>
        <w:rPr>
          <w:rFonts w:hint="eastAsia"/>
          <w:sz w:val="24"/>
          <w:szCs w:val="24"/>
        </w:rPr>
        <w:t>业务支撑业务，包括统一用户管理、统一身份认证、单点登录等功能，为金税三期税收管理系统和社保费征管信息系统（标准版）提供服务。</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为保障上述系统安全平稳运行，提高运维技术水平，更好地为纳税人和税务人提供服务，确保各</w:t>
      </w:r>
      <w:proofErr w:type="gramStart"/>
      <w:r>
        <w:rPr>
          <w:rFonts w:hint="eastAsia"/>
          <w:sz w:val="24"/>
          <w:szCs w:val="24"/>
        </w:rPr>
        <w:t>类运维问题</w:t>
      </w:r>
      <w:proofErr w:type="gramEnd"/>
      <w:r>
        <w:rPr>
          <w:rFonts w:hint="eastAsia"/>
          <w:sz w:val="24"/>
          <w:szCs w:val="24"/>
        </w:rPr>
        <w:t>及时响应和有效解决，需开展上述系统运行维护项目采购。</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1B300F" w:rsidRDefault="004555CE" w:rsidP="004555CE">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1B300F" w:rsidRDefault="004555CE" w:rsidP="004555CE">
      <w:pPr>
        <w:spacing w:line="360" w:lineRule="auto"/>
        <w:ind w:firstLineChars="225" w:firstLine="502"/>
        <w:rPr>
          <w:sz w:val="24"/>
        </w:rPr>
      </w:pPr>
      <w:r>
        <w:rPr>
          <w:rFonts w:hint="eastAsia"/>
          <w:sz w:val="24"/>
        </w:rPr>
        <w:t>★（二）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投标人应严格遵守与采购人签订的保密协议，对上述开放资料严格保密，经采购人允许合</w:t>
      </w:r>
      <w:proofErr w:type="gramStart"/>
      <w:r>
        <w:rPr>
          <w:rFonts w:hint="eastAsia"/>
          <w:sz w:val="24"/>
        </w:rPr>
        <w:t>规</w:t>
      </w:r>
      <w:proofErr w:type="gramEnd"/>
      <w:r>
        <w:rPr>
          <w:rFonts w:hint="eastAsia"/>
          <w:sz w:val="24"/>
        </w:rPr>
        <w:t>使用。</w:t>
      </w:r>
    </w:p>
    <w:p w:rsidR="001B300F" w:rsidRDefault="004555CE" w:rsidP="004555CE">
      <w:pPr>
        <w:spacing w:line="360" w:lineRule="auto"/>
        <w:ind w:firstLineChars="225" w:firstLine="502"/>
        <w:rPr>
          <w:sz w:val="24"/>
        </w:rPr>
      </w:pPr>
      <w:r>
        <w:rPr>
          <w:rFonts w:hint="eastAsia"/>
          <w:sz w:val="24"/>
        </w:rPr>
        <w:t>（三）具体需求详见项目需求书。</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lastRenderedPageBreak/>
        <w:t>三</w:t>
      </w:r>
      <w:r>
        <w:rPr>
          <w:sz w:val="24"/>
          <w:szCs w:val="24"/>
        </w:rPr>
        <w:t>、商务要求</w:t>
      </w:r>
    </w:p>
    <w:p w:rsidR="001B300F" w:rsidRDefault="004555CE" w:rsidP="004555CE">
      <w:pPr>
        <w:tabs>
          <w:tab w:val="left" w:pos="210"/>
        </w:tabs>
        <w:autoSpaceDE w:val="0"/>
        <w:autoSpaceDN w:val="0"/>
        <w:adjustRightInd w:val="0"/>
        <w:spacing w:line="360" w:lineRule="auto"/>
        <w:ind w:firstLineChars="200" w:firstLine="446"/>
        <w:outlineLvl w:val="0"/>
        <w:rPr>
          <w:sz w:val="24"/>
          <w:szCs w:val="24"/>
        </w:rPr>
      </w:pPr>
      <w:r>
        <w:rPr>
          <w:sz w:val="24"/>
          <w:szCs w:val="24"/>
        </w:rPr>
        <w:t>（一）报价要求</w:t>
      </w:r>
    </w:p>
    <w:p w:rsidR="001B300F" w:rsidRDefault="004555CE" w:rsidP="004555CE">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1B300F" w:rsidRDefault="004555CE" w:rsidP="004555CE">
      <w:pPr>
        <w:autoSpaceDE w:val="0"/>
        <w:autoSpaceDN w:val="0"/>
        <w:adjustRightInd w:val="0"/>
        <w:spacing w:line="360" w:lineRule="auto"/>
        <w:ind w:firstLineChars="200" w:firstLine="446"/>
        <w:rPr>
          <w:sz w:val="24"/>
        </w:rPr>
      </w:pPr>
      <w:r>
        <w:rPr>
          <w:sz w:val="24"/>
        </w:rPr>
        <w:t xml:space="preserve">2. </w:t>
      </w:r>
      <w:r>
        <w:rPr>
          <w:sz w:val="24"/>
        </w:rPr>
        <w:t>投标人的报价应包括：人员费用、</w:t>
      </w:r>
      <w:proofErr w:type="gramStart"/>
      <w:r>
        <w:rPr>
          <w:rFonts w:hint="eastAsia"/>
          <w:sz w:val="24"/>
        </w:rPr>
        <w:t>维保</w:t>
      </w:r>
      <w:r>
        <w:rPr>
          <w:sz w:val="24"/>
        </w:rPr>
        <w:t>服务费</w:t>
      </w:r>
      <w:proofErr w:type="gramEnd"/>
      <w:r>
        <w:rPr>
          <w:sz w:val="24"/>
        </w:rPr>
        <w:t>用、</w:t>
      </w:r>
      <w:r>
        <w:rPr>
          <w:rFonts w:hint="eastAsia"/>
          <w:sz w:val="24"/>
        </w:rPr>
        <w:t>管理费及税金</w:t>
      </w:r>
      <w:r>
        <w:rPr>
          <w:sz w:val="24"/>
        </w:rPr>
        <w:t>等为完成招标文件规定的一切工作所需的全部费用。投标人所报价格应为最终优惠价格。</w:t>
      </w:r>
    </w:p>
    <w:p w:rsidR="001B300F" w:rsidRDefault="004555CE" w:rsidP="004555CE">
      <w:pPr>
        <w:spacing w:line="360" w:lineRule="auto"/>
        <w:ind w:firstLineChars="200" w:firstLine="446"/>
        <w:rPr>
          <w:kern w:val="0"/>
          <w:sz w:val="24"/>
          <w:szCs w:val="24"/>
        </w:rPr>
      </w:pPr>
      <w:r>
        <w:rPr>
          <w:rFonts w:hint="eastAsia"/>
          <w:kern w:val="0"/>
          <w:sz w:val="24"/>
          <w:szCs w:val="24"/>
        </w:rPr>
        <w:t xml:space="preserve">3. </w:t>
      </w:r>
      <w:r>
        <w:rPr>
          <w:sz w:val="24"/>
        </w:rPr>
        <w:t>验收相关费用由投标人负责。</w:t>
      </w:r>
    </w:p>
    <w:p w:rsidR="001B300F" w:rsidRDefault="004555CE" w:rsidP="004555CE">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1B300F" w:rsidRDefault="004555CE" w:rsidP="004555CE">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其中应用支撑平台、</w:t>
      </w:r>
      <w:proofErr w:type="gramStart"/>
      <w:r>
        <w:rPr>
          <w:rFonts w:hint="eastAsia"/>
          <w:sz w:val="24"/>
        </w:rPr>
        <w:t>多云运维管理</w:t>
      </w:r>
      <w:proofErr w:type="gramEnd"/>
      <w:r>
        <w:rPr>
          <w:rFonts w:hint="eastAsia"/>
          <w:sz w:val="24"/>
        </w:rPr>
        <w:t>平台、税务区块链基础平台等系统服务期限为合同规定之日起</w:t>
      </w:r>
      <w:r>
        <w:rPr>
          <w:rFonts w:hint="eastAsia"/>
          <w:sz w:val="24"/>
        </w:rPr>
        <w:t>11</w:t>
      </w:r>
      <w:r>
        <w:rPr>
          <w:rFonts w:hint="eastAsia"/>
          <w:sz w:val="24"/>
        </w:rPr>
        <w:t>个月，管理决策支持风险与信用系统、管理决策支持核算与分析系统、外部信息交换系统、税库</w:t>
      </w:r>
      <w:proofErr w:type="gramStart"/>
      <w:r>
        <w:rPr>
          <w:rFonts w:hint="eastAsia"/>
          <w:sz w:val="24"/>
        </w:rPr>
        <w:t>银税收</w:t>
      </w:r>
      <w:proofErr w:type="gramEnd"/>
      <w:r>
        <w:rPr>
          <w:rFonts w:hint="eastAsia"/>
          <w:sz w:val="24"/>
        </w:rPr>
        <w:t>收入电子缴库横向联网系统、社保费税银系统、电子印章系统、应用安全支撑平台等系统服务期限为合同规定之日起</w:t>
      </w:r>
      <w:r>
        <w:rPr>
          <w:rFonts w:hint="eastAsia"/>
          <w:sz w:val="24"/>
        </w:rPr>
        <w:t>12</w:t>
      </w:r>
      <w:r>
        <w:rPr>
          <w:rFonts w:hint="eastAsia"/>
          <w:sz w:val="24"/>
        </w:rPr>
        <w:t>个月</w:t>
      </w:r>
      <w:r>
        <w:rPr>
          <w:sz w:val="24"/>
        </w:rPr>
        <w:t>（特殊情况以合同为准）。</w:t>
      </w:r>
    </w:p>
    <w:p w:rsidR="001B300F" w:rsidRDefault="004555CE" w:rsidP="004555CE">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天津市河北区民主道</w:t>
      </w:r>
      <w:r>
        <w:rPr>
          <w:rFonts w:hint="eastAsia"/>
          <w:sz w:val="24"/>
        </w:rPr>
        <w:t>16</w:t>
      </w:r>
      <w:r>
        <w:rPr>
          <w:rFonts w:hint="eastAsia"/>
          <w:sz w:val="24"/>
        </w:rPr>
        <w:t>号</w:t>
      </w:r>
      <w:r>
        <w:rPr>
          <w:sz w:val="24"/>
        </w:rPr>
        <w:t>（特殊情况以合同为准）。</w:t>
      </w:r>
    </w:p>
    <w:p w:rsidR="001B300F" w:rsidRDefault="004555CE" w:rsidP="004555CE">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1B300F" w:rsidRDefault="004555CE" w:rsidP="004555CE">
      <w:pPr>
        <w:autoSpaceDE w:val="0"/>
        <w:autoSpaceDN w:val="0"/>
        <w:adjustRightInd w:val="0"/>
        <w:spacing w:line="360" w:lineRule="auto"/>
        <w:ind w:firstLineChars="200" w:firstLine="446"/>
        <w:rPr>
          <w:sz w:val="24"/>
        </w:rPr>
      </w:pPr>
      <w:r>
        <w:rPr>
          <w:rFonts w:hint="eastAsia"/>
          <w:sz w:val="24"/>
        </w:rPr>
        <w:t>合同签订次日起</w:t>
      </w:r>
      <w:r>
        <w:rPr>
          <w:rFonts w:hint="eastAsia"/>
          <w:sz w:val="24"/>
        </w:rPr>
        <w:t>30</w:t>
      </w:r>
      <w:r>
        <w:rPr>
          <w:rFonts w:hint="eastAsia"/>
          <w:sz w:val="24"/>
        </w:rPr>
        <w:t>个自然日内支付合同总额的</w:t>
      </w:r>
      <w:r>
        <w:rPr>
          <w:rFonts w:hint="eastAsia"/>
          <w:sz w:val="24"/>
        </w:rPr>
        <w:t>30%</w:t>
      </w:r>
      <w:r>
        <w:rPr>
          <w:rFonts w:hint="eastAsia"/>
          <w:sz w:val="24"/>
        </w:rPr>
        <w:t>，服务期过半阶段性验收合格次日起</w:t>
      </w:r>
      <w:r>
        <w:rPr>
          <w:rFonts w:hint="eastAsia"/>
          <w:sz w:val="24"/>
        </w:rPr>
        <w:t>30</w:t>
      </w:r>
      <w:r>
        <w:rPr>
          <w:rFonts w:hint="eastAsia"/>
          <w:sz w:val="24"/>
        </w:rPr>
        <w:t>个自然日内支付合同总额的</w:t>
      </w:r>
      <w:r>
        <w:rPr>
          <w:rFonts w:hint="eastAsia"/>
          <w:sz w:val="24"/>
        </w:rPr>
        <w:t>40%</w:t>
      </w:r>
      <w:r>
        <w:rPr>
          <w:rFonts w:hint="eastAsia"/>
          <w:sz w:val="24"/>
        </w:rPr>
        <w:t>，服务期结束终验合格次日起</w:t>
      </w:r>
      <w:r>
        <w:rPr>
          <w:rFonts w:hint="eastAsia"/>
          <w:sz w:val="24"/>
        </w:rPr>
        <w:t>30</w:t>
      </w:r>
      <w:r>
        <w:rPr>
          <w:rFonts w:hint="eastAsia"/>
          <w:sz w:val="24"/>
        </w:rPr>
        <w:t>个自然日内支付合同总额的</w:t>
      </w:r>
      <w:r>
        <w:rPr>
          <w:rFonts w:hint="eastAsia"/>
          <w:sz w:val="24"/>
        </w:rPr>
        <w:t>30%</w:t>
      </w:r>
      <w:r>
        <w:rPr>
          <w:sz w:val="24"/>
        </w:rPr>
        <w:t>（特殊情况以合同为准）。</w:t>
      </w:r>
    </w:p>
    <w:p w:rsidR="001B300F" w:rsidRDefault="004555CE" w:rsidP="004555CE">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1B300F" w:rsidRDefault="004555CE" w:rsidP="004555CE">
      <w:pPr>
        <w:autoSpaceDE w:val="0"/>
        <w:autoSpaceDN w:val="0"/>
        <w:adjustRightInd w:val="0"/>
        <w:spacing w:line="360" w:lineRule="auto"/>
        <w:ind w:firstLineChars="200" w:firstLine="446"/>
        <w:rPr>
          <w:sz w:val="24"/>
        </w:rPr>
      </w:pPr>
      <w:r>
        <w:rPr>
          <w:sz w:val="24"/>
        </w:rPr>
        <w:t>本项目不收取投标保证金和履约保证金。</w:t>
      </w:r>
    </w:p>
    <w:p w:rsidR="001B300F" w:rsidRDefault="004555CE" w:rsidP="004555CE">
      <w:pPr>
        <w:autoSpaceDE w:val="0"/>
        <w:autoSpaceDN w:val="0"/>
        <w:adjustRightInd w:val="0"/>
        <w:spacing w:line="360" w:lineRule="auto"/>
        <w:ind w:firstLineChars="200" w:firstLine="446"/>
        <w:rPr>
          <w:sz w:val="24"/>
        </w:rPr>
      </w:pPr>
      <w:r>
        <w:rPr>
          <w:rFonts w:hint="eastAsia"/>
          <w:sz w:val="24"/>
        </w:rPr>
        <w:t>（五）验收方法及标准</w:t>
      </w:r>
    </w:p>
    <w:p w:rsidR="001B300F" w:rsidRDefault="004555CE" w:rsidP="004555CE">
      <w:pPr>
        <w:autoSpaceDE w:val="0"/>
        <w:autoSpaceDN w:val="0"/>
        <w:adjustRightInd w:val="0"/>
        <w:spacing w:line="360" w:lineRule="auto"/>
        <w:ind w:firstLineChars="200" w:firstLine="446"/>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w:t>
      </w:r>
      <w:r>
        <w:rPr>
          <w:rFonts w:hint="eastAsia"/>
          <w:sz w:val="24"/>
        </w:rPr>
        <w:lastRenderedPageBreak/>
        <w:t>项目总体评价，由验收双方共同签署。</w:t>
      </w:r>
    </w:p>
    <w:p w:rsidR="001B300F" w:rsidRDefault="004555CE" w:rsidP="004555CE">
      <w:pPr>
        <w:spacing w:line="360" w:lineRule="auto"/>
        <w:ind w:firstLineChars="200" w:firstLine="446"/>
        <w:outlineLvl w:val="0"/>
        <w:rPr>
          <w:sz w:val="24"/>
        </w:rPr>
      </w:pPr>
      <w:r>
        <w:rPr>
          <w:sz w:val="24"/>
        </w:rPr>
        <w:t>四、评分因素及评标标准</w:t>
      </w:r>
    </w:p>
    <w:p w:rsidR="001B300F" w:rsidRDefault="004555CE" w:rsidP="004555CE">
      <w:pPr>
        <w:spacing w:line="360" w:lineRule="auto"/>
        <w:ind w:firstLineChars="200" w:firstLine="446"/>
        <w:outlineLvl w:val="0"/>
        <w:rPr>
          <w:sz w:val="24"/>
        </w:rPr>
      </w:pPr>
      <w:r>
        <w:rPr>
          <w:rFonts w:hint="eastAsia"/>
          <w:sz w:val="24"/>
        </w:rPr>
        <w:t>如若为联合体投标，联合体中任意一方满足要求，即可得分。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42"/>
        <w:gridCol w:w="7288"/>
        <w:gridCol w:w="1143"/>
      </w:tblGrid>
      <w:tr w:rsidR="001B300F">
        <w:trPr>
          <w:trHeight w:val="285"/>
          <w:jc w:val="center"/>
        </w:trPr>
        <w:tc>
          <w:tcPr>
            <w:tcW w:w="9393" w:type="dxa"/>
            <w:gridSpan w:val="3"/>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第一部分</w:t>
            </w:r>
            <w:r>
              <w:rPr>
                <w:kern w:val="0"/>
                <w:sz w:val="24"/>
                <w:szCs w:val="24"/>
              </w:rPr>
              <w:t xml:space="preserve"> </w:t>
            </w:r>
            <w:r>
              <w:rPr>
                <w:rFonts w:hint="eastAsia"/>
                <w:kern w:val="0"/>
                <w:sz w:val="24"/>
                <w:szCs w:val="24"/>
              </w:rPr>
              <w:t>价格（</w:t>
            </w:r>
            <w:r>
              <w:rPr>
                <w:rFonts w:hint="eastAsia"/>
                <w:kern w:val="0"/>
                <w:sz w:val="24"/>
                <w:szCs w:val="24"/>
              </w:rPr>
              <w:t>1</w:t>
            </w:r>
            <w:r>
              <w:rPr>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分值</w:t>
            </w:r>
          </w:p>
        </w:tc>
      </w:tr>
      <w:tr w:rsidR="001B300F">
        <w:trPr>
          <w:trHeight w:val="274"/>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kern w:val="0"/>
                <w:sz w:val="24"/>
                <w:szCs w:val="24"/>
              </w:rPr>
              <w:t>1</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价格</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rPr>
                <w:kern w:val="0"/>
                <w:sz w:val="24"/>
                <w:szCs w:val="24"/>
              </w:rPr>
            </w:pPr>
            <w:r>
              <w:rPr>
                <w:rFonts w:hint="eastAsia"/>
                <w:kern w:val="0"/>
                <w:sz w:val="24"/>
                <w:szCs w:val="24"/>
              </w:rPr>
              <w:t>（</w:t>
            </w:r>
            <w:r>
              <w:rPr>
                <w:kern w:val="0"/>
                <w:sz w:val="24"/>
                <w:szCs w:val="24"/>
              </w:rPr>
              <w:t>1</w:t>
            </w:r>
            <w:r>
              <w:rPr>
                <w:rFonts w:hint="eastAsia"/>
                <w:kern w:val="0"/>
                <w:sz w:val="24"/>
                <w:szCs w:val="24"/>
              </w:rPr>
              <w:t>）投标报价超过采购预算的，投标无效，未超过采购预算的投标报价按以下公式进行计算。</w:t>
            </w:r>
          </w:p>
          <w:p w:rsidR="001B300F" w:rsidRDefault="004555CE">
            <w:pPr>
              <w:widowControl/>
              <w:adjustRightInd w:val="0"/>
              <w:snapToGrid w:val="0"/>
              <w:rPr>
                <w:kern w:val="0"/>
                <w:sz w:val="24"/>
                <w:szCs w:val="24"/>
              </w:rPr>
            </w:pPr>
            <w:r>
              <w:rPr>
                <w:rFonts w:hint="eastAsia"/>
                <w:kern w:val="0"/>
                <w:sz w:val="24"/>
                <w:szCs w:val="24"/>
              </w:rPr>
              <w:t>（</w:t>
            </w:r>
            <w:r>
              <w:rPr>
                <w:kern w:val="0"/>
                <w:sz w:val="24"/>
                <w:szCs w:val="24"/>
              </w:rPr>
              <w:t>2</w:t>
            </w:r>
            <w:r>
              <w:rPr>
                <w:rFonts w:hint="eastAsia"/>
                <w:kern w:val="0"/>
                <w:sz w:val="24"/>
                <w:szCs w:val="24"/>
              </w:rPr>
              <w:t>）投标报价得分</w:t>
            </w:r>
            <w:r>
              <w:rPr>
                <w:kern w:val="0"/>
                <w:sz w:val="24"/>
                <w:szCs w:val="24"/>
              </w:rPr>
              <w:t>=</w:t>
            </w:r>
            <w:r>
              <w:rPr>
                <w:rFonts w:hint="eastAsia"/>
                <w:kern w:val="0"/>
                <w:sz w:val="24"/>
                <w:szCs w:val="24"/>
              </w:rPr>
              <w:t>（评标基准价</w:t>
            </w:r>
            <w:r>
              <w:rPr>
                <w:kern w:val="0"/>
                <w:sz w:val="24"/>
                <w:szCs w:val="24"/>
              </w:rPr>
              <w:t>/</w:t>
            </w:r>
            <w:r>
              <w:rPr>
                <w:rFonts w:hint="eastAsia"/>
                <w:kern w:val="0"/>
                <w:sz w:val="24"/>
                <w:szCs w:val="24"/>
              </w:rPr>
              <w:t>投标报价）</w:t>
            </w:r>
            <w:r>
              <w:rPr>
                <w:kern w:val="0"/>
                <w:sz w:val="24"/>
                <w:szCs w:val="24"/>
              </w:rPr>
              <w:t>×</w:t>
            </w:r>
            <w:r>
              <w:rPr>
                <w:rFonts w:hint="eastAsia"/>
                <w:kern w:val="0"/>
                <w:sz w:val="24"/>
                <w:szCs w:val="24"/>
              </w:rPr>
              <w:t>1</w:t>
            </w:r>
            <w:r>
              <w:rPr>
                <w:kern w:val="0"/>
                <w:sz w:val="24"/>
                <w:szCs w:val="24"/>
              </w:rPr>
              <w:t>0</w:t>
            </w:r>
          </w:p>
          <w:p w:rsidR="001B300F" w:rsidRDefault="004555CE">
            <w:pPr>
              <w:widowControl/>
              <w:adjustRightInd w:val="0"/>
              <w:snapToGrid w:val="0"/>
              <w:rPr>
                <w:kern w:val="0"/>
                <w:sz w:val="24"/>
                <w:szCs w:val="24"/>
              </w:rPr>
            </w:pPr>
            <w:r>
              <w:rPr>
                <w:rFonts w:hint="eastAsia"/>
                <w:kern w:val="0"/>
                <w:sz w:val="24"/>
                <w:szCs w:val="24"/>
              </w:rPr>
              <w:t>注：满足招标文件要求且投标报价最低的投标报价为评标基准价。</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w:t>
            </w:r>
            <w:r>
              <w:rPr>
                <w:kern w:val="0"/>
                <w:sz w:val="24"/>
                <w:szCs w:val="24"/>
              </w:rPr>
              <w:t>0</w:t>
            </w:r>
          </w:p>
        </w:tc>
      </w:tr>
      <w:tr w:rsidR="001B300F">
        <w:trPr>
          <w:trHeight w:val="150"/>
          <w:jc w:val="center"/>
        </w:trPr>
        <w:tc>
          <w:tcPr>
            <w:tcW w:w="9393" w:type="dxa"/>
            <w:gridSpan w:val="3"/>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第二部分</w:t>
            </w:r>
            <w:r>
              <w:rPr>
                <w:kern w:val="0"/>
                <w:sz w:val="24"/>
                <w:szCs w:val="24"/>
              </w:rPr>
              <w:t xml:space="preserve"> </w:t>
            </w:r>
            <w:r>
              <w:rPr>
                <w:rFonts w:hint="eastAsia"/>
                <w:kern w:val="0"/>
                <w:sz w:val="24"/>
                <w:szCs w:val="24"/>
              </w:rPr>
              <w:t>客观分（</w:t>
            </w:r>
            <w:r>
              <w:rPr>
                <w:rFonts w:hint="eastAsia"/>
                <w:kern w:val="0"/>
                <w:sz w:val="24"/>
                <w:szCs w:val="24"/>
              </w:rPr>
              <w:t>20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分值</w:t>
            </w:r>
          </w:p>
        </w:tc>
      </w:tr>
      <w:tr w:rsidR="001B300F">
        <w:trPr>
          <w:trHeight w:val="841"/>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kern w:val="0"/>
                <w:sz w:val="24"/>
                <w:szCs w:val="24"/>
              </w:rPr>
              <w:t>1</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投标人业绩</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rPr>
                <w:kern w:val="0"/>
                <w:sz w:val="24"/>
                <w:szCs w:val="24"/>
              </w:rPr>
            </w:pPr>
            <w:r>
              <w:rPr>
                <w:rFonts w:hint="eastAsia"/>
                <w:kern w:val="0"/>
                <w:sz w:val="24"/>
                <w:szCs w:val="24"/>
              </w:rPr>
              <w:t>完全按照以下要求提供投标人曾实施的软件运行维护业绩，提供的证明材料均不得遮挡涂黑，否则不予认定加分。</w:t>
            </w:r>
          </w:p>
          <w:p w:rsidR="001B300F" w:rsidRDefault="004555CE">
            <w:pPr>
              <w:widowControl/>
              <w:adjustRightInd w:val="0"/>
              <w:snapToGrid w:val="0"/>
              <w:rPr>
                <w:kern w:val="0"/>
                <w:sz w:val="24"/>
                <w:szCs w:val="24"/>
              </w:rPr>
            </w:pPr>
            <w:r>
              <w:rPr>
                <w:rFonts w:hint="eastAsia"/>
                <w:kern w:val="0"/>
                <w:sz w:val="24"/>
                <w:szCs w:val="24"/>
              </w:rPr>
              <w:t xml:space="preserve">A. </w:t>
            </w:r>
            <w:r>
              <w:rPr>
                <w:rFonts w:hint="eastAsia"/>
                <w:kern w:val="0"/>
                <w:sz w:val="24"/>
                <w:szCs w:val="24"/>
              </w:rPr>
              <w:t>合同原件电子件。包括买卖双方名称及盖章、服务内容</w:t>
            </w:r>
            <w:r>
              <w:rPr>
                <w:rFonts w:hint="eastAsia"/>
                <w:bCs/>
                <w:sz w:val="24"/>
              </w:rPr>
              <w:t>、合同签订日期（应为</w:t>
            </w:r>
            <w:r>
              <w:rPr>
                <w:rFonts w:hint="eastAsia"/>
                <w:bCs/>
                <w:sz w:val="24"/>
              </w:rPr>
              <w:t>2023</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rFonts w:hint="eastAsia"/>
                <w:kern w:val="0"/>
                <w:sz w:val="24"/>
                <w:szCs w:val="24"/>
              </w:rPr>
              <w:t>。</w:t>
            </w:r>
          </w:p>
          <w:p w:rsidR="001B300F" w:rsidRDefault="004555CE">
            <w:pPr>
              <w:widowControl/>
              <w:adjustRightInd w:val="0"/>
              <w:snapToGrid w:val="0"/>
              <w:rPr>
                <w:kern w:val="0"/>
                <w:sz w:val="24"/>
                <w:szCs w:val="24"/>
              </w:rPr>
            </w:pPr>
            <w:r>
              <w:rPr>
                <w:rFonts w:hint="eastAsia"/>
                <w:kern w:val="0"/>
                <w:sz w:val="24"/>
                <w:szCs w:val="24"/>
              </w:rPr>
              <w:t xml:space="preserve">B. </w:t>
            </w:r>
            <w:r>
              <w:rPr>
                <w:rFonts w:hint="eastAsia"/>
                <w:kern w:val="0"/>
                <w:sz w:val="24"/>
                <w:szCs w:val="24"/>
              </w:rPr>
              <w:t>上述合同执行完毕且履行良好的相关证明材料，证明材料需提供原件电子件（加盖上述合同甲方单位公章或上述合同中所盖的甲方印章）。</w:t>
            </w:r>
          </w:p>
          <w:p w:rsidR="001B300F" w:rsidRDefault="004555CE">
            <w:pPr>
              <w:widowControl/>
              <w:adjustRightInd w:val="0"/>
              <w:snapToGrid w:val="0"/>
              <w:rPr>
                <w:kern w:val="0"/>
                <w:sz w:val="24"/>
                <w:szCs w:val="24"/>
              </w:rPr>
            </w:pPr>
            <w:r>
              <w:rPr>
                <w:rFonts w:hint="eastAsia"/>
                <w:kern w:val="0"/>
                <w:sz w:val="24"/>
                <w:szCs w:val="24"/>
              </w:rPr>
              <w:t>每个业绩</w:t>
            </w:r>
            <w:r>
              <w:rPr>
                <w:rFonts w:hint="eastAsia"/>
                <w:kern w:val="0"/>
                <w:sz w:val="24"/>
                <w:szCs w:val="24"/>
              </w:rPr>
              <w:t>1</w:t>
            </w:r>
            <w:r>
              <w:rPr>
                <w:rFonts w:hint="eastAsia"/>
                <w:kern w:val="0"/>
                <w:sz w:val="24"/>
                <w:szCs w:val="24"/>
              </w:rPr>
              <w:t>分，最多</w:t>
            </w:r>
            <w:r>
              <w:rPr>
                <w:rFonts w:hint="eastAsia"/>
                <w:kern w:val="0"/>
                <w:sz w:val="24"/>
                <w:szCs w:val="24"/>
              </w:rPr>
              <w:t>5</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5</w:t>
            </w:r>
          </w:p>
        </w:tc>
      </w:tr>
      <w:tr w:rsidR="001B300F">
        <w:trPr>
          <w:trHeight w:val="60"/>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2</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sz w:val="24"/>
              </w:rPr>
            </w:pPr>
            <w:r>
              <w:rPr>
                <w:rFonts w:hint="eastAsia"/>
                <w:sz w:val="24"/>
              </w:rPr>
              <w:t>投标人承诺评价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15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15</w:t>
            </w:r>
          </w:p>
        </w:tc>
      </w:tr>
      <w:tr w:rsidR="001B300F">
        <w:trPr>
          <w:trHeight w:val="60"/>
          <w:jc w:val="center"/>
        </w:trPr>
        <w:tc>
          <w:tcPr>
            <w:tcW w:w="9393" w:type="dxa"/>
            <w:gridSpan w:val="3"/>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第三部分</w:t>
            </w:r>
            <w:r>
              <w:rPr>
                <w:kern w:val="0"/>
                <w:sz w:val="24"/>
                <w:szCs w:val="24"/>
              </w:rPr>
              <w:t xml:space="preserve"> </w:t>
            </w:r>
            <w:r>
              <w:rPr>
                <w:rFonts w:hint="eastAsia"/>
                <w:kern w:val="0"/>
                <w:sz w:val="24"/>
                <w:szCs w:val="24"/>
              </w:rPr>
              <w:t>主观分（</w:t>
            </w:r>
            <w:r>
              <w:rPr>
                <w:rFonts w:hint="eastAsia"/>
                <w:kern w:val="0"/>
                <w:sz w:val="24"/>
                <w:szCs w:val="24"/>
              </w:rPr>
              <w:t>70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分值</w:t>
            </w:r>
          </w:p>
        </w:tc>
      </w:tr>
      <w:tr w:rsidR="001B300F">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1</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项目需求理解分析评价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rPr>
                <w:rFonts w:cs="宋体"/>
                <w:sz w:val="24"/>
                <w:szCs w:val="24"/>
                <w:lang w:val="zh-CN"/>
              </w:rPr>
            </w:pPr>
            <w:r>
              <w:rPr>
                <w:rFonts w:hint="eastAsia"/>
                <w:kern w:val="0"/>
                <w:sz w:val="24"/>
                <w:szCs w:val="24"/>
              </w:rPr>
              <w:t>至少包含项目建设背景、目标需求（包括数据需求、功能需求、业务需求、对接需求）和现状情况（包括机构情况、角色情况、业务管理情况、现有系统情况等）的理解和分析</w:t>
            </w:r>
          </w:p>
          <w:p w:rsidR="001B300F" w:rsidRDefault="004555C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1B300F" w:rsidRDefault="004555C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10</w:t>
            </w:r>
          </w:p>
        </w:tc>
      </w:tr>
      <w:tr w:rsidR="001B300F">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2</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rFonts w:cs="宋体"/>
                <w:sz w:val="24"/>
                <w:szCs w:val="24"/>
                <w:lang w:val="zh-CN"/>
              </w:rPr>
            </w:pPr>
            <w:r>
              <w:rPr>
                <w:rFonts w:cs="宋体" w:hint="eastAsia"/>
                <w:sz w:val="24"/>
                <w:szCs w:val="24"/>
                <w:lang w:val="zh-CN"/>
              </w:rPr>
              <w:t>整体运行维护方案评价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adjustRightInd w:val="0"/>
              <w:snapToGrid w:val="0"/>
              <w:rPr>
                <w:rFonts w:cs="宋体"/>
                <w:sz w:val="24"/>
                <w:szCs w:val="24"/>
                <w:lang w:val="zh-CN"/>
              </w:rPr>
            </w:pPr>
            <w:r>
              <w:rPr>
                <w:rFonts w:cs="宋体" w:hint="eastAsia"/>
                <w:sz w:val="24"/>
                <w:szCs w:val="24"/>
                <w:lang w:val="zh-CN"/>
              </w:rPr>
              <w:t>至少包含运维计划，确保本系统稳定运行并满足业务和技术需求；运</w:t>
            </w:r>
            <w:proofErr w:type="gramStart"/>
            <w:r>
              <w:rPr>
                <w:rFonts w:cs="宋体" w:hint="eastAsia"/>
                <w:sz w:val="24"/>
                <w:szCs w:val="24"/>
                <w:lang w:val="zh-CN"/>
              </w:rPr>
              <w:t>维管理</w:t>
            </w:r>
            <w:proofErr w:type="gramEnd"/>
            <w:r>
              <w:rPr>
                <w:rFonts w:cs="宋体" w:hint="eastAsia"/>
                <w:sz w:val="24"/>
                <w:szCs w:val="24"/>
                <w:lang w:val="zh-CN"/>
              </w:rPr>
              <w:t>办法，确保运维流程的统一性和规范性；基础运维制度，为日常运</w:t>
            </w:r>
            <w:proofErr w:type="gramStart"/>
            <w:r>
              <w:rPr>
                <w:rFonts w:cs="宋体" w:hint="eastAsia"/>
                <w:sz w:val="24"/>
                <w:szCs w:val="24"/>
                <w:lang w:val="zh-CN"/>
              </w:rPr>
              <w:t>维工作</w:t>
            </w:r>
            <w:proofErr w:type="gramEnd"/>
            <w:r>
              <w:rPr>
                <w:rFonts w:cs="宋体" w:hint="eastAsia"/>
                <w:sz w:val="24"/>
                <w:szCs w:val="24"/>
                <w:lang w:val="zh-CN"/>
              </w:rPr>
              <w:t>提供明确的指导和规范；问题的快速响应和处理机制，确保在关键时期能够迅速解决问题；详细的应急预案，以应对可能出现的各种紧急情况，保障系统的连续性和业务的不中断等方面内容</w:t>
            </w:r>
          </w:p>
          <w:p w:rsidR="001B300F" w:rsidRDefault="004555C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1B300F" w:rsidRDefault="004555CE">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10</w:t>
            </w:r>
          </w:p>
        </w:tc>
      </w:tr>
      <w:tr w:rsidR="001B300F">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3</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cs="宋体" w:hint="eastAsia"/>
                <w:sz w:val="24"/>
                <w:szCs w:val="24"/>
                <w:lang w:val="zh-CN"/>
              </w:rPr>
              <w:t>管理实施方案评价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adjustRightInd w:val="0"/>
              <w:snapToGrid w:val="0"/>
              <w:rPr>
                <w:rFonts w:cs="宋体"/>
                <w:sz w:val="24"/>
                <w:szCs w:val="24"/>
                <w:lang w:val="zh-CN"/>
              </w:rPr>
            </w:pPr>
            <w:r>
              <w:rPr>
                <w:rFonts w:cs="宋体" w:hint="eastAsia"/>
                <w:sz w:val="24"/>
                <w:szCs w:val="24"/>
                <w:lang w:val="zh-CN"/>
              </w:rPr>
              <w:t>至少包含组织管理、进度管理、范围管理以及项目实施过程中的实施管理、质量管理、资源管理、日常运行管理等内容</w:t>
            </w:r>
          </w:p>
          <w:p w:rsidR="001B300F" w:rsidRDefault="004555C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1B300F" w:rsidRDefault="004555CE">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10</w:t>
            </w:r>
          </w:p>
        </w:tc>
      </w:tr>
      <w:tr w:rsidR="001B300F">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4</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cs="宋体" w:hint="eastAsia"/>
                <w:sz w:val="24"/>
                <w:szCs w:val="24"/>
                <w:lang w:val="zh-CN"/>
              </w:rPr>
              <w:t>保密方案评价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adjustRightInd w:val="0"/>
              <w:snapToGrid w:val="0"/>
              <w:rPr>
                <w:rFonts w:cs="宋体"/>
                <w:sz w:val="24"/>
                <w:szCs w:val="24"/>
                <w:lang w:val="zh-CN"/>
              </w:rPr>
            </w:pPr>
            <w:r>
              <w:rPr>
                <w:rFonts w:cs="宋体" w:hint="eastAsia"/>
                <w:sz w:val="24"/>
                <w:szCs w:val="24"/>
                <w:lang w:val="zh-CN"/>
              </w:rPr>
              <w:t>至少包含保证服务过程中有可能获取的保密信息不泄露的措施：制定保密制度、服务人员保密培训、重点岗位双人服务、泄密惩罚办法</w:t>
            </w:r>
          </w:p>
          <w:p w:rsidR="001B300F" w:rsidRDefault="004555C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1B300F" w:rsidRDefault="004555CE">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10</w:t>
            </w:r>
          </w:p>
        </w:tc>
      </w:tr>
      <w:tr w:rsidR="001B300F">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5</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cs="宋体" w:hint="eastAsia"/>
                <w:sz w:val="24"/>
                <w:szCs w:val="24"/>
                <w:lang w:val="zh-CN"/>
              </w:rPr>
              <w:t>知识转移方案评价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adjustRightInd w:val="0"/>
              <w:snapToGrid w:val="0"/>
              <w:rPr>
                <w:rFonts w:cs="宋体"/>
                <w:sz w:val="24"/>
                <w:szCs w:val="24"/>
                <w:lang w:val="zh-CN"/>
              </w:rPr>
            </w:pPr>
            <w:r>
              <w:rPr>
                <w:rFonts w:cs="宋体" w:hint="eastAsia"/>
                <w:sz w:val="24"/>
                <w:szCs w:val="24"/>
                <w:lang w:val="zh-CN"/>
              </w:rPr>
              <w:t>至少包含转移内容、转移形式、转移要求等方面内容</w:t>
            </w:r>
          </w:p>
          <w:p w:rsidR="001B300F" w:rsidRDefault="004555C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1B300F" w:rsidRDefault="004555CE">
            <w:pPr>
              <w:adjustRightInd w:val="0"/>
              <w:snapToGrid w:val="0"/>
              <w:rPr>
                <w:sz w:val="24"/>
              </w:rPr>
            </w:pPr>
            <w:r>
              <w:rPr>
                <w:rFonts w:hint="eastAsia"/>
                <w:kern w:val="0"/>
                <w:sz w:val="24"/>
                <w:szCs w:val="24"/>
              </w:rPr>
              <w:lastRenderedPageBreak/>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lastRenderedPageBreak/>
              <w:t>10</w:t>
            </w:r>
          </w:p>
        </w:tc>
      </w:tr>
      <w:tr w:rsidR="001B300F">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lastRenderedPageBreak/>
              <w:t>6</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rFonts w:cs="宋体"/>
                <w:sz w:val="24"/>
                <w:szCs w:val="24"/>
                <w:lang w:val="zh-CN"/>
              </w:rPr>
            </w:pPr>
            <w:r>
              <w:rPr>
                <w:rFonts w:cs="宋体" w:hint="eastAsia"/>
                <w:sz w:val="24"/>
                <w:szCs w:val="24"/>
                <w:lang w:val="zh-CN"/>
              </w:rPr>
              <w:t>风险管</w:t>
            </w:r>
            <w:proofErr w:type="gramStart"/>
            <w:r>
              <w:rPr>
                <w:rFonts w:cs="宋体" w:hint="eastAsia"/>
                <w:sz w:val="24"/>
                <w:szCs w:val="24"/>
                <w:lang w:val="zh-CN"/>
              </w:rPr>
              <w:t>控方案</w:t>
            </w:r>
            <w:proofErr w:type="gramEnd"/>
            <w:r>
              <w:rPr>
                <w:rFonts w:cs="宋体" w:hint="eastAsia"/>
                <w:sz w:val="24"/>
                <w:szCs w:val="24"/>
                <w:lang w:val="zh-CN"/>
              </w:rPr>
              <w:t>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adjustRightInd w:val="0"/>
              <w:snapToGrid w:val="0"/>
              <w:rPr>
                <w:rFonts w:cs="宋体"/>
                <w:sz w:val="24"/>
                <w:szCs w:val="24"/>
                <w:lang w:val="zh-CN"/>
              </w:rPr>
            </w:pPr>
            <w:r>
              <w:rPr>
                <w:rFonts w:cs="宋体" w:hint="eastAsia"/>
                <w:sz w:val="24"/>
                <w:szCs w:val="24"/>
                <w:lang w:val="zh-CN"/>
              </w:rPr>
              <w:t>至少包含业务风险、人员风险、进度风险等。基于风险评估结果，制定针对性的风险应对策略，持续监控风险状况，并根据实际情况及时完善风险应对策略，确保项目目标顺利实现</w:t>
            </w:r>
          </w:p>
          <w:p w:rsidR="001B300F" w:rsidRDefault="004555C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1B300F" w:rsidRDefault="004555CE">
            <w:pPr>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10</w:t>
            </w:r>
          </w:p>
        </w:tc>
      </w:tr>
      <w:tr w:rsidR="001B300F">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kern w:val="0"/>
                <w:sz w:val="24"/>
                <w:szCs w:val="24"/>
              </w:rPr>
            </w:pPr>
            <w:r>
              <w:rPr>
                <w:rFonts w:hint="eastAsia"/>
                <w:kern w:val="0"/>
                <w:sz w:val="24"/>
                <w:szCs w:val="24"/>
              </w:rPr>
              <w:t>7</w:t>
            </w:r>
          </w:p>
        </w:tc>
        <w:tc>
          <w:tcPr>
            <w:tcW w:w="1442"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rFonts w:cs="宋体"/>
                <w:sz w:val="24"/>
                <w:szCs w:val="24"/>
                <w:lang w:val="zh-CN"/>
              </w:rPr>
            </w:pPr>
            <w:r>
              <w:rPr>
                <w:rFonts w:cs="宋体" w:hint="eastAsia"/>
                <w:sz w:val="24"/>
                <w:szCs w:val="24"/>
                <w:lang w:val="zh-CN"/>
              </w:rPr>
              <w:t>配合验收方案评价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1B300F" w:rsidRDefault="004555CE">
            <w:pPr>
              <w:adjustRightInd w:val="0"/>
              <w:snapToGrid w:val="0"/>
              <w:rPr>
                <w:rFonts w:cs="宋体"/>
                <w:sz w:val="24"/>
                <w:szCs w:val="24"/>
                <w:lang w:val="zh-CN"/>
              </w:rPr>
            </w:pPr>
            <w:r>
              <w:rPr>
                <w:rFonts w:cs="宋体" w:hint="eastAsia"/>
                <w:sz w:val="24"/>
                <w:szCs w:val="24"/>
                <w:lang w:val="zh-CN"/>
              </w:rPr>
              <w:t>至少包含根据需要验收的内容，提出切实可行的验收流程。对合同规定的各项验收指标，提出明确的验收前提条件和验收依据及标准，列明需要移交和交付的各类文档及产出物。对验收中可能发现的问题，供应商应提出有效解决办法和补救措施等内容</w:t>
            </w:r>
          </w:p>
          <w:p w:rsidR="001B300F" w:rsidRDefault="004555C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1B300F" w:rsidRDefault="004555CE">
            <w:pPr>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rFonts w:hint="eastAsia"/>
                <w:kern w:val="0"/>
                <w:sz w:val="24"/>
                <w:szCs w:val="24"/>
              </w:rPr>
              <w:t>10</w:t>
            </w:r>
          </w:p>
        </w:tc>
      </w:tr>
      <w:tr w:rsidR="001B300F">
        <w:trPr>
          <w:trHeight w:val="509"/>
          <w:jc w:val="center"/>
        </w:trPr>
        <w:tc>
          <w:tcPr>
            <w:tcW w:w="9393" w:type="dxa"/>
            <w:gridSpan w:val="3"/>
            <w:tcBorders>
              <w:top w:val="single" w:sz="4" w:space="0" w:color="auto"/>
              <w:left w:val="single" w:sz="4" w:space="0" w:color="auto"/>
              <w:bottom w:val="single" w:sz="4" w:space="0" w:color="auto"/>
              <w:right w:val="single" w:sz="4" w:space="0" w:color="auto"/>
            </w:tcBorders>
            <w:noWrap/>
            <w:vAlign w:val="center"/>
          </w:tcPr>
          <w:p w:rsidR="001B300F" w:rsidRDefault="004555CE">
            <w:pPr>
              <w:widowControl/>
              <w:adjustRightInd w:val="0"/>
              <w:snapToGrid w:val="0"/>
              <w:jc w:val="center"/>
              <w:rPr>
                <w:sz w:val="24"/>
              </w:rPr>
            </w:pPr>
            <w:r>
              <w:rPr>
                <w:rFonts w:hint="eastAsia"/>
                <w:sz w:val="24"/>
              </w:rPr>
              <w:t>合计</w:t>
            </w:r>
          </w:p>
        </w:tc>
        <w:tc>
          <w:tcPr>
            <w:tcW w:w="11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adjustRightInd w:val="0"/>
              <w:snapToGrid w:val="0"/>
              <w:jc w:val="center"/>
              <w:rPr>
                <w:kern w:val="0"/>
                <w:sz w:val="24"/>
                <w:szCs w:val="24"/>
              </w:rPr>
            </w:pPr>
            <w:r>
              <w:rPr>
                <w:kern w:val="0"/>
                <w:sz w:val="24"/>
                <w:szCs w:val="24"/>
              </w:rPr>
              <w:t>100</w:t>
            </w:r>
          </w:p>
        </w:tc>
      </w:tr>
    </w:tbl>
    <w:p w:rsidR="001B300F" w:rsidRDefault="004555CE" w:rsidP="004555CE">
      <w:pPr>
        <w:spacing w:line="360" w:lineRule="auto"/>
        <w:ind w:firstLineChars="200" w:firstLine="446"/>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1B300F" w:rsidRDefault="004555CE">
      <w:pPr>
        <w:widowControl/>
        <w:jc w:val="left"/>
        <w:rPr>
          <w:sz w:val="24"/>
        </w:rPr>
      </w:pPr>
      <w:r>
        <w:rPr>
          <w:sz w:val="24"/>
        </w:rPr>
        <w:br w:type="page"/>
      </w:r>
    </w:p>
    <w:p w:rsidR="001B300F" w:rsidRDefault="004555CE">
      <w:pPr>
        <w:spacing w:line="360" w:lineRule="auto"/>
        <w:ind w:firstLine="482"/>
        <w:jc w:val="center"/>
        <w:outlineLvl w:val="0"/>
        <w:rPr>
          <w:b/>
          <w:sz w:val="24"/>
        </w:rPr>
      </w:pPr>
      <w:r>
        <w:rPr>
          <w:rFonts w:hint="eastAsia"/>
          <w:b/>
          <w:sz w:val="24"/>
        </w:rPr>
        <w:lastRenderedPageBreak/>
        <w:t>项目需求书</w:t>
      </w:r>
    </w:p>
    <w:p w:rsidR="001B300F" w:rsidRDefault="001B300F">
      <w:pPr>
        <w:spacing w:line="360" w:lineRule="auto"/>
        <w:rPr>
          <w:b/>
          <w:sz w:val="24"/>
        </w:rPr>
      </w:pP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一、采购内容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本项目涉及采购应用支撑平台、</w:t>
      </w:r>
      <w:proofErr w:type="gramStart"/>
      <w:r>
        <w:rPr>
          <w:rFonts w:ascii="宋体" w:hAnsi="宋体" w:cs="宋体" w:hint="eastAsia"/>
          <w:sz w:val="24"/>
        </w:rPr>
        <w:t>多云运维管理</w:t>
      </w:r>
      <w:proofErr w:type="gramEnd"/>
      <w:r>
        <w:rPr>
          <w:rFonts w:ascii="宋体" w:hAnsi="宋体" w:cs="宋体" w:hint="eastAsia"/>
          <w:sz w:val="24"/>
        </w:rPr>
        <w:t>平台、税务区块链基础平台、管理决策支持风险与信用系统、管理决策支持核算与分析系统、外部信息交换系统、税库</w:t>
      </w:r>
      <w:proofErr w:type="gramStart"/>
      <w:r>
        <w:rPr>
          <w:rFonts w:ascii="宋体" w:hAnsi="宋体" w:cs="宋体" w:hint="eastAsia"/>
          <w:sz w:val="24"/>
        </w:rPr>
        <w:t>银税收</w:t>
      </w:r>
      <w:proofErr w:type="gramEnd"/>
      <w:r>
        <w:rPr>
          <w:rFonts w:ascii="宋体" w:hAnsi="宋体" w:cs="宋体" w:hint="eastAsia"/>
          <w:sz w:val="24"/>
        </w:rPr>
        <w:t>收入电子缴库横向联网系统、社保费税银系统、电子印章系统、应用安全支撑平台等系统。合计购买不少于77686工时的运维服务，其中高级岗位不少于24500工时，中级岗位不少于20500工时，初级岗位不少于15000工时，其他岗位不少于17686工时。其中应用支撑平台、</w:t>
      </w:r>
      <w:proofErr w:type="gramStart"/>
      <w:r>
        <w:rPr>
          <w:rFonts w:ascii="宋体" w:hAnsi="宋体" w:cs="宋体" w:hint="eastAsia"/>
          <w:sz w:val="24"/>
        </w:rPr>
        <w:t>多云运维管理</w:t>
      </w:r>
      <w:proofErr w:type="gramEnd"/>
      <w:r>
        <w:rPr>
          <w:rFonts w:ascii="宋体" w:hAnsi="宋体" w:cs="宋体" w:hint="eastAsia"/>
          <w:sz w:val="24"/>
        </w:rPr>
        <w:t>平台、税务区块链基础平台等系统服务期限为合同规定之日起11个月，管理决策支持风险与信用系统、管理决策支持核算与分析系统、外部信息交换系统、税库</w:t>
      </w:r>
      <w:proofErr w:type="gramStart"/>
      <w:r>
        <w:rPr>
          <w:rFonts w:ascii="宋体" w:hAnsi="宋体" w:cs="宋体" w:hint="eastAsia"/>
          <w:sz w:val="24"/>
        </w:rPr>
        <w:t>银税收</w:t>
      </w:r>
      <w:proofErr w:type="gramEnd"/>
      <w:r>
        <w:rPr>
          <w:rFonts w:ascii="宋体" w:hAnsi="宋体" w:cs="宋体" w:hint="eastAsia"/>
          <w:sz w:val="24"/>
        </w:rPr>
        <w:t>收入电子缴库横向联网系统、社保费税银系统、电子印章系统、应用安全支撑平台等系统服务期限为合同规定之日起12个月。</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各系统根据工作需要安排预算，并根据实际投入据实结算。其中应用支撑平台（规则引擎和资料文书中心部分）预算占比9.3%，金税四期应用支撑平台（标签引擎和工作流工具等部分）预算占比15.9%，金税四期应用支撑平台（数据汇聚、数据治理和会计核算等部分）预算占比22.1%，</w:t>
      </w:r>
      <w:proofErr w:type="gramStart"/>
      <w:r>
        <w:rPr>
          <w:rFonts w:ascii="宋体" w:hAnsi="宋体" w:cs="宋体" w:hint="eastAsia"/>
          <w:sz w:val="24"/>
        </w:rPr>
        <w:t>多云运维管理</w:t>
      </w:r>
      <w:proofErr w:type="gramEnd"/>
      <w:r>
        <w:rPr>
          <w:rFonts w:ascii="宋体" w:hAnsi="宋体" w:cs="宋体" w:hint="eastAsia"/>
          <w:sz w:val="24"/>
        </w:rPr>
        <w:t>平台预算占比5.7%，税务区块链基础平台预算占比2.7%，管理决策支持风险与信用系统预算占比9.5%，管理决策支持核算与分析系统预算占比9.5%，外部信息交换系统预算占比9.5%，税库</w:t>
      </w:r>
      <w:proofErr w:type="gramStart"/>
      <w:r>
        <w:rPr>
          <w:rFonts w:ascii="宋体" w:hAnsi="宋体" w:cs="宋体" w:hint="eastAsia"/>
          <w:sz w:val="24"/>
        </w:rPr>
        <w:t>银税收</w:t>
      </w:r>
      <w:proofErr w:type="gramEnd"/>
      <w:r>
        <w:rPr>
          <w:rFonts w:ascii="宋体" w:hAnsi="宋体" w:cs="宋体" w:hint="eastAsia"/>
          <w:sz w:val="24"/>
        </w:rPr>
        <w:t>收入电子缴库横向联网系统预算占比3.5%，社保费税银系统预算占比3.5%，电子印章系统预算占比5.5%，应用安全支撑平台预算占比3.3%。</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需组建服务于本项目运维边界包含系统（以下简称本项目系统）的业务和技术支持团队，熟练掌握本项目系统架构、相关的使用操作流程、相关业务及常见问题的解决方法。按照总局和市局的要求，对本项目系统提供业务和技术支持服务，对可能发生的异常做到科学预判，对已经发生的问题做到及时处理，对已经解决的问题</w:t>
      </w:r>
      <w:r>
        <w:rPr>
          <w:rFonts w:ascii="宋体" w:hAnsi="宋体" w:cs="宋体" w:hint="eastAsia"/>
          <w:sz w:val="24"/>
        </w:rPr>
        <w:lastRenderedPageBreak/>
        <w:t>做到分析总结，定期出具系统运行维护报告。业务支持服务包括特有业务运维服务、业务参数变更、业务逻辑分析、业务问题处理、后台数据运维、运维知识库管理、数据统计分析以及其他业务运维工作。技术支持服务包括特有技术运维服务、运行监控、健康检查、风险排查、安全加固、系统优化、补丁升级、重大时期运行保障、故障处理、紧急情况处置、周边系统对接、系统联调测试、技术问题管理、系统迁移、系统备份与恢复以及其他技术运维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二、系统情况</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（一）现有软件系统的主要功能</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本项目涉及采购应用支撑平台、</w:t>
      </w:r>
      <w:proofErr w:type="gramStart"/>
      <w:r>
        <w:rPr>
          <w:rFonts w:ascii="宋体" w:hAnsi="宋体" w:cs="宋体" w:hint="eastAsia"/>
          <w:sz w:val="24"/>
        </w:rPr>
        <w:t>多云运维管理</w:t>
      </w:r>
      <w:proofErr w:type="gramEnd"/>
      <w:r>
        <w:rPr>
          <w:rFonts w:ascii="宋体" w:hAnsi="宋体" w:cs="宋体" w:hint="eastAsia"/>
          <w:sz w:val="24"/>
        </w:rPr>
        <w:t>平台、税务区块链基础平台、管理决策支持风险与信用系统、管理决策支持核算与分析系统、外部信息交换系统、税库</w:t>
      </w:r>
      <w:proofErr w:type="gramStart"/>
      <w:r>
        <w:rPr>
          <w:rFonts w:ascii="宋体" w:hAnsi="宋体" w:cs="宋体" w:hint="eastAsia"/>
          <w:sz w:val="24"/>
        </w:rPr>
        <w:t>银税收</w:t>
      </w:r>
      <w:proofErr w:type="gramEnd"/>
      <w:r>
        <w:rPr>
          <w:rFonts w:ascii="宋体" w:hAnsi="宋体" w:cs="宋体" w:hint="eastAsia"/>
          <w:sz w:val="24"/>
        </w:rPr>
        <w:t>收入电子缴库横向联网系统、社保费税银系统、电子印章系统、应用安全支撑平台运行维护服务。</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1.应用支撑平台是天津市税务局税收业务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该系统以薄应用、厚中台为总体架构思路，以应用低代码为目标来体现“薄”，以组件化的微服务、模型、规则、数据、接口下沉到中台为手段来体现“厚”，应用支撑平台主要分为三大部分，分别为规则引擎和资料文书中心、标签引擎和工作流工具、数据汇聚和数据治理等，功能主要分为“水上”应用以及“水下”支撑，承担了金税四期整体数据支撑业务，还包括对电子发票服务平台、全国统一规范电子税务局、税务人</w:t>
      </w:r>
      <w:proofErr w:type="gramStart"/>
      <w:r>
        <w:rPr>
          <w:rFonts w:ascii="宋体" w:hAnsi="宋体" w:cs="宋体" w:hint="eastAsia"/>
          <w:sz w:val="24"/>
        </w:rPr>
        <w:t>端慧办平台、核心征管</w:t>
      </w:r>
      <w:proofErr w:type="gramEnd"/>
      <w:r>
        <w:rPr>
          <w:rFonts w:ascii="宋体" w:hAnsi="宋体" w:cs="宋体" w:hint="eastAsia"/>
          <w:sz w:val="24"/>
        </w:rPr>
        <w:t>系统、征纳互动服务等外部系统的支撑服务。</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w:t>
      </w:r>
      <w:proofErr w:type="gramStart"/>
      <w:r>
        <w:rPr>
          <w:rFonts w:ascii="宋体" w:hAnsi="宋体" w:cs="宋体" w:hint="eastAsia"/>
          <w:sz w:val="24"/>
        </w:rPr>
        <w:t>多云运维管理</w:t>
      </w:r>
      <w:proofErr w:type="gramEnd"/>
      <w:r>
        <w:rPr>
          <w:rFonts w:ascii="宋体" w:hAnsi="宋体" w:cs="宋体" w:hint="eastAsia"/>
          <w:sz w:val="24"/>
        </w:rPr>
        <w:t>平台是天津市税务局税收行政</w:t>
      </w:r>
      <w:proofErr w:type="gramStart"/>
      <w:r>
        <w:rPr>
          <w:rFonts w:ascii="宋体" w:hAnsi="宋体" w:cs="宋体" w:hint="eastAsia"/>
          <w:sz w:val="24"/>
        </w:rPr>
        <w:t>类核心</w:t>
      </w:r>
      <w:proofErr w:type="gramEnd"/>
      <w:r>
        <w:rPr>
          <w:rFonts w:ascii="宋体" w:hAnsi="宋体" w:cs="宋体" w:hint="eastAsia"/>
          <w:sz w:val="24"/>
        </w:rPr>
        <w:t>系统之一，承担了天津市税务局金税三期、金税四期运维一体化业务。</w:t>
      </w:r>
      <w:proofErr w:type="gramStart"/>
      <w:r>
        <w:rPr>
          <w:rFonts w:ascii="宋体" w:hAnsi="宋体" w:cs="宋体" w:hint="eastAsia"/>
          <w:sz w:val="24"/>
        </w:rPr>
        <w:t>多云运维管理平台采用总省</w:t>
      </w:r>
      <w:proofErr w:type="gramEnd"/>
      <w:r>
        <w:rPr>
          <w:rFonts w:ascii="宋体" w:hAnsi="宋体" w:cs="宋体" w:hint="eastAsia"/>
          <w:sz w:val="24"/>
        </w:rPr>
        <w:t>两级部署，省局</w:t>
      </w:r>
      <w:proofErr w:type="gramStart"/>
      <w:r>
        <w:rPr>
          <w:rFonts w:ascii="宋体" w:hAnsi="宋体" w:cs="宋体" w:hint="eastAsia"/>
          <w:sz w:val="24"/>
        </w:rPr>
        <w:t>多云运维管理</w:t>
      </w:r>
      <w:proofErr w:type="gramEnd"/>
      <w:r>
        <w:rPr>
          <w:rFonts w:ascii="宋体" w:hAnsi="宋体" w:cs="宋体" w:hint="eastAsia"/>
          <w:sz w:val="24"/>
        </w:rPr>
        <w:t>平台包括1个门户、7个中心（分别为运维门户、监控中心、告警中心、流程中心、配置中心、作业中心、日志中心、知识中心），包括运维服务流程、综合监控和统一运维门户等功能，实现运维要素（制度、人员、工具）的统一管理和运</w:t>
      </w:r>
      <w:r>
        <w:rPr>
          <w:rFonts w:ascii="宋体" w:hAnsi="宋体" w:cs="宋体" w:hint="eastAsia"/>
          <w:sz w:val="24"/>
        </w:rPr>
        <w:lastRenderedPageBreak/>
        <w:t>维信息（人员、监控、工单、配置、版本、补丁、知识）的集中管理，实现运</w:t>
      </w:r>
      <w:proofErr w:type="gramStart"/>
      <w:r>
        <w:rPr>
          <w:rFonts w:ascii="宋体" w:hAnsi="宋体" w:cs="宋体" w:hint="eastAsia"/>
          <w:sz w:val="24"/>
        </w:rPr>
        <w:t>维工作</w:t>
      </w:r>
      <w:proofErr w:type="gramEnd"/>
      <w:r>
        <w:rPr>
          <w:rFonts w:ascii="宋体" w:hAnsi="宋体" w:cs="宋体" w:hint="eastAsia"/>
          <w:sz w:val="24"/>
        </w:rPr>
        <w:t>开展统一入口、运</w:t>
      </w:r>
      <w:proofErr w:type="gramStart"/>
      <w:r>
        <w:rPr>
          <w:rFonts w:ascii="宋体" w:hAnsi="宋体" w:cs="宋体" w:hint="eastAsia"/>
          <w:sz w:val="24"/>
        </w:rPr>
        <w:t>维问题</w:t>
      </w:r>
      <w:proofErr w:type="gramEnd"/>
      <w:r>
        <w:rPr>
          <w:rFonts w:ascii="宋体" w:hAnsi="宋体" w:cs="宋体" w:hint="eastAsia"/>
          <w:sz w:val="24"/>
        </w:rPr>
        <w:t>处理统一流程、多云异构资源统一管理、系统运行情况统一监控的运维一体化管理，支撑省局规范、有序、高效开展各金</w:t>
      </w:r>
      <w:proofErr w:type="gramStart"/>
      <w:r>
        <w:rPr>
          <w:rFonts w:ascii="宋体" w:hAnsi="宋体" w:cs="宋体" w:hint="eastAsia"/>
          <w:sz w:val="24"/>
        </w:rPr>
        <w:t>四系统运</w:t>
      </w:r>
      <w:proofErr w:type="gramEnd"/>
      <w:r>
        <w:rPr>
          <w:rFonts w:ascii="宋体" w:hAnsi="宋体" w:cs="宋体" w:hint="eastAsia"/>
          <w:sz w:val="24"/>
        </w:rPr>
        <w:t>维工作，并与税务总局实时交互监控信息。</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3.税务区块链基础平台是天津市税务局税收业务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系统之一，是推动税费业务与区块链技术的融合创新应用，可持续巩固税务区块链应用试点工作成果，构建自主可控、创新发展的税务区块链应用生态。</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4.管理决策支持风险与信用系统是天津市税务局税收业务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承担了天津市税务局数据分析业务，包括风险管理系统，跨区域税收风险管理协作，纳税信用管理系统，涉税专业服务信用评价系统，税务稽查指挥管理应用系统，稽查双随机工作平台，土地增值税预评估系统，增值税发票全链条快反监控系统，留抵退税风险防控系统，出口</w:t>
      </w:r>
      <w:proofErr w:type="gramStart"/>
      <w:r>
        <w:rPr>
          <w:rFonts w:ascii="宋体" w:hAnsi="宋体" w:cs="宋体" w:hint="eastAsia"/>
          <w:sz w:val="24"/>
        </w:rPr>
        <w:t>退税风控系统</w:t>
      </w:r>
      <w:proofErr w:type="gramEnd"/>
      <w:r>
        <w:rPr>
          <w:rFonts w:ascii="宋体" w:hAnsi="宋体" w:cs="宋体" w:hint="eastAsia"/>
          <w:sz w:val="24"/>
        </w:rPr>
        <w:t>，征管质量5C监控评价系统，企业所得税汇算清缴（预缴）政策风险提示服务，企业所得税税前扣除凭证（发票）风险，成品油消费税监管平台，企业所得税汇算清缴政策风险提示服务等，为税务人员和纳税人提供服务。管理决策支持风险与信用系统是金税三期工程第二阶段建设的四大平台之一，通过搭建总局和省级两级应用环境，实现数据的集中存储、上下交流与共享，满足总局和各地当前急需、成熟、稳定的数据利用工作要求。并能依托此平台，按照统分结合的原则，不断拓展和丰富总局及各地的资源分析应用与全面管理，并按照金税三期工程第二阶段建设标准和进展要求，逐步建设形成金税三期管理决策支持环境，逐步接管税务系统全部的数据分析利用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5.管理决策支持核算与分析系统是天津市税务局税收业务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是金税三期的重要组成部分，是基于“数据仓库”基础，根据税务机关目标需求和管理要求对数据进行归类、分析、统计、核算，生成各类查询表单、税收报表、分析报告等。实现了数据管理、数据挖掘、数据分析以及数据决策一体化，实现一户式查询。主要</w:t>
      </w:r>
      <w:r>
        <w:rPr>
          <w:rFonts w:ascii="宋体" w:hAnsi="宋体" w:cs="宋体" w:hint="eastAsia"/>
          <w:sz w:val="24"/>
        </w:rPr>
        <w:lastRenderedPageBreak/>
        <w:t>包括子系统：查询统计、报表管理、征管状况分析。承担了天津市税务局办理涉税业务、</w:t>
      </w:r>
      <w:proofErr w:type="gramStart"/>
      <w:r>
        <w:rPr>
          <w:rFonts w:ascii="宋体" w:hAnsi="宋体" w:cs="宋体" w:hint="eastAsia"/>
          <w:sz w:val="24"/>
        </w:rPr>
        <w:t>涉费业务</w:t>
      </w:r>
      <w:proofErr w:type="gramEnd"/>
      <w:r>
        <w:rPr>
          <w:rFonts w:ascii="宋体" w:hAnsi="宋体" w:cs="宋体" w:hint="eastAsia"/>
          <w:sz w:val="24"/>
        </w:rPr>
        <w:t>、税收统计分析查询专业性强、覆盖面宽、集成系统多，日常升级、维护、数据处理等工作。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6.外部信息交换系统是天津市税务局税收业务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系统之一，承担了天津市税务局与外部门之间的数据交互工作，专业性强、覆盖面宽、集成系统多，日常升级、维护、数据处理等工作。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7.税库</w:t>
      </w:r>
      <w:proofErr w:type="gramStart"/>
      <w:r>
        <w:rPr>
          <w:rFonts w:ascii="宋体" w:hAnsi="宋体" w:cs="宋体" w:hint="eastAsia"/>
          <w:sz w:val="24"/>
        </w:rPr>
        <w:t>银税收</w:t>
      </w:r>
      <w:proofErr w:type="gramEnd"/>
      <w:r>
        <w:rPr>
          <w:rFonts w:ascii="宋体" w:hAnsi="宋体" w:cs="宋体" w:hint="eastAsia"/>
          <w:sz w:val="24"/>
        </w:rPr>
        <w:t>收入电子缴库横向联网系统是天津市税务局税收业务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系统之一，承担了天津市税务局税收电子缴款和退款业务。</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8.社保费税银系统是天津市税务局税收业务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系统之一，是天津市税务局系统办理社保费征缴业务的信息平台，专业性强、覆盖面宽、集成系统多，日常升级、维护、数据处理等工作。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9.电子印章系统是天津市税务局税收业务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系统之一，为天津市税务局增值税发票管理系统、电子税务局、自然人电子税务局等提供电子印章服务，实现电子印章签发、版式文件签章、电子印章相互认证等功能。</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10.应用安全支撑平台是天津市税务局税收业务</w:t>
      </w:r>
      <w:proofErr w:type="gramStart"/>
      <w:r>
        <w:rPr>
          <w:rFonts w:ascii="宋体" w:hAnsi="宋体" w:cs="宋体" w:hint="eastAsia"/>
          <w:sz w:val="24"/>
        </w:rPr>
        <w:t>类核心</w:t>
      </w:r>
      <w:proofErr w:type="gramEnd"/>
      <w:r>
        <w:rPr>
          <w:rFonts w:ascii="宋体" w:hAnsi="宋体" w:cs="宋体" w:hint="eastAsia"/>
          <w:sz w:val="24"/>
        </w:rPr>
        <w:t>系统之一，承担了天津市税务局税收和社</w:t>
      </w:r>
      <w:proofErr w:type="gramStart"/>
      <w:r>
        <w:rPr>
          <w:rFonts w:ascii="宋体" w:hAnsi="宋体" w:cs="宋体" w:hint="eastAsia"/>
          <w:sz w:val="24"/>
        </w:rPr>
        <w:t>保费征收</w:t>
      </w:r>
      <w:proofErr w:type="gramEnd"/>
      <w:r>
        <w:rPr>
          <w:rFonts w:ascii="宋体" w:hAnsi="宋体" w:cs="宋体" w:hint="eastAsia"/>
          <w:sz w:val="24"/>
        </w:rPr>
        <w:t>业务支撑业务，包括统一用户管理、统一身份认证、单点登录等功能，为金税三期税收管理系统和社保费征管信息系统（标准版）提供服务。</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（二）业务和技术体系架构及部署</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1.应用支撑平台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应用支撑平台主要分为三大部分，分别为规则引擎和资料文书中心、标签引擎和工作流工具、数据汇聚和数据治理等，包括生产环境和</w:t>
      </w:r>
      <w:proofErr w:type="gramStart"/>
      <w:r>
        <w:rPr>
          <w:rFonts w:ascii="宋体" w:hAnsi="宋体" w:cs="宋体" w:hint="eastAsia"/>
          <w:sz w:val="24"/>
        </w:rPr>
        <w:t>预生产</w:t>
      </w:r>
      <w:proofErr w:type="gramEnd"/>
      <w:r>
        <w:rPr>
          <w:rFonts w:ascii="宋体" w:hAnsi="宋体" w:cs="宋体" w:hint="eastAsia"/>
          <w:sz w:val="24"/>
        </w:rPr>
        <w:t>环境，共使用494台服务器，包括生产服务器402台、</w:t>
      </w:r>
      <w:proofErr w:type="gramStart"/>
      <w:r>
        <w:rPr>
          <w:rFonts w:ascii="宋体" w:hAnsi="宋体" w:cs="宋体" w:hint="eastAsia"/>
          <w:sz w:val="24"/>
        </w:rPr>
        <w:t>预生产</w:t>
      </w:r>
      <w:proofErr w:type="gramEnd"/>
      <w:r>
        <w:rPr>
          <w:rFonts w:ascii="宋体" w:hAnsi="宋体" w:cs="宋体" w:hint="eastAsia"/>
          <w:sz w:val="24"/>
        </w:rPr>
        <w:t>服务器92台，</w:t>
      </w:r>
      <w:proofErr w:type="gramStart"/>
      <w:r>
        <w:rPr>
          <w:rFonts w:ascii="宋体" w:hAnsi="宋体" w:cs="宋体" w:hint="eastAsia"/>
          <w:sz w:val="24"/>
        </w:rPr>
        <w:t>含应用</w:t>
      </w:r>
      <w:proofErr w:type="gramEnd"/>
      <w:r>
        <w:rPr>
          <w:rFonts w:ascii="宋体" w:hAnsi="宋体" w:cs="宋体" w:hint="eastAsia"/>
          <w:sz w:val="24"/>
        </w:rPr>
        <w:t>服务器313台、数据库服务器132台、其他软件服务器49台等。该系统主要功能包括运营治理、CSP增量文件维护、链路监控、业务对账、数据对账、结构对账、元数据采集、数据质量维护、数</w:t>
      </w:r>
      <w:r>
        <w:rPr>
          <w:rFonts w:ascii="宋体" w:hAnsi="宋体" w:cs="宋体" w:hint="eastAsia"/>
          <w:sz w:val="24"/>
        </w:rPr>
        <w:lastRenderedPageBreak/>
        <w:t>据资产维护、业务可视化监控、嵌入式数据自治、数字账户、规则引擎、资料文书中心、网格化引擎、</w:t>
      </w:r>
      <w:proofErr w:type="gramStart"/>
      <w:r>
        <w:rPr>
          <w:rFonts w:ascii="宋体" w:hAnsi="宋体" w:cs="宋体" w:hint="eastAsia"/>
          <w:sz w:val="24"/>
        </w:rPr>
        <w:t>一</w:t>
      </w:r>
      <w:proofErr w:type="gramEnd"/>
      <w:r>
        <w:rPr>
          <w:rFonts w:ascii="宋体" w:hAnsi="宋体" w:cs="宋体" w:hint="eastAsia"/>
          <w:sz w:val="24"/>
        </w:rPr>
        <w:t>体式、</w:t>
      </w:r>
      <w:proofErr w:type="gramStart"/>
      <w:r>
        <w:rPr>
          <w:rFonts w:ascii="宋体" w:hAnsi="宋体" w:cs="宋体" w:hint="eastAsia"/>
          <w:sz w:val="24"/>
        </w:rPr>
        <w:t>助信码</w:t>
      </w:r>
      <w:proofErr w:type="gramEnd"/>
      <w:r>
        <w:rPr>
          <w:rFonts w:ascii="宋体" w:hAnsi="宋体" w:cs="宋体" w:hint="eastAsia"/>
          <w:sz w:val="24"/>
        </w:rPr>
        <w:t>、</w:t>
      </w:r>
      <w:proofErr w:type="gramStart"/>
      <w:r>
        <w:rPr>
          <w:rFonts w:ascii="宋体" w:hAnsi="宋体" w:cs="宋体" w:hint="eastAsia"/>
          <w:sz w:val="24"/>
        </w:rPr>
        <w:t>税智法</w:t>
      </w:r>
      <w:proofErr w:type="gramEnd"/>
      <w:r>
        <w:rPr>
          <w:rFonts w:ascii="宋体" w:hAnsi="宋体" w:cs="宋体" w:hint="eastAsia"/>
          <w:sz w:val="24"/>
        </w:rPr>
        <w:t>、智慧监督等功能。具体边界如下：</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（1）规则引擎和资料文书中心等部分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①平台自身服务：数字账户（包括分账户概览、账户查询、集团内控、日常理税、APP支撑等）、</w:t>
      </w:r>
      <w:proofErr w:type="gramStart"/>
      <w:r>
        <w:rPr>
          <w:rFonts w:ascii="宋体" w:hAnsi="宋体" w:cs="宋体" w:hint="eastAsia"/>
          <w:sz w:val="24"/>
        </w:rPr>
        <w:t>一</w:t>
      </w:r>
      <w:proofErr w:type="gramEnd"/>
      <w:r>
        <w:rPr>
          <w:rFonts w:ascii="宋体" w:hAnsi="宋体" w:cs="宋体" w:hint="eastAsia"/>
          <w:sz w:val="24"/>
        </w:rPr>
        <w:t>体式应用（包括一户式查询分析、网格化服务管理、风险管理、内控督导、绩效考评、纪律监督等）、规则引擎、资料文书中心、网格化引擎维护等功能。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②支撑电子发票服务平台：应用接口不少于65个（包括发票赋额、蓝字发票开具等）、指标计算加工服务不少于62个（包括初始授信、动态授信等）、kafka实时标签加工不少于15个。</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支撑新电子税务局：应用接口不少于422个（包括新办纳税人智能开业、应申报待办等）、数据加工任务不少于1493个（包括申报数据预填、相关风险监控指标等）、标签加工任务不少于156个、公共主题层数据加工任务不少于427个、专题模型层数据加工任务不少于223个（涉及税务注销、清税申报、土地增值税项目信息报告、一般纳税人增值税及附加税费申报、增值税留抵抵欠、土地转让申报、房土税源明细等业务事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④支撑核心征管：应用接口不少于14个（包括发票领用、票种核定、最高开票限额、发票验交旧、注销税务登记、跨省迁移等）；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⑤支撑征纳互动：应用接口（包括赋额变化提醒、发票超额提醒等）、消息推送。</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（2）标签引擎和工作流工具等部分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①平台自身服务：数字账户（涉及账户查询和日</w:t>
      </w:r>
      <w:proofErr w:type="gramStart"/>
      <w:r>
        <w:rPr>
          <w:rFonts w:ascii="宋体" w:hAnsi="宋体" w:cs="宋体" w:hint="eastAsia"/>
          <w:sz w:val="24"/>
        </w:rPr>
        <w:t>常理税</w:t>
      </w:r>
      <w:proofErr w:type="gramEnd"/>
      <w:r>
        <w:rPr>
          <w:rFonts w:ascii="宋体" w:hAnsi="宋体" w:cs="宋体" w:hint="eastAsia"/>
          <w:sz w:val="24"/>
        </w:rPr>
        <w:t>两大业务，包括纳税信用、财务报表、企业所得税申报查询等高频业务），为“开票数据统计及发票领用查询”等功能提供数据支撑。</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w:t>
      </w:r>
      <w:proofErr w:type="gramStart"/>
      <w:r>
        <w:rPr>
          <w:rFonts w:ascii="宋体" w:hAnsi="宋体" w:cs="宋体" w:hint="eastAsia"/>
          <w:sz w:val="24"/>
        </w:rPr>
        <w:t>一</w:t>
      </w:r>
      <w:proofErr w:type="gramEnd"/>
      <w:r>
        <w:rPr>
          <w:rFonts w:ascii="宋体" w:hAnsi="宋体" w:cs="宋体" w:hint="eastAsia"/>
          <w:sz w:val="24"/>
        </w:rPr>
        <w:t>体式风险管理：包含常规风评及TBDS环境下指标模型加载推送、</w:t>
      </w:r>
      <w:proofErr w:type="gramStart"/>
      <w:r>
        <w:rPr>
          <w:rFonts w:ascii="宋体" w:hAnsi="宋体" w:cs="宋体" w:hint="eastAsia"/>
          <w:sz w:val="24"/>
        </w:rPr>
        <w:t>一</w:t>
      </w:r>
      <w:proofErr w:type="gramEnd"/>
      <w:r>
        <w:rPr>
          <w:rFonts w:ascii="宋体" w:hAnsi="宋体" w:cs="宋体" w:hint="eastAsia"/>
          <w:sz w:val="24"/>
        </w:rPr>
        <w:t>体式风险的应对环节、动态信用等级、信用白名单、赋额及开票风险等级、发票赋额、开票预</w:t>
      </w:r>
      <w:r>
        <w:rPr>
          <w:rFonts w:ascii="宋体" w:hAnsi="宋体" w:cs="宋体" w:hint="eastAsia"/>
          <w:sz w:val="24"/>
        </w:rPr>
        <w:lastRenderedPageBreak/>
        <w:t>警，税企智功能（</w:t>
      </w:r>
      <w:proofErr w:type="gramStart"/>
      <w:r>
        <w:rPr>
          <w:rFonts w:ascii="宋体" w:hAnsi="宋体" w:cs="宋体" w:hint="eastAsia"/>
          <w:sz w:val="24"/>
        </w:rPr>
        <w:t>包括阅帐工具</w:t>
      </w:r>
      <w:proofErr w:type="gramEnd"/>
      <w:r>
        <w:rPr>
          <w:rFonts w:ascii="宋体" w:hAnsi="宋体" w:cs="宋体" w:hint="eastAsia"/>
          <w:sz w:val="24"/>
        </w:rPr>
        <w:t>、大企业风险应对等），对外接口服务9个、风险指标模型92个。</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③支撑电子发票服务平台：支撑</w:t>
      </w:r>
      <w:proofErr w:type="gramStart"/>
      <w:r>
        <w:rPr>
          <w:rFonts w:ascii="宋体" w:hAnsi="宋体" w:cs="宋体" w:hint="eastAsia"/>
          <w:sz w:val="24"/>
        </w:rPr>
        <w:t>数电票</w:t>
      </w:r>
      <w:proofErr w:type="gramEnd"/>
      <w:r>
        <w:rPr>
          <w:rFonts w:ascii="宋体" w:hAnsi="宋体" w:cs="宋体" w:hint="eastAsia"/>
          <w:sz w:val="24"/>
        </w:rPr>
        <w:t>动态信用、预警级别及赋额类别等业务的指标加工、负面清单管理、发票赋</w:t>
      </w:r>
      <w:proofErr w:type="gramStart"/>
      <w:r>
        <w:rPr>
          <w:rFonts w:ascii="宋体" w:hAnsi="宋体" w:cs="宋体" w:hint="eastAsia"/>
          <w:sz w:val="24"/>
        </w:rPr>
        <w:t>额业务</w:t>
      </w:r>
      <w:proofErr w:type="gramEnd"/>
      <w:r>
        <w:rPr>
          <w:rFonts w:ascii="宋体" w:hAnsi="宋体" w:cs="宋体" w:hint="eastAsia"/>
          <w:sz w:val="24"/>
        </w:rPr>
        <w:t>对账平台、建模工具、工作流ETL数据加工等，对外接口服务不少于28个（包括纳税人授信类别查询接口等），风险指标模型不少于102个，数据加工作业流不少于11个。</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支撑新电子税务局：包含征管风险计算、标签引擎、工作流等应用、申报预填接口服务、日常数据加工和指标计算服务，对外接口服务不少于109个（包括查询纳税人动态信用等级、查询标签分类与标签属性、查询工作流任务、查询征期日历、小规模纳税人增值税申报预填等），TDMQ消息推送不少于115个（包括财务会计制度及核算软件提醒、汇总纳税报告办理提醒、税收优惠资格逾期提醒等），风险指标模型不少于1198个（包括主题层和基础层不少于465项加工任务，专题层不少于185项加工任务），关联关系不少于244项（包括接口类不少于105项、消息类不少于139项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⑤支撑核心征管：接口服务不少于14个（包括发票领用代开扫描结果、发票风险评定等级、工商简易注销、动态信用等级信息、动态风险信息、重点税源监控企业等）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（3）数据汇聚和数据治理等部分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①数据汇聚：省局汇聚区作为天津市税务局金税四期唯一的数据汇聚地，汇聚了15个业务及分析系统共不少于10000+张表，包括核心征管、外部交换、社保费、督察</w:t>
      </w:r>
      <w:proofErr w:type="gramStart"/>
      <w:r>
        <w:rPr>
          <w:rFonts w:ascii="宋体" w:hAnsi="宋体" w:cs="宋体" w:hint="eastAsia"/>
          <w:sz w:val="24"/>
        </w:rPr>
        <w:t>内审等金三统推系统</w:t>
      </w:r>
      <w:proofErr w:type="gramEnd"/>
      <w:r>
        <w:rPr>
          <w:rFonts w:ascii="宋体" w:hAnsi="宋体" w:cs="宋体" w:hint="eastAsia"/>
          <w:sz w:val="24"/>
        </w:rPr>
        <w:t>，以及</w:t>
      </w:r>
      <w:proofErr w:type="gramStart"/>
      <w:r>
        <w:rPr>
          <w:rFonts w:ascii="宋体" w:hAnsi="宋体" w:cs="宋体" w:hint="eastAsia"/>
          <w:sz w:val="24"/>
        </w:rPr>
        <w:t>数电发票</w:t>
      </w:r>
      <w:proofErr w:type="gramEnd"/>
      <w:r>
        <w:rPr>
          <w:rFonts w:ascii="宋体" w:hAnsi="宋体" w:cs="宋体" w:hint="eastAsia"/>
          <w:sz w:val="24"/>
        </w:rPr>
        <w:t>、可信身份、新电子税务局、税务人端、征纳互动等金四新建系统。为中间层、模型层数据加工提供基础数据，为下游系统提供不同方式的数据支撑。汇聚区省局端共建设数据汇聚和数据供应链路不少于60+条。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②数据治理：包括数据资产管理、元数据管理、数据模型管理等模块。</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A.元数据管理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对接金税四期各系统，完成各类数据资产元数据信息的收集、存储和维护，为数</w:t>
      </w:r>
      <w:r>
        <w:rPr>
          <w:rFonts w:ascii="宋体" w:hAnsi="宋体" w:cs="宋体" w:hint="eastAsia"/>
          <w:sz w:val="24"/>
        </w:rPr>
        <w:lastRenderedPageBreak/>
        <w:t>据资产提供基础数据（包括数据元标准、数据模型、数据质量规则、服务接口、服务规则、服务指标、消息待办、业务需求、关联关系等）。元数据采集主要</w:t>
      </w:r>
      <w:proofErr w:type="gramStart"/>
      <w:r>
        <w:rPr>
          <w:rFonts w:ascii="宋体" w:hAnsi="宋体" w:cs="宋体" w:hint="eastAsia"/>
          <w:sz w:val="24"/>
        </w:rPr>
        <w:t>包括税智撑</w:t>
      </w:r>
      <w:proofErr w:type="gramEnd"/>
      <w:r>
        <w:rPr>
          <w:rFonts w:ascii="宋体" w:hAnsi="宋体" w:cs="宋体" w:hint="eastAsia"/>
          <w:sz w:val="24"/>
        </w:rPr>
        <w:t>、新电子税务局、</w:t>
      </w:r>
      <w:proofErr w:type="gramStart"/>
      <w:r>
        <w:rPr>
          <w:rFonts w:ascii="宋体" w:hAnsi="宋体" w:cs="宋体" w:hint="eastAsia"/>
          <w:sz w:val="24"/>
        </w:rPr>
        <w:t>电票平台</w:t>
      </w:r>
      <w:proofErr w:type="gramEnd"/>
      <w:r>
        <w:rPr>
          <w:rFonts w:ascii="宋体" w:hAnsi="宋体" w:cs="宋体" w:hint="eastAsia"/>
          <w:sz w:val="24"/>
        </w:rPr>
        <w:t>、税务人端等系统不少于80余个数据库。</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B.数据模型管理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对新增和存量数据模型标准检查，产出模型质量规范性检查报告、跟踪模型整改情况、为数据模型管理决策提供数据支持。</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C.数据资产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对各系统、各类型数据资产进行资产收集（包括资产盘点、资产分类、资产目录、资产检索、资产导出等），目前数据资产包括数据库表（省局端不少于30297张）、数据元标准（不少于6280个）、数据质量规则（不少于50个）、数据链路（不少于183条）、关联关系（不少于17个）、服务接口（不少于2759个）、服务指标（不少于3708个）、服务标签（不少于308个）、消息待办(省局端不少于5392个），服务规则（不少于44个）。</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③支撑其他系统，包括</w:t>
      </w:r>
      <w:proofErr w:type="gramStart"/>
      <w:r>
        <w:rPr>
          <w:rFonts w:ascii="宋体" w:hAnsi="宋体" w:cs="宋体" w:hint="eastAsia"/>
          <w:sz w:val="24"/>
        </w:rPr>
        <w:t>数电票</w:t>
      </w:r>
      <w:proofErr w:type="gramEnd"/>
      <w:r>
        <w:rPr>
          <w:rFonts w:ascii="宋体" w:hAnsi="宋体" w:cs="宋体" w:hint="eastAsia"/>
          <w:sz w:val="24"/>
        </w:rPr>
        <w:t>、新电子税务局等其他业务系统数据和接口服务。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④收入规划核算：包括收入预测、</w:t>
      </w:r>
      <w:proofErr w:type="gramStart"/>
      <w:r>
        <w:rPr>
          <w:rFonts w:ascii="宋体" w:hAnsi="宋体" w:cs="宋体" w:hint="eastAsia"/>
          <w:sz w:val="24"/>
        </w:rPr>
        <w:t>税收月快报</w:t>
      </w:r>
      <w:proofErr w:type="gramEnd"/>
      <w:r>
        <w:rPr>
          <w:rFonts w:ascii="宋体" w:hAnsi="宋体" w:cs="宋体" w:hint="eastAsia"/>
          <w:sz w:val="24"/>
        </w:rPr>
        <w:t>、会统核算、会计监督、综合报表系统等功能。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（4）对接系统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应用支撑平台周边对接系统主要包括电子发票服务平台、税务人</w:t>
      </w:r>
      <w:proofErr w:type="gramStart"/>
      <w:r>
        <w:rPr>
          <w:rFonts w:ascii="宋体" w:hAnsi="宋体" w:cs="宋体" w:hint="eastAsia"/>
          <w:sz w:val="24"/>
        </w:rPr>
        <w:t>端慧办平台</w:t>
      </w:r>
      <w:proofErr w:type="gramEnd"/>
      <w:r>
        <w:rPr>
          <w:rFonts w:ascii="宋体" w:hAnsi="宋体" w:cs="宋体" w:hint="eastAsia"/>
          <w:sz w:val="24"/>
        </w:rPr>
        <w:t>、全国统一规范电子税务局、统一身份管理平台、征纳互动服务、</w:t>
      </w:r>
      <w:proofErr w:type="gramStart"/>
      <w:r>
        <w:rPr>
          <w:rFonts w:ascii="宋体" w:hAnsi="宋体" w:cs="宋体" w:hint="eastAsia"/>
          <w:sz w:val="24"/>
        </w:rPr>
        <w:t>多云运维管理</w:t>
      </w:r>
      <w:proofErr w:type="gramEnd"/>
      <w:r>
        <w:rPr>
          <w:rFonts w:ascii="宋体" w:hAnsi="宋体" w:cs="宋体" w:hint="eastAsia"/>
          <w:sz w:val="24"/>
        </w:rPr>
        <w:t>平台、</w:t>
      </w:r>
      <w:proofErr w:type="gramStart"/>
      <w:r>
        <w:rPr>
          <w:rFonts w:ascii="宋体" w:hAnsi="宋体" w:cs="宋体" w:hint="eastAsia"/>
          <w:sz w:val="24"/>
        </w:rPr>
        <w:t>核心征管</w:t>
      </w:r>
      <w:proofErr w:type="gramEnd"/>
      <w:r>
        <w:rPr>
          <w:rFonts w:ascii="宋体" w:hAnsi="宋体" w:cs="宋体" w:hint="eastAsia"/>
          <w:sz w:val="24"/>
        </w:rPr>
        <w:t>系统、管理决策支持核算与分析系统、管理决策支持风险与信用系统、税务系统内部控制监督平台、税库</w:t>
      </w:r>
      <w:proofErr w:type="gramStart"/>
      <w:r>
        <w:rPr>
          <w:rFonts w:ascii="宋体" w:hAnsi="宋体" w:cs="宋体" w:hint="eastAsia"/>
          <w:sz w:val="24"/>
        </w:rPr>
        <w:t>银税收</w:t>
      </w:r>
      <w:proofErr w:type="gramEnd"/>
      <w:r>
        <w:rPr>
          <w:rFonts w:ascii="宋体" w:hAnsi="宋体" w:cs="宋体" w:hint="eastAsia"/>
          <w:sz w:val="24"/>
        </w:rPr>
        <w:t>收入电子缴库横向联网系统、外部信息交换系统、社保费管理系统、社</w:t>
      </w:r>
      <w:proofErr w:type="gramStart"/>
      <w:r>
        <w:rPr>
          <w:rFonts w:ascii="宋体" w:hAnsi="宋体" w:cs="宋体" w:hint="eastAsia"/>
          <w:sz w:val="24"/>
        </w:rPr>
        <w:t>保费征收</w:t>
      </w:r>
      <w:proofErr w:type="gramEnd"/>
      <w:r>
        <w:rPr>
          <w:rFonts w:ascii="宋体" w:hAnsi="宋体" w:cs="宋体" w:hint="eastAsia"/>
          <w:sz w:val="24"/>
        </w:rPr>
        <w:t>系统、增值税发票税控系统、增值税发票电子底账系统、实名办税监控系统等。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w:t>
      </w:r>
      <w:proofErr w:type="gramStart"/>
      <w:r>
        <w:rPr>
          <w:rFonts w:ascii="宋体" w:hAnsi="宋体" w:cs="宋体" w:hint="eastAsia"/>
          <w:sz w:val="24"/>
        </w:rPr>
        <w:t>多云运维管理</w:t>
      </w:r>
      <w:proofErr w:type="gramEnd"/>
      <w:r>
        <w:rPr>
          <w:rFonts w:ascii="宋体" w:hAnsi="宋体" w:cs="宋体" w:hint="eastAsia"/>
          <w:sz w:val="24"/>
        </w:rPr>
        <w:t>平台</w:t>
      </w:r>
    </w:p>
    <w:p w:rsidR="001B300F" w:rsidRDefault="004555CE" w:rsidP="004555CE">
      <w:pPr>
        <w:spacing w:line="360" w:lineRule="auto"/>
        <w:ind w:firstLineChars="200" w:firstLine="446"/>
        <w:rPr>
          <w:rFonts w:ascii="宋体" w:hAnsi="宋体" w:cs="宋体"/>
          <w:sz w:val="24"/>
        </w:rPr>
      </w:pPr>
      <w:proofErr w:type="gramStart"/>
      <w:r>
        <w:rPr>
          <w:rFonts w:ascii="宋体" w:hAnsi="宋体" w:cs="宋体" w:hint="eastAsia"/>
          <w:sz w:val="24"/>
        </w:rPr>
        <w:lastRenderedPageBreak/>
        <w:t>多云运维管理</w:t>
      </w:r>
      <w:proofErr w:type="gramEnd"/>
      <w:r>
        <w:rPr>
          <w:rFonts w:ascii="宋体" w:hAnsi="宋体" w:cs="宋体" w:hint="eastAsia"/>
          <w:sz w:val="24"/>
        </w:rPr>
        <w:t>平台包括生产环境服务器22台，含数据库服务器5台、其他软件服务器17台等。该系统包含103个功能模块，主要为服务</w:t>
      </w:r>
      <w:proofErr w:type="gramStart"/>
      <w:r>
        <w:rPr>
          <w:rFonts w:ascii="宋体" w:hAnsi="宋体" w:cs="宋体" w:hint="eastAsia"/>
          <w:sz w:val="24"/>
        </w:rPr>
        <w:t>流程工</w:t>
      </w:r>
      <w:proofErr w:type="gramEnd"/>
      <w:r>
        <w:rPr>
          <w:rFonts w:ascii="宋体" w:hAnsi="宋体" w:cs="宋体" w:hint="eastAsia"/>
          <w:sz w:val="24"/>
        </w:rPr>
        <w:t>单功能、综合监控功能、知识库功能、补丁下载功能、监控大屏功能、故障案例功能、统计分析功能、工</w:t>
      </w:r>
      <w:proofErr w:type="gramStart"/>
      <w:r>
        <w:rPr>
          <w:rFonts w:ascii="宋体" w:hAnsi="宋体" w:cs="宋体" w:hint="eastAsia"/>
          <w:sz w:val="24"/>
        </w:rPr>
        <w:t>单统计</w:t>
      </w:r>
      <w:proofErr w:type="gramEnd"/>
      <w:r>
        <w:rPr>
          <w:rFonts w:ascii="宋体" w:hAnsi="宋体" w:cs="宋体" w:hint="eastAsia"/>
          <w:sz w:val="24"/>
        </w:rPr>
        <w:t>功能等。</w:t>
      </w:r>
    </w:p>
    <w:p w:rsidR="001B300F" w:rsidRDefault="004555CE" w:rsidP="004555CE">
      <w:pPr>
        <w:spacing w:line="360" w:lineRule="auto"/>
        <w:ind w:firstLineChars="200" w:firstLine="446"/>
        <w:rPr>
          <w:rFonts w:ascii="宋体" w:hAnsi="宋体" w:cs="宋体"/>
          <w:sz w:val="24"/>
        </w:rPr>
      </w:pPr>
      <w:proofErr w:type="gramStart"/>
      <w:r>
        <w:rPr>
          <w:rFonts w:ascii="宋体" w:hAnsi="宋体" w:cs="宋体" w:hint="eastAsia"/>
          <w:sz w:val="24"/>
        </w:rPr>
        <w:t>多云运维管理</w:t>
      </w:r>
      <w:proofErr w:type="gramEnd"/>
      <w:r>
        <w:rPr>
          <w:rFonts w:ascii="宋体" w:hAnsi="宋体" w:cs="宋体" w:hint="eastAsia"/>
          <w:sz w:val="24"/>
        </w:rPr>
        <w:t>平台周边对接系统主要包括应用支撑平台、电子发票服务平台、全国统一规范电子税务局、统一身份管理平台、征纳互动服务、税务区块链基础平台、税务人</w:t>
      </w:r>
      <w:proofErr w:type="gramStart"/>
      <w:r>
        <w:rPr>
          <w:rFonts w:ascii="宋体" w:hAnsi="宋体" w:cs="宋体" w:hint="eastAsia"/>
          <w:sz w:val="24"/>
        </w:rPr>
        <w:t>端慧办平台</w:t>
      </w:r>
      <w:proofErr w:type="gramEnd"/>
      <w:r>
        <w:rPr>
          <w:rFonts w:ascii="宋体" w:hAnsi="宋体" w:cs="宋体" w:hint="eastAsia"/>
          <w:sz w:val="24"/>
        </w:rPr>
        <w:t>、DSG数据同步平台、公共产品系统、</w:t>
      </w:r>
      <w:proofErr w:type="gramStart"/>
      <w:r>
        <w:rPr>
          <w:rFonts w:ascii="宋体" w:hAnsi="宋体" w:cs="宋体" w:hint="eastAsia"/>
          <w:sz w:val="24"/>
        </w:rPr>
        <w:t>腾讯蓝鲸</w:t>
      </w:r>
      <w:proofErr w:type="gramEnd"/>
      <w:r>
        <w:rPr>
          <w:rFonts w:ascii="宋体" w:hAnsi="宋体" w:cs="宋体" w:hint="eastAsia"/>
          <w:sz w:val="24"/>
        </w:rPr>
        <w:t>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3.税务区块链基础平台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税务区块链基础平台包括生产环境和</w:t>
      </w:r>
      <w:proofErr w:type="gramStart"/>
      <w:r>
        <w:rPr>
          <w:rFonts w:ascii="宋体" w:hAnsi="宋体" w:cs="宋体" w:hint="eastAsia"/>
          <w:sz w:val="24"/>
        </w:rPr>
        <w:t>预生产</w:t>
      </w:r>
      <w:proofErr w:type="gramEnd"/>
      <w:r>
        <w:rPr>
          <w:rFonts w:ascii="宋体" w:hAnsi="宋体" w:cs="宋体" w:hint="eastAsia"/>
          <w:sz w:val="24"/>
        </w:rPr>
        <w:t>环境，共使用29台服务器，包括生产服务器19台、</w:t>
      </w:r>
      <w:proofErr w:type="gramStart"/>
      <w:r>
        <w:rPr>
          <w:rFonts w:ascii="宋体" w:hAnsi="宋体" w:cs="宋体" w:hint="eastAsia"/>
          <w:sz w:val="24"/>
        </w:rPr>
        <w:t>预生产</w:t>
      </w:r>
      <w:proofErr w:type="gramEnd"/>
      <w:r>
        <w:rPr>
          <w:rFonts w:ascii="宋体" w:hAnsi="宋体" w:cs="宋体" w:hint="eastAsia"/>
          <w:sz w:val="24"/>
        </w:rPr>
        <w:t>服务器9台，</w:t>
      </w:r>
      <w:proofErr w:type="gramStart"/>
      <w:r>
        <w:rPr>
          <w:rFonts w:ascii="宋体" w:hAnsi="宋体" w:cs="宋体" w:hint="eastAsia"/>
          <w:sz w:val="24"/>
        </w:rPr>
        <w:t>含应用</w:t>
      </w:r>
      <w:proofErr w:type="gramEnd"/>
      <w:r>
        <w:rPr>
          <w:rFonts w:ascii="宋体" w:hAnsi="宋体" w:cs="宋体" w:hint="eastAsia"/>
          <w:sz w:val="24"/>
        </w:rPr>
        <w:t>服务器15台、数据库服务器6台、其他软件服务器8台等。该系统主要包含71个功能模块，主要包括运行监控功能、运行管理功能、平台管理功能等。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税务区块链基础平台周边对接系统主要包括外部信息交换系统等。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4.管理决策支持风险与信用系统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管理决策支持风险与信用系统包括生产环境和</w:t>
      </w:r>
      <w:proofErr w:type="gramStart"/>
      <w:r>
        <w:rPr>
          <w:rFonts w:ascii="宋体" w:hAnsi="宋体" w:cs="宋体" w:hint="eastAsia"/>
          <w:sz w:val="24"/>
        </w:rPr>
        <w:t>预生产</w:t>
      </w:r>
      <w:proofErr w:type="gramEnd"/>
      <w:r>
        <w:rPr>
          <w:rFonts w:ascii="宋体" w:hAnsi="宋体" w:cs="宋体" w:hint="eastAsia"/>
          <w:sz w:val="24"/>
        </w:rPr>
        <w:t>环境，共使用33台服务器，包括生产服务器31台、</w:t>
      </w:r>
      <w:proofErr w:type="gramStart"/>
      <w:r>
        <w:rPr>
          <w:rFonts w:ascii="宋体" w:hAnsi="宋体" w:cs="宋体" w:hint="eastAsia"/>
          <w:sz w:val="24"/>
        </w:rPr>
        <w:t>预生产</w:t>
      </w:r>
      <w:proofErr w:type="gramEnd"/>
      <w:r>
        <w:rPr>
          <w:rFonts w:ascii="宋体" w:hAnsi="宋体" w:cs="宋体" w:hint="eastAsia"/>
          <w:sz w:val="24"/>
        </w:rPr>
        <w:t>服务器2台，</w:t>
      </w:r>
      <w:proofErr w:type="gramStart"/>
      <w:r>
        <w:rPr>
          <w:rFonts w:ascii="宋体" w:hAnsi="宋体" w:cs="宋体" w:hint="eastAsia"/>
          <w:sz w:val="24"/>
        </w:rPr>
        <w:t>含应用</w:t>
      </w:r>
      <w:proofErr w:type="gramEnd"/>
      <w:r>
        <w:rPr>
          <w:rFonts w:ascii="宋体" w:hAnsi="宋体" w:cs="宋体" w:hint="eastAsia"/>
          <w:sz w:val="24"/>
        </w:rPr>
        <w:t>服务器28台、数据库服务器5台等。该系统主要包含15个子系统，分别为风险管理系统，跨区域税收风险管理协作，纳税信用管理系统，涉税专业服务信用评价系统，税务稽查指挥管理应用系统，稽查双随机工作平台，土地增值税预评估系统，增值税发票全链条快反监控系统，留抵退税风险防控系统，出口</w:t>
      </w:r>
      <w:proofErr w:type="gramStart"/>
      <w:r>
        <w:rPr>
          <w:rFonts w:ascii="宋体" w:hAnsi="宋体" w:cs="宋体" w:hint="eastAsia"/>
          <w:sz w:val="24"/>
        </w:rPr>
        <w:t>退税风控系统</w:t>
      </w:r>
      <w:proofErr w:type="gramEnd"/>
      <w:r>
        <w:rPr>
          <w:rFonts w:ascii="宋体" w:hAnsi="宋体" w:cs="宋体" w:hint="eastAsia"/>
          <w:sz w:val="24"/>
        </w:rPr>
        <w:t>，征管质量5C监控评价系统，企业所得税汇算清缴（预缴）政策风险提示服务，企业所得税税前扣除凭证（发票）风险，成品油消费税监管平台，企业所得税汇算清缴政策风险提示服务等。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管理决策支持风险与信用系统周边对接系统主要包括</w:t>
      </w:r>
      <w:proofErr w:type="gramStart"/>
      <w:r>
        <w:rPr>
          <w:rFonts w:ascii="宋体" w:hAnsi="宋体" w:cs="宋体" w:hint="eastAsia"/>
          <w:sz w:val="24"/>
        </w:rPr>
        <w:t>核心征管</w:t>
      </w:r>
      <w:proofErr w:type="gramEnd"/>
      <w:r>
        <w:rPr>
          <w:rFonts w:ascii="宋体" w:hAnsi="宋体" w:cs="宋体" w:hint="eastAsia"/>
          <w:sz w:val="24"/>
        </w:rPr>
        <w:t>系统、管理决策支持核算与分析系统、电子税务局、税务人</w:t>
      </w:r>
      <w:proofErr w:type="gramStart"/>
      <w:r>
        <w:rPr>
          <w:rFonts w:ascii="宋体" w:hAnsi="宋体" w:cs="宋体" w:hint="eastAsia"/>
          <w:sz w:val="24"/>
        </w:rPr>
        <w:t>端慧办平台</w:t>
      </w:r>
      <w:proofErr w:type="gramEnd"/>
      <w:r>
        <w:rPr>
          <w:rFonts w:ascii="宋体" w:hAnsi="宋体" w:cs="宋体" w:hint="eastAsia"/>
          <w:sz w:val="24"/>
        </w:rPr>
        <w:t>、应用支撑平台、外部信息交换</w:t>
      </w:r>
      <w:r>
        <w:rPr>
          <w:rFonts w:ascii="宋体" w:hAnsi="宋体" w:cs="宋体" w:hint="eastAsia"/>
          <w:sz w:val="24"/>
        </w:rPr>
        <w:lastRenderedPageBreak/>
        <w:t>系统等系统。</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5.管理决策支持核算与分析系统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管理决策支持核算与分析系统包括生产环境和</w:t>
      </w:r>
      <w:proofErr w:type="gramStart"/>
      <w:r>
        <w:rPr>
          <w:rFonts w:ascii="宋体" w:hAnsi="宋体" w:cs="宋体" w:hint="eastAsia"/>
          <w:sz w:val="24"/>
        </w:rPr>
        <w:t>预生产</w:t>
      </w:r>
      <w:proofErr w:type="gramEnd"/>
      <w:r>
        <w:rPr>
          <w:rFonts w:ascii="宋体" w:hAnsi="宋体" w:cs="宋体" w:hint="eastAsia"/>
          <w:sz w:val="24"/>
        </w:rPr>
        <w:t>环境，共使用14台服务器，包括生产服务器9台、</w:t>
      </w:r>
      <w:proofErr w:type="gramStart"/>
      <w:r>
        <w:rPr>
          <w:rFonts w:ascii="宋体" w:hAnsi="宋体" w:cs="宋体" w:hint="eastAsia"/>
          <w:sz w:val="24"/>
        </w:rPr>
        <w:t>预生产</w:t>
      </w:r>
      <w:proofErr w:type="gramEnd"/>
      <w:r>
        <w:rPr>
          <w:rFonts w:ascii="宋体" w:hAnsi="宋体" w:cs="宋体" w:hint="eastAsia"/>
          <w:sz w:val="24"/>
        </w:rPr>
        <w:t>服务器5台，</w:t>
      </w:r>
      <w:proofErr w:type="gramStart"/>
      <w:r>
        <w:rPr>
          <w:rFonts w:ascii="宋体" w:hAnsi="宋体" w:cs="宋体" w:hint="eastAsia"/>
          <w:sz w:val="24"/>
        </w:rPr>
        <w:t>含应用</w:t>
      </w:r>
      <w:proofErr w:type="gramEnd"/>
      <w:r>
        <w:rPr>
          <w:rFonts w:ascii="宋体" w:hAnsi="宋体" w:cs="宋体" w:hint="eastAsia"/>
          <w:sz w:val="24"/>
        </w:rPr>
        <w:t>服务器6台、数据库服务器6台、其他软件服务器2台等。该系统包含4241个功能模块，主要为查询统计功能、报表管理功能、税收会统报表功能等。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管理决策支持核算与分析系统周边对接系统主要包括</w:t>
      </w:r>
      <w:proofErr w:type="gramStart"/>
      <w:r>
        <w:rPr>
          <w:rFonts w:ascii="宋体" w:hAnsi="宋体" w:cs="宋体" w:hint="eastAsia"/>
          <w:sz w:val="24"/>
        </w:rPr>
        <w:t>核心征管</w:t>
      </w:r>
      <w:proofErr w:type="gramEnd"/>
      <w:r>
        <w:rPr>
          <w:rFonts w:ascii="宋体" w:hAnsi="宋体" w:cs="宋体" w:hint="eastAsia"/>
          <w:sz w:val="24"/>
        </w:rPr>
        <w:t>系统、管理决策支持风险与信用系统、社</w:t>
      </w:r>
      <w:proofErr w:type="gramStart"/>
      <w:r>
        <w:rPr>
          <w:rFonts w:ascii="宋体" w:hAnsi="宋体" w:cs="宋体" w:hint="eastAsia"/>
          <w:sz w:val="24"/>
        </w:rPr>
        <w:t>保费征收</w:t>
      </w:r>
      <w:proofErr w:type="gramEnd"/>
      <w:r>
        <w:rPr>
          <w:rFonts w:ascii="宋体" w:hAnsi="宋体" w:cs="宋体" w:hint="eastAsia"/>
          <w:sz w:val="24"/>
        </w:rPr>
        <w:t>系统、社保费管理系统、自然人电子税务局系统、税务人</w:t>
      </w:r>
      <w:proofErr w:type="gramStart"/>
      <w:r>
        <w:rPr>
          <w:rFonts w:ascii="宋体" w:hAnsi="宋体" w:cs="宋体" w:hint="eastAsia"/>
          <w:sz w:val="24"/>
        </w:rPr>
        <w:t>端慧办平台</w:t>
      </w:r>
      <w:proofErr w:type="gramEnd"/>
      <w:r>
        <w:rPr>
          <w:rFonts w:ascii="宋体" w:hAnsi="宋体" w:cs="宋体" w:hint="eastAsia"/>
          <w:sz w:val="24"/>
        </w:rPr>
        <w:t>、应用支撑平台、全国统一规范电子税务局、外部信息交换系统等系统。</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6.外部信息交换系统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外部信息交换系统包括生产环境和</w:t>
      </w:r>
      <w:proofErr w:type="gramStart"/>
      <w:r>
        <w:rPr>
          <w:rFonts w:ascii="宋体" w:hAnsi="宋体" w:cs="宋体" w:hint="eastAsia"/>
          <w:sz w:val="24"/>
        </w:rPr>
        <w:t>预生产</w:t>
      </w:r>
      <w:proofErr w:type="gramEnd"/>
      <w:r>
        <w:rPr>
          <w:rFonts w:ascii="宋体" w:hAnsi="宋体" w:cs="宋体" w:hint="eastAsia"/>
          <w:sz w:val="24"/>
        </w:rPr>
        <w:t>环境，共使用63台服务器，包括生产服务器48台、</w:t>
      </w:r>
      <w:proofErr w:type="gramStart"/>
      <w:r>
        <w:rPr>
          <w:rFonts w:ascii="宋体" w:hAnsi="宋体" w:cs="宋体" w:hint="eastAsia"/>
          <w:sz w:val="24"/>
        </w:rPr>
        <w:t>预生产</w:t>
      </w:r>
      <w:proofErr w:type="gramEnd"/>
      <w:r>
        <w:rPr>
          <w:rFonts w:ascii="宋体" w:hAnsi="宋体" w:cs="宋体" w:hint="eastAsia"/>
          <w:sz w:val="24"/>
        </w:rPr>
        <w:t>服务器15台，</w:t>
      </w:r>
      <w:proofErr w:type="gramStart"/>
      <w:r>
        <w:rPr>
          <w:rFonts w:ascii="宋体" w:hAnsi="宋体" w:cs="宋体" w:hint="eastAsia"/>
          <w:sz w:val="24"/>
        </w:rPr>
        <w:t>含应用</w:t>
      </w:r>
      <w:proofErr w:type="gramEnd"/>
      <w:r>
        <w:rPr>
          <w:rFonts w:ascii="宋体" w:hAnsi="宋体" w:cs="宋体" w:hint="eastAsia"/>
          <w:sz w:val="24"/>
        </w:rPr>
        <w:t>服务器14台、数据库服务器14台、其他软件服务器35台等。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外部信息交换系统在金税三期工程整体应用规划的定位是负责除税库银外的所有外部门信息交换，通过外部信息交换系统对税务机关</w:t>
      </w:r>
      <w:proofErr w:type="gramStart"/>
      <w:r>
        <w:rPr>
          <w:rFonts w:ascii="宋体" w:hAnsi="宋体" w:cs="宋体" w:hint="eastAsia"/>
          <w:sz w:val="24"/>
        </w:rPr>
        <w:t>同各外部门</w:t>
      </w:r>
      <w:proofErr w:type="gramEnd"/>
      <w:r>
        <w:rPr>
          <w:rFonts w:ascii="宋体" w:hAnsi="宋体" w:cs="宋体" w:hint="eastAsia"/>
          <w:sz w:val="24"/>
        </w:rPr>
        <w:t>的系统进行互联，完成业务信息及数据安全可靠的交换与共享，实现税务部门与第三方的涉税数据交换及应用需求。外部信息交换系统包括外部信息交换模块、社保费数据共享模块。</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外部信息交换系统周边对接的税务系统主要包括</w:t>
      </w:r>
      <w:proofErr w:type="gramStart"/>
      <w:r>
        <w:rPr>
          <w:rFonts w:ascii="宋体" w:hAnsi="宋体" w:cs="宋体" w:hint="eastAsia"/>
          <w:sz w:val="24"/>
        </w:rPr>
        <w:t>核心征管</w:t>
      </w:r>
      <w:proofErr w:type="gramEnd"/>
      <w:r>
        <w:rPr>
          <w:rFonts w:ascii="宋体" w:hAnsi="宋体" w:cs="宋体" w:hint="eastAsia"/>
          <w:sz w:val="24"/>
        </w:rPr>
        <w:t>系统、增值税发票税控系统、管理决策支持核算与分析系统、管理决策支持风险与信用系统、社保费管理系统、社</w:t>
      </w:r>
      <w:proofErr w:type="gramStart"/>
      <w:r>
        <w:rPr>
          <w:rFonts w:ascii="宋体" w:hAnsi="宋体" w:cs="宋体" w:hint="eastAsia"/>
          <w:sz w:val="24"/>
        </w:rPr>
        <w:t>保费征收</w:t>
      </w:r>
      <w:proofErr w:type="gramEnd"/>
      <w:r>
        <w:rPr>
          <w:rFonts w:ascii="宋体" w:hAnsi="宋体" w:cs="宋体" w:hint="eastAsia"/>
          <w:sz w:val="24"/>
        </w:rPr>
        <w:t>系统等，对接的外部门系统包括市场委工商登记系统、公安局系统、总工会系统、环保局系统、残联系统、</w:t>
      </w:r>
      <w:proofErr w:type="gramStart"/>
      <w:r>
        <w:rPr>
          <w:rFonts w:ascii="宋体" w:hAnsi="宋体" w:cs="宋体" w:hint="eastAsia"/>
          <w:sz w:val="24"/>
        </w:rPr>
        <w:t>发改委</w:t>
      </w:r>
      <w:proofErr w:type="gramEnd"/>
      <w:r>
        <w:rPr>
          <w:rFonts w:ascii="宋体" w:hAnsi="宋体" w:cs="宋体" w:hint="eastAsia"/>
          <w:sz w:val="24"/>
        </w:rPr>
        <w:t>系统、金融局系统、法院系统、住建委系统、</w:t>
      </w:r>
      <w:proofErr w:type="gramStart"/>
      <w:r>
        <w:rPr>
          <w:rFonts w:ascii="宋体" w:hAnsi="宋体" w:cs="宋体" w:hint="eastAsia"/>
          <w:sz w:val="24"/>
        </w:rPr>
        <w:t>规</w:t>
      </w:r>
      <w:proofErr w:type="gramEnd"/>
      <w:r>
        <w:rPr>
          <w:rFonts w:ascii="宋体" w:hAnsi="宋体" w:cs="宋体" w:hint="eastAsia"/>
          <w:sz w:val="24"/>
        </w:rPr>
        <w:t>资局系统等。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7.税库</w:t>
      </w:r>
      <w:proofErr w:type="gramStart"/>
      <w:r>
        <w:rPr>
          <w:rFonts w:ascii="宋体" w:hAnsi="宋体" w:cs="宋体" w:hint="eastAsia"/>
          <w:sz w:val="24"/>
        </w:rPr>
        <w:t>银税收</w:t>
      </w:r>
      <w:proofErr w:type="gramEnd"/>
      <w:r>
        <w:rPr>
          <w:rFonts w:ascii="宋体" w:hAnsi="宋体" w:cs="宋体" w:hint="eastAsia"/>
          <w:sz w:val="24"/>
        </w:rPr>
        <w:t>收入电子缴库横向联网系统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税库</w:t>
      </w:r>
      <w:proofErr w:type="gramStart"/>
      <w:r>
        <w:rPr>
          <w:rFonts w:ascii="宋体" w:hAnsi="宋体" w:cs="宋体" w:hint="eastAsia"/>
          <w:sz w:val="24"/>
        </w:rPr>
        <w:t>银税收</w:t>
      </w:r>
      <w:proofErr w:type="gramEnd"/>
      <w:r>
        <w:rPr>
          <w:rFonts w:ascii="宋体" w:hAnsi="宋体" w:cs="宋体" w:hint="eastAsia"/>
          <w:sz w:val="24"/>
        </w:rPr>
        <w:t>收入电子缴库横向联网系统包括生产环境和</w:t>
      </w:r>
      <w:proofErr w:type="gramStart"/>
      <w:r>
        <w:rPr>
          <w:rFonts w:ascii="宋体" w:hAnsi="宋体" w:cs="宋体" w:hint="eastAsia"/>
          <w:sz w:val="24"/>
        </w:rPr>
        <w:t>预生产</w:t>
      </w:r>
      <w:proofErr w:type="gramEnd"/>
      <w:r>
        <w:rPr>
          <w:rFonts w:ascii="宋体" w:hAnsi="宋体" w:cs="宋体" w:hint="eastAsia"/>
          <w:sz w:val="24"/>
        </w:rPr>
        <w:t>环境，共使用21台服务器，包括应用服务器16台、数据库服务器5台。该系统连接自然人电子税务局、</w:t>
      </w:r>
      <w:proofErr w:type="gramStart"/>
      <w:r>
        <w:rPr>
          <w:rFonts w:ascii="宋体" w:hAnsi="宋体" w:cs="宋体" w:hint="eastAsia"/>
          <w:sz w:val="24"/>
        </w:rPr>
        <w:t>核心征管</w:t>
      </w:r>
      <w:proofErr w:type="gramEnd"/>
      <w:r>
        <w:rPr>
          <w:rFonts w:ascii="宋体" w:hAnsi="宋体" w:cs="宋体" w:hint="eastAsia"/>
          <w:sz w:val="24"/>
        </w:rPr>
        <w:t>系统、人民银行TIPS、各商业银行和中国银联，系统结构复杂，业务关联紧密。</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8.社保费税银系统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社保费税银系统包括生产环境和</w:t>
      </w:r>
      <w:proofErr w:type="gramStart"/>
      <w:r>
        <w:rPr>
          <w:rFonts w:ascii="宋体" w:hAnsi="宋体" w:cs="宋体" w:hint="eastAsia"/>
          <w:sz w:val="24"/>
        </w:rPr>
        <w:t>预生产</w:t>
      </w:r>
      <w:proofErr w:type="gramEnd"/>
      <w:r>
        <w:rPr>
          <w:rFonts w:ascii="宋体" w:hAnsi="宋体" w:cs="宋体" w:hint="eastAsia"/>
          <w:sz w:val="24"/>
        </w:rPr>
        <w:t>环境，共使用9台服务器，包括生产服务器6台、</w:t>
      </w:r>
      <w:proofErr w:type="gramStart"/>
      <w:r>
        <w:rPr>
          <w:rFonts w:ascii="宋体" w:hAnsi="宋体" w:cs="宋体" w:hint="eastAsia"/>
          <w:sz w:val="24"/>
        </w:rPr>
        <w:t>预生产</w:t>
      </w:r>
      <w:proofErr w:type="gramEnd"/>
      <w:r>
        <w:rPr>
          <w:rFonts w:ascii="宋体" w:hAnsi="宋体" w:cs="宋体" w:hint="eastAsia"/>
          <w:sz w:val="24"/>
        </w:rPr>
        <w:t>服务器3台，</w:t>
      </w:r>
      <w:proofErr w:type="gramStart"/>
      <w:r>
        <w:rPr>
          <w:rFonts w:ascii="宋体" w:hAnsi="宋体" w:cs="宋体" w:hint="eastAsia"/>
          <w:sz w:val="24"/>
        </w:rPr>
        <w:t>含应用</w:t>
      </w:r>
      <w:proofErr w:type="gramEnd"/>
      <w:r>
        <w:rPr>
          <w:rFonts w:ascii="宋体" w:hAnsi="宋体" w:cs="宋体" w:hint="eastAsia"/>
          <w:sz w:val="24"/>
        </w:rPr>
        <w:t>服务器3台、数据库服务器3台、其他软件服务器3台等。该系统包含111个功能模块，主要为查询统计功能、辅助交易功能、手续费计费结果统计、缴费分析及对账监控等。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社保费税银系统周边对接系统主要包括各商业银行系统、税库</w:t>
      </w:r>
      <w:proofErr w:type="gramStart"/>
      <w:r>
        <w:rPr>
          <w:rFonts w:ascii="宋体" w:hAnsi="宋体" w:cs="宋体" w:hint="eastAsia"/>
          <w:sz w:val="24"/>
        </w:rPr>
        <w:t>银税收</w:t>
      </w:r>
      <w:proofErr w:type="gramEnd"/>
      <w:r>
        <w:rPr>
          <w:rFonts w:ascii="宋体" w:hAnsi="宋体" w:cs="宋体" w:hint="eastAsia"/>
          <w:sz w:val="24"/>
        </w:rPr>
        <w:t>收入电子缴库横向联网系统、社保费管理系统、社</w:t>
      </w:r>
      <w:proofErr w:type="gramStart"/>
      <w:r>
        <w:rPr>
          <w:rFonts w:ascii="宋体" w:hAnsi="宋体" w:cs="宋体" w:hint="eastAsia"/>
          <w:sz w:val="24"/>
        </w:rPr>
        <w:t>保费征收</w:t>
      </w:r>
      <w:proofErr w:type="gramEnd"/>
      <w:r>
        <w:rPr>
          <w:rFonts w:ascii="宋体" w:hAnsi="宋体" w:cs="宋体" w:hint="eastAsia"/>
          <w:sz w:val="24"/>
        </w:rPr>
        <w:t>系统等。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9.电子印章系统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电子印章系统包括</w:t>
      </w:r>
      <w:proofErr w:type="gramStart"/>
      <w:r>
        <w:rPr>
          <w:rFonts w:ascii="宋体" w:hAnsi="宋体" w:cs="宋体" w:hint="eastAsia"/>
          <w:sz w:val="24"/>
        </w:rPr>
        <w:t>预生产</w:t>
      </w:r>
      <w:proofErr w:type="gramEnd"/>
      <w:r>
        <w:rPr>
          <w:rFonts w:ascii="宋体" w:hAnsi="宋体" w:cs="宋体" w:hint="eastAsia"/>
          <w:sz w:val="24"/>
        </w:rPr>
        <w:t>环境和生产环境，共使用3台服务器（</w:t>
      </w:r>
      <w:proofErr w:type="gramStart"/>
      <w:r>
        <w:rPr>
          <w:rFonts w:ascii="宋体" w:hAnsi="宋体" w:cs="宋体" w:hint="eastAsia"/>
          <w:sz w:val="24"/>
        </w:rPr>
        <w:t>预生产</w:t>
      </w:r>
      <w:proofErr w:type="gramEnd"/>
      <w:r>
        <w:rPr>
          <w:rFonts w:ascii="宋体" w:hAnsi="宋体" w:cs="宋体" w:hint="eastAsia"/>
          <w:sz w:val="24"/>
        </w:rPr>
        <w:t>服务器1台、生产服务器2台）。电子印章系统主要包含6大功能模块，分别为用户中心、组织机构、印章管理、模板管理、场景管理、用章统计等。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电子印章系统周边对接系统主要包括增值税发票管理系统、自然人电子税务局、电子税务局等系统。</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10.应用安全支撑平台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应用安全支撑平台包括生产环境和</w:t>
      </w:r>
      <w:proofErr w:type="gramStart"/>
      <w:r>
        <w:rPr>
          <w:rFonts w:ascii="宋体" w:hAnsi="宋体" w:cs="宋体" w:hint="eastAsia"/>
          <w:sz w:val="24"/>
        </w:rPr>
        <w:t>预生产</w:t>
      </w:r>
      <w:proofErr w:type="gramEnd"/>
      <w:r>
        <w:rPr>
          <w:rFonts w:ascii="宋体" w:hAnsi="宋体" w:cs="宋体" w:hint="eastAsia"/>
          <w:sz w:val="24"/>
        </w:rPr>
        <w:t>环境，共使用14台服务器，包括生产服务器12台、</w:t>
      </w:r>
      <w:proofErr w:type="gramStart"/>
      <w:r>
        <w:rPr>
          <w:rFonts w:ascii="宋体" w:hAnsi="宋体" w:cs="宋体" w:hint="eastAsia"/>
          <w:sz w:val="24"/>
        </w:rPr>
        <w:t>预生产</w:t>
      </w:r>
      <w:proofErr w:type="gramEnd"/>
      <w:r>
        <w:rPr>
          <w:rFonts w:ascii="宋体" w:hAnsi="宋体" w:cs="宋体" w:hint="eastAsia"/>
          <w:sz w:val="24"/>
        </w:rPr>
        <w:t>服务器2台，</w:t>
      </w:r>
      <w:proofErr w:type="gramStart"/>
      <w:r>
        <w:rPr>
          <w:rFonts w:ascii="宋体" w:hAnsi="宋体" w:cs="宋体" w:hint="eastAsia"/>
          <w:sz w:val="24"/>
        </w:rPr>
        <w:t>含应用</w:t>
      </w:r>
      <w:proofErr w:type="gramEnd"/>
      <w:r>
        <w:rPr>
          <w:rFonts w:ascii="宋体" w:hAnsi="宋体" w:cs="宋体" w:hint="eastAsia"/>
          <w:sz w:val="24"/>
        </w:rPr>
        <w:t>服务器10台、数据库服务器4台等。该系统包含13个功能模块，主要包括日志查询功能、日志统计功能、配置项功能、应用地址配置功能、门户地址配置功能、登录功能、税务人员维护功能、岗位维护功能、税务机构维护功能、岗位类别维护功能、功能</w:t>
      </w:r>
      <w:proofErr w:type="gramStart"/>
      <w:r>
        <w:rPr>
          <w:rFonts w:ascii="宋体" w:hAnsi="宋体" w:cs="宋体" w:hint="eastAsia"/>
          <w:sz w:val="24"/>
        </w:rPr>
        <w:t>集维护</w:t>
      </w:r>
      <w:proofErr w:type="gramEnd"/>
      <w:r>
        <w:rPr>
          <w:rFonts w:ascii="宋体" w:hAnsi="宋体" w:cs="宋体" w:hint="eastAsia"/>
          <w:sz w:val="24"/>
        </w:rPr>
        <w:t>功能、机构岗位维护功能、用户权限日志审计功能等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应用安全支撑平台周边对接系统主要包括</w:t>
      </w:r>
      <w:proofErr w:type="gramStart"/>
      <w:r>
        <w:rPr>
          <w:rFonts w:ascii="宋体" w:hAnsi="宋体" w:cs="宋体" w:hint="eastAsia"/>
          <w:sz w:val="24"/>
        </w:rPr>
        <w:t>核心征管</w:t>
      </w:r>
      <w:proofErr w:type="gramEnd"/>
      <w:r>
        <w:rPr>
          <w:rFonts w:ascii="宋体" w:hAnsi="宋体" w:cs="宋体" w:hint="eastAsia"/>
          <w:sz w:val="24"/>
        </w:rPr>
        <w:t>系统、管理决策支持风险与信用系统、管理决策支持核算与分析系统、社保费管理系统、社</w:t>
      </w:r>
      <w:proofErr w:type="gramStart"/>
      <w:r>
        <w:rPr>
          <w:rFonts w:ascii="宋体" w:hAnsi="宋体" w:cs="宋体" w:hint="eastAsia"/>
          <w:sz w:val="24"/>
        </w:rPr>
        <w:t>保费征收</w:t>
      </w:r>
      <w:proofErr w:type="gramEnd"/>
      <w:r>
        <w:rPr>
          <w:rFonts w:ascii="宋体" w:hAnsi="宋体" w:cs="宋体" w:hint="eastAsia"/>
          <w:sz w:val="24"/>
        </w:rPr>
        <w:t>系统、社保费税银系统、外部信息交换系统、税库</w:t>
      </w:r>
      <w:proofErr w:type="gramStart"/>
      <w:r>
        <w:rPr>
          <w:rFonts w:ascii="宋体" w:hAnsi="宋体" w:cs="宋体" w:hint="eastAsia"/>
          <w:sz w:val="24"/>
        </w:rPr>
        <w:t>银税收</w:t>
      </w:r>
      <w:proofErr w:type="gramEnd"/>
      <w:r>
        <w:rPr>
          <w:rFonts w:ascii="宋体" w:hAnsi="宋体" w:cs="宋体" w:hint="eastAsia"/>
          <w:sz w:val="24"/>
        </w:rPr>
        <w:t>收入电子缴库横向联网系统等。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三、总体要求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需按采购人需求组建服务于本项目运维边界包含系统的业务和技术支持团队，熟练掌握本项目系统架构、相关的使用操作流程、相关业务及常见问题的解决方法，在采购人运维统筹机制下开展工作，提供与支持服务人员配套的内部支持体系，以确保现场支持工作有效进行，保证服务质量。运</w:t>
      </w:r>
      <w:proofErr w:type="gramStart"/>
      <w:r>
        <w:rPr>
          <w:rFonts w:ascii="宋体" w:hAnsi="宋体" w:cs="宋体" w:hint="eastAsia"/>
          <w:sz w:val="24"/>
        </w:rPr>
        <w:t>维人员</w:t>
      </w:r>
      <w:proofErr w:type="gramEnd"/>
      <w:r>
        <w:rPr>
          <w:rFonts w:ascii="宋体" w:hAnsi="宋体" w:cs="宋体" w:hint="eastAsia"/>
          <w:sz w:val="24"/>
        </w:rPr>
        <w:t>依托运维平台、热线电话等渠道，及时解决纳税人和税务人员在操作本系统中遇到的各种操作类、数据类问题，为协调解决各种政策调整和业务流程之间的矛盾提供支持，全面保障本系统内部各项事务性工作的高效稳定运行。</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按照总局和市局的要求，供应商对本系统提供业务和技术支持服务，对可能发生的异常做到科学预判，对已经发生的问题做到及时处理，对已经解决的问题做到分析总结，定期出具系统运行维护报告。业务支持服务包括特有业务运维服务、业务参数变更、业务逻辑分析、业务问题处理、后台数据运维、运维知识库管理、数据统计分析以及其他业务运维工作。技术支持服务包括特有技术运维服务、运行监控、健康检查、风险排查、安全加固、系统优化、补丁升级、重大时期运行保障、故障处理、紧急情况处置、周边系统对接、系统联调测试、技术问题管理、系统迁移、系统备份与恢复以及其他技术运维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四、运维需求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（一）业务运维</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1.日常运维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⑴运维方式</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对本项目系统提供日常运维服务，日常运维的服务方式，包括但不限于热线电话、</w:t>
      </w:r>
      <w:r>
        <w:rPr>
          <w:rFonts w:ascii="宋体" w:hAnsi="宋体" w:cs="宋体" w:hint="eastAsia"/>
          <w:sz w:val="24"/>
        </w:rPr>
        <w:lastRenderedPageBreak/>
        <w:t>即时通讯软件、运维平台、线上线</w:t>
      </w:r>
      <w:proofErr w:type="gramStart"/>
      <w:r>
        <w:rPr>
          <w:rFonts w:ascii="宋体" w:hAnsi="宋体" w:cs="宋体" w:hint="eastAsia"/>
          <w:sz w:val="24"/>
        </w:rPr>
        <w:t>下会议</w:t>
      </w:r>
      <w:proofErr w:type="gramEnd"/>
      <w:r>
        <w:rPr>
          <w:rFonts w:ascii="宋体" w:hAnsi="宋体" w:cs="宋体" w:hint="eastAsia"/>
          <w:sz w:val="24"/>
        </w:rPr>
        <w:t>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①在线支持：主要通过电话、即时通讯软件对天津市税务局各部门用户提报的服务请求进行快速响应和答复。</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②运维平台：通过天津市税务局指定的运</w:t>
      </w:r>
      <w:proofErr w:type="gramStart"/>
      <w:r>
        <w:rPr>
          <w:rFonts w:ascii="宋体" w:hAnsi="宋体" w:cs="宋体" w:hint="eastAsia"/>
          <w:sz w:val="24"/>
        </w:rPr>
        <w:t>维管理</w:t>
      </w:r>
      <w:proofErr w:type="gramEnd"/>
      <w:r>
        <w:rPr>
          <w:rFonts w:ascii="宋体" w:hAnsi="宋体" w:cs="宋体" w:hint="eastAsia"/>
          <w:sz w:val="24"/>
        </w:rPr>
        <w:t>平台回答和处理本项目系统相关问题，或通过税务系统内部网络，远程监控、诊断和解决用户提出的问题和故障。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③其他日常运维：根据天津市税务局</w:t>
      </w:r>
      <w:proofErr w:type="gramStart"/>
      <w:r>
        <w:rPr>
          <w:rFonts w:ascii="宋体" w:hAnsi="宋体" w:cs="宋体" w:hint="eastAsia"/>
          <w:sz w:val="24"/>
        </w:rPr>
        <w:t>要求或运维</w:t>
      </w:r>
      <w:proofErr w:type="gramEnd"/>
      <w:r>
        <w:rPr>
          <w:rFonts w:ascii="宋体" w:hAnsi="宋体" w:cs="宋体" w:hint="eastAsia"/>
          <w:sz w:val="24"/>
        </w:rPr>
        <w:t>厂商申请，并经天津市税务局审核同意的其他服务方式。</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⑵工作内容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根据各渠道接收的本项目系统用户问题，开展及时有效处理，负责全程跟踪问题的处理过程以确保在最短的时间内找到问题的解决方案。针对应用系统的配置参数维护、业务处理方法、业务处理原理、业务处理流程等在软件功能上反映的问题，提供及时全面的解答。辅助相关业务人员完成系统的运行操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安排专人每天跟踪各业务</w:t>
      </w:r>
      <w:proofErr w:type="gramStart"/>
      <w:r>
        <w:rPr>
          <w:rFonts w:ascii="宋体" w:hAnsi="宋体" w:cs="宋体" w:hint="eastAsia"/>
          <w:sz w:val="24"/>
        </w:rPr>
        <w:t>域问题</w:t>
      </w:r>
      <w:proofErr w:type="gramEnd"/>
      <w:r>
        <w:rPr>
          <w:rFonts w:ascii="宋体" w:hAnsi="宋体" w:cs="宋体" w:hint="eastAsia"/>
          <w:sz w:val="24"/>
        </w:rPr>
        <w:t>的处理情况，对于操作类和数据类问题原则上要求当天处理解决。对于没有当天解决的问题，了解具体原因和情况，及时协调二线获取支持，必要时安排运</w:t>
      </w:r>
      <w:proofErr w:type="gramStart"/>
      <w:r>
        <w:rPr>
          <w:rFonts w:ascii="宋体" w:hAnsi="宋体" w:cs="宋体" w:hint="eastAsia"/>
          <w:sz w:val="24"/>
        </w:rPr>
        <w:t>维人员</w:t>
      </w:r>
      <w:proofErr w:type="gramEnd"/>
      <w:r>
        <w:rPr>
          <w:rFonts w:ascii="宋体" w:hAnsi="宋体" w:cs="宋体" w:hint="eastAsia"/>
          <w:sz w:val="24"/>
        </w:rPr>
        <w:t>加班处理，使问题能够得到及时处理，避免问题的积压堆积。</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⑶知识库管理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对于天津市税务局反馈本项目系统问题，属于操作中出现的常见问题，统一由运</w:t>
      </w:r>
      <w:proofErr w:type="gramStart"/>
      <w:r>
        <w:rPr>
          <w:rFonts w:ascii="宋体" w:hAnsi="宋体" w:cs="宋体" w:hint="eastAsia"/>
          <w:sz w:val="24"/>
        </w:rPr>
        <w:t>维人员</w:t>
      </w:r>
      <w:proofErr w:type="gramEnd"/>
      <w:r>
        <w:rPr>
          <w:rFonts w:ascii="宋体" w:hAnsi="宋体" w:cs="宋体" w:hint="eastAsia"/>
          <w:sz w:val="24"/>
        </w:rPr>
        <w:t>收集汇总，整理后形成常见问题解决手册。每周对问题情况进行统计，由项目经理向天津市税务局反馈问题处理情况，提出改进方案。</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根据本项目系统问题处理层级建立运维知识库，将业务知识、操作知识、常见问题、重大紧急事件、故障解决方案等工作资料进行整理、归纳，形成相关知识存入运行维护知识库，制作文字文档和</w:t>
      </w:r>
      <w:proofErr w:type="gramStart"/>
      <w:r>
        <w:rPr>
          <w:rFonts w:ascii="宋体" w:hAnsi="宋体" w:cs="宋体" w:hint="eastAsia"/>
          <w:sz w:val="24"/>
        </w:rPr>
        <w:t>音视频</w:t>
      </w:r>
      <w:proofErr w:type="gramEnd"/>
      <w:r>
        <w:rPr>
          <w:rFonts w:ascii="宋体" w:hAnsi="宋体" w:cs="宋体" w:hint="eastAsia"/>
          <w:sz w:val="24"/>
        </w:rPr>
        <w:t>教程和培训资料，以供天津市税务局各层级人员使用。将天津市税务局知识库文档按需提交总局，接收总局下发知识库文档并组织</w:t>
      </w:r>
      <w:r>
        <w:rPr>
          <w:rFonts w:ascii="宋体" w:hAnsi="宋体" w:cs="宋体" w:hint="eastAsia"/>
          <w:sz w:val="24"/>
        </w:rPr>
        <w:lastRenderedPageBreak/>
        <w:t>天津市税务局各层级人员学习。</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⑷质量监督</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安排专人检查本项目系统各业务</w:t>
      </w:r>
      <w:proofErr w:type="gramStart"/>
      <w:r>
        <w:rPr>
          <w:rFonts w:ascii="宋体" w:hAnsi="宋体" w:cs="宋体" w:hint="eastAsia"/>
          <w:sz w:val="24"/>
        </w:rPr>
        <w:t>域问题</w:t>
      </w:r>
      <w:proofErr w:type="gramEnd"/>
      <w:r>
        <w:rPr>
          <w:rFonts w:ascii="宋体" w:hAnsi="宋体" w:cs="宋体" w:hint="eastAsia"/>
          <w:sz w:val="24"/>
        </w:rPr>
        <w:t>的处理质量，接收天津市税务局反馈的问题处理质量情况。对处理质量较差的问题进行分析，找出根本原因，提出解决办法。如果是运</w:t>
      </w:r>
      <w:proofErr w:type="gramStart"/>
      <w:r>
        <w:rPr>
          <w:rFonts w:ascii="宋体" w:hAnsi="宋体" w:cs="宋体" w:hint="eastAsia"/>
          <w:sz w:val="24"/>
        </w:rPr>
        <w:t>维人员</w:t>
      </w:r>
      <w:proofErr w:type="gramEnd"/>
      <w:r>
        <w:rPr>
          <w:rFonts w:ascii="宋体" w:hAnsi="宋体" w:cs="宋体" w:hint="eastAsia"/>
          <w:sz w:val="24"/>
        </w:rPr>
        <w:t>的原因造成问题处理不完善，运</w:t>
      </w:r>
      <w:proofErr w:type="gramStart"/>
      <w:r>
        <w:rPr>
          <w:rFonts w:ascii="宋体" w:hAnsi="宋体" w:cs="宋体" w:hint="eastAsia"/>
          <w:sz w:val="24"/>
        </w:rPr>
        <w:t>维项目</w:t>
      </w:r>
      <w:proofErr w:type="gramEnd"/>
      <w:r>
        <w:rPr>
          <w:rFonts w:ascii="宋体" w:hAnsi="宋体" w:cs="宋体" w:hint="eastAsia"/>
          <w:sz w:val="24"/>
        </w:rPr>
        <w:t>经理应对运</w:t>
      </w:r>
      <w:proofErr w:type="gramStart"/>
      <w:r>
        <w:rPr>
          <w:rFonts w:ascii="宋体" w:hAnsi="宋体" w:cs="宋体" w:hint="eastAsia"/>
          <w:sz w:val="24"/>
        </w:rPr>
        <w:t>维人员</w:t>
      </w:r>
      <w:proofErr w:type="gramEnd"/>
      <w:r>
        <w:rPr>
          <w:rFonts w:ascii="宋体" w:hAnsi="宋体" w:cs="宋体" w:hint="eastAsia"/>
          <w:sz w:val="24"/>
        </w:rPr>
        <w:t>进行指导或轮岗，逐步提升问题处理质量。</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2.派出运维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对本项目系统提供派出运维服务，派出运维的服务方式，包括但不限于紧急现场支持、定期巡回运维等。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⑴紧急现场支持：根据天津市税务局的要求到达基层用户现场，解决事出紧急或无法通过常规方法（在线支持和运维平台）解决的服务请求。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定期巡回运维：深入基层了解系统实际运转情况，倾听基层心声，从实际工作出友，收集系统优化建议。整理优化建议，向二线开发部门反馈，共同对系统进行完善，不断提升系统管理、业务逻辑的严谨性，使系统操作更为人性化。</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⑶其他派出运维：根据天津市税务局</w:t>
      </w:r>
      <w:proofErr w:type="gramStart"/>
      <w:r>
        <w:rPr>
          <w:rFonts w:ascii="宋体" w:hAnsi="宋体" w:cs="宋体" w:hint="eastAsia"/>
          <w:sz w:val="24"/>
        </w:rPr>
        <w:t>要求或运维</w:t>
      </w:r>
      <w:proofErr w:type="gramEnd"/>
      <w:r>
        <w:rPr>
          <w:rFonts w:ascii="宋体" w:hAnsi="宋体" w:cs="宋体" w:hint="eastAsia"/>
          <w:sz w:val="24"/>
        </w:rPr>
        <w:t>厂商申请，并经天津市税务局审核同意的其他服务方式。</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3.数据运维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在天津市税务局的授权下，运</w:t>
      </w:r>
      <w:proofErr w:type="gramStart"/>
      <w:r>
        <w:rPr>
          <w:rFonts w:ascii="宋体" w:hAnsi="宋体" w:cs="宋体" w:hint="eastAsia"/>
          <w:sz w:val="24"/>
        </w:rPr>
        <w:t>维人员按照运维管理</w:t>
      </w:r>
      <w:proofErr w:type="gramEnd"/>
      <w:r>
        <w:rPr>
          <w:rFonts w:ascii="宋体" w:hAnsi="宋体" w:cs="宋体" w:hint="eastAsia"/>
          <w:sz w:val="24"/>
        </w:rPr>
        <w:t>规范进行本项目系统数据运维。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⑴工作范围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①数据修改，包括数据迁移引起的错误数据修复。应用系统错误引起的数据修复。缺少补偿业务，无法采用应用系统处理的操作错误数据修复。其他系统操作引起的错误数据修改。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②开展日常数据集成加工任务的监控、跟踪，每天产出数据集成日报。数据集成加工问题的分析、处理。对系统应用或用户反映出的数据问题进行分析、定位，驱动</w:t>
      </w:r>
      <w:r>
        <w:rPr>
          <w:rFonts w:ascii="宋体" w:hAnsi="宋体" w:cs="宋体" w:hint="eastAsia"/>
          <w:sz w:val="24"/>
        </w:rPr>
        <w:lastRenderedPageBreak/>
        <w:t>数据问题解决，保障数据质量及应用数据准确。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③运维厂商和运</w:t>
      </w:r>
      <w:proofErr w:type="gramStart"/>
      <w:r>
        <w:rPr>
          <w:rFonts w:ascii="宋体" w:hAnsi="宋体" w:cs="宋体" w:hint="eastAsia"/>
          <w:sz w:val="24"/>
        </w:rPr>
        <w:t>维人员</w:t>
      </w:r>
      <w:proofErr w:type="gramEnd"/>
      <w:r>
        <w:rPr>
          <w:rFonts w:ascii="宋体" w:hAnsi="宋体" w:cs="宋体" w:hint="eastAsia"/>
          <w:sz w:val="24"/>
        </w:rPr>
        <w:t>应通过后台脚本及辅助工具进行数据质量监控，从被动到主动发现数据问题，并对问题数据分析及处理。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⑵数据分类</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本项目系统已经正式投入使用，正常情况下，数据均应该通过前台系统操作写入，但是以下数据只能通过编写脚本，在后台数据库修改数据：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数据迁移的错误数据：该类数据属于数据迁移遗留问题，系统前台不支持该类数据的修改，只能通过后台修改数据。天津市税务局对该类数据负责，数据来源、数据产生原因、数据如何修改解释权均在天津市税务局。</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系统BUG产生的错误数据。该类是由于系统BUG产生的，正常的补偿业务无法对该类数据进行修正，只能通过后台修改数据。运维厂商对该类数据负责，除需编写脚本修正数据外，还需要分析错误数据产生原因，若需要可上报总局问题管控部门或本项目系统开发部门，通过升级补丁解决系统BUG。</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异常操作或系统前台无补偿功能的异常数据。由于纳税人和税务人员误操作、异常操作引起的错误数据，系统前台无补偿功能无法对数据进行修改操作，只能通过后台编写脚本修改数据。天津市税务局对该类数据负责，运维厂商按照天津市税务局要求编写脚本修正数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⑶运维流程</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①运</w:t>
      </w:r>
      <w:proofErr w:type="gramStart"/>
      <w:r>
        <w:rPr>
          <w:rFonts w:ascii="宋体" w:hAnsi="宋体" w:cs="宋体" w:hint="eastAsia"/>
          <w:sz w:val="24"/>
        </w:rPr>
        <w:t>维人员</w:t>
      </w:r>
      <w:proofErr w:type="gramEnd"/>
      <w:r>
        <w:rPr>
          <w:rFonts w:ascii="宋体" w:hAnsi="宋体" w:cs="宋体" w:hint="eastAsia"/>
          <w:sz w:val="24"/>
        </w:rPr>
        <w:t>根据问题分析定位制定数据运维方案、数据运维脚本并提交天津市税务局审核。</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②天津市税务局对数据运</w:t>
      </w:r>
      <w:proofErr w:type="gramStart"/>
      <w:r>
        <w:rPr>
          <w:rFonts w:ascii="宋体" w:hAnsi="宋体" w:cs="宋体" w:hint="eastAsia"/>
          <w:sz w:val="24"/>
        </w:rPr>
        <w:t>维方案</w:t>
      </w:r>
      <w:proofErr w:type="gramEnd"/>
      <w:r>
        <w:rPr>
          <w:rFonts w:ascii="宋体" w:hAnsi="宋体" w:cs="宋体" w:hint="eastAsia"/>
          <w:sz w:val="24"/>
        </w:rPr>
        <w:t>进行评估，对数据运维脚本进行审核，数据运维脚本执行授权。</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③运</w:t>
      </w:r>
      <w:proofErr w:type="gramStart"/>
      <w:r>
        <w:rPr>
          <w:rFonts w:ascii="宋体" w:hAnsi="宋体" w:cs="宋体" w:hint="eastAsia"/>
          <w:sz w:val="24"/>
        </w:rPr>
        <w:t>维人员</w:t>
      </w:r>
      <w:proofErr w:type="gramEnd"/>
      <w:r>
        <w:rPr>
          <w:rFonts w:ascii="宋体" w:hAnsi="宋体" w:cs="宋体" w:hint="eastAsia"/>
          <w:sz w:val="24"/>
        </w:rPr>
        <w:t>对原始数据进行备份，执行数据运维脚本，对</w:t>
      </w:r>
      <w:proofErr w:type="gramStart"/>
      <w:r>
        <w:rPr>
          <w:rFonts w:ascii="宋体" w:hAnsi="宋体" w:cs="宋体" w:hint="eastAsia"/>
          <w:sz w:val="24"/>
        </w:rPr>
        <w:t>运维后的</w:t>
      </w:r>
      <w:proofErr w:type="gramEnd"/>
      <w:r>
        <w:rPr>
          <w:rFonts w:ascii="宋体" w:hAnsi="宋体" w:cs="宋体" w:hint="eastAsia"/>
          <w:sz w:val="24"/>
        </w:rPr>
        <w:t>数据进行验证，对运维脚本和相关资料进行归档。</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lastRenderedPageBreak/>
        <w:t>4.数据查询</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本项目系统现有功能无法完全满足的数据查询需求，需要运</w:t>
      </w:r>
      <w:proofErr w:type="gramStart"/>
      <w:r>
        <w:rPr>
          <w:rFonts w:ascii="宋体" w:hAnsi="宋体" w:cs="宋体" w:hint="eastAsia"/>
          <w:sz w:val="24"/>
        </w:rPr>
        <w:t>维人员</w:t>
      </w:r>
      <w:proofErr w:type="gramEnd"/>
      <w:r>
        <w:rPr>
          <w:rFonts w:ascii="宋体" w:hAnsi="宋体" w:cs="宋体" w:hint="eastAsia"/>
          <w:sz w:val="24"/>
        </w:rPr>
        <w:t>通过编写数据库脚本，协助实施数据查询，以及后期数据的其他分析应用工作，以满足各单位各部门对本项目系统数据分析的需要。</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数据查询统计的需求主要来源于以下几个方面：</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⑴国家税务总局要求各省上报相关数据。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⑵天津市税务局各部门提出的数据查询统计要求。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⑶各级部门领导需要临时掌握了解的税收数据。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⑷各级基层单位各部门提出的数据查询统计要求。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为确保各级部门能够及时准确的获取相关数据，运维厂商需要提供本项目系统最新数据字典，与天津市税务局共同对查询口径进行分析，确保运</w:t>
      </w:r>
      <w:proofErr w:type="gramStart"/>
      <w:r>
        <w:rPr>
          <w:rFonts w:ascii="宋体" w:hAnsi="宋体" w:cs="宋体" w:hint="eastAsia"/>
          <w:sz w:val="24"/>
        </w:rPr>
        <w:t>维人员</w:t>
      </w:r>
      <w:proofErr w:type="gramEnd"/>
      <w:r>
        <w:rPr>
          <w:rFonts w:ascii="宋体" w:hAnsi="宋体" w:cs="宋体" w:hint="eastAsia"/>
          <w:sz w:val="24"/>
        </w:rPr>
        <w:t>与需求人员对口径理解一致。查询前，运</w:t>
      </w:r>
      <w:proofErr w:type="gramStart"/>
      <w:r>
        <w:rPr>
          <w:rFonts w:ascii="宋体" w:hAnsi="宋体" w:cs="宋体" w:hint="eastAsia"/>
          <w:sz w:val="24"/>
        </w:rPr>
        <w:t>维人员</w:t>
      </w:r>
      <w:proofErr w:type="gramEnd"/>
      <w:r>
        <w:rPr>
          <w:rFonts w:ascii="宋体" w:hAnsi="宋体" w:cs="宋体" w:hint="eastAsia"/>
          <w:sz w:val="24"/>
        </w:rPr>
        <w:t>应提供查询脚本，经天津市税务局有关人员审核后再开展实际查询。若查询对系统压力较大，应在非工作时间和非系统运行高峰期开展查询和导出操作。查询完毕后，运</w:t>
      </w:r>
      <w:proofErr w:type="gramStart"/>
      <w:r>
        <w:rPr>
          <w:rFonts w:ascii="宋体" w:hAnsi="宋体" w:cs="宋体" w:hint="eastAsia"/>
          <w:sz w:val="24"/>
        </w:rPr>
        <w:t>维人员</w:t>
      </w:r>
      <w:proofErr w:type="gramEnd"/>
      <w:r>
        <w:rPr>
          <w:rFonts w:ascii="宋体" w:hAnsi="宋体" w:cs="宋体" w:hint="eastAsia"/>
          <w:sz w:val="24"/>
        </w:rPr>
        <w:t>应导出数据结果，经天津市税务局有关人员审核后，再按要求以邮件、运维平台或其它方式提交查询需求部门。</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5.需求调研</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根据天津市税务局工作安排，配合进行本项目系统相关需求调研，参加天津市税务局组织的应用系统方面会议或集中工作等。根据具体的地方需求结合本项目系统业务需求进行分析，出具可行的实现方案，同时辅助完成调研报告等工作。</w:t>
      </w:r>
    </w:p>
    <w:p w:rsidR="001B300F" w:rsidRDefault="002F62F8" w:rsidP="004555CE">
      <w:pPr>
        <w:spacing w:line="360" w:lineRule="auto"/>
        <w:ind w:firstLineChars="200" w:firstLine="446"/>
        <w:rPr>
          <w:rFonts w:ascii="宋体" w:hAnsi="宋体" w:cs="宋体"/>
          <w:sz w:val="24"/>
        </w:rPr>
      </w:pPr>
      <w:r>
        <w:rPr>
          <w:rFonts w:ascii="宋体" w:hAnsi="宋体" w:cs="宋体" w:hint="eastAsia"/>
          <w:sz w:val="24"/>
        </w:rPr>
        <w:t>涉及</w:t>
      </w:r>
      <w:r w:rsidR="004555CE">
        <w:rPr>
          <w:rFonts w:ascii="宋体" w:hAnsi="宋体" w:cs="宋体" w:hint="eastAsia"/>
          <w:sz w:val="24"/>
        </w:rPr>
        <w:t>本项目系统调整的业务需求变化主要包括两个方面：因国家税务总局税收政策变化、流程调整的需求变更。因地方性政策调整、管理流程调整的需求变更。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⑴因总局税收政策变化、流程调整的需求变更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应第一时间了解需求，并与本项目系统设计开发团队沟通实现方案。充分考虑各应用系统间的影响、升级带来的系统逻辑调整、历史数据的衔接。针对各种</w:t>
      </w:r>
      <w:r>
        <w:rPr>
          <w:rFonts w:ascii="宋体" w:hAnsi="宋体" w:cs="宋体" w:hint="eastAsia"/>
          <w:sz w:val="24"/>
        </w:rPr>
        <w:lastRenderedPageBreak/>
        <w:t>情况给出说明及解决方案。发起专题会议，与其他相关厂商及天津市税务局进行沟通，对方案进行完善，与本项目系统设计开发团队沟通开发计划及升级时间，并将注意事项、解决方案提交给天津市税务局。</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⑵因地方性政策调整，管理流程调整的需求变更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接收需求后，对需求进行补充和完善，进行初步需求分析。将需求进行分类、评估需求影响。</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如果属于统发系统范围内的需求，与相关系统运维厂商一起评估是否向总局提交需求变更申请，协助天津市税务局业务管理部门完成需求提报。如无需向总局提交需求变更申请，需联合相关系统运维厂商制定实施计划，共同完善系统，落实地方性政策调整变更需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如果属于地方特色软件或外部门系统范围内的需求，与相关系统建设厂商一起做好关联分析、开发计划、联调计划、测试计划、升级计划，与该系统承建商共同完成可行性方案，提交天津市税务局进行审核。</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6.集成服务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在金税三期、金税四期总体框架之下，结合天津市税务局现状，提供本项目系统相关集成服务。在面向多应用系统协调工作时，协助天津市税务局协调各运维厂商之间的运维工作，开展问题协同分析、系统联调测试以及版本同步升级等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深刻理解把握天津市税务局业务、应用、数据、流程、界面集成关系和关键任务，通过制定和严格执行集成技术、实施、管理等各项方案，通过组织协调保障天津市税务局应用系统协调、一致建设，形成一体化的天津市税务局应用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为了保证天津市税务局税收管理信息系统在全国税收行业处于领先地位，运维厂商应凭借自己在计算机技术方面的优势，在天津市税务局提出具体需求后，邀请信息化技术、税务行业的专家学者，为天津市税务局税收管理信息系统提供咨询服务。</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7.特有业务运维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⑴应用支撑平台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①运营治理维护管理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运营治理，采用“可视化业务监控+嵌入式数据治理”的模式实现业务自治，保障数据驱动业务的稳定和高质量运行。根据可视化监控工具日常运行情况，开展问题分析和跟踪处理，优化完善工具配置、数据准确性和及时性，确保监控工具的稳定高效运行。对监控对象进行分析，及时拓展监控范围，完善监控信息，提高监控内容的完整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②智能知识库维护管理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协助天津市税务局，开展智能知识库维护管理工作，包括每日对系统进行巡检，检查链路和ES服务，确保数据正常同步。</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③知识图谱维护管理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协助天津市税务局，开展知识图谱维护管理工作包括对总局下发的增量数据、ES监控状态、知识图谱</w:t>
      </w:r>
      <w:proofErr w:type="gramStart"/>
      <w:r>
        <w:rPr>
          <w:rFonts w:ascii="宋体" w:hAnsi="宋体" w:cs="宋体" w:hint="eastAsia"/>
          <w:sz w:val="24"/>
        </w:rPr>
        <w:t>微服务</w:t>
      </w:r>
      <w:proofErr w:type="gramEnd"/>
      <w:r>
        <w:rPr>
          <w:rFonts w:ascii="宋体" w:hAnsi="宋体" w:cs="宋体" w:hint="eastAsia"/>
          <w:sz w:val="24"/>
        </w:rPr>
        <w:t>进行日常巡检，并每月完成</w:t>
      </w:r>
      <w:proofErr w:type="gramStart"/>
      <w:r>
        <w:rPr>
          <w:rFonts w:ascii="宋体" w:hAnsi="宋体" w:cs="宋体" w:hint="eastAsia"/>
          <w:sz w:val="24"/>
        </w:rPr>
        <w:t>总省知识</w:t>
      </w:r>
      <w:proofErr w:type="gramEnd"/>
      <w:r>
        <w:rPr>
          <w:rFonts w:ascii="宋体" w:hAnsi="宋体" w:cs="宋体" w:hint="eastAsia"/>
          <w:sz w:val="24"/>
        </w:rPr>
        <w:t>内容的核对。做好知识图谱的常态化更新工作，确保知识数据可用性和知识标签体系，对知识同步程序进行例行检查，协助解决知识数据问题。</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w:t>
      </w:r>
      <w:proofErr w:type="gramStart"/>
      <w:r>
        <w:rPr>
          <w:rFonts w:ascii="宋体" w:hAnsi="宋体" w:cs="宋体" w:hint="eastAsia"/>
          <w:sz w:val="24"/>
        </w:rPr>
        <w:t>助信码维护</w:t>
      </w:r>
      <w:proofErr w:type="gramEnd"/>
      <w:r>
        <w:rPr>
          <w:rFonts w:ascii="宋体" w:hAnsi="宋体" w:cs="宋体" w:hint="eastAsia"/>
          <w:sz w:val="24"/>
        </w:rPr>
        <w:t>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协助天津市税务局运维</w:t>
      </w:r>
      <w:proofErr w:type="gramStart"/>
      <w:r>
        <w:rPr>
          <w:rFonts w:ascii="宋体" w:hAnsi="宋体" w:cs="宋体" w:hint="eastAsia"/>
          <w:sz w:val="24"/>
        </w:rPr>
        <w:t>在助信码</w:t>
      </w:r>
      <w:proofErr w:type="gramEnd"/>
      <w:r>
        <w:rPr>
          <w:rFonts w:ascii="宋体" w:hAnsi="宋体" w:cs="宋体" w:hint="eastAsia"/>
          <w:sz w:val="24"/>
        </w:rPr>
        <w:t>展示、查看赋码规则、查看历史赋码信息、相关</w:t>
      </w:r>
      <w:proofErr w:type="gramStart"/>
      <w:r>
        <w:rPr>
          <w:rFonts w:ascii="宋体" w:hAnsi="宋体" w:cs="宋体" w:hint="eastAsia"/>
          <w:sz w:val="24"/>
        </w:rPr>
        <w:t>方助信</w:t>
      </w:r>
      <w:proofErr w:type="gramEnd"/>
      <w:r>
        <w:rPr>
          <w:rFonts w:ascii="宋体" w:hAnsi="宋体" w:cs="宋体" w:hint="eastAsia"/>
          <w:sz w:val="24"/>
        </w:rPr>
        <w:t>码管理、</w:t>
      </w:r>
      <w:proofErr w:type="gramStart"/>
      <w:r>
        <w:rPr>
          <w:rFonts w:ascii="宋体" w:hAnsi="宋体" w:cs="宋体" w:hint="eastAsia"/>
          <w:sz w:val="24"/>
        </w:rPr>
        <w:t>助信码</w:t>
      </w:r>
      <w:proofErr w:type="gramEnd"/>
      <w:r>
        <w:rPr>
          <w:rFonts w:ascii="宋体" w:hAnsi="宋体" w:cs="宋体" w:hint="eastAsia"/>
          <w:sz w:val="24"/>
        </w:rPr>
        <w:t>分析、</w:t>
      </w:r>
      <w:proofErr w:type="gramStart"/>
      <w:r>
        <w:rPr>
          <w:rFonts w:ascii="宋体" w:hAnsi="宋体" w:cs="宋体" w:hint="eastAsia"/>
          <w:sz w:val="24"/>
        </w:rPr>
        <w:t>扫描助信码</w:t>
      </w:r>
      <w:proofErr w:type="gramEnd"/>
      <w:r>
        <w:rPr>
          <w:rFonts w:ascii="宋体" w:hAnsi="宋体" w:cs="宋体" w:hint="eastAsia"/>
          <w:sz w:val="24"/>
        </w:rPr>
        <w:t>、内部权限管理、</w:t>
      </w:r>
      <w:proofErr w:type="gramStart"/>
      <w:r>
        <w:rPr>
          <w:rFonts w:ascii="宋体" w:hAnsi="宋体" w:cs="宋体" w:hint="eastAsia"/>
          <w:sz w:val="24"/>
        </w:rPr>
        <w:t>助信码</w:t>
      </w:r>
      <w:proofErr w:type="gramEnd"/>
      <w:r>
        <w:rPr>
          <w:rFonts w:ascii="宋体" w:hAnsi="宋体" w:cs="宋体" w:hint="eastAsia"/>
          <w:sz w:val="24"/>
        </w:rPr>
        <w:t>设置、</w:t>
      </w:r>
      <w:proofErr w:type="gramStart"/>
      <w:r>
        <w:rPr>
          <w:rFonts w:ascii="宋体" w:hAnsi="宋体" w:cs="宋体" w:hint="eastAsia"/>
          <w:sz w:val="24"/>
        </w:rPr>
        <w:t>助信码</w:t>
      </w:r>
      <w:proofErr w:type="gramEnd"/>
      <w:r>
        <w:rPr>
          <w:rFonts w:ascii="宋体" w:hAnsi="宋体" w:cs="宋体" w:hint="eastAsia"/>
          <w:sz w:val="24"/>
        </w:rPr>
        <w:t>移动展示等功能中遇到的问题，保障纳税人正常</w:t>
      </w:r>
      <w:proofErr w:type="gramStart"/>
      <w:r>
        <w:rPr>
          <w:rFonts w:ascii="宋体" w:hAnsi="宋体" w:cs="宋体" w:hint="eastAsia"/>
          <w:sz w:val="24"/>
        </w:rPr>
        <w:t>使用助信码</w:t>
      </w:r>
      <w:proofErr w:type="gramEnd"/>
      <w:r>
        <w:rPr>
          <w:rFonts w:ascii="宋体" w:hAnsi="宋体" w:cs="宋体" w:hint="eastAsia"/>
          <w:sz w:val="24"/>
        </w:rPr>
        <w:t>。</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⑤</w:t>
      </w:r>
      <w:proofErr w:type="gramStart"/>
      <w:r>
        <w:rPr>
          <w:rFonts w:ascii="宋体" w:hAnsi="宋体" w:cs="宋体" w:hint="eastAsia"/>
          <w:sz w:val="24"/>
        </w:rPr>
        <w:t>一</w:t>
      </w:r>
      <w:proofErr w:type="gramEnd"/>
      <w:r>
        <w:rPr>
          <w:rFonts w:ascii="宋体" w:hAnsi="宋体" w:cs="宋体" w:hint="eastAsia"/>
          <w:sz w:val="24"/>
        </w:rPr>
        <w:t>体式维护管理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协助天津市税务局完成在岗位功能对照、风险疑点管理、线索上报、外部风险维护、任务管理、风险应对、风险</w:t>
      </w:r>
      <w:proofErr w:type="gramStart"/>
      <w:r>
        <w:rPr>
          <w:rFonts w:ascii="宋体" w:hAnsi="宋体" w:cs="宋体" w:hint="eastAsia"/>
          <w:sz w:val="24"/>
        </w:rPr>
        <w:t>应对成效</w:t>
      </w:r>
      <w:proofErr w:type="gramEnd"/>
      <w:r>
        <w:rPr>
          <w:rFonts w:ascii="宋体" w:hAnsi="宋体" w:cs="宋体" w:hint="eastAsia"/>
          <w:sz w:val="24"/>
        </w:rPr>
        <w:t>跟踪统计、常规风评及TBDS指标模型加载推送、发票赋额类别业务管控、负面清单管理、风险防控体系、支撑</w:t>
      </w:r>
      <w:proofErr w:type="gramStart"/>
      <w:r>
        <w:rPr>
          <w:rFonts w:ascii="宋体" w:hAnsi="宋体" w:cs="宋体" w:hint="eastAsia"/>
          <w:sz w:val="24"/>
        </w:rPr>
        <w:t>数电票</w:t>
      </w:r>
      <w:proofErr w:type="gramEnd"/>
      <w:r>
        <w:rPr>
          <w:rFonts w:ascii="宋体" w:hAnsi="宋体" w:cs="宋体" w:hint="eastAsia"/>
          <w:sz w:val="24"/>
        </w:rPr>
        <w:t>等功能模块中遇到的问题，保障税务人员正常使用相关功能。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⑥</w:t>
      </w:r>
      <w:proofErr w:type="gramStart"/>
      <w:r>
        <w:rPr>
          <w:rFonts w:ascii="宋体" w:hAnsi="宋体" w:cs="宋体" w:hint="eastAsia"/>
          <w:sz w:val="24"/>
        </w:rPr>
        <w:t>税智法</w:t>
      </w:r>
      <w:proofErr w:type="gramEnd"/>
      <w:r>
        <w:rPr>
          <w:rFonts w:ascii="宋体" w:hAnsi="宋体" w:cs="宋体" w:hint="eastAsia"/>
          <w:sz w:val="24"/>
        </w:rPr>
        <w:t>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协助天津市税务局运维在资源支持库查询、执法案例库管理、执法资格库管理、政策法规库管理、</w:t>
      </w:r>
      <w:proofErr w:type="gramStart"/>
      <w:r>
        <w:rPr>
          <w:rFonts w:ascii="宋体" w:hAnsi="宋体" w:cs="宋体" w:hint="eastAsia"/>
          <w:sz w:val="24"/>
        </w:rPr>
        <w:t>税智法</w:t>
      </w:r>
      <w:proofErr w:type="gramEnd"/>
      <w:r>
        <w:rPr>
          <w:rFonts w:ascii="宋体" w:hAnsi="宋体" w:cs="宋体" w:hint="eastAsia"/>
          <w:sz w:val="24"/>
        </w:rPr>
        <w:t>智能控制等功能模块中遇到的问题，保障税务人员正常使用相关功能。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⑦智慧监督维护管理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协助天津市税务局完成在监督态势感知、监督任务管理、精准监督、预警信息处置、</w:t>
      </w:r>
      <w:proofErr w:type="gramStart"/>
      <w:r>
        <w:rPr>
          <w:rFonts w:ascii="宋体" w:hAnsi="宋体" w:cs="宋体" w:hint="eastAsia"/>
          <w:sz w:val="24"/>
        </w:rPr>
        <w:t>一案双查管理</w:t>
      </w:r>
      <w:proofErr w:type="gramEnd"/>
      <w:r>
        <w:rPr>
          <w:rFonts w:ascii="宋体" w:hAnsi="宋体" w:cs="宋体" w:hint="eastAsia"/>
          <w:sz w:val="24"/>
        </w:rPr>
        <w:t>、专题会商、两权监督、监督责任履行管理等功能模块中遇到的问题，保障税务人员正常使用相关功能。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⑧发票赋</w:t>
      </w:r>
      <w:proofErr w:type="gramStart"/>
      <w:r>
        <w:rPr>
          <w:rFonts w:ascii="宋体" w:hAnsi="宋体" w:cs="宋体" w:hint="eastAsia"/>
          <w:sz w:val="24"/>
        </w:rPr>
        <w:t>额业务</w:t>
      </w:r>
      <w:proofErr w:type="gramEnd"/>
      <w:r>
        <w:rPr>
          <w:rFonts w:ascii="宋体" w:hAnsi="宋体" w:cs="宋体" w:hint="eastAsia"/>
          <w:sz w:val="24"/>
        </w:rPr>
        <w:t>对账平台维护管理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协助天津市税务局完成在发票赋额标签信息查询、发票赋额标签异常数据分布情况、发票赋额标签异常数据清册查询、发票赋额标签对账补偿、发票赋额同步、待人工核实标签情况、发票赋</w:t>
      </w:r>
      <w:proofErr w:type="gramStart"/>
      <w:r>
        <w:rPr>
          <w:rFonts w:ascii="宋体" w:hAnsi="宋体" w:cs="宋体" w:hint="eastAsia"/>
          <w:sz w:val="24"/>
        </w:rPr>
        <w:t>额业务</w:t>
      </w:r>
      <w:proofErr w:type="gramEnd"/>
      <w:r>
        <w:rPr>
          <w:rFonts w:ascii="宋体" w:hAnsi="宋体" w:cs="宋体" w:hint="eastAsia"/>
          <w:sz w:val="24"/>
        </w:rPr>
        <w:t>对账平台大屏等功能模块中遇到的问题，保障税务人员正常使用相关功能。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⑨收入规划核算业务功能维护管理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针对收入规划核算业务功能提供及时全面的支持，协助天津市税务局排查处</w:t>
      </w:r>
      <w:proofErr w:type="gramStart"/>
      <w:r>
        <w:rPr>
          <w:rFonts w:ascii="宋体" w:hAnsi="宋体" w:cs="宋体" w:hint="eastAsia"/>
          <w:sz w:val="24"/>
        </w:rPr>
        <w:t>理收入</w:t>
      </w:r>
      <w:proofErr w:type="gramEnd"/>
      <w:r>
        <w:rPr>
          <w:rFonts w:ascii="宋体" w:hAnsi="宋体" w:cs="宋体" w:hint="eastAsia"/>
          <w:sz w:val="24"/>
        </w:rPr>
        <w:t>预测、</w:t>
      </w:r>
      <w:proofErr w:type="gramStart"/>
      <w:r>
        <w:rPr>
          <w:rFonts w:ascii="宋体" w:hAnsi="宋体" w:cs="宋体" w:hint="eastAsia"/>
          <w:sz w:val="24"/>
        </w:rPr>
        <w:t>税收月快报</w:t>
      </w:r>
      <w:proofErr w:type="gramEnd"/>
      <w:r>
        <w:rPr>
          <w:rFonts w:ascii="宋体" w:hAnsi="宋体" w:cs="宋体" w:hint="eastAsia"/>
          <w:sz w:val="24"/>
        </w:rPr>
        <w:t>、会统核算、会计监督、综合报表系统等收入规划核算业务功能模块使用中遇到的问题，保障税务人员正常使用相关功能，协助分析核算口径与数据差异问题，确保相关业务核算数据及时、规范、准确产出，协助</w:t>
      </w:r>
      <w:proofErr w:type="gramStart"/>
      <w:r>
        <w:rPr>
          <w:rFonts w:ascii="宋体" w:hAnsi="宋体" w:cs="宋体" w:hint="eastAsia"/>
          <w:sz w:val="24"/>
        </w:rPr>
        <w:t>开展岗责和</w:t>
      </w:r>
      <w:proofErr w:type="gramEnd"/>
      <w:r>
        <w:rPr>
          <w:rFonts w:ascii="宋体" w:hAnsi="宋体" w:cs="宋体" w:hint="eastAsia"/>
          <w:sz w:val="24"/>
        </w:rPr>
        <w:t>权限设置，保障税务人员正常使用相关功能。考虑到核算业务的特殊性和专业性，具体包括：</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A.保障收入规划核算业务功能应用的正常运行，以及与关联系统（自然人电子税务局、可信身份管理平台、新电局、</w:t>
      </w:r>
      <w:proofErr w:type="gramStart"/>
      <w:r>
        <w:rPr>
          <w:rFonts w:ascii="宋体" w:hAnsi="宋体" w:cs="宋体" w:hint="eastAsia"/>
          <w:sz w:val="24"/>
        </w:rPr>
        <w:t>税智撑</w:t>
      </w:r>
      <w:proofErr w:type="gramEnd"/>
      <w:r>
        <w:rPr>
          <w:rFonts w:ascii="宋体" w:hAnsi="宋体" w:cs="宋体" w:hint="eastAsia"/>
          <w:sz w:val="24"/>
        </w:rPr>
        <w:t>（数据治理、规则引擎））的业务衔接，对业务人员从功能的操作性、数据的准确性以及应用的整体稳定性进行全方位的辅导与保障。协助进行机构、人员、岗位、权限的精准调整，确保权限设置合理，符合管理需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B.保障核算类业务功能正常运行，对核算单位、核算日期、规划区域等设置信息进行维护，协助开</w:t>
      </w:r>
      <w:proofErr w:type="gramStart"/>
      <w:r>
        <w:rPr>
          <w:rFonts w:ascii="宋体" w:hAnsi="宋体" w:cs="宋体" w:hint="eastAsia"/>
          <w:sz w:val="24"/>
        </w:rPr>
        <w:t>展期初</w:t>
      </w:r>
      <w:proofErr w:type="gramEnd"/>
      <w:r>
        <w:rPr>
          <w:rFonts w:ascii="宋体" w:hAnsi="宋体" w:cs="宋体" w:hint="eastAsia"/>
          <w:sz w:val="24"/>
        </w:rPr>
        <w:t>结转或年终结转，并核实结转数据的准确性，协助分析问题数据的产生原因与提供相应的解决方案。支持各级核算记账、产表、上报等功能，针对各级单位发现的疑点数据，分析定位产生的原因及具体明细信息，协助税务人员及其他关联系统对数据按照业务规范进行相应的更正处理，并重新核算、记账、产表及其对数据的再次校验确认。</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C.保障综合报表业务正常运行。在总局下发的各类报表任务(会统核算、月快报、重点税源、税收调查、小</w:t>
      </w:r>
      <w:proofErr w:type="gramStart"/>
      <w:r>
        <w:rPr>
          <w:rFonts w:ascii="宋体" w:hAnsi="宋体" w:cs="宋体" w:hint="eastAsia"/>
          <w:sz w:val="24"/>
        </w:rPr>
        <w:t>微企业</w:t>
      </w:r>
      <w:proofErr w:type="gramEnd"/>
      <w:r>
        <w:rPr>
          <w:rFonts w:ascii="宋体" w:hAnsi="宋体" w:cs="宋体" w:hint="eastAsia"/>
          <w:sz w:val="24"/>
        </w:rPr>
        <w:t>)的基础上按照本地化要求新增计算公式、审核公式，设计报表任务并发布、下载，支持对报表数据的下载、计算、审核、汇总、</w:t>
      </w:r>
      <w:proofErr w:type="gramStart"/>
      <w:r>
        <w:rPr>
          <w:rFonts w:ascii="宋体" w:hAnsi="宋体" w:cs="宋体" w:hint="eastAsia"/>
          <w:sz w:val="24"/>
        </w:rPr>
        <w:t>舍位平衡</w:t>
      </w:r>
      <w:proofErr w:type="gramEnd"/>
      <w:r>
        <w:rPr>
          <w:rFonts w:ascii="宋体" w:hAnsi="宋体" w:cs="宋体" w:hint="eastAsia"/>
          <w:sz w:val="24"/>
        </w:rPr>
        <w:t>等业务流程的正常使用。支持在综合报表设计系统中按照业务部门的要求对于不同的报表任务新增设计固定分析表、浮动分析表、多维分析表、清单列表等分析报表，形成本省的报表分析任务，完成任务发布、下载和数据刷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D.保障会计监督业务正常运行。协助维护设置监督规则、和监督任务的分发规则，支持对收</w:t>
      </w:r>
      <w:proofErr w:type="gramStart"/>
      <w:r>
        <w:rPr>
          <w:rFonts w:ascii="宋体" w:hAnsi="宋体" w:cs="宋体" w:hint="eastAsia"/>
          <w:sz w:val="24"/>
        </w:rPr>
        <w:t>规</w:t>
      </w:r>
      <w:proofErr w:type="gramEnd"/>
      <w:r>
        <w:rPr>
          <w:rFonts w:ascii="宋体" w:hAnsi="宋体" w:cs="宋体" w:hint="eastAsia"/>
          <w:sz w:val="24"/>
        </w:rPr>
        <w:t>以及其他业务条线</w:t>
      </w:r>
      <w:proofErr w:type="gramStart"/>
      <w:r>
        <w:rPr>
          <w:rFonts w:ascii="宋体" w:hAnsi="宋体" w:cs="宋体" w:hint="eastAsia"/>
          <w:sz w:val="24"/>
        </w:rPr>
        <w:t>的岗责配置</w:t>
      </w:r>
      <w:proofErr w:type="gramEnd"/>
      <w:r>
        <w:rPr>
          <w:rFonts w:ascii="宋体" w:hAnsi="宋体" w:cs="宋体" w:hint="eastAsia"/>
          <w:sz w:val="24"/>
        </w:rPr>
        <w:t>、按照纳税人名单或其他方式的人工任务录入，对总局监督任务以及本省自定义的监督任务的疑点扫描，对系统监督任务开展日常监控，确保任务的正常流转。对于未修复正确的数据进行数据分析支持以及提供相应的解决方案，协助税务人员对疑点数据的更正处理或反馈说明。</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E.保障税收预测业务正常运行。监控支撑新电局纳税人端数据采集的微服务，确保纳税人功能的数据预填、数据确认、数据保存、数据退回等功能。对认定企业的业务情况进行数据加工统计，保障税务人对认定企业的调整与纳税人端获取预填数据的准确性。监控采集数据实时同步至会统核算系统，支持税务人员对数据进行审核确认，对审核结果实时同步至新电局纳税人端，确保两端的数据一致性与实时性。支持各级单位对税收预测数据的审核、固定分析表、统计分析表的数据加工产出，确保填报、审核、上报、分析等业务流程的正常运行。</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F.保障报表采集工作正常运行。协助跟踪解决重点税源、税收调查、预测模块诸如申报模式更新（如报表</w:t>
      </w:r>
      <w:proofErr w:type="gramStart"/>
      <w:r>
        <w:rPr>
          <w:rFonts w:ascii="宋体" w:hAnsi="宋体" w:cs="宋体" w:hint="eastAsia"/>
          <w:sz w:val="24"/>
        </w:rPr>
        <w:t>预填项默认</w:t>
      </w:r>
      <w:proofErr w:type="gramEnd"/>
      <w:r>
        <w:rPr>
          <w:rFonts w:ascii="宋体" w:hAnsi="宋体" w:cs="宋体" w:hint="eastAsia"/>
          <w:sz w:val="24"/>
        </w:rPr>
        <w:t>隐藏行次等）、采集模板的实时变更调整、填报过程勾</w:t>
      </w:r>
      <w:proofErr w:type="gramStart"/>
      <w:r>
        <w:rPr>
          <w:rFonts w:ascii="宋体" w:hAnsi="宋体" w:cs="宋体" w:hint="eastAsia"/>
          <w:sz w:val="24"/>
        </w:rPr>
        <w:t>稽</w:t>
      </w:r>
      <w:proofErr w:type="gramEnd"/>
      <w:r>
        <w:rPr>
          <w:rFonts w:ascii="宋体" w:hAnsi="宋体" w:cs="宋体" w:hint="eastAsia"/>
          <w:sz w:val="24"/>
        </w:rPr>
        <w:t>关联报错等各种技术问题。针对用户填报疑点、操作失误、自身系统原因造成的错误数据，及时进行数据运维，确保数据采集的时效性、准确性。考虑纳税人</w:t>
      </w:r>
      <w:proofErr w:type="gramStart"/>
      <w:r>
        <w:rPr>
          <w:rFonts w:ascii="宋体" w:hAnsi="宋体" w:cs="宋体" w:hint="eastAsia"/>
          <w:sz w:val="24"/>
        </w:rPr>
        <w:t>端需求</w:t>
      </w:r>
      <w:proofErr w:type="gramEnd"/>
      <w:r>
        <w:rPr>
          <w:rFonts w:ascii="宋体" w:hAnsi="宋体" w:cs="宋体" w:hint="eastAsia"/>
          <w:sz w:val="24"/>
        </w:rPr>
        <w:t>的特殊性及敏感性，需要保障纳税人在操作环节针对技术问题的解答、辅导、培训进行有效支撑，在系统存在更新时及时配合处室进行深度业务测试，及时整理形成相关操作指引材料等各种服务。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⑩企业所得税计税凭证信息管理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完成企业所得税计税凭证信息事中管理，加强税前扣除凭证的全过程、痕迹化管控，通过企业所得税申报事中监控功能、重点领域高风险纳税人“信用+风险”管理、以及纳税人自主申请等方式，完成企业所得税计税凭证信息采集和管理，将税前扣除凭证的事后管理</w:t>
      </w:r>
      <w:proofErr w:type="gramStart"/>
      <w:r>
        <w:rPr>
          <w:rFonts w:ascii="宋体" w:hAnsi="宋体" w:cs="宋体" w:hint="eastAsia"/>
          <w:sz w:val="24"/>
        </w:rPr>
        <w:t>提前至事中</w:t>
      </w:r>
      <w:proofErr w:type="gramEnd"/>
      <w:r>
        <w:rPr>
          <w:rFonts w:ascii="宋体" w:hAnsi="宋体" w:cs="宋体" w:hint="eastAsia"/>
          <w:sz w:val="24"/>
        </w:rPr>
        <w:t>，降低纳税人的税前扣除风险。</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w:t>
      </w:r>
      <w:proofErr w:type="gramStart"/>
      <w:r>
        <w:rPr>
          <w:rFonts w:ascii="宋体" w:hAnsi="宋体" w:cs="宋体" w:hint="eastAsia"/>
          <w:sz w:val="24"/>
        </w:rPr>
        <w:t>多云运维管理</w:t>
      </w:r>
      <w:proofErr w:type="gramEnd"/>
      <w:r>
        <w:rPr>
          <w:rFonts w:ascii="宋体" w:hAnsi="宋体" w:cs="宋体" w:hint="eastAsia"/>
          <w:sz w:val="24"/>
        </w:rPr>
        <w:t>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①对</w:t>
      </w:r>
      <w:proofErr w:type="gramStart"/>
      <w:r>
        <w:rPr>
          <w:rFonts w:ascii="宋体" w:hAnsi="宋体" w:cs="宋体" w:hint="eastAsia"/>
          <w:sz w:val="24"/>
        </w:rPr>
        <w:t>多云运维管理</w:t>
      </w:r>
      <w:proofErr w:type="gramEnd"/>
      <w:r>
        <w:rPr>
          <w:rFonts w:ascii="宋体" w:hAnsi="宋体" w:cs="宋体" w:hint="eastAsia"/>
          <w:sz w:val="24"/>
        </w:rPr>
        <w:t>平台-蓝鲸ITSM、CMDB、告警中心、监控中心等产品提供日常维护，进行业务及技术问题提供及时全面的解答与处理，辅助进行故障诊断及故障处理解决。</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②对</w:t>
      </w:r>
      <w:proofErr w:type="gramStart"/>
      <w:r>
        <w:rPr>
          <w:rFonts w:ascii="宋体" w:hAnsi="宋体" w:cs="宋体" w:hint="eastAsia"/>
          <w:sz w:val="24"/>
        </w:rPr>
        <w:t>多云运维管理</w:t>
      </w:r>
      <w:proofErr w:type="gramEnd"/>
      <w:r>
        <w:rPr>
          <w:rFonts w:ascii="宋体" w:hAnsi="宋体" w:cs="宋体" w:hint="eastAsia"/>
          <w:sz w:val="24"/>
        </w:rPr>
        <w:t>平台-运维知识库、智能问答、桌面端等产品提供日常维护，进行业务及技术问题提供及时全面的解答与处理，辅助进行故障诊断及故障处理解决，维护知识库内容。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③新监控工具的实施调优、监控内容接入实施、告警源及告警渠道接入实施工作。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④针对</w:t>
      </w:r>
      <w:proofErr w:type="gramStart"/>
      <w:r>
        <w:rPr>
          <w:rFonts w:ascii="宋体" w:hAnsi="宋体" w:cs="宋体" w:hint="eastAsia"/>
          <w:sz w:val="24"/>
        </w:rPr>
        <w:t>多云运维管理</w:t>
      </w:r>
      <w:proofErr w:type="gramEnd"/>
      <w:r>
        <w:rPr>
          <w:rFonts w:ascii="宋体" w:hAnsi="宋体" w:cs="宋体" w:hint="eastAsia"/>
          <w:sz w:val="24"/>
        </w:rPr>
        <w:t>平台纳管的基础资源环境（云资源、基础资源）开展日常监控、发布监控事件。</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⑤针对</w:t>
      </w:r>
      <w:proofErr w:type="gramStart"/>
      <w:r>
        <w:rPr>
          <w:rFonts w:ascii="宋体" w:hAnsi="宋体" w:cs="宋体" w:hint="eastAsia"/>
          <w:sz w:val="24"/>
        </w:rPr>
        <w:t>多云运维管理</w:t>
      </w:r>
      <w:proofErr w:type="gramEnd"/>
      <w:r>
        <w:rPr>
          <w:rFonts w:ascii="宋体" w:hAnsi="宋体" w:cs="宋体" w:hint="eastAsia"/>
          <w:sz w:val="24"/>
        </w:rPr>
        <w:t>平台纳管的系统（全电发票、统一身份平台、数据支撑平台等）、新增纳管系统开展日常监控、发布监控事件、扩展配置维护。</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⑥针对</w:t>
      </w:r>
      <w:proofErr w:type="gramStart"/>
      <w:r>
        <w:rPr>
          <w:rFonts w:ascii="宋体" w:hAnsi="宋体" w:cs="宋体" w:hint="eastAsia"/>
          <w:sz w:val="24"/>
        </w:rPr>
        <w:t>多云运维管理</w:t>
      </w:r>
      <w:proofErr w:type="gramEnd"/>
      <w:r>
        <w:rPr>
          <w:rFonts w:ascii="宋体" w:hAnsi="宋体" w:cs="宋体" w:hint="eastAsia"/>
          <w:sz w:val="24"/>
        </w:rPr>
        <w:t>平台纳管的基础资源的配置维护，扩展配置维护新增纳管的基础资源，开展监控。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⑦针对</w:t>
      </w:r>
      <w:proofErr w:type="gramStart"/>
      <w:r>
        <w:rPr>
          <w:rFonts w:ascii="宋体" w:hAnsi="宋体" w:cs="宋体" w:hint="eastAsia"/>
          <w:sz w:val="24"/>
        </w:rPr>
        <w:t>多云运维管理</w:t>
      </w:r>
      <w:proofErr w:type="gramEnd"/>
      <w:r>
        <w:rPr>
          <w:rFonts w:ascii="宋体" w:hAnsi="宋体" w:cs="宋体" w:hint="eastAsia"/>
          <w:sz w:val="24"/>
        </w:rPr>
        <w:t>平台纳管的基础资源监控链路的日常保障，对监控数据采集、监控数据汇集、监控数据加工、监控数据展示各个环节进行日常监控及保障。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⑧针对</w:t>
      </w:r>
      <w:proofErr w:type="gramStart"/>
      <w:r>
        <w:rPr>
          <w:rFonts w:ascii="宋体" w:hAnsi="宋体" w:cs="宋体" w:hint="eastAsia"/>
          <w:sz w:val="24"/>
        </w:rPr>
        <w:t>多云运维管理</w:t>
      </w:r>
      <w:proofErr w:type="gramEnd"/>
      <w:r>
        <w:rPr>
          <w:rFonts w:ascii="宋体" w:hAnsi="宋体" w:cs="宋体" w:hint="eastAsia"/>
          <w:sz w:val="24"/>
        </w:rPr>
        <w:t>平台纳管的系统的监控链路的日常保障，对监控数据采集、监控数据汇集、监控数据加工、监控数据展示各个环节进行日常监控及保障。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⑨为应用系统提供数据处理、数据应用等数据处理各环节的技术支持服务，包括问题处理、问题咨询、口径解释、数据查询、技术支持、应用支持等。平台运维保障，主要包括日常使用问题解答、监控数据校准、告警中心各类策略调整优化、异常流程及错误数据处理、知识库知识整理以及平台在日常使用过程中产生的问题处置等。为了达到更好的监控效果和覆盖范围，</w:t>
      </w:r>
      <w:proofErr w:type="gramStart"/>
      <w:r>
        <w:rPr>
          <w:rFonts w:ascii="宋体" w:hAnsi="宋体" w:cs="宋体" w:hint="eastAsia"/>
          <w:sz w:val="24"/>
        </w:rPr>
        <w:t>多云运</w:t>
      </w:r>
      <w:proofErr w:type="gramEnd"/>
      <w:r>
        <w:rPr>
          <w:rFonts w:ascii="宋体" w:hAnsi="宋体" w:cs="宋体" w:hint="eastAsia"/>
          <w:sz w:val="24"/>
        </w:rPr>
        <w:t>维平台根据需要进行各类监控实施任务。监控实施保障，主要包括新监控工具实施、监控纳管</w:t>
      </w:r>
      <w:proofErr w:type="gramStart"/>
      <w:r>
        <w:rPr>
          <w:rFonts w:ascii="宋体" w:hAnsi="宋体" w:cs="宋体" w:hint="eastAsia"/>
          <w:sz w:val="24"/>
        </w:rPr>
        <w:t>系统扩围等</w:t>
      </w:r>
      <w:proofErr w:type="gramEnd"/>
      <w:r>
        <w:rPr>
          <w:rFonts w:ascii="宋体" w:hAnsi="宋体" w:cs="宋体" w:hint="eastAsia"/>
          <w:sz w:val="24"/>
        </w:rPr>
        <w:t>监控实施工作。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⑩配置维护保障，主要包括配置</w:t>
      </w:r>
      <w:proofErr w:type="gramStart"/>
      <w:r>
        <w:rPr>
          <w:rFonts w:ascii="宋体" w:hAnsi="宋体" w:cs="宋体" w:hint="eastAsia"/>
          <w:sz w:val="24"/>
        </w:rPr>
        <w:t>库数据</w:t>
      </w:r>
      <w:proofErr w:type="gramEnd"/>
      <w:r>
        <w:rPr>
          <w:rFonts w:ascii="宋体" w:hAnsi="宋体" w:cs="宋体" w:hint="eastAsia"/>
          <w:sz w:val="24"/>
        </w:rPr>
        <w:t>检查及维护、模型更新、配置采集实施、配置数据统计分析。目前</w:t>
      </w:r>
      <w:proofErr w:type="gramStart"/>
      <w:r>
        <w:rPr>
          <w:rFonts w:ascii="宋体" w:hAnsi="宋体" w:cs="宋体" w:hint="eastAsia"/>
          <w:sz w:val="24"/>
        </w:rPr>
        <w:t>多云运</w:t>
      </w:r>
      <w:proofErr w:type="gramEnd"/>
      <w:r>
        <w:rPr>
          <w:rFonts w:ascii="宋体" w:hAnsi="宋体" w:cs="宋体" w:hint="eastAsia"/>
          <w:sz w:val="24"/>
        </w:rPr>
        <w:t>维平台配置库采集来源包括金税云平台（覆盖电票、可信、新电局、</w:t>
      </w:r>
      <w:proofErr w:type="gramStart"/>
      <w:r>
        <w:rPr>
          <w:rFonts w:ascii="宋体" w:hAnsi="宋体" w:cs="宋体" w:hint="eastAsia"/>
          <w:sz w:val="24"/>
        </w:rPr>
        <w:t>税智撑</w:t>
      </w:r>
      <w:proofErr w:type="gramEnd"/>
      <w:r>
        <w:rPr>
          <w:rFonts w:ascii="宋体" w:hAnsi="宋体" w:cs="宋体" w:hint="eastAsia"/>
          <w:sz w:val="24"/>
        </w:rPr>
        <w:t>、税务人端等应用系统租户的各</w:t>
      </w:r>
      <w:proofErr w:type="gramStart"/>
      <w:r>
        <w:rPr>
          <w:rFonts w:ascii="宋体" w:hAnsi="宋体" w:cs="宋体" w:hint="eastAsia"/>
          <w:sz w:val="24"/>
        </w:rPr>
        <w:t>类云资源</w:t>
      </w:r>
      <w:proofErr w:type="gramEnd"/>
      <w:r>
        <w:rPr>
          <w:rFonts w:ascii="宋体" w:hAnsi="宋体" w:cs="宋体" w:hint="eastAsia"/>
          <w:sz w:val="24"/>
        </w:rPr>
        <w:t>信息）、云集平台（关联关系）。</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⑶税务区块链基础平台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协助天津市税务局，开展省级税务区块链基础平台不动产链、社保费链、新场景链的应用管理、业务衔接、数据分析、业务监控等工作。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⑷管理决策支持风险与信用系统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协助天津市税务局开展企业信用月度评价。为了确保每月初纳税</w:t>
      </w:r>
      <w:proofErr w:type="gramStart"/>
      <w:r>
        <w:rPr>
          <w:rFonts w:ascii="宋体" w:hAnsi="宋体" w:cs="宋体" w:hint="eastAsia"/>
          <w:sz w:val="24"/>
        </w:rPr>
        <w:t>信用月评价平稳</w:t>
      </w:r>
      <w:proofErr w:type="gramEnd"/>
      <w:r>
        <w:rPr>
          <w:rFonts w:ascii="宋体" w:hAnsi="宋体" w:cs="宋体" w:hint="eastAsia"/>
          <w:sz w:val="24"/>
        </w:rPr>
        <w:t>开展，每月底及月初进行数据抽取加工，对指标加载加强监控，对评价过程中的问题做到早发现早处理，确保每月的评价结果顺利生成，保障纳税人涉税业务的正常开展。</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⑸管理决策支持核算与分析系统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①决策一包数据查询及处理：根据业务部门提出的各种数据问题以及数据清册，按照需求尽快查询出数据。不定期根据业务部门需求导入减税降费、医疗保险、阶段缓交等数据后加工报表并协助上报总局；</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大企业千户集团税收统计运维服务，千户集团快报系统包括大企业名单管理、大企业指标查询、信息审核，及大企业千户集团税收快报。接收处理业务部门提出的千户集团方面问题，包括数据核实、数据查询、数据加工、数据比对及数据提取等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征管质量、数据质量运维服务，包括监控外围系统如防伪税控、电子底账系统、决策二包数据能够准确、全面、及时、有效的导入征管质量监控评价系统，保证数据的准确完整。配合总局按月加工生成天津市征管质量监控评价的75项指标数据，协助业务部门分析各类监控、评价指标，从而保证数据准确完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④其他数据服务，包括为业务部门提供通用查询、“一局式”、“一户式”查询服务，报表统计计算服务，对业务部门提供日常业务查询服务和报表数据统计服务。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⑤核算日常管理服务，包括协助业务部门完成会计核算记账、退账、报表加工及汇总，监控记账实时情况，保障</w:t>
      </w:r>
      <w:proofErr w:type="gramStart"/>
      <w:r>
        <w:rPr>
          <w:rFonts w:ascii="宋体" w:hAnsi="宋体" w:cs="宋体" w:hint="eastAsia"/>
          <w:sz w:val="24"/>
        </w:rPr>
        <w:t>记退账顺利</w:t>
      </w:r>
      <w:proofErr w:type="gramEnd"/>
      <w:r>
        <w:rPr>
          <w:rFonts w:ascii="宋体" w:hAnsi="宋体" w:cs="宋体" w:hint="eastAsia"/>
          <w:sz w:val="24"/>
        </w:rPr>
        <w:t>执行、问题及时应对。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⑥票证日常管理服务，包括协助业务部门完成票证报表刷新，保证票证报表的及时产出。</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⑦报表问题分析服务，包括协助业务部门对表内数据存在负数、零数、偏大、偏小等问题、表</w:t>
      </w:r>
      <w:proofErr w:type="gramStart"/>
      <w:r>
        <w:rPr>
          <w:rFonts w:ascii="宋体" w:hAnsi="宋体" w:cs="宋体" w:hint="eastAsia"/>
          <w:sz w:val="24"/>
        </w:rPr>
        <w:t>间数据</w:t>
      </w:r>
      <w:proofErr w:type="gramEnd"/>
      <w:r>
        <w:rPr>
          <w:rFonts w:ascii="宋体" w:hAnsi="宋体" w:cs="宋体" w:hint="eastAsia"/>
          <w:sz w:val="24"/>
        </w:rPr>
        <w:t>不一致问题，针对上述问题数量后台逻辑，排查原因并反馈，必要情况下修改账簿数据。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⑧核算账</w:t>
      </w:r>
      <w:proofErr w:type="gramStart"/>
      <w:r>
        <w:rPr>
          <w:rFonts w:ascii="宋体" w:hAnsi="宋体" w:cs="宋体" w:hint="eastAsia"/>
          <w:sz w:val="24"/>
        </w:rPr>
        <w:t>务</w:t>
      </w:r>
      <w:proofErr w:type="gramEnd"/>
      <w:r>
        <w:rPr>
          <w:rFonts w:ascii="宋体" w:hAnsi="宋体" w:cs="宋体" w:hint="eastAsia"/>
          <w:sz w:val="24"/>
        </w:rPr>
        <w:t>查询服务，包括协助业务部</w:t>
      </w:r>
      <w:proofErr w:type="gramStart"/>
      <w:r>
        <w:rPr>
          <w:rFonts w:ascii="宋体" w:hAnsi="宋体" w:cs="宋体" w:hint="eastAsia"/>
          <w:sz w:val="24"/>
        </w:rPr>
        <w:t>门用于</w:t>
      </w:r>
      <w:proofErr w:type="gramEnd"/>
      <w:r>
        <w:rPr>
          <w:rFonts w:ascii="宋体" w:hAnsi="宋体" w:cs="宋体" w:hint="eastAsia"/>
          <w:sz w:val="24"/>
        </w:rPr>
        <w:t>查询账务情况，根据实际情况，按要求提供查询口径。</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⑹外部信息交换系统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①协助天津市税务局完成两证整合、三证合一、简易注销等地方</w:t>
      </w:r>
      <w:proofErr w:type="gramStart"/>
      <w:r>
        <w:rPr>
          <w:rFonts w:ascii="宋体" w:hAnsi="宋体" w:cs="宋体" w:hint="eastAsia"/>
          <w:sz w:val="24"/>
        </w:rPr>
        <w:t>适配性运维</w:t>
      </w:r>
      <w:proofErr w:type="gramEnd"/>
      <w:r>
        <w:rPr>
          <w:rFonts w:ascii="宋体" w:hAnsi="宋体" w:cs="宋体" w:hint="eastAsia"/>
          <w:sz w:val="24"/>
        </w:rPr>
        <w:t>。</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②配合总局各项调研工作，出具报告。配合天津市税务局参加外部门数据共享相关会议，提供数据共享方案，编写接口规范，协同推进工作。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③协助天津市税务局与外部门运维厂商建立联合运维组织，组织双方业务和技术部门进行对接，开展业务和技术方案论证，及时沟通运维问题，及时报告重大问题，协同推进工作。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④归纳与多个外部门对接方案，采用同一套数据交互逻辑，方便后期数据管理与问题排查。</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⑺社保费税银系统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①协助天津市税务局每日和各商业银行进行日切对账，并将数据传输给征收子系统，确保数据的完整性与准确性。每周对上周业务量进行统计并上报总局。每月初对税银银行工作量进行统计并上报总局。</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②解决社保处所提出的参保人是否缴费成功等问题。</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③每月统计并提交上月城乡、灵活银行工作量统计表。每年年末统计上解入库量。</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⑻电子印章系统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①电子</w:t>
      </w:r>
      <w:proofErr w:type="gramStart"/>
      <w:r>
        <w:rPr>
          <w:rFonts w:ascii="宋体" w:hAnsi="宋体" w:cs="宋体" w:hint="eastAsia"/>
          <w:sz w:val="24"/>
        </w:rPr>
        <w:t>印章制章服务</w:t>
      </w:r>
      <w:proofErr w:type="gramEnd"/>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A.印模管理服务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协助天津市税务局开展印模管理服务，完成印模制作和印模导入等服务。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B.印章管理服务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协助天津市税务局开展印章管理服务，完成印章制作、印章发布、印章查询、印章变更、印章挂失、印章注销、印章冻结、印章撤销、印章补发、印章批量申请、印章延期等服务。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C.接入管理服务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协助天津市税务局开展印章接入管理服务，完成电子印章</w:t>
      </w:r>
      <w:proofErr w:type="gramStart"/>
      <w:r>
        <w:rPr>
          <w:rFonts w:ascii="宋体" w:hAnsi="宋体" w:cs="宋体" w:hint="eastAsia"/>
          <w:sz w:val="24"/>
        </w:rPr>
        <w:t>制章系统</w:t>
      </w:r>
      <w:proofErr w:type="gramEnd"/>
      <w:r>
        <w:rPr>
          <w:rFonts w:ascii="宋体" w:hAnsi="宋体" w:cs="宋体" w:hint="eastAsia"/>
          <w:sz w:val="24"/>
        </w:rPr>
        <w:t>与外部系统的统一接入管理，包括数字证书认证系统接入、印章发布系统接入、印章应用系统接入、</w:t>
      </w:r>
      <w:r>
        <w:rPr>
          <w:rFonts w:ascii="宋体" w:hAnsi="宋体" w:cs="宋体" w:hint="eastAsia"/>
          <w:sz w:val="24"/>
        </w:rPr>
        <w:lastRenderedPageBreak/>
        <w:t>密码机接入、应用密码索引接入、</w:t>
      </w:r>
      <w:proofErr w:type="gramStart"/>
      <w:r>
        <w:rPr>
          <w:rFonts w:ascii="宋体" w:hAnsi="宋体" w:cs="宋体" w:hint="eastAsia"/>
          <w:sz w:val="24"/>
        </w:rPr>
        <w:t>制章证书</w:t>
      </w:r>
      <w:proofErr w:type="gramEnd"/>
      <w:r>
        <w:rPr>
          <w:rFonts w:ascii="宋体" w:hAnsi="宋体" w:cs="宋体" w:hint="eastAsia"/>
          <w:sz w:val="24"/>
        </w:rPr>
        <w:t>导入、证书导出等服务。为防止未经注册的业务系统直接使用电子印章系统接口，应准确采集记录使用电子印章的业务系统相关信息，如提出接入的申请单位名称、业务系统名称、系统类型、申请人姓名、联系方式等信息。</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②业务支持服务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A.印章统计服务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w:t>
      </w:r>
      <w:proofErr w:type="gramStart"/>
      <w:r>
        <w:rPr>
          <w:rFonts w:ascii="宋体" w:hAnsi="宋体" w:cs="宋体" w:hint="eastAsia"/>
          <w:sz w:val="24"/>
        </w:rPr>
        <w:t>完成制章统计</w:t>
      </w:r>
      <w:proofErr w:type="gramEnd"/>
      <w:r>
        <w:rPr>
          <w:rFonts w:ascii="宋体" w:hAnsi="宋体" w:cs="宋体" w:hint="eastAsia"/>
          <w:sz w:val="24"/>
        </w:rPr>
        <w:t>服务，包括</w:t>
      </w:r>
      <w:proofErr w:type="gramStart"/>
      <w:r>
        <w:rPr>
          <w:rFonts w:ascii="宋体" w:hAnsi="宋体" w:cs="宋体" w:hint="eastAsia"/>
          <w:sz w:val="24"/>
        </w:rPr>
        <w:t>制章数据</w:t>
      </w:r>
      <w:proofErr w:type="gramEnd"/>
      <w:r>
        <w:rPr>
          <w:rFonts w:ascii="宋体" w:hAnsi="宋体" w:cs="宋体" w:hint="eastAsia"/>
          <w:sz w:val="24"/>
        </w:rPr>
        <w:t>统计、用章数据统计等。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B.日志审计服务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协助天津市税务局完成日志审计服务，主要包括对所有日志（</w:t>
      </w:r>
      <w:proofErr w:type="gramStart"/>
      <w:r>
        <w:rPr>
          <w:rFonts w:ascii="宋体" w:hAnsi="宋体" w:cs="宋体" w:hint="eastAsia"/>
          <w:sz w:val="24"/>
        </w:rPr>
        <w:t>制章操作</w:t>
      </w:r>
      <w:proofErr w:type="gramEnd"/>
      <w:r>
        <w:rPr>
          <w:rFonts w:ascii="宋体" w:hAnsi="宋体" w:cs="宋体" w:hint="eastAsia"/>
          <w:sz w:val="24"/>
        </w:rPr>
        <w:t>、用章操作）进行安全审计，提供安全审计报表，针对审计中发现的不合</w:t>
      </w:r>
      <w:proofErr w:type="gramStart"/>
      <w:r>
        <w:rPr>
          <w:rFonts w:ascii="宋体" w:hAnsi="宋体" w:cs="宋体" w:hint="eastAsia"/>
          <w:sz w:val="24"/>
        </w:rPr>
        <w:t>规</w:t>
      </w:r>
      <w:proofErr w:type="gramEnd"/>
      <w:r>
        <w:rPr>
          <w:rFonts w:ascii="宋体" w:hAnsi="宋体" w:cs="宋体" w:hint="eastAsia"/>
          <w:sz w:val="24"/>
        </w:rPr>
        <w:t>、高风险操作及时给出告警，并给出相应应对措施。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C.签章授权服务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协助天津市税务局完成签章授权和安全核对服务，主要包括用户授权管理、机构授权管理、业务系统授权、文件格式核对、文件主题核对、异常原因核准等服务。</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8.高峰运维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当系统处于业务繁忙高峰期，如征期高峰（征期最后2天）、月末升级和月结初始化（每月最后2天）等，需根据天津市税务局要求，额外动态增加人力资源，确保按时完成业务和技术运维需求。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（二）技术运维</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1.环境保障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环境保障要求运</w:t>
      </w:r>
      <w:proofErr w:type="gramStart"/>
      <w:r>
        <w:rPr>
          <w:rFonts w:ascii="宋体" w:hAnsi="宋体" w:cs="宋体" w:hint="eastAsia"/>
          <w:sz w:val="24"/>
        </w:rPr>
        <w:t>维人员</w:t>
      </w:r>
      <w:proofErr w:type="gramEnd"/>
      <w:r>
        <w:rPr>
          <w:rFonts w:ascii="宋体" w:hAnsi="宋体" w:cs="宋体" w:hint="eastAsia"/>
          <w:sz w:val="24"/>
        </w:rPr>
        <w:t>对本项目系统运行环境和平台定期进行监控检查，做到风险预警、风险规避。运</w:t>
      </w:r>
      <w:proofErr w:type="gramStart"/>
      <w:r>
        <w:rPr>
          <w:rFonts w:ascii="宋体" w:hAnsi="宋体" w:cs="宋体" w:hint="eastAsia"/>
          <w:sz w:val="24"/>
        </w:rPr>
        <w:t>维人员</w:t>
      </w:r>
      <w:proofErr w:type="gramEnd"/>
      <w:r>
        <w:rPr>
          <w:rFonts w:ascii="宋体" w:hAnsi="宋体" w:cs="宋体" w:hint="eastAsia"/>
          <w:sz w:val="24"/>
        </w:rPr>
        <w:t>通过检查本项目系统使用的中间件、数据库、存储、数据同步软件等软硬件环境，做到提早判别各种风险，对风险疑虑应及时进行处理。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⑴日常检查</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运</w:t>
      </w:r>
      <w:proofErr w:type="gramStart"/>
      <w:r>
        <w:rPr>
          <w:rFonts w:ascii="宋体" w:hAnsi="宋体" w:cs="宋体" w:hint="eastAsia"/>
          <w:sz w:val="24"/>
        </w:rPr>
        <w:t>维人员</w:t>
      </w:r>
      <w:proofErr w:type="gramEnd"/>
      <w:r>
        <w:rPr>
          <w:rFonts w:ascii="宋体" w:hAnsi="宋体" w:cs="宋体" w:hint="eastAsia"/>
          <w:sz w:val="24"/>
        </w:rPr>
        <w:t>每个工作日固定时间对整个应用系统生产环境的运行情况进行检查，如果出现异常应及时通知天津市税务局管理人员，并组织异常处理和系统恢复。若本项目系统属于总局重点拨测监控系统，则按照约定时间和频率加大巡检频次。监控检查包括：应用系统和数据库的运行情况。</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①应用系统：检查本项目系统应用集群各节点状态，如出现问题及时分析定位问题，第一时间处理问题。定时检查应用系统日志、清理冗余日志，并对异常日志进行分析查找问题根源，找出解决方案。</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数据库：检查本项目系统数据库是否运行正常，数据是否完整，读写速率是否正常，是否存在异常锁等情况。检查表空间、归档日志、索引和分区等配置空间是否足够支撑应用系统，是否存在慢SQL或异常占用语句。如出现问题，应及时与天津市税务局进行沟通解决。</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⑵专项检查</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根据天津市税务局要求对特定事项（如安全评测、安全检查等）进行专项检查前，或者在天津市税务局认为可能对其业务运营产生重大影响的时刻来临之前（如大征期、重要时间节点等），提供重要事项深度巡检服务，提供专项检查报告，协助天津市税务局提前发现问题，并提出避免风险发生所需采取的措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⑶故障处理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①运</w:t>
      </w:r>
      <w:proofErr w:type="gramStart"/>
      <w:r>
        <w:rPr>
          <w:rFonts w:ascii="宋体" w:hAnsi="宋体" w:cs="宋体" w:hint="eastAsia"/>
          <w:sz w:val="24"/>
        </w:rPr>
        <w:t>维人员</w:t>
      </w:r>
      <w:proofErr w:type="gramEnd"/>
      <w:r>
        <w:rPr>
          <w:rFonts w:ascii="宋体" w:hAnsi="宋体" w:cs="宋体" w:hint="eastAsia"/>
          <w:sz w:val="24"/>
        </w:rPr>
        <w:t>应及时处理本项目系统故障，或配合周边系统排查本项目系统接口故障问题。对于出现的系统故障，应在半小时内</w:t>
      </w:r>
      <w:proofErr w:type="gramStart"/>
      <w:r>
        <w:rPr>
          <w:rFonts w:ascii="宋体" w:hAnsi="宋体" w:cs="宋体" w:hint="eastAsia"/>
          <w:sz w:val="24"/>
        </w:rPr>
        <w:t>作出</w:t>
      </w:r>
      <w:proofErr w:type="gramEnd"/>
      <w:r>
        <w:rPr>
          <w:rFonts w:ascii="宋体" w:hAnsi="宋体" w:cs="宋体" w:hint="eastAsia"/>
          <w:sz w:val="24"/>
        </w:rPr>
        <w:t>实质性反应，及时上报天津市税务局系统负责人，组织运</w:t>
      </w:r>
      <w:proofErr w:type="gramStart"/>
      <w:r>
        <w:rPr>
          <w:rFonts w:ascii="宋体" w:hAnsi="宋体" w:cs="宋体" w:hint="eastAsia"/>
          <w:sz w:val="24"/>
        </w:rPr>
        <w:t>维人员</w:t>
      </w:r>
      <w:proofErr w:type="gramEnd"/>
      <w:r>
        <w:rPr>
          <w:rFonts w:ascii="宋体" w:hAnsi="宋体" w:cs="宋体" w:hint="eastAsia"/>
          <w:sz w:val="24"/>
        </w:rPr>
        <w:t>定位和解决故障问题。如现场运</w:t>
      </w:r>
      <w:proofErr w:type="gramStart"/>
      <w:r>
        <w:rPr>
          <w:rFonts w:ascii="宋体" w:hAnsi="宋体" w:cs="宋体" w:hint="eastAsia"/>
          <w:sz w:val="24"/>
        </w:rPr>
        <w:t>维人员</w:t>
      </w:r>
      <w:proofErr w:type="gramEnd"/>
      <w:r>
        <w:rPr>
          <w:rFonts w:ascii="宋体" w:hAnsi="宋体" w:cs="宋体" w:hint="eastAsia"/>
          <w:sz w:val="24"/>
        </w:rPr>
        <w:t>无法解决，应及时联系运维厂商二线工程师远程或到达故障现场进行处理解决。</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若由于不可抗力造成本项目系统出现严重故障，引起全市范围内业务系统中断，运维厂商应配合天津市税务局召集资深专家和技术人员进行会诊，根据预先制定应急措施开展有效处理，力求将事件引发的损失减少到最小。</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③运维厂商应在重大问题解决后24小时内，提交问题处理报告，说明问题种类、问题原因、问题解决中使用的方法及造成的损失等情况。</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⑷数据备份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为保障数据安全，规避数据丢失风险，运</w:t>
      </w:r>
      <w:proofErr w:type="gramStart"/>
      <w:r>
        <w:rPr>
          <w:rFonts w:ascii="宋体" w:hAnsi="宋体" w:cs="宋体" w:hint="eastAsia"/>
          <w:sz w:val="24"/>
        </w:rPr>
        <w:t>维人员</w:t>
      </w:r>
      <w:proofErr w:type="gramEnd"/>
      <w:r>
        <w:rPr>
          <w:rFonts w:ascii="宋体" w:hAnsi="宋体" w:cs="宋体" w:hint="eastAsia"/>
          <w:sz w:val="24"/>
        </w:rPr>
        <w:t>应配合天津市税务局，按照系统备份统一规划，对本项目系统数据进行定期备份和恢复验证。税收业务类系统，应每天进行增量备份，每周进行全量备份，定期开展备份恢复演练。查询分析和行政办公类系统，应定期开展全量备份和备份恢复演练。</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⑸系统调优</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结合本项目系统运行要求，运</w:t>
      </w:r>
      <w:proofErr w:type="gramStart"/>
      <w:r>
        <w:rPr>
          <w:rFonts w:ascii="宋体" w:hAnsi="宋体" w:cs="宋体" w:hint="eastAsia"/>
          <w:sz w:val="24"/>
        </w:rPr>
        <w:t>维人员</w:t>
      </w:r>
      <w:proofErr w:type="gramEnd"/>
      <w:r>
        <w:rPr>
          <w:rFonts w:ascii="宋体" w:hAnsi="宋体" w:cs="宋体" w:hint="eastAsia"/>
          <w:sz w:val="24"/>
        </w:rPr>
        <w:t>应对运行环境提出优化建议和应对方案。优化方案经天津市税务局审核后，运</w:t>
      </w:r>
      <w:proofErr w:type="gramStart"/>
      <w:r>
        <w:rPr>
          <w:rFonts w:ascii="宋体" w:hAnsi="宋体" w:cs="宋体" w:hint="eastAsia"/>
          <w:sz w:val="24"/>
        </w:rPr>
        <w:t>维人员</w:t>
      </w:r>
      <w:proofErr w:type="gramEnd"/>
      <w:r>
        <w:rPr>
          <w:rFonts w:ascii="宋体" w:hAnsi="宋体" w:cs="宋体" w:hint="eastAsia"/>
          <w:sz w:val="24"/>
        </w:rPr>
        <w:t>组织开展本项目系统优化，并指导相关系统厂商实施相应优化工作。包括：部署架构调优、</w:t>
      </w:r>
      <w:proofErr w:type="gramStart"/>
      <w:r>
        <w:rPr>
          <w:rFonts w:ascii="宋体" w:hAnsi="宋体" w:cs="宋体" w:hint="eastAsia"/>
          <w:sz w:val="24"/>
        </w:rPr>
        <w:t>中间件调优</w:t>
      </w:r>
      <w:proofErr w:type="gramEnd"/>
      <w:r>
        <w:rPr>
          <w:rFonts w:ascii="宋体" w:hAnsi="宋体" w:cs="宋体" w:hint="eastAsia"/>
          <w:sz w:val="24"/>
        </w:rPr>
        <w:t>、</w:t>
      </w:r>
      <w:r w:rsidR="002F62F8">
        <w:rPr>
          <w:rFonts w:ascii="宋体" w:hAnsi="宋体" w:cs="宋体" w:hint="eastAsia"/>
          <w:sz w:val="24"/>
        </w:rPr>
        <w:t>存储调优、数据库调优、报表工具调优、备份系统调优等应用系统涉及</w:t>
      </w:r>
      <w:r>
        <w:rPr>
          <w:rFonts w:ascii="宋体" w:hAnsi="宋体" w:cs="宋体" w:hint="eastAsia"/>
          <w:sz w:val="24"/>
        </w:rPr>
        <w:t>的相关优化工作。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结合本项目系统运行要求，运</w:t>
      </w:r>
      <w:proofErr w:type="gramStart"/>
      <w:r>
        <w:rPr>
          <w:rFonts w:ascii="宋体" w:hAnsi="宋体" w:cs="宋体" w:hint="eastAsia"/>
          <w:sz w:val="24"/>
        </w:rPr>
        <w:t>维人员</w:t>
      </w:r>
      <w:proofErr w:type="gramEnd"/>
      <w:r>
        <w:rPr>
          <w:rFonts w:ascii="宋体" w:hAnsi="宋体" w:cs="宋体" w:hint="eastAsia"/>
          <w:sz w:val="24"/>
        </w:rPr>
        <w:t>应对本项目系统相关数据库进行日常维护和优化调整，包括数据库系统级问题的分析解决，协助实施存储空间扩容，数据对象空间整理回收、执行计划优化、索引重构、分区调整、表数据分析等。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2.接口运维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接口运维服务是指为通过集成平台接入本项目系统的第三方系统提供接口调试的运维服务，包括总局统发系统、本地特色软件系统、外部门外单位系统等。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当第三方系统与本项目系统业务交互存在问题时，运</w:t>
      </w:r>
      <w:proofErr w:type="gramStart"/>
      <w:r>
        <w:rPr>
          <w:rFonts w:ascii="宋体" w:hAnsi="宋体" w:cs="宋体" w:hint="eastAsia"/>
          <w:sz w:val="24"/>
        </w:rPr>
        <w:t>维人员</w:t>
      </w:r>
      <w:proofErr w:type="gramEnd"/>
      <w:r>
        <w:rPr>
          <w:rFonts w:ascii="宋体" w:hAnsi="宋体" w:cs="宋体" w:hint="eastAsia"/>
          <w:sz w:val="24"/>
        </w:rPr>
        <w:t>应配合第三方软件公司进行问题分析和定位，向第三方软件公司提供问题解决方案，并对属于本项目系统接口的问题完善程序。</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接口运</w:t>
      </w:r>
      <w:proofErr w:type="gramStart"/>
      <w:r>
        <w:rPr>
          <w:rFonts w:ascii="宋体" w:hAnsi="宋体" w:cs="宋体" w:hint="eastAsia"/>
          <w:sz w:val="24"/>
        </w:rPr>
        <w:t>维主要</w:t>
      </w:r>
      <w:proofErr w:type="gramEnd"/>
      <w:r>
        <w:rPr>
          <w:rFonts w:ascii="宋体" w:hAnsi="宋体" w:cs="宋体" w:hint="eastAsia"/>
          <w:sz w:val="24"/>
        </w:rPr>
        <w:t>包括以下两方面的测试内容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⑴业务流程测试：测试业务流程的连续性，确保两个系统的业务正常衔接，符合税收业务流程。对测试过程中遇到的各种问题进行分析，如果是第三方系统业务错误，</w:t>
      </w:r>
      <w:r>
        <w:rPr>
          <w:rFonts w:ascii="宋体" w:hAnsi="宋体" w:cs="宋体" w:hint="eastAsia"/>
          <w:sz w:val="24"/>
        </w:rPr>
        <w:lastRenderedPageBreak/>
        <w:t>提出修改方案供天津市税务局和第三方软件公司参考修改。</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业务数据测试：通过两个系统前台业务功能模块的业务场景测试，检查两个系统数据库中的业务数据是否正确，检查第三方系统写入本项目系统的数据是否符合数据填写规则。如果发现存在写入数据错误，应指导天津市税务局和第三方软件公司修改数据写入规则。</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3.告警处置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需随时关注天津市税务局运维监控系统推送的本项目系统告警信息，对告警信息进行核实，真实告警要及时处置系统故障，误报告警要调整监控指标或阈值，告警工单要详细录入告警分析结论和具体处置方法，当月产生的告警信息和告警工单要当月清零。根据总局和天津市税务局要求，参与对重大告警问题的联合排查和处置，对于重大告警至少每20分钟通报一次处置进度。现场运</w:t>
      </w:r>
      <w:proofErr w:type="gramStart"/>
      <w:r>
        <w:rPr>
          <w:rFonts w:ascii="宋体" w:hAnsi="宋体" w:cs="宋体" w:hint="eastAsia"/>
          <w:sz w:val="24"/>
        </w:rPr>
        <w:t>维人员</w:t>
      </w:r>
      <w:proofErr w:type="gramEnd"/>
      <w:r>
        <w:rPr>
          <w:rFonts w:ascii="宋体" w:hAnsi="宋体" w:cs="宋体" w:hint="eastAsia"/>
          <w:sz w:val="24"/>
        </w:rPr>
        <w:t>无法解决的告警和故障，需及时联系二线开发部门获取解决方案。</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w:t>
      </w:r>
      <w:proofErr w:type="gramStart"/>
      <w:r>
        <w:rPr>
          <w:rFonts w:ascii="宋体" w:hAnsi="宋体" w:cs="宋体" w:hint="eastAsia"/>
          <w:sz w:val="24"/>
        </w:rPr>
        <w:t>重保值守</w:t>
      </w:r>
      <w:proofErr w:type="gramEnd"/>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按照天津市税务局实际需要，在每季度大征期、国家重要节日活动期间，在天津市税务局统一指挥下开展7×</w:t>
      </w:r>
      <w:proofErr w:type="gramStart"/>
      <w:r>
        <w:rPr>
          <w:rFonts w:ascii="宋体" w:hAnsi="宋体" w:cs="宋体" w:hint="eastAsia"/>
          <w:sz w:val="24"/>
        </w:rPr>
        <w:t>24小时重保值守</w:t>
      </w:r>
      <w:proofErr w:type="gramEnd"/>
      <w:r>
        <w:rPr>
          <w:rFonts w:ascii="宋体" w:hAnsi="宋体" w:cs="宋体" w:hint="eastAsia"/>
          <w:sz w:val="24"/>
        </w:rPr>
        <w:t>工作，开展本项目系统相关安全保障检查、安全保障监控和安全保障响应，及时开展系统问题处置和安全加固。运维厂商应在重要保障期间要同步做好供应</w:t>
      </w:r>
      <w:proofErr w:type="gramStart"/>
      <w:r>
        <w:rPr>
          <w:rFonts w:ascii="宋体" w:hAnsi="宋体" w:cs="宋体" w:hint="eastAsia"/>
          <w:sz w:val="24"/>
        </w:rPr>
        <w:t>链安全</w:t>
      </w:r>
      <w:proofErr w:type="gramEnd"/>
      <w:r>
        <w:rPr>
          <w:rFonts w:ascii="宋体" w:hAnsi="宋体" w:cs="宋体" w:hint="eastAsia"/>
          <w:sz w:val="24"/>
        </w:rPr>
        <w:t>防护。</w:t>
      </w:r>
    </w:p>
    <w:p w:rsidR="001B300F" w:rsidRDefault="004555CE" w:rsidP="004555CE">
      <w:pPr>
        <w:spacing w:line="360" w:lineRule="auto"/>
        <w:ind w:firstLineChars="200" w:firstLine="446"/>
        <w:rPr>
          <w:rFonts w:ascii="宋体" w:hAnsi="宋体" w:cs="宋体"/>
          <w:sz w:val="24"/>
        </w:rPr>
      </w:pPr>
      <w:proofErr w:type="gramStart"/>
      <w:r>
        <w:rPr>
          <w:rFonts w:ascii="宋体" w:hAnsi="宋体" w:cs="宋体" w:hint="eastAsia"/>
          <w:sz w:val="24"/>
        </w:rPr>
        <w:t>重保值守</w:t>
      </w:r>
      <w:proofErr w:type="gramEnd"/>
      <w:r>
        <w:rPr>
          <w:rFonts w:ascii="宋体" w:hAnsi="宋体" w:cs="宋体" w:hint="eastAsia"/>
          <w:sz w:val="24"/>
        </w:rPr>
        <w:t>期间，运</w:t>
      </w:r>
      <w:proofErr w:type="gramStart"/>
      <w:r>
        <w:rPr>
          <w:rFonts w:ascii="宋体" w:hAnsi="宋体" w:cs="宋体" w:hint="eastAsia"/>
          <w:sz w:val="24"/>
        </w:rPr>
        <w:t>维人员</w:t>
      </w:r>
      <w:proofErr w:type="gramEnd"/>
      <w:r>
        <w:rPr>
          <w:rFonts w:ascii="宋体" w:hAnsi="宋体" w:cs="宋体" w:hint="eastAsia"/>
          <w:sz w:val="24"/>
        </w:rPr>
        <w:t>应重点对数据库、中间件、应用系统登录日志、错误日志、操作日志等进行审计分析，定期对数据库账号、操作系统账号、中间件账号、操作系统目录、应用程序目录、数据库结构进行完整性校验，发现问题及时上报。</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应根据天津市税务局通报及时排查对本项目系统的可疑攻击，进行病毒或木马清理，如发生网络安全事件需充分保存日志记录，配合有关部门做好证据勘查，完整保留证据等工作，同时要举一反三，根据问题线索对相关应用系统进行全面排查和加固。</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lastRenderedPageBreak/>
        <w:t>5.系统升级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⑴升级计划</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应随时了解总局或二线开发部门发布的本项目系统最新版本情况，及时掌握需求变更或BUG修改产生的升级需求，与天津市税务局系统负责人一起进行评估，分析升级方案，制定升级计划。</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⑵升级测试</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当总局或二线开发部门发布本项目系统新版本或紧急补丁时，运</w:t>
      </w:r>
      <w:proofErr w:type="gramStart"/>
      <w:r>
        <w:rPr>
          <w:rFonts w:ascii="宋体" w:hAnsi="宋体" w:cs="宋体" w:hint="eastAsia"/>
          <w:sz w:val="24"/>
        </w:rPr>
        <w:t>维人员</w:t>
      </w:r>
      <w:proofErr w:type="gramEnd"/>
      <w:r>
        <w:rPr>
          <w:rFonts w:ascii="宋体" w:hAnsi="宋体" w:cs="宋体" w:hint="eastAsia"/>
          <w:sz w:val="24"/>
        </w:rPr>
        <w:t>需要先在</w:t>
      </w:r>
      <w:proofErr w:type="gramStart"/>
      <w:r>
        <w:rPr>
          <w:rFonts w:ascii="宋体" w:hAnsi="宋体" w:cs="宋体" w:hint="eastAsia"/>
          <w:sz w:val="24"/>
        </w:rPr>
        <w:t>预生产</w:t>
      </w:r>
      <w:proofErr w:type="gramEnd"/>
      <w:r>
        <w:rPr>
          <w:rFonts w:ascii="宋体" w:hAnsi="宋体" w:cs="宋体" w:hint="eastAsia"/>
          <w:sz w:val="24"/>
        </w:rPr>
        <w:t>环境上进行升级验证，模拟实际业务场景操作测试。同时，运</w:t>
      </w:r>
      <w:proofErr w:type="gramStart"/>
      <w:r>
        <w:rPr>
          <w:rFonts w:ascii="宋体" w:hAnsi="宋体" w:cs="宋体" w:hint="eastAsia"/>
          <w:sz w:val="24"/>
        </w:rPr>
        <w:t>维人员</w:t>
      </w:r>
      <w:proofErr w:type="gramEnd"/>
      <w:r>
        <w:rPr>
          <w:rFonts w:ascii="宋体" w:hAnsi="宋体" w:cs="宋体" w:hint="eastAsia"/>
          <w:sz w:val="24"/>
        </w:rPr>
        <w:t>需辅助天津市税务局业务测试人员和相关系统厂商，完成</w:t>
      </w:r>
      <w:proofErr w:type="gramStart"/>
      <w:r>
        <w:rPr>
          <w:rFonts w:ascii="宋体" w:hAnsi="宋体" w:cs="宋体" w:hint="eastAsia"/>
          <w:sz w:val="24"/>
        </w:rPr>
        <w:t>预生产</w:t>
      </w:r>
      <w:proofErr w:type="gramEnd"/>
      <w:r>
        <w:rPr>
          <w:rFonts w:ascii="宋体" w:hAnsi="宋体" w:cs="宋体" w:hint="eastAsia"/>
          <w:sz w:val="24"/>
        </w:rPr>
        <w:t>环境的验证测试和</w:t>
      </w:r>
      <w:proofErr w:type="gramStart"/>
      <w:r>
        <w:rPr>
          <w:rFonts w:ascii="宋体" w:hAnsi="宋体" w:cs="宋体" w:hint="eastAsia"/>
          <w:sz w:val="24"/>
        </w:rPr>
        <w:t>联调测</w:t>
      </w:r>
      <w:proofErr w:type="gramEnd"/>
      <w:r>
        <w:rPr>
          <w:rFonts w:ascii="宋体" w:hAnsi="宋体" w:cs="宋体" w:hint="eastAsia"/>
          <w:sz w:val="24"/>
        </w:rPr>
        <w:t>试工作。对测试问题进行分析定位，如果确定是本项目系统程序BUG，运</w:t>
      </w:r>
      <w:proofErr w:type="gramStart"/>
      <w:r>
        <w:rPr>
          <w:rFonts w:ascii="宋体" w:hAnsi="宋体" w:cs="宋体" w:hint="eastAsia"/>
          <w:sz w:val="24"/>
        </w:rPr>
        <w:t>维人员</w:t>
      </w:r>
      <w:proofErr w:type="gramEnd"/>
      <w:r>
        <w:rPr>
          <w:rFonts w:ascii="宋体" w:hAnsi="宋体" w:cs="宋体" w:hint="eastAsia"/>
          <w:sz w:val="24"/>
        </w:rPr>
        <w:t>应联系本项目系统开发部门进行修改，直到问题得到解决。</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每次升级需根据升级清单将新增功能和修改问题逐一测试，并按照制定的冒烟测试流程进行冒烟测试。对于测试中出现的问题及时进行沟通和处理。测试通过后，才能在生产环境中升级发布。</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⑶升级发布</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根据天津市税务局确定的升级时间窗口，按期完成本项目系统生产环境升级部署和验证测试工作，升级前要做好停机备案和告警压制等准备工作。在升级过程中，严格依据软件开发控制流程进行规范化管理，以保证升级版本的质量。升级部署后，运</w:t>
      </w:r>
      <w:proofErr w:type="gramStart"/>
      <w:r>
        <w:rPr>
          <w:rFonts w:ascii="宋体" w:hAnsi="宋体" w:cs="宋体" w:hint="eastAsia"/>
          <w:sz w:val="24"/>
        </w:rPr>
        <w:t>维人员</w:t>
      </w:r>
      <w:proofErr w:type="gramEnd"/>
      <w:r>
        <w:rPr>
          <w:rFonts w:ascii="宋体" w:hAnsi="宋体" w:cs="宋体" w:hint="eastAsia"/>
          <w:sz w:val="24"/>
        </w:rPr>
        <w:t>需再次核对程序版本，按照制定的冒烟测试流程进行冒烟测试，协调周边系统开展联调验证。</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6.安全加固</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配合天津市税务局开展本项目系统安全加固，包括漏洞修复、基线安全配置、高危端口修改、弱口令清理等。配合天津市税务局开展信息系统等级保护测评、密码安全性评估、渗透测试、数据安全风险评估、源代码审计等安全检查和安全审计工作，</w:t>
      </w:r>
      <w:r>
        <w:rPr>
          <w:rFonts w:ascii="宋体" w:hAnsi="宋体" w:cs="宋体" w:hint="eastAsia"/>
          <w:sz w:val="24"/>
        </w:rPr>
        <w:lastRenderedPageBreak/>
        <w:t>包括人员访谈，提供资产信息，根据报告进行问题整改和复测等。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7.系统迁移</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天津市税务局进行硬件资源整合和规划过</w:t>
      </w:r>
      <w:r w:rsidR="002F62F8">
        <w:rPr>
          <w:rFonts w:ascii="宋体" w:hAnsi="宋体" w:cs="宋体" w:hint="eastAsia"/>
          <w:sz w:val="24"/>
        </w:rPr>
        <w:t>程中，将面临有效硬件资源的合理利用，从而避免资源浪费，这将涉及</w:t>
      </w:r>
      <w:r>
        <w:rPr>
          <w:rFonts w:ascii="宋体" w:hAnsi="宋体" w:cs="宋体" w:hint="eastAsia"/>
          <w:sz w:val="24"/>
        </w:rPr>
        <w:t>硬件服务器上的本项目系统相关应用迁移。</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运维厂商指派专业技术工程师，根据天津市税务局提出的本项目系统重大配置变更申请（如应用系统网络、存储、主机、中间件、数据库、操作系统的重大配置调整）进行评估和方案制定，并综合判断重大配置变更执行的风险、回退方案、可行性、所需资源等。在不改变现有系统架构情况下，当主机系统、网络系统、存储系统、专用设备等发生迁移变更时，指派环境搭建部署人员密切配合硬件厂商等第三方公司做好本项目系统的迁移变更工作，以及对本项目系统环境的重新搭建部署工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本项目系统相关应用、网络、存储、主机、中间件、数据库、操作系统等，由于第三方厂商并购或战略调整导致的产品停产或产品替代，尤其是服务器和数据库等重要环境，天津市税务局面临迁移或升级的压力，运维厂商可凭借对异构平台的深入理解，配合天津市税务局制定跨系统平台迁移方案，及时有效规避第三方产品的更迭风险。</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8.运维报告</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w:t>
      </w:r>
      <w:proofErr w:type="gramStart"/>
      <w:r>
        <w:rPr>
          <w:rFonts w:ascii="宋体" w:hAnsi="宋体" w:cs="宋体" w:hint="eastAsia"/>
          <w:sz w:val="24"/>
        </w:rPr>
        <w:t>维人员</w:t>
      </w:r>
      <w:proofErr w:type="gramEnd"/>
      <w:r>
        <w:rPr>
          <w:rFonts w:ascii="宋体" w:hAnsi="宋体" w:cs="宋体" w:hint="eastAsia"/>
          <w:sz w:val="24"/>
        </w:rPr>
        <w:t>应在每个工作日例行巡检后，通过运维厂商即时通讯群、运维平台等途径，发布系统主要健康指标。定期运维沟通会上，由运</w:t>
      </w:r>
      <w:proofErr w:type="gramStart"/>
      <w:r>
        <w:rPr>
          <w:rFonts w:ascii="宋体" w:hAnsi="宋体" w:cs="宋体" w:hint="eastAsia"/>
          <w:sz w:val="24"/>
        </w:rPr>
        <w:t>维项目</w:t>
      </w:r>
      <w:proofErr w:type="gramEnd"/>
      <w:r>
        <w:rPr>
          <w:rFonts w:ascii="宋体" w:hAnsi="宋体" w:cs="宋体" w:hint="eastAsia"/>
          <w:sz w:val="24"/>
        </w:rPr>
        <w:t>经理汇报本项目系统运行维护情况。次月征期之前，向天津市税务局提交当月系统运行维护报告和征期前深度巡检报告，报告应包含本项目系统涉及的所有软硬件当月健康情况、当月主要运维问题、主要运行风险和解决建议、当月版本升级、紧急补丁和程序发布情况等内容。</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9.培训服务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向天津市税务局人员培训本项目系统相关开发技术、开发框架、数据库结构以及日常维护知识。提供本项目系统培训、使用、开发、维护文档。每次系统升级更新后，</w:t>
      </w:r>
      <w:r>
        <w:rPr>
          <w:rFonts w:ascii="宋体" w:hAnsi="宋体" w:cs="宋体" w:hint="eastAsia"/>
          <w:sz w:val="24"/>
        </w:rPr>
        <w:lastRenderedPageBreak/>
        <w:t>应对天津市税务局相关人员提供变更内容培训。如果是新业务功能升级，还需配套下发操作手册，或配合编写本地化操作手册。必要时按照天津市税务局要求，在指定人员范围内开展培训工作。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10.应急响应及演练</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运维厂商应制定适用于本项目系统，以及关联中间件、数据库等第三方软硬件产品的应急预案，其目的是在发生突发事件时，通过预先制定应急措施进行有效处理，快速恢复，力求将事件引发的损失减少到最小。</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按天津市税务局要求，运维厂商定期组织运</w:t>
      </w:r>
      <w:proofErr w:type="gramStart"/>
      <w:r>
        <w:rPr>
          <w:rFonts w:ascii="宋体" w:hAnsi="宋体" w:cs="宋体" w:hint="eastAsia"/>
          <w:sz w:val="24"/>
        </w:rPr>
        <w:t>维人员</w:t>
      </w:r>
      <w:proofErr w:type="gramEnd"/>
      <w:r>
        <w:rPr>
          <w:rFonts w:ascii="宋体" w:hAnsi="宋体" w:cs="宋体" w:hint="eastAsia"/>
          <w:sz w:val="24"/>
        </w:rPr>
        <w:t>进行应急预案演练。通过演练，可以确保本项目系统的可用性和稳定性，保证业务的持续性，同时也提高运</w:t>
      </w:r>
      <w:proofErr w:type="gramStart"/>
      <w:r>
        <w:rPr>
          <w:rFonts w:ascii="宋体" w:hAnsi="宋体" w:cs="宋体" w:hint="eastAsia"/>
          <w:sz w:val="24"/>
        </w:rPr>
        <w:t>维人员</w:t>
      </w:r>
      <w:proofErr w:type="gramEnd"/>
      <w:r>
        <w:rPr>
          <w:rFonts w:ascii="宋体" w:hAnsi="宋体" w:cs="宋体" w:hint="eastAsia"/>
          <w:sz w:val="24"/>
        </w:rPr>
        <w:t>的实施应急预案的能力。当本项目系统实际发生重大故障，或遭受重大网络攻击等安全事件时，按照应急响应预案，开展风险应对和系统恢复。</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11.高级技术支持</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⑴对于现场运</w:t>
      </w:r>
      <w:proofErr w:type="gramStart"/>
      <w:r>
        <w:rPr>
          <w:rFonts w:ascii="宋体" w:hAnsi="宋体" w:cs="宋体" w:hint="eastAsia"/>
          <w:sz w:val="24"/>
        </w:rPr>
        <w:t>维人员</w:t>
      </w:r>
      <w:proofErr w:type="gramEnd"/>
      <w:r>
        <w:rPr>
          <w:rFonts w:ascii="宋体" w:hAnsi="宋体" w:cs="宋体" w:hint="eastAsia"/>
          <w:sz w:val="24"/>
        </w:rPr>
        <w:t>不能解决的本项目系统疑难问题，由运维厂商二线专家服务团队提供解决办法，该专家服务团队应具备综合故障分析、系统优化、应急处置等专业能力。</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对于本项目系统遇到的重大事件和疑问，天津市税务局将召集资深专家进行会诊。运维厂商应备有一支专业技术专家队伍，经过专家会诊，应能很快确定问题所在，找到相应的解决办法，并采取相应的措施，确保系统的及时恢复正常运行。</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⑶运维厂商的二线专家服务团队和专业技术专家团队，应定期为本项目系统现场运</w:t>
      </w:r>
      <w:proofErr w:type="gramStart"/>
      <w:r>
        <w:rPr>
          <w:rFonts w:ascii="宋体" w:hAnsi="宋体" w:cs="宋体" w:hint="eastAsia"/>
          <w:sz w:val="24"/>
        </w:rPr>
        <w:t>维人员</w:t>
      </w:r>
      <w:proofErr w:type="gramEnd"/>
      <w:r>
        <w:rPr>
          <w:rFonts w:ascii="宋体" w:hAnsi="宋体" w:cs="宋体" w:hint="eastAsia"/>
          <w:sz w:val="24"/>
        </w:rPr>
        <w:t>组织技能培训，指导其部署及维护运维监控工具，针对本项目系统在天津市税务局的运行环境提供高级巡检服务，并给出优化建议或咨询报告。</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12.特有技术运维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⑴</w:t>
      </w:r>
      <w:proofErr w:type="gramStart"/>
      <w:r>
        <w:rPr>
          <w:rFonts w:ascii="宋体" w:hAnsi="宋体" w:cs="宋体" w:hint="eastAsia"/>
          <w:sz w:val="24"/>
        </w:rPr>
        <w:t>云化系统</w:t>
      </w:r>
      <w:proofErr w:type="gramEnd"/>
      <w:r>
        <w:rPr>
          <w:rFonts w:ascii="宋体" w:hAnsi="宋体" w:cs="宋体" w:hint="eastAsia"/>
          <w:sz w:val="24"/>
        </w:rPr>
        <w:t>共性技术运维</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应用支撑平台、</w:t>
      </w:r>
      <w:proofErr w:type="gramStart"/>
      <w:r>
        <w:rPr>
          <w:rFonts w:ascii="宋体" w:hAnsi="宋体" w:cs="宋体" w:hint="eastAsia"/>
          <w:sz w:val="24"/>
        </w:rPr>
        <w:t>多云运维管理</w:t>
      </w:r>
      <w:proofErr w:type="gramEnd"/>
      <w:r>
        <w:rPr>
          <w:rFonts w:ascii="宋体" w:hAnsi="宋体" w:cs="宋体" w:hint="eastAsia"/>
          <w:sz w:val="24"/>
        </w:rPr>
        <w:t>平台、税务区块链基础平台遵循“云化、服务化”</w:t>
      </w:r>
      <w:r>
        <w:rPr>
          <w:rFonts w:ascii="宋体" w:hAnsi="宋体" w:cs="宋体" w:hint="eastAsia"/>
          <w:sz w:val="24"/>
        </w:rPr>
        <w:lastRenderedPageBreak/>
        <w:t>总体思路，采用分层解耦设计，</w:t>
      </w:r>
      <w:proofErr w:type="gramStart"/>
      <w:r>
        <w:rPr>
          <w:rFonts w:ascii="宋体" w:hAnsi="宋体" w:cs="宋体" w:hint="eastAsia"/>
          <w:sz w:val="24"/>
        </w:rPr>
        <w:t>云化服务化</w:t>
      </w:r>
      <w:proofErr w:type="gramEnd"/>
      <w:r>
        <w:rPr>
          <w:rFonts w:ascii="宋体" w:hAnsi="宋体" w:cs="宋体" w:hint="eastAsia"/>
          <w:sz w:val="24"/>
        </w:rPr>
        <w:t>架构，因此需针对本项目系统开展相关技术运维服务。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w:t>
      </w:r>
      <w:proofErr w:type="gramStart"/>
      <w:r>
        <w:rPr>
          <w:rFonts w:ascii="宋体" w:hAnsi="宋体" w:cs="宋体" w:hint="eastAsia"/>
          <w:sz w:val="24"/>
        </w:rPr>
        <w:t>云服务</w:t>
      </w:r>
      <w:proofErr w:type="gramEnd"/>
      <w:r>
        <w:rPr>
          <w:rFonts w:ascii="宋体" w:hAnsi="宋体" w:cs="宋体" w:hint="eastAsia"/>
          <w:sz w:val="24"/>
        </w:rPr>
        <w:t>集成平台</w:t>
      </w:r>
    </w:p>
    <w:p w:rsidR="001B300F" w:rsidRDefault="004555CE" w:rsidP="004555CE">
      <w:pPr>
        <w:spacing w:line="360" w:lineRule="auto"/>
        <w:ind w:firstLineChars="200" w:firstLine="446"/>
        <w:rPr>
          <w:rFonts w:ascii="宋体" w:hAnsi="宋体" w:cs="宋体"/>
          <w:sz w:val="24"/>
        </w:rPr>
      </w:pPr>
      <w:proofErr w:type="gramStart"/>
      <w:r>
        <w:rPr>
          <w:rFonts w:ascii="宋体" w:hAnsi="宋体" w:cs="宋体" w:hint="eastAsia"/>
          <w:sz w:val="24"/>
        </w:rPr>
        <w:t>云服务</w:t>
      </w:r>
      <w:proofErr w:type="gramEnd"/>
      <w:r>
        <w:rPr>
          <w:rFonts w:ascii="宋体" w:hAnsi="宋体" w:cs="宋体" w:hint="eastAsia"/>
          <w:sz w:val="24"/>
        </w:rPr>
        <w:t>集成平台</w:t>
      </w:r>
      <w:proofErr w:type="gramStart"/>
      <w:r>
        <w:rPr>
          <w:rFonts w:ascii="宋体" w:hAnsi="宋体" w:cs="宋体" w:hint="eastAsia"/>
          <w:sz w:val="24"/>
        </w:rPr>
        <w:t>依托里</w:t>
      </w:r>
      <w:proofErr w:type="gramEnd"/>
      <w:r>
        <w:rPr>
          <w:rFonts w:ascii="宋体" w:hAnsi="宋体" w:cs="宋体" w:hint="eastAsia"/>
          <w:sz w:val="24"/>
        </w:rPr>
        <w:t>约网关，帮助打通、整合内外新旧业务系统，屏蔽异构系统的差异化，对应用系统提供统一的标准规范，实现应用系统之间的服务调用和管控。需协助天津市税务局，开展本项目系统相关</w:t>
      </w:r>
      <w:proofErr w:type="gramStart"/>
      <w:r>
        <w:rPr>
          <w:rFonts w:ascii="宋体" w:hAnsi="宋体" w:cs="宋体" w:hint="eastAsia"/>
          <w:sz w:val="24"/>
        </w:rPr>
        <w:t>云服务</w:t>
      </w:r>
      <w:proofErr w:type="gramEnd"/>
      <w:r>
        <w:rPr>
          <w:rFonts w:ascii="宋体" w:hAnsi="宋体" w:cs="宋体" w:hint="eastAsia"/>
          <w:sz w:val="24"/>
        </w:rPr>
        <w:t>集成平台的注册、部署、升级、管控等维护工作，开展相关功能或接口服务的冒烟验证和</w:t>
      </w:r>
      <w:proofErr w:type="gramStart"/>
      <w:r>
        <w:rPr>
          <w:rFonts w:ascii="宋体" w:hAnsi="宋体" w:cs="宋体" w:hint="eastAsia"/>
          <w:sz w:val="24"/>
        </w:rPr>
        <w:t>联调测</w:t>
      </w:r>
      <w:proofErr w:type="gramEnd"/>
      <w:r>
        <w:rPr>
          <w:rFonts w:ascii="宋体" w:hAnsi="宋体" w:cs="宋体" w:hint="eastAsia"/>
          <w:sz w:val="24"/>
        </w:rPr>
        <w:t>试工作，接口请求数及调用成功率业务错误日志针对性处理。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w:t>
      </w:r>
      <w:proofErr w:type="gramStart"/>
      <w:r>
        <w:rPr>
          <w:rFonts w:ascii="宋体" w:hAnsi="宋体" w:cs="宋体" w:hint="eastAsia"/>
          <w:sz w:val="24"/>
        </w:rPr>
        <w:t>云应用</w:t>
      </w:r>
      <w:proofErr w:type="gramEnd"/>
      <w:r>
        <w:rPr>
          <w:rFonts w:ascii="宋体" w:hAnsi="宋体" w:cs="宋体" w:hint="eastAsia"/>
          <w:sz w:val="24"/>
        </w:rPr>
        <w:t>和云数据库管理</w:t>
      </w:r>
    </w:p>
    <w:p w:rsidR="001B300F" w:rsidRDefault="004555CE" w:rsidP="004555CE">
      <w:pPr>
        <w:spacing w:line="360" w:lineRule="auto"/>
        <w:ind w:firstLineChars="200" w:firstLine="446"/>
        <w:rPr>
          <w:rFonts w:ascii="宋体" w:hAnsi="宋体" w:cs="宋体"/>
          <w:sz w:val="24"/>
        </w:rPr>
      </w:pPr>
      <w:r>
        <w:rPr>
          <w:rFonts w:ascii="宋体" w:hAnsi="宋体" w:cs="宋体"/>
          <w:sz w:val="24"/>
        </w:rPr>
        <w:t>A.云服务：根据统一的标准规范，负责部署在</w:t>
      </w:r>
      <w:proofErr w:type="gramStart"/>
      <w:r>
        <w:rPr>
          <w:rFonts w:ascii="宋体" w:hAnsi="宋体" w:cs="宋体"/>
          <w:sz w:val="24"/>
        </w:rPr>
        <w:t>腾讯云</w:t>
      </w:r>
      <w:proofErr w:type="gramEnd"/>
      <w:r>
        <w:rPr>
          <w:rFonts w:ascii="宋体" w:hAnsi="宋体" w:cs="宋体"/>
          <w:sz w:val="24"/>
        </w:rPr>
        <w:t>上的本项目系统相关应用和数据库的维护，包括本项目系统相关云上基础环境和基础软件（含云套件、基础平台、数据库、中间件、数据同步工具、数据治理工具、数据安全工具、基础监控工具、业务监控工具）、公共组件、应用微服务（</w:t>
      </w:r>
      <w:proofErr w:type="gramStart"/>
      <w:r>
        <w:rPr>
          <w:rFonts w:ascii="宋体" w:hAnsi="宋体" w:cs="宋体"/>
          <w:sz w:val="24"/>
        </w:rPr>
        <w:t>微服务</w:t>
      </w:r>
      <w:proofErr w:type="gramEnd"/>
      <w:r>
        <w:rPr>
          <w:rFonts w:ascii="宋体" w:hAnsi="宋体" w:cs="宋体"/>
          <w:sz w:val="24"/>
        </w:rPr>
        <w:t>及服务接口）等。例如负责云租户端容器集群(TKE)的master和node节点运行情况监控节点扩容，弹性伸缩监控、云服务器（CVM）cpu内存磁盘监控、负载均衡(CLB)的健康状态、云平台各私有网络(VPC)之间的连通性、日志服务(CLS)关键字监控、云数据库(TDSQL、Tbase、MariaDB等)客户端连接数磁盘使用率、消息中间件(CKafka)数据积压</w:t>
      </w:r>
      <w:proofErr w:type="gramStart"/>
      <w:r>
        <w:rPr>
          <w:rFonts w:ascii="宋体" w:hAnsi="宋体" w:cs="宋体"/>
          <w:sz w:val="24"/>
        </w:rPr>
        <w:t>等云产品</w:t>
      </w:r>
      <w:proofErr w:type="gramEnd"/>
      <w:r>
        <w:rPr>
          <w:rFonts w:ascii="宋体" w:hAnsi="宋体" w:cs="宋体"/>
          <w:sz w:val="24"/>
        </w:rPr>
        <w:t>的日常运行监控等。</w:t>
      </w:r>
    </w:p>
    <w:p w:rsidR="001B300F" w:rsidRDefault="004555CE" w:rsidP="004555CE">
      <w:pPr>
        <w:spacing w:line="360" w:lineRule="auto"/>
        <w:ind w:firstLineChars="200" w:firstLine="446"/>
        <w:rPr>
          <w:rFonts w:ascii="宋体" w:hAnsi="宋体" w:cs="宋体"/>
          <w:sz w:val="24"/>
        </w:rPr>
      </w:pPr>
      <w:r>
        <w:rPr>
          <w:rFonts w:ascii="宋体" w:hAnsi="宋体" w:cs="宋体"/>
          <w:sz w:val="24"/>
        </w:rPr>
        <w:t>B.云服务性能优化与调整：根据本项目系统业务需求和负载情况，针对不同的服务制定Kubernetes云容器，实现对Pod实例准确控制。利用</w:t>
      </w:r>
      <w:proofErr w:type="gramStart"/>
      <w:r>
        <w:rPr>
          <w:rFonts w:ascii="宋体" w:hAnsi="宋体" w:cs="宋体"/>
          <w:sz w:val="24"/>
        </w:rPr>
        <w:t>腾讯云</w:t>
      </w:r>
      <w:proofErr w:type="gramEnd"/>
      <w:r>
        <w:rPr>
          <w:rFonts w:ascii="宋体" w:hAnsi="宋体" w:cs="宋体"/>
          <w:sz w:val="24"/>
        </w:rPr>
        <w:t>的性能监控工具，针对本项目系统实时分析性能瓶颈，并采取相应的优化措施。遇到本项目系统相关云上系统异常或故障时，迅速定位问题原因，并采取有效措施进行恢复。配合开展本项目系统相关云平台、云平台产品、里约网关、蓝鲸平台、云上安全产品、云上网络产品升级工作。</w:t>
      </w:r>
    </w:p>
    <w:p w:rsidR="001B300F" w:rsidRDefault="004555CE" w:rsidP="004555CE">
      <w:pPr>
        <w:spacing w:line="360" w:lineRule="auto"/>
        <w:ind w:firstLineChars="200" w:firstLine="446"/>
        <w:rPr>
          <w:rFonts w:ascii="宋体" w:hAnsi="宋体" w:cs="宋体"/>
          <w:sz w:val="24"/>
        </w:rPr>
      </w:pPr>
      <w:r>
        <w:rPr>
          <w:rFonts w:ascii="宋体" w:hAnsi="宋体" w:cs="宋体"/>
          <w:sz w:val="24"/>
        </w:rPr>
        <w:t>C.自动化运维实施：引入本项目系统相关自动化运维工具，如Ansible实现批量</w:t>
      </w:r>
      <w:r>
        <w:rPr>
          <w:rFonts w:ascii="宋体" w:hAnsi="宋体" w:cs="宋体"/>
          <w:sz w:val="24"/>
        </w:rPr>
        <w:lastRenderedPageBreak/>
        <w:t>部署、配置更新和故障恢复。通过自动化脚本，减少人为操作失误，提高运维效率。</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⑵应用支撑平台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①数据汇聚</w:t>
      </w:r>
      <w:proofErr w:type="gramStart"/>
      <w:r>
        <w:rPr>
          <w:rFonts w:ascii="宋体" w:hAnsi="宋体" w:cs="宋体" w:hint="eastAsia"/>
          <w:sz w:val="24"/>
        </w:rPr>
        <w:t>区维护</w:t>
      </w:r>
      <w:proofErr w:type="gramEnd"/>
      <w:r>
        <w:rPr>
          <w:rFonts w:ascii="宋体" w:hAnsi="宋体" w:cs="宋体" w:hint="eastAsia"/>
          <w:sz w:val="24"/>
        </w:rPr>
        <w:t>管理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协助天津市税务局，重点保障省局汇聚区，按总局相关要求完成数据的汇聚范围拓展和新增等日常运维工作。做好支撑其他系统的数据服务维护管理工作，包括</w:t>
      </w:r>
      <w:proofErr w:type="gramStart"/>
      <w:r>
        <w:rPr>
          <w:rFonts w:ascii="宋体" w:hAnsi="宋体" w:cs="宋体" w:hint="eastAsia"/>
          <w:sz w:val="24"/>
        </w:rPr>
        <w:t>微服务</w:t>
      </w:r>
      <w:proofErr w:type="gramEnd"/>
      <w:r>
        <w:rPr>
          <w:rFonts w:ascii="宋体" w:hAnsi="宋体" w:cs="宋体" w:hint="eastAsia"/>
          <w:sz w:val="24"/>
        </w:rPr>
        <w:t>定期监控及问题处理、数据加工任务定期监控及问题处理。开展电子发票服务平台、新电子税务局、应用支撑平台以及与其他系统间的数据运维、统筹数据治理和复杂问题解决。</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②基础治理维护管理</w:t>
      </w:r>
    </w:p>
    <w:p w:rsidR="001B300F" w:rsidRDefault="004555CE" w:rsidP="004555CE">
      <w:pPr>
        <w:spacing w:line="360" w:lineRule="auto"/>
        <w:ind w:firstLineChars="200" w:firstLine="446"/>
        <w:rPr>
          <w:rFonts w:ascii="宋体" w:hAnsi="宋体" w:cs="宋体"/>
          <w:sz w:val="24"/>
        </w:rPr>
      </w:pPr>
      <w:r>
        <w:rPr>
          <w:rFonts w:ascii="宋体" w:hAnsi="宋体" w:cs="宋体"/>
          <w:sz w:val="24"/>
        </w:rPr>
        <w:t>A.元数据管理：协助天津市税务局，对接省局各系统，完成</w:t>
      </w:r>
      <w:proofErr w:type="gramStart"/>
      <w:r>
        <w:rPr>
          <w:rFonts w:ascii="宋体" w:hAnsi="宋体" w:cs="宋体"/>
          <w:sz w:val="24"/>
        </w:rPr>
        <w:t>日常各</w:t>
      </w:r>
      <w:proofErr w:type="gramEnd"/>
      <w:r>
        <w:rPr>
          <w:rFonts w:ascii="宋体" w:hAnsi="宋体" w:cs="宋体"/>
          <w:sz w:val="24"/>
        </w:rPr>
        <w:t>类数据资产元数据信息的收集、存储和维护，为数据资产提供基础数据。元数据采集主要包括金</w:t>
      </w:r>
      <w:proofErr w:type="gramStart"/>
      <w:r>
        <w:rPr>
          <w:rFonts w:ascii="宋体" w:hAnsi="宋体" w:cs="宋体"/>
          <w:sz w:val="24"/>
        </w:rPr>
        <w:t>四多个</w:t>
      </w:r>
      <w:proofErr w:type="gramEnd"/>
      <w:r>
        <w:rPr>
          <w:rFonts w:ascii="宋体" w:hAnsi="宋体" w:cs="宋体"/>
          <w:sz w:val="24"/>
        </w:rPr>
        <w:t>系统80余个数据库。其他类型元数据采集包括数据元标准、数据模型、数据质量规则、服务接口、服务规则、服务指标、消息待办、业务需求、关联关系。</w:t>
      </w:r>
    </w:p>
    <w:p w:rsidR="001B300F" w:rsidRDefault="004555CE" w:rsidP="004555CE">
      <w:pPr>
        <w:spacing w:line="360" w:lineRule="auto"/>
        <w:ind w:firstLineChars="200" w:firstLine="446"/>
        <w:rPr>
          <w:rFonts w:ascii="宋体" w:hAnsi="宋体" w:cs="宋体"/>
          <w:sz w:val="24"/>
        </w:rPr>
      </w:pPr>
      <w:r>
        <w:rPr>
          <w:rFonts w:ascii="宋体" w:hAnsi="宋体" w:cs="宋体"/>
          <w:sz w:val="24"/>
        </w:rPr>
        <w:t>B.数据模型标准检查：协助天津市税务局，开展日常新增模型标准检查，产出检查报告并给出整改建议、跟踪模型整改情况，确保上线模型的规范性。定期进行存量模型标准检查，对已上线模型质量规范性产出检查报告，为数据模型管理决策提供数据支持。</w:t>
      </w:r>
    </w:p>
    <w:p w:rsidR="001B300F" w:rsidRDefault="004555CE" w:rsidP="004555CE">
      <w:pPr>
        <w:spacing w:line="360" w:lineRule="auto"/>
        <w:ind w:firstLineChars="200" w:firstLine="446"/>
        <w:rPr>
          <w:rFonts w:ascii="宋体" w:hAnsi="宋体" w:cs="宋体"/>
          <w:sz w:val="24"/>
        </w:rPr>
      </w:pPr>
      <w:r>
        <w:rPr>
          <w:rFonts w:ascii="宋体" w:hAnsi="宋体" w:cs="宋体"/>
          <w:sz w:val="24"/>
        </w:rPr>
        <w:t>C.数据资产管理：协助天津市税务局，对各系统、各类型数据资产进行资产收集、资产盘点、资产分类、资产目录管理等工作，配合并保障数据资产检索、数据资产导出等工作。</w:t>
      </w:r>
    </w:p>
    <w:p w:rsidR="001B300F" w:rsidRDefault="004555CE" w:rsidP="004555CE">
      <w:pPr>
        <w:spacing w:line="360" w:lineRule="auto"/>
        <w:ind w:firstLineChars="200" w:firstLine="446"/>
        <w:rPr>
          <w:rFonts w:ascii="宋体" w:hAnsi="宋体" w:cs="宋体"/>
          <w:sz w:val="24"/>
        </w:rPr>
      </w:pPr>
      <w:r>
        <w:rPr>
          <w:rFonts w:ascii="宋体" w:hAnsi="宋体" w:cs="宋体"/>
          <w:sz w:val="24"/>
        </w:rPr>
        <w:t>D.数据质量管理：协助天津市税务局，开展日常数据质量规则的维护、规则调度维护、数据质量稽核脚本维护、数据质量问题稽核、数据质量报告产出。配合业务部门查询、分析未纳入管理的涉及数据质量的问题数据特征及口径，查询并分析数据质量报告问题数据产生的原因、并跟踪问题数据解决情况。</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⑶</w:t>
      </w:r>
      <w:proofErr w:type="gramStart"/>
      <w:r>
        <w:rPr>
          <w:rFonts w:ascii="宋体" w:hAnsi="宋体" w:cs="宋体" w:hint="eastAsia"/>
          <w:sz w:val="24"/>
        </w:rPr>
        <w:t>多云运维管理</w:t>
      </w:r>
      <w:proofErr w:type="gramEnd"/>
      <w:r>
        <w:rPr>
          <w:rFonts w:ascii="宋体" w:hAnsi="宋体" w:cs="宋体" w:hint="eastAsia"/>
          <w:sz w:val="24"/>
        </w:rPr>
        <w:t>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①日常巡检和基础环境监控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每工作日对</w:t>
      </w:r>
      <w:proofErr w:type="gramStart"/>
      <w:r>
        <w:rPr>
          <w:rFonts w:ascii="宋体" w:hAnsi="宋体" w:cs="宋体" w:hint="eastAsia"/>
          <w:sz w:val="24"/>
        </w:rPr>
        <w:t>多云运</w:t>
      </w:r>
      <w:proofErr w:type="gramEnd"/>
      <w:r>
        <w:rPr>
          <w:rFonts w:ascii="宋体" w:hAnsi="宋体" w:cs="宋体" w:hint="eastAsia"/>
          <w:sz w:val="24"/>
        </w:rPr>
        <w:t>维平台</w:t>
      </w:r>
      <w:r>
        <w:rPr>
          <w:rFonts w:ascii="宋体" w:hAnsi="宋体" w:cs="宋体"/>
          <w:sz w:val="24"/>
        </w:rPr>
        <w:t>1门户7中心的云上、云下环境进行巡检监控并形成日常巡检报告，巡检对象包括主机、中间件、数据库，重点检查项目包括但不限于服务存活、磁盘可用空间、系统性能等指标。基础环境保障工作主要包括应用系统环境监控、系统优化、故障处理、发布部署等工作；运</w:t>
      </w:r>
      <w:proofErr w:type="gramStart"/>
      <w:r>
        <w:rPr>
          <w:rFonts w:ascii="宋体" w:hAnsi="宋体" w:cs="宋体"/>
          <w:sz w:val="24"/>
        </w:rPr>
        <w:t>维基础</w:t>
      </w:r>
      <w:proofErr w:type="gramEnd"/>
      <w:r>
        <w:rPr>
          <w:rFonts w:ascii="宋体" w:hAnsi="宋体" w:cs="宋体"/>
          <w:sz w:val="24"/>
        </w:rPr>
        <w:t>环境范围具体包括应用系统的生产环境和</w:t>
      </w:r>
      <w:proofErr w:type="gramStart"/>
      <w:r>
        <w:rPr>
          <w:rFonts w:ascii="宋体" w:hAnsi="宋体" w:cs="宋体"/>
          <w:sz w:val="24"/>
        </w:rPr>
        <w:t>预生产</w:t>
      </w:r>
      <w:proofErr w:type="gramEnd"/>
      <w:r>
        <w:rPr>
          <w:rFonts w:ascii="宋体" w:hAnsi="宋体" w:cs="宋体"/>
          <w:sz w:val="24"/>
        </w:rPr>
        <w:t>环境等。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②基础配置维护</w:t>
      </w:r>
    </w:p>
    <w:p w:rsidR="001B300F" w:rsidRDefault="004555CE" w:rsidP="004555CE">
      <w:pPr>
        <w:spacing w:line="360" w:lineRule="auto"/>
        <w:ind w:firstLineChars="200" w:firstLine="446"/>
        <w:rPr>
          <w:rFonts w:ascii="宋体" w:hAnsi="宋体" w:cs="宋体"/>
          <w:sz w:val="24"/>
        </w:rPr>
      </w:pPr>
      <w:r>
        <w:rPr>
          <w:rFonts w:ascii="宋体" w:hAnsi="宋体" w:cs="宋体"/>
          <w:sz w:val="24"/>
        </w:rPr>
        <w:t>A.对</w:t>
      </w:r>
      <w:proofErr w:type="gramStart"/>
      <w:r>
        <w:rPr>
          <w:rFonts w:ascii="宋体" w:hAnsi="宋体" w:cs="宋体"/>
          <w:sz w:val="24"/>
        </w:rPr>
        <w:t>多云运</w:t>
      </w:r>
      <w:proofErr w:type="gramEnd"/>
      <w:r>
        <w:rPr>
          <w:rFonts w:ascii="宋体" w:hAnsi="宋体" w:cs="宋体"/>
          <w:sz w:val="24"/>
        </w:rPr>
        <w:t>维平台配置库进行配置信息采集任务的脚本编辑、实施和测试等工作。对配置库中。对</w:t>
      </w:r>
      <w:proofErr w:type="gramStart"/>
      <w:r>
        <w:rPr>
          <w:rFonts w:ascii="宋体" w:hAnsi="宋体" w:cs="宋体"/>
          <w:sz w:val="24"/>
        </w:rPr>
        <w:t>多云运维管理</w:t>
      </w:r>
      <w:proofErr w:type="gramEnd"/>
      <w:r>
        <w:rPr>
          <w:rFonts w:ascii="宋体" w:hAnsi="宋体" w:cs="宋体"/>
          <w:sz w:val="24"/>
        </w:rPr>
        <w:t>平台配置库已采集的云平台各类配置对象（CVM、TDsql、TBase、CKafka、CLB、CBS等）筛查配置信息，及时发现失效配置信息，并经省局确认后进行处置，进行模型维护及个性化建设，对第三方数据对接提供技术支持及实施，定期进行资产统计分析，形成资产报告。</w:t>
      </w:r>
    </w:p>
    <w:p w:rsidR="001B300F" w:rsidRDefault="004555CE" w:rsidP="004555CE">
      <w:pPr>
        <w:spacing w:line="360" w:lineRule="auto"/>
        <w:ind w:firstLineChars="200" w:firstLine="446"/>
        <w:rPr>
          <w:rFonts w:ascii="宋体" w:hAnsi="宋体" w:cs="宋体"/>
          <w:sz w:val="24"/>
        </w:rPr>
      </w:pPr>
      <w:r>
        <w:rPr>
          <w:rFonts w:ascii="宋体" w:hAnsi="宋体" w:cs="宋体"/>
          <w:sz w:val="24"/>
        </w:rPr>
        <w:t>B.对云上、云下基础环境日常巡检监控、基础环境健康检查。当云上、云下基础环境出现故障，开展故障排查、故障定位、故障处理解决。对数据库资源（Oracle、MongoDB、TDSQL、ElasticSearch、ClinkHouse、Prometheus、Redis、Flink、Kafaka）开展保障维护。</w:t>
      </w:r>
    </w:p>
    <w:p w:rsidR="001B300F" w:rsidRDefault="004555CE" w:rsidP="004555CE">
      <w:pPr>
        <w:spacing w:line="360" w:lineRule="auto"/>
        <w:ind w:firstLineChars="200" w:firstLine="446"/>
        <w:rPr>
          <w:rFonts w:ascii="宋体" w:hAnsi="宋体" w:cs="宋体"/>
          <w:sz w:val="24"/>
        </w:rPr>
      </w:pPr>
      <w:r>
        <w:rPr>
          <w:rFonts w:ascii="宋体" w:hAnsi="宋体" w:cs="宋体"/>
          <w:sz w:val="24"/>
        </w:rPr>
        <w:t>C.资源环境优化，根据应用系统运行情况，以及随着数据量的不断增加，定期对系统进行调优；负责对数据库资源类等系统软件的日常运维及应用相关调优。</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③系统运行保障及故障处理</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及时上报故障情况，快速解决应用系统运行过程出现的系统故障，保障业务办理的连续性。针对每次故障处理提交故障分析报告，总结整理故障案例库。</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⑷税务区块链基础平台</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协助天津市税务局，开展省级税务区块链基础平台共识节点、业务节点、应用服</w:t>
      </w:r>
      <w:r>
        <w:rPr>
          <w:rFonts w:ascii="宋体" w:hAnsi="宋体" w:cs="宋体" w:hint="eastAsia"/>
          <w:sz w:val="24"/>
        </w:rPr>
        <w:lastRenderedPageBreak/>
        <w:t>务、运行监控系统的技术维护保障，以及省局子链和总局主链的北京、南海同步之间节点的维护保障。</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①系统集成监控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监控税务区块链基础平台和金税工程的云、安全、网络等应用系统，以及统一身份管理平台、</w:t>
      </w:r>
      <w:proofErr w:type="gramStart"/>
      <w:r>
        <w:rPr>
          <w:rFonts w:ascii="宋体" w:hAnsi="宋体" w:cs="宋体" w:hint="eastAsia"/>
          <w:sz w:val="24"/>
        </w:rPr>
        <w:t>多云运</w:t>
      </w:r>
      <w:proofErr w:type="gramEnd"/>
      <w:r>
        <w:rPr>
          <w:rFonts w:ascii="宋体" w:hAnsi="宋体" w:cs="宋体" w:hint="eastAsia"/>
          <w:sz w:val="24"/>
        </w:rPr>
        <w:t>维平台、税务数字证书、密码服务组件应用系统的集成状态是否正常。若监控发现系统集成异常，积极协同相关厂商排查并解决问题。</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②省局链平台监控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监控保障税务区块链基础平台涉及的共识节点、税务内部业务节点、应用接入服务、代理转发服务、</w:t>
      </w:r>
      <w:r>
        <w:rPr>
          <w:rFonts w:ascii="宋体" w:hAnsi="宋体" w:cs="宋体"/>
          <w:sz w:val="24"/>
        </w:rPr>
        <w:t>BaaS服务、运行监控服务、运行管理服务、</w:t>
      </w:r>
      <w:proofErr w:type="gramStart"/>
      <w:r>
        <w:rPr>
          <w:rFonts w:ascii="宋体" w:hAnsi="宋体" w:cs="宋体"/>
          <w:sz w:val="24"/>
        </w:rPr>
        <w:t>跨链代理</w:t>
      </w:r>
      <w:proofErr w:type="gramEnd"/>
      <w:r>
        <w:rPr>
          <w:rFonts w:ascii="宋体" w:hAnsi="宋体" w:cs="宋体"/>
          <w:sz w:val="24"/>
        </w:rPr>
        <w:t>节点服务等应用服务。对于发现的异常问题按照流程进行上报。</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w:t>
      </w:r>
      <w:proofErr w:type="gramStart"/>
      <w:r>
        <w:rPr>
          <w:rFonts w:ascii="宋体" w:hAnsi="宋体" w:cs="宋体" w:hint="eastAsia"/>
          <w:sz w:val="24"/>
        </w:rPr>
        <w:t>总省链数据</w:t>
      </w:r>
      <w:proofErr w:type="gramEnd"/>
      <w:r>
        <w:rPr>
          <w:rFonts w:ascii="宋体" w:hAnsi="宋体" w:cs="宋体" w:hint="eastAsia"/>
          <w:sz w:val="24"/>
        </w:rPr>
        <w:t>同步监控</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监控保障税务区块链基础平台省局链和总局链北京、南海同步之间节点数据同步情况。对于发现的问题配合总局二线运维开展问题排查分析。</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⑸管理决策支持风险与信用系统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决策支持风险与信用系统具有数据量大，数据质量精确度高，数据更新频率及时等特点。运</w:t>
      </w:r>
      <w:proofErr w:type="gramStart"/>
      <w:r>
        <w:rPr>
          <w:rFonts w:ascii="宋体" w:hAnsi="宋体" w:cs="宋体" w:hint="eastAsia"/>
          <w:sz w:val="24"/>
        </w:rPr>
        <w:t>维人员</w:t>
      </w:r>
      <w:proofErr w:type="gramEnd"/>
      <w:r>
        <w:rPr>
          <w:rFonts w:ascii="宋体" w:hAnsi="宋体" w:cs="宋体" w:hint="eastAsia"/>
          <w:sz w:val="24"/>
        </w:rPr>
        <w:t>在每个工作日例行巡检后，加大对数据库数据加工、定时任务等巡检频次，对数据库问题及时上报和处置优化，以确保数据流高效准确的为应用服务提供数据保障，确保各项涉税业务的正常有序开展。</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⑹管理决策支持核算与分析系统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协助天津市税务局完成数据加工链路保障，监控</w:t>
      </w:r>
      <w:r>
        <w:rPr>
          <w:rFonts w:ascii="宋体" w:hAnsi="宋体" w:cs="宋体"/>
          <w:sz w:val="24"/>
        </w:rPr>
        <w:t xml:space="preserve">OGG、Informatcia </w:t>
      </w:r>
      <w:r>
        <w:rPr>
          <w:rFonts w:ascii="宋体" w:hAnsi="宋体" w:cs="宋体" w:hint="eastAsia"/>
          <w:sz w:val="24"/>
        </w:rPr>
        <w:t>等数据加工链路运行正常，及时处置数据加工异常；开展数据模型维护，对数据加工结果检查；配合处理数据加工逻辑问题；监控</w:t>
      </w:r>
      <w:r>
        <w:rPr>
          <w:rFonts w:ascii="宋体" w:hAnsi="宋体" w:cs="宋体"/>
          <w:sz w:val="24"/>
        </w:rPr>
        <w:t>MQ同步个税数据情况，需要月初实时监控并反馈；开展报表工具维护，监控BI报表情况；开展报表可用性监控，报表注册码期限监控、密码修改监控等。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⑺外部信息交换系统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①开展对外数据共享链路维护，做好数据传输加密、加</w:t>
      </w:r>
      <w:proofErr w:type="gramStart"/>
      <w:r>
        <w:rPr>
          <w:rFonts w:ascii="宋体" w:hAnsi="宋体" w:cs="宋体" w:hint="eastAsia"/>
          <w:sz w:val="24"/>
        </w:rPr>
        <w:t>签验签</w:t>
      </w:r>
      <w:proofErr w:type="gramEnd"/>
      <w:r>
        <w:rPr>
          <w:rFonts w:ascii="宋体" w:hAnsi="宋体" w:cs="宋体" w:hint="eastAsia"/>
          <w:sz w:val="24"/>
        </w:rPr>
        <w:t>、授权认证、访问白名单、黑名单、流量监控等安全保障措施。</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②新建数据共享链路应</w:t>
      </w:r>
      <w:proofErr w:type="gramStart"/>
      <w:r>
        <w:rPr>
          <w:rFonts w:ascii="宋体" w:hAnsi="宋体" w:cs="宋体" w:hint="eastAsia"/>
          <w:sz w:val="24"/>
        </w:rPr>
        <w:t>采用国密算法</w:t>
      </w:r>
      <w:proofErr w:type="gramEnd"/>
      <w:r>
        <w:rPr>
          <w:rFonts w:ascii="宋体" w:hAnsi="宋体" w:cs="宋体" w:hint="eastAsia"/>
          <w:sz w:val="24"/>
        </w:rPr>
        <w:t>对重要数据进行加密加签。已有数据共享链路，协助天津市税务局与外部门运维厂商沟通，逐步改造为</w:t>
      </w:r>
      <w:proofErr w:type="gramStart"/>
      <w:r>
        <w:rPr>
          <w:rFonts w:ascii="宋体" w:hAnsi="宋体" w:cs="宋体" w:hint="eastAsia"/>
          <w:sz w:val="24"/>
        </w:rPr>
        <w:t>采用国密算法</w:t>
      </w:r>
      <w:proofErr w:type="gramEnd"/>
      <w:r>
        <w:rPr>
          <w:rFonts w:ascii="宋体" w:hAnsi="宋体" w:cs="宋体" w:hint="eastAsia"/>
          <w:sz w:val="24"/>
        </w:rPr>
        <w:t>。</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③对外部信息交换系统数据共享情况进行监控，每日巡查对外数据共享流量情况，及时发现和处置非法访问和用批量查询来搬运税费数据情况。</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④加强共享数据日志管理，确保日志数据至少保存</w:t>
      </w:r>
      <w:r>
        <w:rPr>
          <w:rFonts w:ascii="宋体" w:hAnsi="宋体" w:cs="宋体"/>
          <w:sz w:val="24"/>
        </w:rPr>
        <w:t>6个月以上，并按季度对交换数据日志进行审计。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⑻社保费税银系统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协助天津市税务局，对税务端</w:t>
      </w:r>
      <w:r>
        <w:rPr>
          <w:rFonts w:ascii="宋体" w:hAnsi="宋体" w:cs="宋体"/>
          <w:sz w:val="24"/>
        </w:rPr>
        <w:t>MQ通道报</w:t>
      </w:r>
      <w:proofErr w:type="gramStart"/>
      <w:r>
        <w:rPr>
          <w:rFonts w:ascii="宋体" w:hAnsi="宋体" w:cs="宋体"/>
          <w:sz w:val="24"/>
        </w:rPr>
        <w:t>错及时</w:t>
      </w:r>
      <w:proofErr w:type="gramEnd"/>
      <w:r>
        <w:rPr>
          <w:rFonts w:ascii="宋体" w:hAnsi="宋体" w:cs="宋体"/>
          <w:sz w:val="24"/>
        </w:rPr>
        <w:t>解决，银行端MQ通道报错配合解决，配合外部门系统开展数据测试，开展新增和调整商业银行之间数据传输对接测试，配合开展总局统一安排的职业年金等测试工作，配合梳理系统流程以及相关业务提供业务流向图。</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⑼电子印章系统</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配合天津市税务局开展问题管理，编写问题管理方案，对软件问题进行分析解决，并对后续处理进行跟踪。</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①负责与电子印章、安全支撑系统对接外系统联调测试，就相关问题给出解决方案和优化建议。</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②负责建立应用问题清册，定期更新《应用问题常用知识库手册》。</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③负责提供应用问题统计分析的周报、月报。</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④针对操作中出现的常见问题，及时配合用户建立和完善知识库，并在相关渠道予以发布。</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13.征期值守</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按照天津市税务局实际需要，在每季度大征期以外的普通征期内，在天津市税务局统一指挥下开展7×8小时征期值守工作，开展本项目系统相关安全保障检查、安全保障监控和安全保障响应，及时开展系统问题处置和安全加固。</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征期值守期间，运</w:t>
      </w:r>
      <w:proofErr w:type="gramStart"/>
      <w:r>
        <w:rPr>
          <w:rFonts w:ascii="宋体" w:hAnsi="宋体" w:cs="宋体" w:hint="eastAsia"/>
          <w:sz w:val="24"/>
        </w:rPr>
        <w:t>维人员</w:t>
      </w:r>
      <w:proofErr w:type="gramEnd"/>
      <w:r>
        <w:rPr>
          <w:rFonts w:ascii="宋体" w:hAnsi="宋体" w:cs="宋体" w:hint="eastAsia"/>
          <w:sz w:val="24"/>
        </w:rPr>
        <w:t>应按时完成系统健康巡检，关注系统可用性监控和</w:t>
      </w:r>
      <w:proofErr w:type="gramStart"/>
      <w:r>
        <w:rPr>
          <w:rFonts w:ascii="宋体" w:hAnsi="宋体" w:cs="宋体" w:hint="eastAsia"/>
          <w:sz w:val="24"/>
        </w:rPr>
        <w:t>自动化拨测告警</w:t>
      </w:r>
      <w:proofErr w:type="gramEnd"/>
      <w:r>
        <w:rPr>
          <w:rFonts w:ascii="宋体" w:hAnsi="宋体" w:cs="宋体" w:hint="eastAsia"/>
          <w:sz w:val="24"/>
        </w:rPr>
        <w:t>，发现问题及时上报，及时处置系统故障。在节假日等非工作时间根据天津市税务局实际需要，对系统开展业务和技术支持。当系统在非工作时间突发紧急故障，能够开展有效处置，包括非不可抗力因素造成的故障（故障恢复时间＜30分钟），不可抗力因素造成的故障（响应时间≤30分钟，故障恢复时间＜4小时）。</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五、工时分类</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（一）平日工时：全年工作日约为248天，每个工作日白天正常工时不少于8小时，特殊情况按工作日实际工时计算。</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值班工时：各月征期和重要时间节点，需根据采购人要求，安排人员在正常工作日以外的公休日开展白天值班值守，每日值班工时不少于8小时，特殊情况按值班实际工时计算。全年各月征期内和重要时间节点内公休日约70天（含周六日和法定节假日），公休日白天值班值守工时可按实际工时2倍计算。</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三）夜班工时：全年每季度大征期月份（约75天）、两会期间（约8天）、重要安全演练期间（约30天）、国家和天津市重要活动期间（例如冬奥会、二十大、上合峰会等级别活动）等重要时间节点，需根据采购人要求，安排人员在白班以外的非工作时间开展夜班值守，每日夜班值守工时不少于16小时，特殊情况按夜班实际工时计算。全年重要时间节点夜班值守约113天，夜班值守工时可按实际工时1.5倍计算。</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加班工时：当系统处于业务繁忙高峰期，或国家税务总局、采购人有加班需求，如征期高峰（征期最后2天）、月末升级和月结初始化（每月最后2天）、公休日白天值班和重要时点夜班值守以外的非工作时间工作需求等，可额外动态增加人力资源开展加班工作。加班工时需提前报备弹性人力资源计划或非工作时间加班申请，</w:t>
      </w:r>
      <w:r>
        <w:rPr>
          <w:rFonts w:ascii="宋体" w:hAnsi="宋体" w:cs="宋体" w:hint="eastAsia"/>
          <w:sz w:val="24"/>
        </w:rPr>
        <w:lastRenderedPageBreak/>
        <w:t>非工作时间内增加的加班工时可按实际工时1.5倍计算。所有加班工时需根据弹性计划或加班申请的实际执行情况核算工时，否则不予记录工时。</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五）紧急工时：当系统在非工作时间突发紧急故障，能够根据采购人要求，额外动态增加人力资源，开展有效处置。有效处置定义为非不可抗力因素造成的故障，故障恢复时间＜30分钟，不可抗力因素造成的故障，响应时间≤30分钟，故障恢复时间＜4小时。成功处置故障后可根据事后故障处置报告中人</w:t>
      </w:r>
      <w:proofErr w:type="gramStart"/>
      <w:r>
        <w:rPr>
          <w:rFonts w:ascii="宋体" w:hAnsi="宋体" w:cs="宋体" w:hint="eastAsia"/>
          <w:sz w:val="24"/>
        </w:rPr>
        <w:t>力投入</w:t>
      </w:r>
      <w:proofErr w:type="gramEnd"/>
      <w:r>
        <w:rPr>
          <w:rFonts w:ascii="宋体" w:hAnsi="宋体" w:cs="宋体" w:hint="eastAsia"/>
          <w:sz w:val="24"/>
        </w:rPr>
        <w:t>情况，可按实际工时2倍计算紧急工时，否则不予记录工时。</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六、动态调配要求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供应商能够在组建本地运维团队的基础上，提供弹性人力资源池，承诺高峰期和重要时间节点可调配人力大于常规需求人力，低峰期可调配人力不少于常规需求人力的60%。弹性人力资源既包括在高峰期增加人员数量或延长工作时间来实现额外投入人力，也包括在低峰期削减人员数量或调整工作时间来节约人力成本。</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供应商动态调配人力资源标准可以向下兼容、不可向上兼容，例如高级技术人员可以处置中级或初级技术人员工作，初级技术人员不能代替高级或中级技术人员处理相关工作。供应商动态调配人力资源必须满足采购人实际工作需要和网络安全管理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（三）供应商投入的同级别动态人力资源，包括常规工时与额外工时，分类小计应不少于项目采购内容所列各级别所需工时合计数，全部类别合计应不少于项目采购内容所列的需求工时数总量。</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（四）供应商需提交提供动态人力资源核实方案，应满足采购人核查在岗人员数量和实际工作时长需求，每月需提交实际投入运</w:t>
      </w:r>
      <w:proofErr w:type="gramStart"/>
      <w:r>
        <w:rPr>
          <w:rFonts w:ascii="宋体" w:hAnsi="宋体" w:cs="宋体" w:hint="eastAsia"/>
          <w:sz w:val="24"/>
        </w:rPr>
        <w:t>维工作</w:t>
      </w:r>
      <w:proofErr w:type="gramEnd"/>
      <w:r>
        <w:rPr>
          <w:rFonts w:ascii="宋体" w:hAnsi="宋体" w:cs="宋体" w:hint="eastAsia"/>
          <w:sz w:val="24"/>
        </w:rPr>
        <w:t>人力资源报告，报告应包括当月实际投入的平日工时、值班工时、夜班工时、加班工时、紧急工时等核算数据。</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（五）供应商不得虚报工时，若采购人发现虚假工时记录，按虚报工时的3倍扣除工时数据。若供应商没有建立动态人力资源池，在高峰期或重保期未达承诺人力，</w:t>
      </w:r>
      <w:r>
        <w:rPr>
          <w:rFonts w:ascii="宋体" w:hAnsi="宋体" w:cs="宋体" w:hint="eastAsia"/>
          <w:sz w:val="24"/>
        </w:rPr>
        <w:lastRenderedPageBreak/>
        <w:t>并给采购人造成损失，按缺岗工时的2倍扣除工时数据。</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七、人员要求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（一）岗位学历经验要求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高级岗位人员需满足资质：大专学历工作5年及以上，或本科学历工作3年及以上，或硕士学历工作2年及以上，或博士学历工作1年及以上；并且需从事信息化行业3年及以上（博士学历可放宽到1年及以上，硕士学历可放宽到2年及以上）。</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中级岗位人员需满足资质：大专学历工作3年及以上，或本科学历工作2年及以上，或硕士及以上学历工作1年及以上；并且需从事信息化行业2年及以上（硕士及以上学历可放宽到1年及以上）。</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初级岗位人员需满足资质：大专学历工作2年及以上，或本科及以上学历工作1年及以上；并且需从事信息化行业1年及以上。</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其他岗位人员资质要求与中级岗位人员一致，需满足值班、夜班、加班、紧急等工作要求，供应商可从现有岗位人员中动态调配人力资源。</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（二）岗位分类需求明细</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合计购买不少于77686工时的运维服务，服务期限为合同规定之日起12个月（其中部分系统服务期限为合同规定之日起11个月），特殊情况以合同为准。</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1.运</w:t>
      </w:r>
      <w:proofErr w:type="gramStart"/>
      <w:r>
        <w:rPr>
          <w:rFonts w:ascii="宋体" w:hAnsi="宋体" w:cs="宋体" w:hint="eastAsia"/>
          <w:sz w:val="24"/>
        </w:rPr>
        <w:t>维高级</w:t>
      </w:r>
      <w:proofErr w:type="gramEnd"/>
      <w:r>
        <w:rPr>
          <w:rFonts w:ascii="宋体" w:hAnsi="宋体" w:cs="宋体" w:hint="eastAsia"/>
          <w:sz w:val="24"/>
        </w:rPr>
        <w:t>岗：投入工作量不少于24500工时，开展平日运维工作，需满足高级技术人员资质要求。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2.运维中级岗：投入工作量不少于20500工时，开展平日运维工作，需满足中级技术人员资质要求。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3.运维初级岗：投入工作量不少于15000工时，开展平日运维工作，需满足初级技术人员资质要求。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4.运</w:t>
      </w:r>
      <w:proofErr w:type="gramStart"/>
      <w:r>
        <w:rPr>
          <w:rFonts w:ascii="宋体" w:hAnsi="宋体" w:cs="宋体" w:hint="eastAsia"/>
          <w:sz w:val="24"/>
        </w:rPr>
        <w:t>维其他岗</w:t>
      </w:r>
      <w:proofErr w:type="gramEnd"/>
      <w:r>
        <w:rPr>
          <w:rFonts w:ascii="宋体" w:hAnsi="宋体" w:cs="宋体" w:hint="eastAsia"/>
          <w:sz w:val="24"/>
        </w:rPr>
        <w:t>：投入工作量不少于17686工时，开展值班、夜班、加班、紧急等运维工作，需满足中级技术人员资质要求。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lastRenderedPageBreak/>
        <w:t>（三）岗位工作技能要求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熟悉国产化、非国产化主流系统软件和应用软件，能够熟练掌握本项目系统架构、相关的使用操作流程、相关业务及常见问题的解决方法，独立接听、解答用户所提出的各种问题并进行相应的问题及回复记录。能够测试可复现的软件问题缺陷、填写转出服务请求单，开展日清册的检查，并根据质检结果进行个人分析改进等。能够承担税收知识库建设工作，将各软件使用中出现的各种问题提炼、加工、深化成为知识，不断完善培训资料，制作文字文档和</w:t>
      </w:r>
      <w:proofErr w:type="gramStart"/>
      <w:r>
        <w:rPr>
          <w:rFonts w:ascii="宋体" w:hAnsi="宋体" w:cs="宋体" w:hint="eastAsia"/>
          <w:sz w:val="24"/>
        </w:rPr>
        <w:t>音视频</w:t>
      </w:r>
      <w:proofErr w:type="gramEnd"/>
      <w:r>
        <w:rPr>
          <w:rFonts w:ascii="宋体" w:hAnsi="宋体" w:cs="宋体" w:hint="eastAsia"/>
          <w:sz w:val="24"/>
        </w:rPr>
        <w:t>教程，供各级税务机关下载使用。能够针对系统使用情况进行满意度调查回访。</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（四）岗位管理保障要求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1.运</w:t>
      </w:r>
      <w:proofErr w:type="gramStart"/>
      <w:r>
        <w:rPr>
          <w:rFonts w:ascii="宋体" w:hAnsi="宋体" w:cs="宋体" w:hint="eastAsia"/>
          <w:sz w:val="24"/>
        </w:rPr>
        <w:t>维人员</w:t>
      </w:r>
      <w:proofErr w:type="gramEnd"/>
      <w:r>
        <w:rPr>
          <w:rFonts w:ascii="宋体" w:hAnsi="宋体" w:cs="宋体" w:hint="eastAsia"/>
          <w:sz w:val="24"/>
        </w:rPr>
        <w:t>受采购人和供应商双重管理，采购人的意见应作为运</w:t>
      </w:r>
      <w:proofErr w:type="gramStart"/>
      <w:r>
        <w:rPr>
          <w:rFonts w:ascii="宋体" w:hAnsi="宋体" w:cs="宋体" w:hint="eastAsia"/>
          <w:sz w:val="24"/>
        </w:rPr>
        <w:t>维人员</w:t>
      </w:r>
      <w:proofErr w:type="gramEnd"/>
      <w:r>
        <w:rPr>
          <w:rFonts w:ascii="宋体" w:hAnsi="宋体" w:cs="宋体" w:hint="eastAsia"/>
          <w:sz w:val="24"/>
        </w:rPr>
        <w:t>业绩考核的重要依据。供应商应保证运</w:t>
      </w:r>
      <w:proofErr w:type="gramStart"/>
      <w:r>
        <w:rPr>
          <w:rFonts w:ascii="宋体" w:hAnsi="宋体" w:cs="宋体" w:hint="eastAsia"/>
          <w:sz w:val="24"/>
        </w:rPr>
        <w:t>维人员</w:t>
      </w:r>
      <w:proofErr w:type="gramEnd"/>
      <w:r>
        <w:rPr>
          <w:rFonts w:ascii="宋体" w:hAnsi="宋体" w:cs="宋体" w:hint="eastAsia"/>
          <w:sz w:val="24"/>
        </w:rPr>
        <w:t>常驻采购人，并能完全胜任本项目所含各系统的运行维护工作。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2.供应商须保证运</w:t>
      </w:r>
      <w:proofErr w:type="gramStart"/>
      <w:r>
        <w:rPr>
          <w:rFonts w:ascii="宋体" w:hAnsi="宋体" w:cs="宋体" w:hint="eastAsia"/>
          <w:sz w:val="24"/>
        </w:rPr>
        <w:t>维人员</w:t>
      </w:r>
      <w:proofErr w:type="gramEnd"/>
      <w:r>
        <w:rPr>
          <w:rFonts w:ascii="宋体" w:hAnsi="宋体" w:cs="宋体" w:hint="eastAsia"/>
          <w:sz w:val="24"/>
        </w:rPr>
        <w:t>的稳定性和连续性，运</w:t>
      </w:r>
      <w:proofErr w:type="gramStart"/>
      <w:r>
        <w:rPr>
          <w:rFonts w:ascii="宋体" w:hAnsi="宋体" w:cs="宋体" w:hint="eastAsia"/>
          <w:sz w:val="24"/>
        </w:rPr>
        <w:t>维人员</w:t>
      </w:r>
      <w:proofErr w:type="gramEnd"/>
      <w:r>
        <w:rPr>
          <w:rFonts w:ascii="宋体" w:hAnsi="宋体" w:cs="宋体" w:hint="eastAsia"/>
          <w:sz w:val="24"/>
        </w:rPr>
        <w:t>确定后，不得随意更换。供应商须提前做好人力储备,如运</w:t>
      </w:r>
      <w:proofErr w:type="gramStart"/>
      <w:r>
        <w:rPr>
          <w:rFonts w:ascii="宋体" w:hAnsi="宋体" w:cs="宋体" w:hint="eastAsia"/>
          <w:sz w:val="24"/>
        </w:rPr>
        <w:t>维人员</w:t>
      </w:r>
      <w:proofErr w:type="gramEnd"/>
      <w:r>
        <w:rPr>
          <w:rFonts w:ascii="宋体" w:hAnsi="宋体" w:cs="宋体" w:hint="eastAsia"/>
          <w:sz w:val="24"/>
        </w:rPr>
        <w:t>合同到期或申请离职，供应商必须提前一个月通知采购人，并立即从技术支持单位后备人员库中经考核，选拔出合格运</w:t>
      </w:r>
      <w:proofErr w:type="gramStart"/>
      <w:r>
        <w:rPr>
          <w:rFonts w:ascii="宋体" w:hAnsi="宋体" w:cs="宋体" w:hint="eastAsia"/>
          <w:sz w:val="24"/>
        </w:rPr>
        <w:t>维人员</w:t>
      </w:r>
      <w:proofErr w:type="gramEnd"/>
      <w:r>
        <w:rPr>
          <w:rFonts w:ascii="宋体" w:hAnsi="宋体" w:cs="宋体" w:hint="eastAsia"/>
          <w:sz w:val="24"/>
        </w:rPr>
        <w:t>进行工作熟悉和交接，确保正常工作不受影响。正式更换前，供应商</w:t>
      </w:r>
      <w:proofErr w:type="gramStart"/>
      <w:r>
        <w:rPr>
          <w:rFonts w:ascii="宋体" w:hAnsi="宋体" w:cs="宋体" w:hint="eastAsia"/>
          <w:sz w:val="24"/>
        </w:rPr>
        <w:t>需正式</w:t>
      </w:r>
      <w:proofErr w:type="gramEnd"/>
      <w:r>
        <w:rPr>
          <w:rFonts w:ascii="宋体" w:hAnsi="宋体" w:cs="宋体" w:hint="eastAsia"/>
          <w:sz w:val="24"/>
        </w:rPr>
        <w:t>提交书面申请，报采购人负责人审批后方可调整，人员交接过程应符合采购人相关要求。如果因供应商无法保证人员的连续性所造成的全部损失由供应商承担，并从费用中扣除。</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3.运</w:t>
      </w:r>
      <w:proofErr w:type="gramStart"/>
      <w:r>
        <w:rPr>
          <w:rFonts w:ascii="宋体" w:hAnsi="宋体" w:cs="宋体" w:hint="eastAsia"/>
          <w:sz w:val="24"/>
        </w:rPr>
        <w:t>维人员</w:t>
      </w:r>
      <w:proofErr w:type="gramEnd"/>
      <w:r>
        <w:rPr>
          <w:rFonts w:ascii="宋体" w:hAnsi="宋体" w:cs="宋体" w:hint="eastAsia"/>
          <w:sz w:val="24"/>
        </w:rPr>
        <w:t>应具备良好的职业道德。较强的责任心。良好的沟通能力。熟悉本系统相关业务域。具有一定的问题分析能力，能够及时准确的定位问题。</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4.运</w:t>
      </w:r>
      <w:proofErr w:type="gramStart"/>
      <w:r>
        <w:rPr>
          <w:rFonts w:ascii="宋体" w:hAnsi="宋体" w:cs="宋体" w:hint="eastAsia"/>
          <w:sz w:val="24"/>
        </w:rPr>
        <w:t>维人员</w:t>
      </w:r>
      <w:proofErr w:type="gramEnd"/>
      <w:r>
        <w:rPr>
          <w:rFonts w:ascii="宋体" w:hAnsi="宋体" w:cs="宋体" w:hint="eastAsia"/>
          <w:sz w:val="24"/>
        </w:rPr>
        <w:t>工作能力和工作态度达不到维护工作要求的，采购人有权要求更换，供应商应及时更换相关人员。</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5.供应商和运</w:t>
      </w:r>
      <w:proofErr w:type="gramStart"/>
      <w:r>
        <w:rPr>
          <w:rFonts w:ascii="宋体" w:hAnsi="宋体" w:cs="宋体" w:hint="eastAsia"/>
          <w:sz w:val="24"/>
        </w:rPr>
        <w:t>维人员</w:t>
      </w:r>
      <w:proofErr w:type="gramEnd"/>
      <w:r>
        <w:rPr>
          <w:rFonts w:ascii="宋体" w:hAnsi="宋体" w:cs="宋体" w:hint="eastAsia"/>
          <w:sz w:val="24"/>
        </w:rPr>
        <w:t>应严格遵守采购人的出勤、着装、安全等管理规定。在派驻期间，遵守采购人的工作作息时间，同时应按照采购人的要求，在工作需要的时候进</w:t>
      </w:r>
      <w:r>
        <w:rPr>
          <w:rFonts w:ascii="宋体" w:hAnsi="宋体" w:cs="宋体" w:hint="eastAsia"/>
          <w:sz w:val="24"/>
        </w:rPr>
        <w:lastRenderedPageBreak/>
        <w:t>行加班。</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6.遇有疑难问题时，供应商应及时协调提供二线技术支持。</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7.供应商和运</w:t>
      </w:r>
      <w:proofErr w:type="gramStart"/>
      <w:r>
        <w:rPr>
          <w:rFonts w:ascii="宋体" w:hAnsi="宋体" w:cs="宋体" w:hint="eastAsia"/>
          <w:sz w:val="24"/>
        </w:rPr>
        <w:t>维人员</w:t>
      </w:r>
      <w:proofErr w:type="gramEnd"/>
      <w:r>
        <w:rPr>
          <w:rFonts w:ascii="宋体" w:hAnsi="宋体" w:cs="宋体" w:hint="eastAsia"/>
          <w:sz w:val="24"/>
        </w:rPr>
        <w:t>应对采购人负责，按照授权进行工作，不得从事不在授权内的工作内容。因供应商派出的运</w:t>
      </w:r>
      <w:proofErr w:type="gramStart"/>
      <w:r>
        <w:rPr>
          <w:rFonts w:ascii="宋体" w:hAnsi="宋体" w:cs="宋体" w:hint="eastAsia"/>
          <w:sz w:val="24"/>
        </w:rPr>
        <w:t>维人员</w:t>
      </w:r>
      <w:proofErr w:type="gramEnd"/>
      <w:r>
        <w:rPr>
          <w:rFonts w:ascii="宋体" w:hAnsi="宋体" w:cs="宋体" w:hint="eastAsia"/>
          <w:sz w:val="24"/>
        </w:rPr>
        <w:t>自身原因造成工作失误，给采购人造成损失的，供应商应承担赔偿责任</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8.供应商和运</w:t>
      </w:r>
      <w:proofErr w:type="gramStart"/>
      <w:r>
        <w:rPr>
          <w:rFonts w:ascii="宋体" w:hAnsi="宋体" w:cs="宋体" w:hint="eastAsia"/>
          <w:sz w:val="24"/>
        </w:rPr>
        <w:t>维人员</w:t>
      </w:r>
      <w:proofErr w:type="gramEnd"/>
      <w:r>
        <w:rPr>
          <w:rFonts w:ascii="宋体" w:hAnsi="宋体" w:cs="宋体" w:hint="eastAsia"/>
          <w:sz w:val="24"/>
        </w:rPr>
        <w:t>应按采购人要求协助开展其它工作。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八、管理实施要求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（一）供应商应成立项目管理组织，严格遵守本项目业务管控、架构管控、项目管控的要求。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（二）供应商应基于成熟的项目管理方法论，制订完善的项目管理制度、流程，合理划分项目管理的阶段，借助工程管理工具，在项目实施过程中对项目进行规范化管理，确保项目实施进度和实施质量。</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三）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（四）供应商应提供合理的技术、运</w:t>
      </w:r>
      <w:proofErr w:type="gramStart"/>
      <w:r>
        <w:rPr>
          <w:rFonts w:ascii="宋体" w:hAnsi="宋体" w:cs="宋体" w:hint="eastAsia"/>
          <w:sz w:val="24"/>
        </w:rPr>
        <w:t>维力量</w:t>
      </w:r>
      <w:proofErr w:type="gramEnd"/>
      <w:r>
        <w:rPr>
          <w:rFonts w:ascii="宋体" w:hAnsi="宋体" w:cs="宋体" w:hint="eastAsia"/>
          <w:sz w:val="24"/>
        </w:rPr>
        <w:t>配置及工作量单价。</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（五）在项目实施工程中，采购人可能根据实际情况，在不改变工作量的情况下调整项目运维要求，供应商应充分考虑、无条件满足采购人的要求，采购人对此不再额外付费。</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九、保密要求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（一）供应商应严格落实国家税务总局采购</w:t>
      </w:r>
      <w:proofErr w:type="gramStart"/>
      <w:r>
        <w:rPr>
          <w:rFonts w:ascii="宋体" w:hAnsi="宋体" w:cs="宋体" w:hint="eastAsia"/>
          <w:sz w:val="24"/>
        </w:rPr>
        <w:t>人网络</w:t>
      </w:r>
      <w:proofErr w:type="gramEnd"/>
      <w:r>
        <w:rPr>
          <w:rFonts w:ascii="宋体" w:hAnsi="宋体" w:cs="宋体" w:hint="eastAsia"/>
          <w:sz w:val="24"/>
        </w:rPr>
        <w:t>安全保密管理要求，承担技术</w:t>
      </w:r>
      <w:r>
        <w:rPr>
          <w:rFonts w:ascii="宋体" w:hAnsi="宋体" w:cs="宋体" w:hint="eastAsia"/>
          <w:sz w:val="24"/>
        </w:rPr>
        <w:lastRenderedPageBreak/>
        <w:t>支持人员的安全和保密管理责任。按采购人要求签订供应商保密协议书和技术支持人员保密承诺书。</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供应商负责派驻技术支持人员背景审查工作，提供其身份证明、履历、家庭成员及主要社会关系、无犯罪记录证明、学历证明（《教育部学历证书电子注册备案表》）、劳动合同、社保和个税缴纳凭证等材料，提交信息备案表。</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三）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（四）对“保密责任”落实不严格、不到位，造成重大安全事件或产生负面影响的，按照合同中“其他终止合同情况”条款执行，并依照相关法律等规定进行追责。</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十、知识转移要求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（二）根据本项目具体情况，满足采购人提出的其他知识转移要求。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十一、风险管控要求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（一）风险管</w:t>
      </w:r>
      <w:proofErr w:type="gramStart"/>
      <w:r>
        <w:rPr>
          <w:rFonts w:ascii="宋体" w:hAnsi="宋体" w:cs="宋体" w:hint="eastAsia"/>
          <w:sz w:val="24"/>
        </w:rPr>
        <w:t>控总体</w:t>
      </w:r>
      <w:proofErr w:type="gramEnd"/>
      <w:r>
        <w:rPr>
          <w:rFonts w:ascii="宋体" w:hAnsi="宋体" w:cs="宋体" w:hint="eastAsia"/>
          <w:sz w:val="24"/>
        </w:rPr>
        <w:t>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（二）风险管</w:t>
      </w:r>
      <w:proofErr w:type="gramStart"/>
      <w:r>
        <w:rPr>
          <w:rFonts w:ascii="宋体" w:hAnsi="宋体" w:cs="宋体" w:hint="eastAsia"/>
          <w:sz w:val="24"/>
        </w:rPr>
        <w:t>控具体</w:t>
      </w:r>
      <w:proofErr w:type="gramEnd"/>
      <w:r>
        <w:rPr>
          <w:rFonts w:ascii="宋体" w:hAnsi="宋体" w:cs="宋体" w:hint="eastAsia"/>
          <w:sz w:val="24"/>
        </w:rPr>
        <w:t>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1.风险管</w:t>
      </w:r>
      <w:proofErr w:type="gramStart"/>
      <w:r>
        <w:rPr>
          <w:rFonts w:ascii="宋体" w:hAnsi="宋体" w:cs="宋体" w:hint="eastAsia"/>
          <w:sz w:val="24"/>
        </w:rPr>
        <w:t>控内容</w:t>
      </w:r>
      <w:proofErr w:type="gramEnd"/>
      <w:r>
        <w:rPr>
          <w:rFonts w:ascii="宋体" w:hAnsi="宋体" w:cs="宋体" w:hint="eastAsia"/>
          <w:sz w:val="24"/>
        </w:rPr>
        <w:t>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一是管控人员流动风险：制定合理的薪酬体系和激励机制，避免因人员流动影响项目执行；二是</w:t>
      </w:r>
      <w:proofErr w:type="gramStart"/>
      <w:r>
        <w:rPr>
          <w:rFonts w:ascii="宋体" w:hAnsi="宋体" w:cs="宋体" w:hint="eastAsia"/>
          <w:sz w:val="24"/>
        </w:rPr>
        <w:t>管控运维</w:t>
      </w:r>
      <w:proofErr w:type="gramEnd"/>
      <w:r>
        <w:rPr>
          <w:rFonts w:ascii="宋体" w:hAnsi="宋体" w:cs="宋体" w:hint="eastAsia"/>
          <w:sz w:val="24"/>
        </w:rPr>
        <w:t>风险：加强监控预警和安全防护，规范运</w:t>
      </w:r>
      <w:proofErr w:type="gramStart"/>
      <w:r>
        <w:rPr>
          <w:rFonts w:ascii="宋体" w:hAnsi="宋体" w:cs="宋体" w:hint="eastAsia"/>
          <w:sz w:val="24"/>
        </w:rPr>
        <w:t>维操作</w:t>
      </w:r>
      <w:proofErr w:type="gramEnd"/>
      <w:r>
        <w:rPr>
          <w:rFonts w:ascii="宋体" w:hAnsi="宋体" w:cs="宋体" w:hint="eastAsia"/>
          <w:sz w:val="24"/>
        </w:rPr>
        <w:t>流程，避免因各种原因导致的生产事故。</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2.风险管</w:t>
      </w:r>
      <w:proofErr w:type="gramStart"/>
      <w:r>
        <w:rPr>
          <w:rFonts w:ascii="宋体" w:hAnsi="宋体" w:cs="宋体" w:hint="eastAsia"/>
          <w:sz w:val="24"/>
        </w:rPr>
        <w:t>控时间</w:t>
      </w:r>
      <w:proofErr w:type="gramEnd"/>
      <w:r>
        <w:rPr>
          <w:rFonts w:ascii="宋体" w:hAnsi="宋体" w:cs="宋体" w:hint="eastAsia"/>
          <w:sz w:val="24"/>
        </w:rPr>
        <w:t>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签署合同后立即识别可能存在的风险；对已识别的风险进行评估和分析，确定风险的严重程度和影响范围；对已评估的风险进行持续监控，及时发现新风险；针对已识别的风险制定应对措施，并尽快实施。</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3.风险管</w:t>
      </w:r>
      <w:proofErr w:type="gramStart"/>
      <w:r>
        <w:rPr>
          <w:rFonts w:ascii="宋体" w:hAnsi="宋体" w:cs="宋体" w:hint="eastAsia"/>
          <w:sz w:val="24"/>
        </w:rPr>
        <w:t>控形式</w:t>
      </w:r>
      <w:proofErr w:type="gramEnd"/>
      <w:r>
        <w:rPr>
          <w:rFonts w:ascii="宋体" w:hAnsi="宋体" w:cs="宋体" w:hint="eastAsia"/>
          <w:sz w:val="24"/>
        </w:rPr>
        <w:t>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制定风险管理计划，明确风险管理目标、范围和责任人；建立风险管理组织，确保风险管理工作的有效实施；制定风险管理流程，包括风险识别、评估、监控、应对和报告等环节。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十二、履约验收要求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（一）验收工作由采购人组织实施，采购人、供应商和第三方验收公司等共同参与。</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（二）供应商在满足验收条件后，提出项目验收申请，提交验收相关产出物，提供的各类文档</w:t>
      </w:r>
      <w:proofErr w:type="gramStart"/>
      <w:r>
        <w:rPr>
          <w:rFonts w:ascii="宋体" w:hAnsi="宋体" w:cs="宋体" w:hint="eastAsia"/>
          <w:sz w:val="24"/>
        </w:rPr>
        <w:t>应内容</w:t>
      </w:r>
      <w:proofErr w:type="gramEnd"/>
      <w:r>
        <w:rPr>
          <w:rFonts w:ascii="宋体" w:hAnsi="宋体" w:cs="宋体" w:hint="eastAsia"/>
          <w:sz w:val="24"/>
        </w:rPr>
        <w:t>完整、描述清晰、经采购人确认后进行项目验收。</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（三）以项目合同书、验收前双方确认的工作主要交付物、项目验收报告等作为验收依据。</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（四）在服务期限内，供应商派出的运</w:t>
      </w:r>
      <w:proofErr w:type="gramStart"/>
      <w:r>
        <w:rPr>
          <w:rFonts w:ascii="宋体" w:hAnsi="宋体" w:cs="宋体" w:hint="eastAsia"/>
          <w:sz w:val="24"/>
        </w:rPr>
        <w:t>维人员</w:t>
      </w:r>
      <w:proofErr w:type="gramEnd"/>
      <w:r>
        <w:rPr>
          <w:rFonts w:ascii="宋体" w:hAnsi="宋体" w:cs="宋体" w:hint="eastAsia"/>
          <w:sz w:val="24"/>
        </w:rPr>
        <w:t>应随时监控系统运行状态，做好事件记录，按照要求出具系统运行监控报告。</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（五）供应商按月提交工作日志和健康检查报告等运维产出物。提交报告数量、质量及采购人出具的评价意见作为验收依据。评价意见中工时统计来源至少包含考勤、堡垒机、工单、加班审批等数据。</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十三、其他要求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lastRenderedPageBreak/>
        <w:t>★（一）税收信息化项目开发和应用管理工作要求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★（二）供应链安全管理要求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 xml:space="preserve">1.人员资格要求 </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 xml:space="preserve">（1）签订承诺书。供应商应严格落实国家税务总局网络安全和保密管理要求，承担技术支持人员的网络安全和保密管理责任，按采购人要求签订协议和承诺书。 </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 xml:space="preserve">（2）开展背景审查。供应商承担技术支持人员背景审查工作，提供其身份证明、履历、家庭成员及主要社会关系、无犯罪记录证明等材料，并提交采购人进行备案。 </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 xml:space="preserve">（3）设置网络安全负责人（由现场运维团队负责人兼任）。供应商为本项目配备一名网络安全负责人，该负责人具备独立决策能力并保持相对稳定，在项目实施的全过程负责网络安全工作，组织落实各项网络安全要求。 </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 xml:space="preserve">2.日常行为规范要求 </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 xml:space="preserve">（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 </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 xml:space="preserve">（2）教育培训要求。供应商负责对技术支持人员进行网络和数据安全法律法规、网络安全意识、网络安全管理、网络安全技能、保密意识以及网络安全警示教育等培训，上岗前对其进行考核。 </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 xml:space="preserve">3.违约惩戒措施 </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供应商对供应链安全管理责任落实不到位，造成安全事件或产生不良影响的，采购人按照法律法规及合同约定进行处理。</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★（三）信息化服务项目人员要求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本项目涉及信息化服务项目人员的，项目人员应当是中标单位的正式人员，或者是与中标单位签订1年以上劳动合同且实际工作满1年的人员，项目人员应当为技术骨干。</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★（四）履行核心技术移交要求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须完成项目全套技术资料、系统权限、核心成果完整移交，交付全部设计文档、运维资料、配置脚本及相关密钥权限，不得设置技术锁定、后门及使用限制。项目实施成果使用权归采购人所有，同步完成现场技术交底和交接确认，保障采购人可自主运维、独立升级，彻底破除厂商技术壁垒。</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★（五）加强技术人员管理培训</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须配备固定、经验匹配的项目实施及运维团队，未经采购人同意不得擅自更换核心人员，严格遵守现场及保密管理制度。针对采购方系统管理员、运维人员、业务操作人员开展分层实操培训，提供配套课件和答疑服务，确保采购方人员熟练掌握系统操作、日常运维及常见故障处置，质保期内持续提供升级配套培训及技术指导。</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（六）运行维护保障要求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1.供应商在运行维护中出现运行故障（不可抗力因素除外）或发现违规操作，30分钟内未主动上报采购单位的，给予警告，并按次扣除合同总价款1‰的金额；合同生效期间累计扣除不超过合同总价款5%的金额。</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2.供应商在运行维护中出现巡检不及时、不到位的，按次扣除合同总价款1‰的金额；合同生效期间累计扣除不超过合同总价款的5%。</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3.供应商负责运维业务系统出现运行故障（不可抗力因素除外），采购人将根据故障频率和恢复时间（故障频率和持续时间判定以采购人通报为准），扣除合同总价款一</w:t>
      </w:r>
      <w:r>
        <w:rPr>
          <w:rFonts w:ascii="宋体" w:hAnsi="宋体" w:cs="宋体" w:hint="eastAsia"/>
          <w:sz w:val="24"/>
        </w:rPr>
        <w:lastRenderedPageBreak/>
        <w:t>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（七）廉政要求</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供应商在参与税务部门信息化项目工作过程中，需严格遵守法律法规、规范履行合同，积极协助税务部门开展廉政风险防控工作，严格遵守并落实如下要求：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1.积极发挥廉政风险防控正向作用</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供应商有义务配合税务部门在信息化项目工作中加强廉政风险防控，执行有关措施。</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2.健全廉政风险防控机制</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3.杜绝违纪违法行为</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供应商及相关项目人员必须严格遵守党纪国法，坚守职业道德，杜绝任何形式的利益输送、权力寻租等违纪违法行为，对采购人不得实施以下行为：</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（1）以各种形式和名义提供礼品、礼金、电子红包、支付凭证、商业预付卡、名贵特产、有价证券、股权、其他金融产品等财物。</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（2）以各种形式和名义提供宴请、旅游、健身、娱乐、私人会所等活动安排；代付加班餐费、打车费等。</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（3）以讲课费、咨询费等名义，提供或变相提供报酬。</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（4）借款、借房、借车，报销应由个人负担的费用。</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lastRenderedPageBreak/>
        <w:t>（5）以无偿、象征性地收取费用等方式提供家政、司机等服务劳务。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（6）其他通过任何形式行贿或输送利益的行为。</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4.信守承诺</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应承诺在项目实施过程中，严格遵守国家法律法规合法、诚信经营，杜绝商业贿赂、规范经营活动、公开透明合作、严格内部管理，并签订《税务信息化项目服务商廉洁承诺书》（格式详见附件A）提交采购人负责项目实施的单位。</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5.自觉接受监管</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供应商有义务配合税务机关的正常业务监管以及纪检监察、外部审计、督察</w:t>
      </w:r>
      <w:proofErr w:type="gramStart"/>
      <w:r>
        <w:rPr>
          <w:rFonts w:ascii="宋体" w:hAnsi="宋体" w:cs="宋体" w:hint="eastAsia"/>
          <w:sz w:val="24"/>
        </w:rPr>
        <w:t>内审等监督</w:t>
      </w:r>
      <w:proofErr w:type="gramEnd"/>
      <w:r>
        <w:rPr>
          <w:rFonts w:ascii="宋体" w:hAnsi="宋体" w:cs="宋体" w:hint="eastAsia"/>
          <w:sz w:val="24"/>
        </w:rPr>
        <w:t>机构对税务信息化项目全过程的监督检查工作，如实提供相关资料和信息，不得隐瞒、篡改或销毁与项目建设有关的文件、数据等资料。</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6.举报和反馈意见</w:t>
      </w:r>
    </w:p>
    <w:p w:rsidR="001B300F" w:rsidRDefault="004555CE" w:rsidP="004555CE">
      <w:pPr>
        <w:spacing w:line="360" w:lineRule="auto"/>
        <w:ind w:firstLineChars="200" w:firstLine="446"/>
        <w:rPr>
          <w:rFonts w:ascii="宋体" w:hAnsi="宋体" w:cs="宋体"/>
          <w:sz w:val="24"/>
        </w:rPr>
      </w:pPr>
      <w:r>
        <w:rPr>
          <w:rFonts w:ascii="宋体" w:hAnsi="宋体" w:cs="宋体" w:hint="eastAsia"/>
          <w:sz w:val="24"/>
        </w:rPr>
        <w:t>项目执行过程中，供应商有权举报、反馈采购人索贿受贿、吃拿卡要、违反中央八项规定精神等违纪违法行为。项目验收前，应填写《税务信息化项目服务商廉政反馈书》（格式详见附件A），提交采购</w:t>
      </w:r>
      <w:proofErr w:type="gramStart"/>
      <w:r>
        <w:rPr>
          <w:rFonts w:ascii="宋体" w:hAnsi="宋体" w:cs="宋体" w:hint="eastAsia"/>
          <w:sz w:val="24"/>
        </w:rPr>
        <w:t>人网络</w:t>
      </w:r>
      <w:proofErr w:type="gramEnd"/>
      <w:r>
        <w:rPr>
          <w:rFonts w:ascii="宋体" w:hAnsi="宋体" w:cs="宋体" w:hint="eastAsia"/>
          <w:sz w:val="24"/>
        </w:rPr>
        <w:t>安全和信息化领导小组办公室。</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（八）违约责任要求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1.供应商违反合同约定内容且造成不良后果的，评审过程中被认定以明显低于成本的报价恶意竞标的，另行开发销售合同业务需求范围</w:t>
      </w:r>
      <w:proofErr w:type="gramStart"/>
      <w:r>
        <w:rPr>
          <w:rFonts w:ascii="宋体" w:hAnsi="宋体" w:cs="宋体" w:hint="eastAsia"/>
          <w:sz w:val="24"/>
        </w:rPr>
        <w:t>内软件</w:t>
      </w:r>
      <w:proofErr w:type="gramEnd"/>
      <w:r>
        <w:rPr>
          <w:rFonts w:ascii="宋体" w:hAnsi="宋体" w:cs="宋体" w:hint="eastAsia"/>
          <w:sz w:val="24"/>
        </w:rPr>
        <w:t>供纳税人使用的，以及一年内发生2次及以上一般失信行为的，按照规定认定供应商失信行为，并将其失信行为报送税务</w:t>
      </w:r>
      <w:proofErr w:type="gramStart"/>
      <w:r>
        <w:rPr>
          <w:rFonts w:ascii="宋体" w:hAnsi="宋体" w:cs="宋体" w:hint="eastAsia"/>
          <w:sz w:val="24"/>
        </w:rPr>
        <w:t>总局网信</w:t>
      </w:r>
      <w:proofErr w:type="gramEnd"/>
      <w:r>
        <w:rPr>
          <w:rFonts w:ascii="宋体" w:hAnsi="宋体" w:cs="宋体" w:hint="eastAsia"/>
          <w:sz w:val="24"/>
        </w:rPr>
        <w:t>办。</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2.供应商违规聘用离职税务人员的，按照规定认定供应商失信行为，并将其失信行为报送税务</w:t>
      </w:r>
      <w:proofErr w:type="gramStart"/>
      <w:r>
        <w:rPr>
          <w:rFonts w:ascii="宋体" w:hAnsi="宋体" w:cs="宋体" w:hint="eastAsia"/>
          <w:sz w:val="24"/>
        </w:rPr>
        <w:t>总局网信</w:t>
      </w:r>
      <w:proofErr w:type="gramEnd"/>
      <w:r>
        <w:rPr>
          <w:rFonts w:ascii="宋体" w:hAnsi="宋体" w:cs="宋体" w:hint="eastAsia"/>
          <w:sz w:val="24"/>
        </w:rPr>
        <w:t>办。</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3.供应商利用为税务机关提供信息化服务</w:t>
      </w:r>
      <w:proofErr w:type="gramStart"/>
      <w:r>
        <w:rPr>
          <w:rFonts w:ascii="宋体" w:hAnsi="宋体" w:cs="宋体" w:hint="eastAsia"/>
          <w:sz w:val="24"/>
        </w:rPr>
        <w:t>便利向</w:t>
      </w:r>
      <w:proofErr w:type="gramEnd"/>
      <w:r>
        <w:rPr>
          <w:rFonts w:ascii="宋体" w:hAnsi="宋体" w:cs="宋体" w:hint="eastAsia"/>
          <w:sz w:val="24"/>
        </w:rPr>
        <w:t>纳税人缴费人搭车收费或变相收费的，以及存在国家税务总局发票电子化改革（金税四期）领导小组办公室认定的失信行为的，按照规定认定供应商失信行为，并将其失信行为报送税务</w:t>
      </w:r>
      <w:proofErr w:type="gramStart"/>
      <w:r>
        <w:rPr>
          <w:rFonts w:ascii="宋体" w:hAnsi="宋体" w:cs="宋体" w:hint="eastAsia"/>
          <w:sz w:val="24"/>
        </w:rPr>
        <w:t>总局网信</w:t>
      </w:r>
      <w:proofErr w:type="gramEnd"/>
      <w:r>
        <w:rPr>
          <w:rFonts w:ascii="宋体" w:hAnsi="宋体" w:cs="宋体" w:hint="eastAsia"/>
          <w:sz w:val="24"/>
        </w:rPr>
        <w:t>办。</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lastRenderedPageBreak/>
        <w:t>4.供应商违反网络安全管理规定并造成不良后果的，攻击或侵入税务信息系统（包括CA等）的，以及存在“围猎”税务人员失信行为的，按照规定认定供应商失信行为，并将其失信行为报送税务</w:t>
      </w:r>
      <w:proofErr w:type="gramStart"/>
      <w:r>
        <w:rPr>
          <w:rFonts w:ascii="宋体" w:hAnsi="宋体" w:cs="宋体" w:hint="eastAsia"/>
          <w:sz w:val="24"/>
        </w:rPr>
        <w:t>总局网信</w:t>
      </w:r>
      <w:proofErr w:type="gramEnd"/>
      <w:r>
        <w:rPr>
          <w:rFonts w:ascii="宋体" w:hAnsi="宋体" w:cs="宋体" w:hint="eastAsia"/>
          <w:sz w:val="24"/>
        </w:rPr>
        <w:t>办。</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5.供应</w:t>
      </w:r>
      <w:proofErr w:type="gramStart"/>
      <w:r>
        <w:rPr>
          <w:rFonts w:ascii="宋体" w:hAnsi="宋体" w:cs="宋体" w:hint="eastAsia"/>
          <w:sz w:val="24"/>
        </w:rPr>
        <w:t>商存在</w:t>
      </w:r>
      <w:proofErr w:type="gramEnd"/>
      <w:r>
        <w:rPr>
          <w:rFonts w:ascii="宋体" w:hAnsi="宋体" w:cs="宋体" w:hint="eastAsia"/>
          <w:sz w:val="24"/>
        </w:rPr>
        <w:t>其他严重失信行为的，经相关部门分析</w:t>
      </w:r>
      <w:proofErr w:type="gramStart"/>
      <w:r>
        <w:rPr>
          <w:rFonts w:ascii="宋体" w:hAnsi="宋体" w:cs="宋体" w:hint="eastAsia"/>
          <w:sz w:val="24"/>
        </w:rPr>
        <w:t>研</w:t>
      </w:r>
      <w:proofErr w:type="gramEnd"/>
      <w:r>
        <w:rPr>
          <w:rFonts w:ascii="宋体" w:hAnsi="宋体" w:cs="宋体" w:hint="eastAsia"/>
          <w:sz w:val="24"/>
        </w:rPr>
        <w:t>判，按照规定认定供应商失信行为，并将其失信行为报送税务</w:t>
      </w:r>
      <w:proofErr w:type="gramStart"/>
      <w:r>
        <w:rPr>
          <w:rFonts w:ascii="宋体" w:hAnsi="宋体" w:cs="宋体" w:hint="eastAsia"/>
          <w:sz w:val="24"/>
        </w:rPr>
        <w:t>总局网信</w:t>
      </w:r>
      <w:proofErr w:type="gramEnd"/>
      <w:r>
        <w:rPr>
          <w:rFonts w:ascii="宋体" w:hAnsi="宋体" w:cs="宋体" w:hint="eastAsia"/>
          <w:sz w:val="24"/>
        </w:rPr>
        <w:t>办。</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（九）知识产权要求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采购人对项目实施过程中所产生的所有成果（包括发明、发现、可运行系统、源代码及相关技术资料、文档等）享有所有权（永久使用权、复制权和修改权等）。除本项目工作所需外，未经采购人书面同意，供应商不得擅自使用、复制采购人的商标、标志、数据信息、文档及其他资料。</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2.供应商应保证在本项目中所有预装和为本项目安装的软件为在中国境内具有合法版权或使用权的正版软件且无质量瑕疵。</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3.供应商应保证其所提供的产品及服务不侵犯第三方的知识产权，否则，由此给采购人造成的一切损失由供应商承担。</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4.在本项目合同规定的服务期内，运</w:t>
      </w:r>
      <w:proofErr w:type="gramStart"/>
      <w:r>
        <w:rPr>
          <w:rFonts w:ascii="宋体" w:hAnsi="宋体" w:cs="宋体" w:hint="eastAsia"/>
          <w:sz w:val="24"/>
        </w:rPr>
        <w:t>维过程</w:t>
      </w:r>
      <w:proofErr w:type="gramEnd"/>
      <w:r>
        <w:rPr>
          <w:rFonts w:ascii="宋体" w:hAnsi="宋体" w:cs="宋体" w:hint="eastAsia"/>
          <w:sz w:val="24"/>
        </w:rPr>
        <w:t>中所需要的工具组件产品，采购人拥有在采购人系统内安装、使用等权利，无需取得供应商的额外授权，供应商承诺在本项目实施过程中不会产生知识产权纠纷。</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（十）其他要求</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1.供应商应承诺在合同约定的时间内提供本项目规定的全部内容，承诺与本项目的相关单位，包括采购人、采购人系统内各项目单位，进行积极主动的合作。</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2.供应商在实施过程中必须服从采购人的统一协调，采购人有权明确项目执行各方的责任范围，供应商必须无条件执行，并在规定的时间内解决问题。如果不配合采购人工作，严重影响工程进度、造成严重后果，采购人有权终止合同、拒付款项及索赔。</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lastRenderedPageBreak/>
        <w:t>3.供应商应合理准确估算本项目工作量，做好工作量冗余和动态调整计划。通过建立基于工时的弹性运维体系，实现人员动态调配，保障高峰期服务质量，降低平峰期资源冗余成本，涵盖所有业务和技术运维工作。项目验收前，若有必要供应商须积极配合采购人完成各种合理项目变更，采购人</w:t>
      </w:r>
      <w:proofErr w:type="gramStart"/>
      <w:r>
        <w:rPr>
          <w:rFonts w:ascii="宋体" w:hAnsi="宋体" w:cs="宋体" w:hint="eastAsia"/>
          <w:sz w:val="24"/>
        </w:rPr>
        <w:t>不</w:t>
      </w:r>
      <w:proofErr w:type="gramEnd"/>
      <w:r>
        <w:rPr>
          <w:rFonts w:ascii="宋体" w:hAnsi="宋体" w:cs="宋体" w:hint="eastAsia"/>
          <w:sz w:val="24"/>
        </w:rPr>
        <w:t>另行支付额外费用。</w:t>
      </w:r>
    </w:p>
    <w:p w:rsidR="001B300F" w:rsidRDefault="004555CE" w:rsidP="004555CE">
      <w:pPr>
        <w:spacing w:line="360" w:lineRule="auto"/>
        <w:ind w:firstLineChars="200" w:firstLine="446"/>
        <w:outlineLvl w:val="0"/>
        <w:rPr>
          <w:rFonts w:ascii="宋体" w:hAnsi="宋体" w:cs="宋体"/>
          <w:sz w:val="24"/>
        </w:rPr>
      </w:pPr>
      <w:r>
        <w:rPr>
          <w:rFonts w:ascii="宋体" w:hAnsi="宋体" w:cs="宋体" w:hint="eastAsia"/>
          <w:sz w:val="24"/>
        </w:rPr>
        <w:t>4.供应商应就完成此项工作投入的人力资源状况（包括数量、水平等）进行说明。</w:t>
      </w:r>
    </w:p>
    <w:p w:rsidR="001B300F" w:rsidRDefault="001B300F">
      <w:pPr>
        <w:widowControl/>
        <w:jc w:val="left"/>
        <w:rPr>
          <w:sz w:val="24"/>
        </w:rPr>
      </w:pPr>
    </w:p>
    <w:p w:rsidR="001B300F" w:rsidRDefault="001B300F">
      <w:pPr>
        <w:widowControl/>
        <w:jc w:val="left"/>
        <w:rPr>
          <w:sz w:val="24"/>
        </w:rPr>
      </w:pPr>
    </w:p>
    <w:p w:rsidR="001B300F" w:rsidRDefault="001B300F">
      <w:pPr>
        <w:widowControl/>
        <w:jc w:val="left"/>
        <w:rPr>
          <w:sz w:val="24"/>
        </w:rPr>
      </w:pPr>
    </w:p>
    <w:p w:rsidR="001B300F" w:rsidRDefault="001B300F">
      <w:pPr>
        <w:widowControl/>
        <w:jc w:val="left"/>
        <w:rPr>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4555CE" w:rsidP="004555CE">
      <w:pPr>
        <w:widowControl/>
        <w:ind w:firstLineChars="200" w:firstLine="446"/>
        <w:jc w:val="left"/>
        <w:outlineLvl w:val="0"/>
        <w:rPr>
          <w:sz w:val="24"/>
        </w:rPr>
      </w:pPr>
      <w:r>
        <w:rPr>
          <w:sz w:val="24"/>
        </w:rPr>
        <w:lastRenderedPageBreak/>
        <w:t>附件</w:t>
      </w:r>
      <w:r>
        <w:rPr>
          <w:sz w:val="24"/>
        </w:rPr>
        <w:t>A</w:t>
      </w:r>
      <w:r>
        <w:rPr>
          <w:sz w:val="24"/>
        </w:rPr>
        <w:t>：</w:t>
      </w:r>
    </w:p>
    <w:p w:rsidR="001B300F" w:rsidRDefault="004555CE">
      <w:pPr>
        <w:pStyle w:val="16"/>
        <w:spacing w:line="360" w:lineRule="auto"/>
        <w:jc w:val="center"/>
        <w:outlineLvl w:val="0"/>
        <w:rPr>
          <w:rFonts w:asciiTheme="minorEastAsia" w:hAnsiTheme="minorEastAsia"/>
          <w:lang w:eastAsia="zh-CN"/>
        </w:rPr>
      </w:pPr>
      <w:r>
        <w:rPr>
          <w:rFonts w:asciiTheme="minorEastAsia" w:hAnsiTheme="minorEastAsia"/>
          <w:b/>
          <w:bCs/>
          <w:sz w:val="28"/>
          <w:szCs w:val="28"/>
          <w:lang w:eastAsia="zh-CN"/>
        </w:rPr>
        <w:t>税务信息化服务商廉洁承诺书</w:t>
      </w:r>
    </w:p>
    <w:p w:rsidR="001B300F" w:rsidRDefault="004555CE">
      <w:pPr>
        <w:pStyle w:val="16"/>
        <w:spacing w:line="360" w:lineRule="auto"/>
        <w:ind w:firstLine="560"/>
        <w:rPr>
          <w:lang w:eastAsia="zh-CN"/>
        </w:rPr>
      </w:pPr>
      <w:r>
        <w:rPr>
          <w:rFonts w:eastAsia="仿宋_GB2312"/>
          <w:sz w:val="28"/>
          <w:szCs w:val="28"/>
          <w:lang w:eastAsia="zh-CN"/>
        </w:rPr>
        <w:t> </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为深入贯彻落实党中央关于全面从严治党的决策部署，进一步加强税务信息化项目合作中的廉政建设，防范廉政风险发生，确保项目公开、公平、公正推进，我司郑重承诺如下：</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一、合法合</w:t>
      </w:r>
      <w:proofErr w:type="gramStart"/>
      <w:r>
        <w:rPr>
          <w:rFonts w:asciiTheme="minorEastAsia" w:hAnsiTheme="minorEastAsia"/>
          <w:sz w:val="21"/>
          <w:szCs w:val="21"/>
          <w:lang w:eastAsia="zh-CN"/>
        </w:rPr>
        <w:t>规</w:t>
      </w:r>
      <w:proofErr w:type="gramEnd"/>
      <w:r>
        <w:rPr>
          <w:rFonts w:asciiTheme="minorEastAsia" w:hAnsiTheme="minorEastAsia"/>
          <w:sz w:val="21"/>
          <w:szCs w:val="21"/>
          <w:lang w:eastAsia="zh-CN"/>
        </w:rPr>
        <w:t>经营。严格遵守国家法律法规及税务部门的相关规定，坚持廉洁从业、诚信经营的原则。在合作过程中不以任何形式进行利益输送，维护良好的政商关系。</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二、杜绝商业贿赂。加强内部管理，我司及我司员工均不对采购人工作人员实施以下行为：</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（一）以各种形式和名义提供礼品、礼金、电子红包、支付凭证、商业预付卡、名贵特产、有价证券、股权、其他金融产品等财物。</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（二）以各种形式和名义提供宴请、旅游、健身、娱乐、私人会所等活动安排；代付加班餐费、打车费等。</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（三）以讲课费、咨询费等名义，提供或变相提供报酬。</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（四）借款、借房、借车，报销应由个人负担的费用。</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（五）以无偿、象征性地收取费用等方式提供家政、司机等服务劳务。</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（六）其他通过任何形式行贿或输送利益的行为。</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三、规范经营活动。严格按照合同约定履行义务，保证项目质量，按时完成建设任务；在合作过程中不以任何借口拖延工期、虚报成本或谋取私利。</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四、公开透明合作。我司承诺在项目实施过程中保持公开透明，主动接受税务部门及纪检监察机构的全程监督，并积极配合任何有关廉洁从业的调查工作。</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五、严格内部管理。加强企业内部廉洁教育，确保员工知晓并遵守相关法律法规及廉洁要求；加强项目实施全过程廉洁监督；对于违反廉洁承诺的员工，将严肃处理，并承担相应责任。</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六、积极参与监督。在税务信息化项目实施过程中，如发现任何违纪违法行为，将如实反馈问题和意见。</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    </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承诺单位（盖章）：_________________________</w:t>
      </w:r>
    </w:p>
    <w:p w:rsidR="001B300F" w:rsidRDefault="004555CE">
      <w:pPr>
        <w:pStyle w:val="16"/>
        <w:spacing w:line="360" w:lineRule="auto"/>
        <w:ind w:firstLine="560"/>
        <w:rPr>
          <w:rFonts w:asciiTheme="minorEastAsia" w:hAnsiTheme="minorEastAsia"/>
          <w:sz w:val="21"/>
          <w:szCs w:val="21"/>
          <w:lang w:eastAsia="zh-CN"/>
        </w:rPr>
      </w:pPr>
      <w:r>
        <w:rPr>
          <w:rFonts w:asciiTheme="minorEastAsia" w:hAnsiTheme="minorEastAsia"/>
          <w:sz w:val="21"/>
          <w:szCs w:val="21"/>
          <w:lang w:eastAsia="zh-CN"/>
        </w:rPr>
        <w:t>法定代表人或授权代表签字：________________</w:t>
      </w:r>
    </w:p>
    <w:p w:rsidR="001B300F" w:rsidRDefault="004555CE">
      <w:pPr>
        <w:pStyle w:val="16"/>
        <w:spacing w:line="360" w:lineRule="auto"/>
        <w:ind w:firstLine="560"/>
        <w:rPr>
          <w:sz w:val="21"/>
          <w:szCs w:val="21"/>
        </w:rPr>
      </w:pPr>
      <w:r>
        <w:rPr>
          <w:sz w:val="21"/>
          <w:szCs w:val="21"/>
        </w:rPr>
        <w:t>日期：</w:t>
      </w:r>
      <w:r>
        <w:rPr>
          <w:sz w:val="21"/>
          <w:szCs w:val="21"/>
        </w:rPr>
        <w:t>XX</w:t>
      </w:r>
      <w:r>
        <w:rPr>
          <w:sz w:val="21"/>
          <w:szCs w:val="21"/>
        </w:rPr>
        <w:t>年</w:t>
      </w:r>
      <w:r>
        <w:rPr>
          <w:sz w:val="21"/>
          <w:szCs w:val="21"/>
        </w:rPr>
        <w:t>XX</w:t>
      </w:r>
      <w:r>
        <w:rPr>
          <w:sz w:val="21"/>
          <w:szCs w:val="21"/>
        </w:rPr>
        <w:t>月</w:t>
      </w:r>
      <w:r>
        <w:rPr>
          <w:sz w:val="21"/>
          <w:szCs w:val="21"/>
        </w:rPr>
        <w:t>XX</w:t>
      </w:r>
      <w:r>
        <w:rPr>
          <w:sz w:val="21"/>
          <w:szCs w:val="21"/>
        </w:rPr>
        <w:t>日</w:t>
      </w: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4555CE">
      <w:pPr>
        <w:pStyle w:val="16"/>
        <w:spacing w:line="360" w:lineRule="auto"/>
        <w:jc w:val="center"/>
        <w:rPr>
          <w:lang w:eastAsia="zh-CN"/>
        </w:rPr>
      </w:pPr>
      <w:r>
        <w:rPr>
          <w:rFonts w:eastAsia="仿宋_GB2312"/>
          <w:b/>
          <w:bCs/>
          <w:sz w:val="28"/>
          <w:szCs w:val="28"/>
          <w:lang w:eastAsia="zh-CN"/>
        </w:rPr>
        <w:lastRenderedPageBreak/>
        <w:t>税务信息化廉政情况反馈书</w:t>
      </w:r>
    </w:p>
    <w:p w:rsidR="001B300F" w:rsidRDefault="004555CE">
      <w:pPr>
        <w:pStyle w:val="15"/>
        <w:spacing w:line="360" w:lineRule="auto"/>
        <w:ind w:firstLine="490"/>
        <w:rPr>
          <w:lang w:eastAsia="zh-CN"/>
        </w:rPr>
      </w:pPr>
      <w:r>
        <w:rPr>
          <w:rFonts w:eastAsia="Century Gothic"/>
          <w:lang w:eastAsia="zh-CN"/>
        </w:rPr>
        <w:t> </w:t>
      </w:r>
    </w:p>
    <w:tbl>
      <w:tblPr>
        <w:tblW w:w="9350" w:type="dxa"/>
        <w:jc w:val="center"/>
        <w:tblCellSpacing w:w="0" w:type="dxa"/>
        <w:tblCellMar>
          <w:top w:w="15" w:type="dxa"/>
          <w:left w:w="15" w:type="dxa"/>
          <w:bottom w:w="15" w:type="dxa"/>
          <w:right w:w="15" w:type="dxa"/>
        </w:tblCellMar>
        <w:tblLook w:val="04A0" w:firstRow="1" w:lastRow="0" w:firstColumn="1" w:lastColumn="0" w:noHBand="0" w:noVBand="1"/>
      </w:tblPr>
      <w:tblGrid>
        <w:gridCol w:w="2448"/>
        <w:gridCol w:w="6902"/>
      </w:tblGrid>
      <w:tr w:rsidR="001B300F">
        <w:trPr>
          <w:trHeight w:val="215"/>
          <w:tblCellSpacing w:w="0" w:type="dxa"/>
          <w:jc w:val="center"/>
        </w:trPr>
        <w:tc>
          <w:tcPr>
            <w:tcW w:w="9882" w:type="dxa"/>
            <w:gridSpan w:val="2"/>
            <w:tcBorders>
              <w:top w:val="single" w:sz="8" w:space="0" w:color="000000"/>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ind w:firstLine="481"/>
              <w:jc w:val="center"/>
              <w:textAlignment w:val="center"/>
              <w:rPr>
                <w:sz w:val="21"/>
                <w:szCs w:val="21"/>
              </w:rPr>
            </w:pPr>
            <w:r>
              <w:rPr>
                <w:rFonts w:eastAsia="仿宋_GB2312"/>
                <w:b/>
                <w:bCs/>
                <w:sz w:val="21"/>
                <w:szCs w:val="21"/>
              </w:rPr>
              <w:t>项目基本情况</w:t>
            </w:r>
          </w:p>
        </w:tc>
      </w:tr>
      <w:tr w:rsidR="001B300F">
        <w:trPr>
          <w:trHeight w:val="285"/>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项目名称（编号）</w:t>
            </w:r>
          </w:p>
        </w:tc>
        <w:tc>
          <w:tcPr>
            <w:tcW w:w="7671" w:type="dxa"/>
            <w:tcBorders>
              <w:top w:val="single" w:sz="8" w:space="0" w:color="000000"/>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ind w:firstLine="480"/>
              <w:jc w:val="center"/>
              <w:textAlignment w:val="center"/>
              <w:rPr>
                <w:sz w:val="21"/>
                <w:szCs w:val="21"/>
                <w:lang w:eastAsia="zh-CN"/>
              </w:rPr>
            </w:pPr>
            <w:r>
              <w:rPr>
                <w:rFonts w:eastAsia="仿宋_GB2312"/>
                <w:sz w:val="21"/>
                <w:szCs w:val="21"/>
                <w:lang w:eastAsia="zh-CN"/>
              </w:rPr>
              <w:t>XXX</w:t>
            </w:r>
            <w:r>
              <w:rPr>
                <w:rFonts w:eastAsia="仿宋_GB2312"/>
                <w:sz w:val="21"/>
                <w:szCs w:val="21"/>
                <w:lang w:eastAsia="zh-CN"/>
              </w:rPr>
              <w:t>税务信息化项目</w:t>
            </w:r>
            <w:r>
              <w:rPr>
                <w:rFonts w:eastAsia="仿宋_GB2312"/>
                <w:sz w:val="21"/>
                <w:szCs w:val="21"/>
                <w:lang w:eastAsia="zh-CN"/>
              </w:rPr>
              <w:t xml:space="preserve">  </w:t>
            </w:r>
            <w:r>
              <w:rPr>
                <w:rFonts w:eastAsia="仿宋_GB2312"/>
                <w:sz w:val="21"/>
                <w:szCs w:val="21"/>
                <w:lang w:eastAsia="zh-CN"/>
              </w:rPr>
              <w:t>项目编号</w:t>
            </w:r>
          </w:p>
        </w:tc>
      </w:tr>
      <w:tr w:rsidR="001B300F">
        <w:trPr>
          <w:trHeight w:val="570"/>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服务商名称</w:t>
            </w:r>
          </w:p>
        </w:tc>
        <w:tc>
          <w:tcPr>
            <w:tcW w:w="7671" w:type="dxa"/>
            <w:tcBorders>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ind w:firstLine="480"/>
              <w:jc w:val="center"/>
              <w:textAlignment w:val="center"/>
              <w:rPr>
                <w:sz w:val="21"/>
                <w:szCs w:val="21"/>
              </w:rPr>
            </w:pPr>
            <w:r>
              <w:rPr>
                <w:rFonts w:eastAsia="仿宋_GB2312"/>
                <w:sz w:val="21"/>
                <w:szCs w:val="21"/>
              </w:rPr>
              <w:t>XXX</w:t>
            </w:r>
            <w:r>
              <w:rPr>
                <w:rFonts w:eastAsia="仿宋_GB2312"/>
                <w:sz w:val="21"/>
                <w:szCs w:val="21"/>
              </w:rPr>
              <w:t>公司</w:t>
            </w:r>
          </w:p>
        </w:tc>
      </w:tr>
      <w:tr w:rsidR="001B300F">
        <w:trPr>
          <w:trHeight w:val="570"/>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联系人及电话</w:t>
            </w:r>
          </w:p>
        </w:tc>
        <w:tc>
          <w:tcPr>
            <w:tcW w:w="7671" w:type="dxa"/>
            <w:tcBorders>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ind w:firstLine="480"/>
              <w:jc w:val="center"/>
              <w:textAlignment w:val="center"/>
              <w:rPr>
                <w:sz w:val="21"/>
                <w:szCs w:val="21"/>
                <w:lang w:eastAsia="zh-CN"/>
              </w:rPr>
            </w:pPr>
            <w:r>
              <w:rPr>
                <w:rFonts w:eastAsia="仿宋_GB2312"/>
                <w:sz w:val="21"/>
                <w:szCs w:val="21"/>
                <w:lang w:eastAsia="zh-CN"/>
              </w:rPr>
              <w:t>联系人：</w:t>
            </w:r>
            <w:r>
              <w:rPr>
                <w:rFonts w:eastAsia="仿宋_GB2312"/>
                <w:sz w:val="21"/>
                <w:szCs w:val="21"/>
                <w:lang w:eastAsia="zh-CN"/>
              </w:rPr>
              <w:t xml:space="preserve">  </w:t>
            </w:r>
            <w:r>
              <w:rPr>
                <w:rFonts w:eastAsia="仿宋_GB2312"/>
                <w:sz w:val="21"/>
                <w:szCs w:val="21"/>
                <w:lang w:eastAsia="zh-CN"/>
              </w:rPr>
              <w:t>职务：</w:t>
            </w:r>
            <w:r>
              <w:rPr>
                <w:rFonts w:eastAsia="仿宋_GB2312"/>
                <w:sz w:val="21"/>
                <w:szCs w:val="21"/>
                <w:lang w:eastAsia="zh-CN"/>
              </w:rPr>
              <w:t xml:space="preserve">   </w:t>
            </w:r>
            <w:r>
              <w:rPr>
                <w:rFonts w:eastAsia="仿宋_GB2312"/>
                <w:sz w:val="21"/>
                <w:szCs w:val="21"/>
                <w:lang w:eastAsia="zh-CN"/>
              </w:rPr>
              <w:t>电话：</w:t>
            </w:r>
            <w:r>
              <w:rPr>
                <w:rFonts w:eastAsia="仿宋_GB2312"/>
                <w:sz w:val="21"/>
                <w:szCs w:val="21"/>
                <w:lang w:eastAsia="zh-CN"/>
              </w:rPr>
              <w:t>123-4567890</w:t>
            </w:r>
          </w:p>
        </w:tc>
      </w:tr>
      <w:tr w:rsidR="001B300F">
        <w:trPr>
          <w:trHeight w:val="570"/>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项目情况概述</w:t>
            </w:r>
          </w:p>
        </w:tc>
        <w:tc>
          <w:tcPr>
            <w:tcW w:w="7671" w:type="dxa"/>
            <w:tcBorders>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ind w:firstLine="480"/>
              <w:jc w:val="center"/>
              <w:rPr>
                <w:sz w:val="21"/>
                <w:szCs w:val="21"/>
              </w:rPr>
            </w:pPr>
            <w:r>
              <w:rPr>
                <w:rFonts w:eastAsia="仿宋_GB2312"/>
                <w:sz w:val="21"/>
                <w:szCs w:val="21"/>
              </w:rPr>
              <w:t> </w:t>
            </w:r>
          </w:p>
        </w:tc>
      </w:tr>
      <w:tr w:rsidR="001B300F">
        <w:trPr>
          <w:trHeight w:val="700"/>
          <w:tblCellSpacing w:w="0" w:type="dxa"/>
          <w:jc w:val="center"/>
        </w:trPr>
        <w:tc>
          <w:tcPr>
            <w:tcW w:w="0" w:type="auto"/>
            <w:gridSpan w:val="2"/>
            <w:tcBorders>
              <w:left w:val="single" w:sz="8" w:space="0" w:color="000000"/>
              <w:bottom w:val="single" w:sz="8" w:space="0" w:color="000000"/>
              <w:right w:val="single" w:sz="8" w:space="0" w:color="000000"/>
            </w:tcBorders>
            <w:noWrap/>
            <w:tcMar>
              <w:top w:w="0" w:type="dxa"/>
              <w:left w:w="128" w:type="dxa"/>
              <w:bottom w:w="0" w:type="dxa"/>
              <w:right w:w="128" w:type="dxa"/>
            </w:tcMar>
            <w:vAlign w:val="center"/>
          </w:tcPr>
          <w:p w:rsidR="001B300F" w:rsidRDefault="004555CE">
            <w:pPr>
              <w:pStyle w:val="16"/>
              <w:adjustRightInd w:val="0"/>
              <w:snapToGrid w:val="0"/>
              <w:ind w:firstLine="481"/>
              <w:jc w:val="center"/>
              <w:textAlignment w:val="center"/>
              <w:rPr>
                <w:sz w:val="21"/>
                <w:szCs w:val="21"/>
              </w:rPr>
            </w:pPr>
            <w:r>
              <w:rPr>
                <w:rFonts w:eastAsia="仿宋_GB2312"/>
                <w:b/>
                <w:bCs/>
                <w:sz w:val="21"/>
                <w:szCs w:val="21"/>
              </w:rPr>
              <w:t>廉洁承诺履行情况</w:t>
            </w:r>
          </w:p>
        </w:tc>
      </w:tr>
      <w:tr w:rsidR="001B300F">
        <w:trPr>
          <w:trHeight w:val="285"/>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反馈项</w:t>
            </w:r>
          </w:p>
        </w:tc>
        <w:tc>
          <w:tcPr>
            <w:tcW w:w="7671" w:type="dxa"/>
            <w:tcBorders>
              <w:top w:val="single" w:sz="8" w:space="0" w:color="000000"/>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ind w:firstLine="2640"/>
              <w:jc w:val="both"/>
              <w:textAlignment w:val="center"/>
              <w:rPr>
                <w:sz w:val="21"/>
                <w:szCs w:val="21"/>
              </w:rPr>
            </w:pPr>
            <w:r>
              <w:rPr>
                <w:rFonts w:eastAsia="仿宋_GB2312"/>
                <w:sz w:val="21"/>
                <w:szCs w:val="21"/>
              </w:rPr>
              <w:t>反馈内容</w:t>
            </w:r>
          </w:p>
        </w:tc>
      </w:tr>
      <w:tr w:rsidR="001B300F">
        <w:trPr>
          <w:trHeight w:val="570"/>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杜绝商业贿赂</w:t>
            </w:r>
          </w:p>
        </w:tc>
        <w:tc>
          <w:tcPr>
            <w:tcW w:w="7671" w:type="dxa"/>
            <w:tcBorders>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textAlignment w:val="center"/>
              <w:rPr>
                <w:sz w:val="21"/>
                <w:szCs w:val="21"/>
                <w:lang w:eastAsia="zh-CN"/>
              </w:rPr>
            </w:pPr>
            <w:r>
              <w:rPr>
                <w:rFonts w:eastAsia="仿宋_GB2312"/>
                <w:sz w:val="21"/>
                <w:szCs w:val="21"/>
                <w:lang w:eastAsia="zh-CN"/>
              </w:rPr>
              <w:t>向税务工作人员及其家属赠送礼品、礼金或提供任何形式的宴请、娱乐活动情况。</w:t>
            </w:r>
          </w:p>
        </w:tc>
      </w:tr>
      <w:tr w:rsidR="001B300F">
        <w:trPr>
          <w:trHeight w:val="570"/>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规范经营活动</w:t>
            </w:r>
          </w:p>
        </w:tc>
        <w:tc>
          <w:tcPr>
            <w:tcW w:w="7671" w:type="dxa"/>
            <w:tcBorders>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textAlignment w:val="center"/>
              <w:rPr>
                <w:sz w:val="21"/>
                <w:szCs w:val="21"/>
                <w:lang w:eastAsia="zh-CN"/>
              </w:rPr>
            </w:pPr>
            <w:r>
              <w:rPr>
                <w:rFonts w:eastAsia="仿宋_GB2312"/>
                <w:sz w:val="21"/>
                <w:szCs w:val="21"/>
                <w:lang w:eastAsia="zh-CN"/>
              </w:rPr>
              <w:t>按照合同要求，按时完成各阶段任务，确保项目质量和进度情况。</w:t>
            </w:r>
          </w:p>
        </w:tc>
      </w:tr>
      <w:tr w:rsidR="001B300F">
        <w:trPr>
          <w:trHeight w:val="570"/>
          <w:tblCellSpacing w:w="0" w:type="dxa"/>
          <w:jc w:val="center"/>
        </w:trPr>
        <w:tc>
          <w:tcPr>
            <w:tcW w:w="2673"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rPr>
            </w:pPr>
            <w:r>
              <w:rPr>
                <w:rFonts w:eastAsia="仿宋_GB2312"/>
                <w:b/>
                <w:bCs/>
                <w:sz w:val="21"/>
                <w:szCs w:val="21"/>
              </w:rPr>
              <w:t>公开透明合作</w:t>
            </w:r>
          </w:p>
        </w:tc>
        <w:tc>
          <w:tcPr>
            <w:tcW w:w="7671" w:type="dxa"/>
            <w:tcBorders>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textAlignment w:val="center"/>
              <w:rPr>
                <w:sz w:val="21"/>
                <w:szCs w:val="21"/>
                <w:lang w:eastAsia="zh-CN"/>
              </w:rPr>
            </w:pPr>
            <w:r>
              <w:rPr>
                <w:rFonts w:eastAsia="仿宋_GB2312"/>
                <w:sz w:val="21"/>
                <w:szCs w:val="21"/>
                <w:lang w:eastAsia="zh-CN"/>
              </w:rPr>
              <w:t>在项目实施过程中保持信息公开透明，主动接受相关部门的监督和检查情况。</w:t>
            </w:r>
          </w:p>
        </w:tc>
      </w:tr>
      <w:tr w:rsidR="001B300F">
        <w:trPr>
          <w:trHeight w:val="405"/>
          <w:tblCellSpacing w:w="0" w:type="dxa"/>
          <w:jc w:val="center"/>
        </w:trPr>
        <w:tc>
          <w:tcPr>
            <w:tcW w:w="0" w:type="auto"/>
            <w:gridSpan w:val="2"/>
            <w:tcBorders>
              <w:left w:val="single" w:sz="8" w:space="0" w:color="000000"/>
              <w:bottom w:val="single" w:sz="8" w:space="0" w:color="000000"/>
              <w:right w:val="single" w:sz="8" w:space="0" w:color="000000"/>
            </w:tcBorders>
            <w:noWrap/>
            <w:tcMar>
              <w:top w:w="0" w:type="dxa"/>
              <w:left w:w="128" w:type="dxa"/>
              <w:bottom w:w="0" w:type="dxa"/>
              <w:right w:w="128" w:type="dxa"/>
            </w:tcMar>
            <w:vAlign w:val="center"/>
          </w:tcPr>
          <w:p w:rsidR="001B300F" w:rsidRDefault="004555CE">
            <w:pPr>
              <w:pStyle w:val="16"/>
              <w:adjustRightInd w:val="0"/>
              <w:snapToGrid w:val="0"/>
              <w:ind w:firstLine="481"/>
              <w:jc w:val="center"/>
              <w:textAlignment w:val="center"/>
              <w:rPr>
                <w:sz w:val="21"/>
                <w:szCs w:val="21"/>
                <w:lang w:eastAsia="zh-CN"/>
              </w:rPr>
            </w:pPr>
            <w:r>
              <w:rPr>
                <w:rFonts w:eastAsia="仿宋_GB2312"/>
                <w:b/>
                <w:bCs/>
                <w:sz w:val="21"/>
                <w:szCs w:val="21"/>
                <w:lang w:eastAsia="zh-CN"/>
              </w:rPr>
              <w:t>税务人员履职期间廉政情况</w:t>
            </w:r>
          </w:p>
        </w:tc>
      </w:tr>
      <w:tr w:rsidR="001B300F">
        <w:trPr>
          <w:trHeight w:val="505"/>
          <w:tblCellSpacing w:w="0" w:type="dxa"/>
          <w:jc w:val="center"/>
        </w:trPr>
        <w:tc>
          <w:tcPr>
            <w:tcW w:w="2673" w:type="dxa"/>
            <w:vMerge w:val="restart"/>
            <w:tcBorders>
              <w:left w:val="single" w:sz="8" w:space="0" w:color="000000"/>
              <w:right w:val="single" w:sz="8" w:space="0" w:color="000000"/>
            </w:tcBorders>
            <w:tcMar>
              <w:top w:w="0" w:type="dxa"/>
              <w:left w:w="128" w:type="dxa"/>
              <w:bottom w:w="0" w:type="dxa"/>
              <w:right w:w="128" w:type="dxa"/>
            </w:tcMar>
            <w:vAlign w:val="center"/>
          </w:tcPr>
          <w:p w:rsidR="001B300F" w:rsidRDefault="004555CE">
            <w:pPr>
              <w:pStyle w:val="16"/>
              <w:adjustRightInd w:val="0"/>
              <w:snapToGrid w:val="0"/>
              <w:jc w:val="both"/>
              <w:textAlignment w:val="center"/>
              <w:rPr>
                <w:sz w:val="21"/>
                <w:szCs w:val="21"/>
                <w:lang w:eastAsia="zh-CN"/>
              </w:rPr>
            </w:pPr>
            <w:r>
              <w:rPr>
                <w:rFonts w:eastAsia="仿宋_GB2312"/>
                <w:b/>
                <w:bCs/>
                <w:sz w:val="21"/>
                <w:szCs w:val="21"/>
                <w:lang w:eastAsia="zh-CN"/>
              </w:rPr>
              <w:t>税务人员履职过程存在违纪违规行为</w:t>
            </w:r>
          </w:p>
        </w:tc>
        <w:tc>
          <w:tcPr>
            <w:tcW w:w="7671" w:type="dxa"/>
            <w:tcBorders>
              <w:top w:val="single" w:sz="8" w:space="0" w:color="000000"/>
              <w:bottom w:val="single" w:sz="8" w:space="0" w:color="000000"/>
              <w:right w:val="single" w:sz="8" w:space="0" w:color="000000"/>
            </w:tcBorders>
            <w:tcMar>
              <w:top w:w="0" w:type="dxa"/>
              <w:left w:w="108" w:type="dxa"/>
              <w:bottom w:w="0" w:type="dxa"/>
              <w:right w:w="128" w:type="dxa"/>
            </w:tcMar>
            <w:vAlign w:val="center"/>
          </w:tcPr>
          <w:p w:rsidR="001B300F" w:rsidRDefault="004555CE">
            <w:pPr>
              <w:pStyle w:val="16"/>
              <w:adjustRightInd w:val="0"/>
              <w:snapToGrid w:val="0"/>
              <w:ind w:firstLine="480"/>
              <w:jc w:val="center"/>
              <w:textAlignment w:val="center"/>
              <w:rPr>
                <w:sz w:val="21"/>
                <w:szCs w:val="21"/>
              </w:rPr>
            </w:pPr>
            <w:r>
              <w:rPr>
                <w:rFonts w:eastAsia="仿宋_GB2312"/>
                <w:sz w:val="21"/>
                <w:szCs w:val="21"/>
              </w:rPr>
              <w:t>否</w:t>
            </w:r>
          </w:p>
        </w:tc>
      </w:tr>
      <w:tr w:rsidR="001B300F">
        <w:trPr>
          <w:trHeight w:val="311"/>
          <w:tblCellSpacing w:w="0" w:type="dxa"/>
          <w:jc w:val="center"/>
        </w:trPr>
        <w:tc>
          <w:tcPr>
            <w:tcW w:w="0" w:type="auto"/>
            <w:vMerge/>
            <w:tcBorders>
              <w:left w:val="single" w:sz="8" w:space="0" w:color="000000"/>
              <w:right w:val="single" w:sz="8" w:space="0" w:color="000000"/>
            </w:tcBorders>
            <w:vAlign w:val="center"/>
          </w:tcPr>
          <w:p w:rsidR="001B300F" w:rsidRDefault="001B300F">
            <w:pPr>
              <w:adjustRightInd w:val="0"/>
              <w:snapToGrid w:val="0"/>
              <w:rPr>
                <w:rFonts w:eastAsia="仿宋_GB2312"/>
                <w:kern w:val="0"/>
                <w:lang w:eastAsia="en-US"/>
              </w:rPr>
            </w:pPr>
          </w:p>
        </w:tc>
        <w:tc>
          <w:tcPr>
            <w:tcW w:w="7671" w:type="dxa"/>
            <w:vMerge w:val="restart"/>
            <w:tcBorders>
              <w:right w:val="single" w:sz="8" w:space="0" w:color="000000"/>
            </w:tcBorders>
            <w:tcMar>
              <w:top w:w="0" w:type="dxa"/>
              <w:left w:w="108" w:type="dxa"/>
              <w:bottom w:w="0" w:type="dxa"/>
              <w:right w:w="128" w:type="dxa"/>
            </w:tcMar>
            <w:vAlign w:val="center"/>
          </w:tcPr>
          <w:p w:rsidR="001B300F" w:rsidRDefault="004555CE">
            <w:pPr>
              <w:pStyle w:val="16"/>
              <w:adjustRightInd w:val="0"/>
              <w:snapToGrid w:val="0"/>
              <w:ind w:firstLine="480"/>
              <w:jc w:val="center"/>
              <w:textAlignment w:val="center"/>
              <w:rPr>
                <w:sz w:val="21"/>
                <w:szCs w:val="21"/>
              </w:rPr>
            </w:pPr>
            <w:r>
              <w:rPr>
                <w:rFonts w:eastAsia="仿宋_GB2312"/>
                <w:sz w:val="21"/>
                <w:szCs w:val="21"/>
              </w:rPr>
              <w:t>是（说明具体情况）</w:t>
            </w:r>
          </w:p>
        </w:tc>
      </w:tr>
      <w:tr w:rsidR="001B300F">
        <w:trPr>
          <w:trHeight w:val="537"/>
          <w:tblCellSpacing w:w="0" w:type="dxa"/>
          <w:jc w:val="center"/>
        </w:trPr>
        <w:tc>
          <w:tcPr>
            <w:tcW w:w="0" w:type="auto"/>
            <w:vMerge/>
            <w:tcBorders>
              <w:left w:val="single" w:sz="8" w:space="0" w:color="000000"/>
              <w:right w:val="single" w:sz="8" w:space="0" w:color="000000"/>
            </w:tcBorders>
            <w:vAlign w:val="center"/>
          </w:tcPr>
          <w:p w:rsidR="001B300F" w:rsidRDefault="001B300F">
            <w:pPr>
              <w:adjustRightInd w:val="0"/>
              <w:snapToGrid w:val="0"/>
              <w:rPr>
                <w:rFonts w:eastAsia="仿宋_GB2312"/>
                <w:kern w:val="0"/>
                <w:lang w:eastAsia="en-US"/>
              </w:rPr>
            </w:pPr>
          </w:p>
        </w:tc>
        <w:tc>
          <w:tcPr>
            <w:tcW w:w="0" w:type="auto"/>
            <w:vMerge/>
            <w:tcBorders>
              <w:right w:val="single" w:sz="8" w:space="0" w:color="000000"/>
            </w:tcBorders>
            <w:vAlign w:val="center"/>
          </w:tcPr>
          <w:p w:rsidR="001B300F" w:rsidRDefault="001B300F">
            <w:pPr>
              <w:adjustRightInd w:val="0"/>
              <w:snapToGrid w:val="0"/>
              <w:rPr>
                <w:rFonts w:eastAsia="仿宋_GB2312"/>
                <w:kern w:val="0"/>
                <w:lang w:eastAsia="en-US"/>
              </w:rPr>
            </w:pPr>
          </w:p>
        </w:tc>
      </w:tr>
    </w:tbl>
    <w:p w:rsidR="001B300F" w:rsidRDefault="004555CE">
      <w:pPr>
        <w:pStyle w:val="16"/>
        <w:spacing w:line="360" w:lineRule="auto"/>
        <w:rPr>
          <w:lang w:eastAsia="zh-CN"/>
        </w:rPr>
      </w:pPr>
      <w:r>
        <w:rPr>
          <w:rFonts w:eastAsia="仿宋_GB2312"/>
          <w:sz w:val="28"/>
          <w:szCs w:val="28"/>
          <w:lang w:eastAsia="zh-CN"/>
        </w:rPr>
        <w:t>提交单位（盖章）：</w:t>
      </w:r>
      <w:r>
        <w:rPr>
          <w:rFonts w:eastAsia="仿宋_GB2312"/>
          <w:sz w:val="28"/>
          <w:szCs w:val="28"/>
          <w:lang w:eastAsia="zh-CN"/>
        </w:rPr>
        <w:t>XXX</w:t>
      </w:r>
      <w:r>
        <w:rPr>
          <w:rFonts w:eastAsia="仿宋_GB2312"/>
          <w:sz w:val="28"/>
          <w:szCs w:val="28"/>
          <w:lang w:eastAsia="zh-CN"/>
        </w:rPr>
        <w:t>公司</w:t>
      </w:r>
      <w:r>
        <w:rPr>
          <w:rFonts w:eastAsia="仿宋_GB2312"/>
          <w:sz w:val="28"/>
          <w:szCs w:val="28"/>
          <w:lang w:eastAsia="zh-CN"/>
        </w:rPr>
        <w:br/>
      </w:r>
      <w:r>
        <w:rPr>
          <w:rFonts w:eastAsia="仿宋_GB2312"/>
          <w:sz w:val="28"/>
          <w:szCs w:val="28"/>
          <w:lang w:eastAsia="zh-CN"/>
        </w:rPr>
        <w:t>法定代表人或授权代表签字：</w:t>
      </w:r>
      <w:r>
        <w:rPr>
          <w:rFonts w:eastAsia="仿宋_GB2312"/>
          <w:sz w:val="28"/>
          <w:szCs w:val="28"/>
          <w:lang w:eastAsia="zh-CN"/>
        </w:rPr>
        <w:t>_________________________</w:t>
      </w:r>
      <w:r>
        <w:rPr>
          <w:rFonts w:eastAsia="仿宋_GB2312"/>
          <w:sz w:val="28"/>
          <w:szCs w:val="28"/>
          <w:lang w:eastAsia="zh-CN"/>
        </w:rPr>
        <w:br/>
        <w:t>                                           </w:t>
      </w:r>
      <w:r>
        <w:rPr>
          <w:rFonts w:eastAsia="仿宋_GB2312"/>
          <w:sz w:val="28"/>
          <w:szCs w:val="28"/>
          <w:lang w:eastAsia="zh-CN"/>
        </w:rPr>
        <w:t>日期：</w:t>
      </w:r>
      <w:r>
        <w:rPr>
          <w:rFonts w:eastAsia="仿宋_GB2312"/>
          <w:sz w:val="28"/>
          <w:szCs w:val="28"/>
          <w:lang w:eastAsia="zh-CN"/>
        </w:rPr>
        <w:t>XX</w:t>
      </w:r>
      <w:r>
        <w:rPr>
          <w:rFonts w:eastAsia="仿宋_GB2312"/>
          <w:sz w:val="28"/>
          <w:szCs w:val="28"/>
          <w:lang w:eastAsia="zh-CN"/>
        </w:rPr>
        <w:t>年</w:t>
      </w:r>
      <w:r>
        <w:rPr>
          <w:rFonts w:eastAsia="仿宋_GB2312"/>
          <w:sz w:val="28"/>
          <w:szCs w:val="28"/>
          <w:lang w:eastAsia="zh-CN"/>
        </w:rPr>
        <w:t>XX</w:t>
      </w:r>
      <w:r>
        <w:rPr>
          <w:rFonts w:eastAsia="仿宋_GB2312"/>
          <w:sz w:val="28"/>
          <w:szCs w:val="28"/>
          <w:lang w:eastAsia="zh-CN"/>
        </w:rPr>
        <w:t>月</w:t>
      </w:r>
      <w:r>
        <w:rPr>
          <w:rFonts w:eastAsia="仿宋_GB2312"/>
          <w:sz w:val="28"/>
          <w:szCs w:val="28"/>
          <w:lang w:eastAsia="zh-CN"/>
        </w:rPr>
        <w:t>XX</w:t>
      </w:r>
      <w:r>
        <w:rPr>
          <w:rFonts w:eastAsia="仿宋_GB2312"/>
          <w:sz w:val="28"/>
          <w:szCs w:val="28"/>
          <w:lang w:eastAsia="zh-CN"/>
        </w:rPr>
        <w:t>日</w:t>
      </w: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1B300F">
      <w:pPr>
        <w:spacing w:line="360" w:lineRule="auto"/>
        <w:ind w:firstLineChars="200" w:firstLine="448"/>
        <w:jc w:val="center"/>
        <w:outlineLvl w:val="0"/>
        <w:rPr>
          <w:b/>
          <w:sz w:val="24"/>
        </w:rPr>
      </w:pPr>
    </w:p>
    <w:p w:rsidR="001B300F" w:rsidRDefault="004555CE">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1B300F" w:rsidRDefault="004555C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1B300F" w:rsidRDefault="004555CE" w:rsidP="004555CE">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bookmarkStart w:id="4"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w:t>
      </w:r>
      <w:r w:rsidR="002F62F8">
        <w:rPr>
          <w:rFonts w:ascii="Times New Roman" w:eastAsia="宋体" w:hAnsi="Times New Roman" w:cs="Times New Roman" w:hint="eastAsia"/>
          <w:color w:val="auto"/>
        </w:rPr>
        <w:t>通用软件必须是具有在中国境内的合法使用权或版权的正版软件，涉及</w:t>
      </w:r>
      <w:bookmarkStart w:id="5" w:name="_GoBack"/>
      <w:bookmarkEnd w:id="5"/>
      <w:r>
        <w:rPr>
          <w:rFonts w:ascii="Times New Roman" w:eastAsia="宋体" w:hAnsi="Times New Roman" w:cs="Times New Roman" w:hint="eastAsia"/>
          <w:color w:val="auto"/>
        </w:rPr>
        <w:t>第三方提出侵权或知识产权的起诉及支付版税等费用由投标人承担所有责任及费用。</w:t>
      </w:r>
    </w:p>
    <w:p w:rsidR="001B300F" w:rsidRDefault="001B300F" w:rsidP="004555CE">
      <w:pPr>
        <w:pStyle w:val="Default"/>
        <w:spacing w:line="360" w:lineRule="auto"/>
        <w:ind w:firstLineChars="200" w:firstLine="446"/>
        <w:jc w:val="both"/>
        <w:rPr>
          <w:rFonts w:ascii="Times New Roman" w:eastAsia="宋体" w:hAnsi="Times New Roman" w:cs="Times New Roman"/>
          <w:color w:val="auto"/>
        </w:rPr>
      </w:pPr>
    </w:p>
    <w:bookmarkEnd w:id="4"/>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1B300F" w:rsidRDefault="004555C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w:t>
      </w:r>
      <w:r>
        <w:rPr>
          <w:rFonts w:ascii="Times New Roman" w:eastAsia="宋体" w:hAnsi="Times New Roman" w:cs="Times New Roman"/>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1B300F" w:rsidRDefault="004555C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color w:val="auto"/>
        </w:rPr>
        <w:lastRenderedPageBreak/>
        <w:t>承担由此引起的风险和责任。</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lastRenderedPageBreak/>
        <w:t>顺序编制页码。</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1B300F" w:rsidRDefault="004555CE" w:rsidP="004555CE">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1B300F" w:rsidRDefault="004555CE" w:rsidP="004555CE">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color w:val="auto"/>
        </w:rPr>
        <w:t>投标保证金</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color w:val="auto"/>
        </w:rPr>
        <w:t>相关规定。</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1B300F" w:rsidRDefault="001B300F" w:rsidP="004555CE">
      <w:pPr>
        <w:pStyle w:val="Default"/>
        <w:spacing w:line="360" w:lineRule="auto"/>
        <w:ind w:firstLineChars="200" w:firstLine="446"/>
        <w:jc w:val="both"/>
        <w:rPr>
          <w:rFonts w:ascii="Times New Roman" w:eastAsia="宋体" w:hAnsi="Times New Roman" w:cs="Times New Roman"/>
          <w:color w:val="auto"/>
        </w:rPr>
      </w:pPr>
    </w:p>
    <w:p w:rsidR="001B300F" w:rsidRDefault="004555C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w:t>
      </w:r>
      <w:r>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1B300F" w:rsidRDefault="001B300F" w:rsidP="004555CE">
      <w:pPr>
        <w:pStyle w:val="Default"/>
        <w:spacing w:line="360" w:lineRule="auto"/>
        <w:ind w:firstLineChars="200" w:firstLine="446"/>
        <w:jc w:val="both"/>
        <w:rPr>
          <w:rFonts w:ascii="Times New Roman" w:eastAsia="宋体" w:hAnsi="Times New Roman" w:cs="Times New Roman"/>
          <w:color w:val="auto"/>
        </w:rPr>
      </w:pPr>
    </w:p>
    <w:p w:rsidR="001B300F" w:rsidRDefault="004555C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w:t>
      </w:r>
      <w:r>
        <w:rPr>
          <w:rFonts w:ascii="Times New Roman" w:eastAsia="宋体" w:hAnsi="Times New Roman" w:cs="Times New Roman"/>
          <w:color w:val="auto"/>
        </w:rPr>
        <w:lastRenderedPageBreak/>
        <w:t>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1B300F" w:rsidRDefault="004555CE" w:rsidP="004555CE">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Pr>
          <w:rFonts w:ascii="Times New Roman" w:eastAsia="宋体" w:hAnsi="Times New Roman" w:cs="Times New Roman" w:hint="eastAsia"/>
          <w:color w:val="auto"/>
        </w:rPr>
        <w:lastRenderedPageBreak/>
        <w:t>应当将其作为无效投标处理。</w:t>
      </w:r>
    </w:p>
    <w:p w:rsidR="001B300F" w:rsidRDefault="004555CE" w:rsidP="004555CE">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1B300F" w:rsidRDefault="004555CE" w:rsidP="004555CE">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1B300F" w:rsidRDefault="004555CE" w:rsidP="004555CE">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w:t>
      </w:r>
      <w:r>
        <w:rPr>
          <w:rFonts w:ascii="Times New Roman" w:eastAsia="宋体" w:hAnsi="Times New Roman" w:cs="Times New Roman"/>
          <w:color w:val="auto"/>
        </w:rPr>
        <w:lastRenderedPageBreak/>
        <w:t>文件产品名称是否一致作为审查的标准。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1B300F" w:rsidRDefault="004555CE" w:rsidP="004555CE">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1B300F" w:rsidRDefault="004555CE" w:rsidP="004555CE">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1B300F" w:rsidRDefault="004555CE" w:rsidP="004555CE">
      <w:pPr>
        <w:pStyle w:val="Default"/>
        <w:spacing w:line="360" w:lineRule="auto"/>
        <w:ind w:firstLineChars="200" w:firstLine="446"/>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2</w:t>
      </w:r>
      <w:r>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Pr>
          <w:rFonts w:ascii="Times New Roman" w:hAnsi="Times New Roman" w:cs="Times New Roman"/>
          <w:color w:val="auto"/>
        </w:rPr>
        <w:lastRenderedPageBreak/>
        <w:t>得中标人推荐资格，其他同品牌投标人不作为中标候选人。</w:t>
      </w:r>
    </w:p>
    <w:p w:rsidR="001B300F" w:rsidRDefault="001B300F" w:rsidP="004555CE">
      <w:pPr>
        <w:pStyle w:val="Default"/>
        <w:spacing w:line="360" w:lineRule="auto"/>
        <w:ind w:firstLineChars="200" w:firstLine="446"/>
        <w:rPr>
          <w:rFonts w:ascii="Times New Roman" w:eastAsia="宋体" w:hAnsi="Times New Roman" w:cs="Times New Roman"/>
          <w:color w:val="auto"/>
        </w:rPr>
      </w:pPr>
    </w:p>
    <w:p w:rsidR="001B300F" w:rsidRDefault="004555C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及其实施条例等法律法规的规定和招标文件的要求确认中标供应商。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“市级集采机构入口”，并从“供应商系统”的“合同”中获取。</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1B300F" w:rsidRDefault="004555CE" w:rsidP="004555C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1B300F" w:rsidRDefault="001B300F"/>
    <w:p w:rsidR="001B300F" w:rsidRDefault="001B300F" w:rsidP="004555CE">
      <w:pPr>
        <w:pStyle w:val="Default"/>
        <w:spacing w:line="360" w:lineRule="auto"/>
        <w:ind w:firstLineChars="200" w:firstLine="446"/>
        <w:jc w:val="both"/>
        <w:rPr>
          <w:rFonts w:ascii="Times New Roman" w:eastAsia="宋体" w:hAnsi="Times New Roman" w:cs="Times New Roman"/>
          <w:color w:val="auto"/>
        </w:rPr>
      </w:pPr>
    </w:p>
    <w:p w:rsidR="001B300F" w:rsidRDefault="001B300F" w:rsidP="004555CE">
      <w:pPr>
        <w:pStyle w:val="Default"/>
        <w:spacing w:line="360" w:lineRule="auto"/>
        <w:ind w:firstLineChars="200" w:firstLine="446"/>
        <w:jc w:val="both"/>
        <w:rPr>
          <w:rFonts w:ascii="Times New Roman" w:eastAsia="宋体" w:hAnsi="Times New Roman" w:cs="Times New Roman"/>
          <w:color w:val="auto"/>
        </w:rPr>
      </w:pPr>
    </w:p>
    <w:p w:rsidR="001B300F" w:rsidRDefault="004555CE">
      <w:pPr>
        <w:widowControl/>
        <w:jc w:val="left"/>
        <w:rPr>
          <w:b/>
          <w:bCs/>
          <w:kern w:val="28"/>
          <w:sz w:val="32"/>
          <w:szCs w:val="32"/>
          <w:lang w:val="zh-CN"/>
        </w:rPr>
      </w:pPr>
      <w:r>
        <w:br w:type="page"/>
      </w:r>
    </w:p>
    <w:p w:rsidR="001B300F" w:rsidRDefault="004555CE">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1B300F" w:rsidRDefault="004555CE">
      <w:pPr>
        <w:tabs>
          <w:tab w:val="left" w:pos="412"/>
          <w:tab w:val="left" w:pos="618"/>
        </w:tabs>
        <w:spacing w:line="520" w:lineRule="exact"/>
        <w:jc w:val="center"/>
        <w:rPr>
          <w:b/>
          <w:sz w:val="30"/>
          <w:szCs w:val="30"/>
        </w:rPr>
      </w:pPr>
      <w:r>
        <w:rPr>
          <w:b/>
          <w:sz w:val="30"/>
          <w:szCs w:val="30"/>
        </w:rPr>
        <w:t>合同一般条款</w:t>
      </w:r>
    </w:p>
    <w:p w:rsidR="001B300F" w:rsidRDefault="004555CE">
      <w:pPr>
        <w:tabs>
          <w:tab w:val="left" w:pos="0"/>
          <w:tab w:val="left" w:pos="315"/>
        </w:tabs>
        <w:spacing w:line="520" w:lineRule="exact"/>
        <w:ind w:firstLine="480"/>
        <w:rPr>
          <w:sz w:val="24"/>
          <w:szCs w:val="24"/>
        </w:rPr>
      </w:pPr>
      <w:r>
        <w:rPr>
          <w:sz w:val="24"/>
          <w:szCs w:val="24"/>
        </w:rPr>
        <w:t>需方：</w:t>
      </w:r>
      <w:r>
        <w:rPr>
          <w:sz w:val="24"/>
          <w:szCs w:val="24"/>
        </w:rPr>
        <w:t xml:space="preserve">  </w:t>
      </w:r>
    </w:p>
    <w:p w:rsidR="001B300F" w:rsidRDefault="004555CE">
      <w:pPr>
        <w:tabs>
          <w:tab w:val="left" w:pos="0"/>
          <w:tab w:val="left" w:pos="315"/>
        </w:tabs>
        <w:spacing w:line="520" w:lineRule="exact"/>
        <w:ind w:firstLine="480"/>
        <w:rPr>
          <w:sz w:val="24"/>
          <w:szCs w:val="24"/>
        </w:rPr>
      </w:pPr>
      <w:r>
        <w:rPr>
          <w:sz w:val="24"/>
          <w:szCs w:val="24"/>
        </w:rPr>
        <w:t>供方：</w:t>
      </w:r>
      <w:r>
        <w:rPr>
          <w:sz w:val="24"/>
          <w:szCs w:val="24"/>
        </w:rPr>
        <w:t xml:space="preserve"> </w:t>
      </w:r>
    </w:p>
    <w:p w:rsidR="001B300F" w:rsidRDefault="004555CE">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1B300F" w:rsidRDefault="004555CE">
      <w:pPr>
        <w:pStyle w:val="af3"/>
        <w:numPr>
          <w:ilvl w:val="0"/>
          <w:numId w:val="2"/>
        </w:numPr>
        <w:spacing w:line="480" w:lineRule="exact"/>
        <w:ind w:firstLineChars="0"/>
        <w:rPr>
          <w:sz w:val="24"/>
          <w:szCs w:val="24"/>
        </w:rPr>
      </w:pPr>
      <w:r>
        <w:rPr>
          <w:rFonts w:hint="eastAsia"/>
          <w:sz w:val="24"/>
          <w:szCs w:val="24"/>
        </w:rPr>
        <w:t>本合同为中小企业预留合同</w:t>
      </w:r>
    </w:p>
    <w:p w:rsidR="001B300F" w:rsidRDefault="004555CE">
      <w:pPr>
        <w:pStyle w:val="af3"/>
        <w:numPr>
          <w:ilvl w:val="0"/>
          <w:numId w:val="2"/>
        </w:numPr>
        <w:spacing w:line="480" w:lineRule="exact"/>
        <w:ind w:firstLineChars="0"/>
        <w:rPr>
          <w:sz w:val="24"/>
          <w:szCs w:val="24"/>
        </w:rPr>
      </w:pPr>
      <w:r>
        <w:rPr>
          <w:rFonts w:hint="eastAsia"/>
          <w:sz w:val="24"/>
          <w:szCs w:val="24"/>
        </w:rPr>
        <w:t>本合同非中小企业预留合同</w:t>
      </w:r>
    </w:p>
    <w:p w:rsidR="001B300F" w:rsidRDefault="004555CE">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1B300F" w:rsidRDefault="004555CE" w:rsidP="004555CE">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1B300F" w:rsidRDefault="004555CE" w:rsidP="004555CE">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1B300F" w:rsidRDefault="004555CE" w:rsidP="004555CE">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1B300F" w:rsidRDefault="004555CE" w:rsidP="004555CE">
      <w:pPr>
        <w:tabs>
          <w:tab w:val="left" w:pos="360"/>
        </w:tabs>
        <w:spacing w:line="520" w:lineRule="exact"/>
        <w:ind w:firstLineChars="200" w:firstLine="446"/>
        <w:rPr>
          <w:sz w:val="24"/>
          <w:szCs w:val="24"/>
        </w:rPr>
      </w:pPr>
      <w:r>
        <w:rPr>
          <w:sz w:val="24"/>
          <w:szCs w:val="24"/>
        </w:rPr>
        <w:t>二、质量要求及对质量负责条件和期限：见附件。</w:t>
      </w:r>
    </w:p>
    <w:p w:rsidR="001B300F" w:rsidRDefault="004555CE" w:rsidP="004555CE">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1B300F" w:rsidRDefault="004555CE" w:rsidP="004555CE">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1B300F" w:rsidRDefault="004555CE" w:rsidP="004555CE">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1B300F" w:rsidRDefault="004555CE">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1B300F" w:rsidRDefault="004555CE">
      <w:pPr>
        <w:tabs>
          <w:tab w:val="left" w:pos="360"/>
        </w:tabs>
        <w:spacing w:line="520" w:lineRule="exact"/>
        <w:rPr>
          <w:sz w:val="24"/>
          <w:szCs w:val="24"/>
        </w:rPr>
      </w:pPr>
      <w:r>
        <w:rPr>
          <w:sz w:val="24"/>
          <w:szCs w:val="24"/>
        </w:rPr>
        <w:t xml:space="preserve">    </w:t>
      </w:r>
      <w:r>
        <w:rPr>
          <w:sz w:val="24"/>
          <w:szCs w:val="24"/>
        </w:rPr>
        <w:t>七、货款支付方式：见附件。</w:t>
      </w:r>
    </w:p>
    <w:p w:rsidR="001B300F" w:rsidRDefault="004555CE" w:rsidP="004555CE">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1B300F" w:rsidRDefault="004555CE" w:rsidP="004555CE">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rPr>
        <w:t>，</w:t>
      </w:r>
    </w:p>
    <w:p w:rsidR="001B300F" w:rsidRDefault="004555CE" w:rsidP="004555CE">
      <w:pPr>
        <w:tabs>
          <w:tab w:val="left" w:pos="0"/>
          <w:tab w:val="left" w:pos="721"/>
        </w:tabs>
        <w:spacing w:line="520" w:lineRule="exact"/>
        <w:ind w:firstLineChars="214" w:firstLine="478"/>
        <w:rPr>
          <w:sz w:val="24"/>
          <w:szCs w:val="24"/>
        </w:rPr>
      </w:pPr>
      <w:proofErr w:type="gramStart"/>
      <w:r>
        <w:rPr>
          <w:rFonts w:hint="eastAsia"/>
          <w:sz w:val="24"/>
          <w:szCs w:val="24"/>
        </w:rPr>
        <w:t>账</w:t>
      </w:r>
      <w:proofErr w:type="gramEnd"/>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1B300F" w:rsidRDefault="004555CE" w:rsidP="004555CE">
      <w:pPr>
        <w:pStyle w:val="20"/>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1B300F" w:rsidRDefault="004555CE" w:rsidP="004555CE">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1B300F">
        <w:tc>
          <w:tcPr>
            <w:tcW w:w="4261" w:type="dxa"/>
          </w:tcPr>
          <w:p w:rsidR="001B300F" w:rsidRDefault="004555CE">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1B300F" w:rsidRDefault="004555CE">
            <w:pPr>
              <w:tabs>
                <w:tab w:val="left" w:pos="0"/>
                <w:tab w:val="left" w:pos="315"/>
              </w:tabs>
              <w:spacing w:line="520" w:lineRule="exact"/>
              <w:rPr>
                <w:sz w:val="24"/>
                <w:szCs w:val="24"/>
              </w:rPr>
            </w:pPr>
            <w:r>
              <w:rPr>
                <w:sz w:val="24"/>
                <w:szCs w:val="24"/>
              </w:rPr>
              <w:t>需方（公章）：</w:t>
            </w:r>
            <w:r>
              <w:rPr>
                <w:sz w:val="24"/>
                <w:szCs w:val="24"/>
              </w:rPr>
              <w:t xml:space="preserve"> </w:t>
            </w:r>
          </w:p>
        </w:tc>
      </w:tr>
      <w:tr w:rsidR="001B300F">
        <w:tc>
          <w:tcPr>
            <w:tcW w:w="4261" w:type="dxa"/>
          </w:tcPr>
          <w:p w:rsidR="001B300F" w:rsidRDefault="004555CE">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1B300F" w:rsidRDefault="004555CE">
            <w:pPr>
              <w:tabs>
                <w:tab w:val="left" w:pos="0"/>
                <w:tab w:val="left" w:pos="315"/>
              </w:tabs>
              <w:spacing w:line="520" w:lineRule="exact"/>
              <w:rPr>
                <w:sz w:val="24"/>
                <w:szCs w:val="24"/>
              </w:rPr>
            </w:pPr>
            <w:r>
              <w:rPr>
                <w:sz w:val="24"/>
                <w:szCs w:val="24"/>
              </w:rPr>
              <w:t>地址：</w:t>
            </w:r>
            <w:r>
              <w:rPr>
                <w:sz w:val="24"/>
                <w:szCs w:val="24"/>
              </w:rPr>
              <w:t xml:space="preserve"> </w:t>
            </w:r>
          </w:p>
        </w:tc>
      </w:tr>
      <w:tr w:rsidR="001B300F">
        <w:tc>
          <w:tcPr>
            <w:tcW w:w="4261" w:type="dxa"/>
          </w:tcPr>
          <w:p w:rsidR="001B300F" w:rsidRDefault="004555CE">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1B300F" w:rsidRDefault="004555CE">
            <w:pPr>
              <w:tabs>
                <w:tab w:val="left" w:pos="360"/>
              </w:tabs>
              <w:spacing w:line="520" w:lineRule="exact"/>
              <w:rPr>
                <w:sz w:val="24"/>
                <w:szCs w:val="24"/>
              </w:rPr>
            </w:pPr>
            <w:r>
              <w:rPr>
                <w:sz w:val="24"/>
                <w:szCs w:val="24"/>
              </w:rPr>
              <w:t>法定代表人：</w:t>
            </w:r>
            <w:r>
              <w:rPr>
                <w:sz w:val="24"/>
                <w:szCs w:val="24"/>
              </w:rPr>
              <w:t xml:space="preserve"> </w:t>
            </w:r>
          </w:p>
        </w:tc>
      </w:tr>
      <w:tr w:rsidR="001B300F">
        <w:tc>
          <w:tcPr>
            <w:tcW w:w="4261" w:type="dxa"/>
          </w:tcPr>
          <w:p w:rsidR="001B300F" w:rsidRDefault="004555CE">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1B300F" w:rsidRDefault="004555CE">
            <w:pPr>
              <w:tabs>
                <w:tab w:val="left" w:pos="360"/>
              </w:tabs>
              <w:spacing w:line="520" w:lineRule="exact"/>
              <w:rPr>
                <w:sz w:val="24"/>
                <w:szCs w:val="24"/>
              </w:rPr>
            </w:pPr>
            <w:r>
              <w:rPr>
                <w:sz w:val="24"/>
                <w:szCs w:val="24"/>
              </w:rPr>
              <w:t>委托代理人：</w:t>
            </w:r>
            <w:r>
              <w:rPr>
                <w:sz w:val="24"/>
                <w:szCs w:val="24"/>
              </w:rPr>
              <w:t xml:space="preserve"> </w:t>
            </w:r>
          </w:p>
        </w:tc>
      </w:tr>
      <w:tr w:rsidR="001B300F">
        <w:tc>
          <w:tcPr>
            <w:tcW w:w="4261" w:type="dxa"/>
          </w:tcPr>
          <w:p w:rsidR="001B300F" w:rsidRDefault="004555CE">
            <w:pPr>
              <w:tabs>
                <w:tab w:val="left" w:pos="360"/>
              </w:tabs>
              <w:spacing w:line="520" w:lineRule="exact"/>
              <w:rPr>
                <w:sz w:val="24"/>
                <w:szCs w:val="24"/>
              </w:rPr>
            </w:pPr>
            <w:r>
              <w:rPr>
                <w:sz w:val="24"/>
                <w:szCs w:val="24"/>
              </w:rPr>
              <w:t>电话：</w:t>
            </w:r>
          </w:p>
        </w:tc>
        <w:tc>
          <w:tcPr>
            <w:tcW w:w="4261" w:type="dxa"/>
          </w:tcPr>
          <w:p w:rsidR="001B300F" w:rsidRDefault="004555CE">
            <w:pPr>
              <w:tabs>
                <w:tab w:val="left" w:pos="360"/>
              </w:tabs>
              <w:spacing w:line="520" w:lineRule="exact"/>
              <w:rPr>
                <w:sz w:val="24"/>
                <w:szCs w:val="24"/>
              </w:rPr>
            </w:pPr>
            <w:r>
              <w:rPr>
                <w:sz w:val="24"/>
                <w:szCs w:val="24"/>
              </w:rPr>
              <w:t>电话：</w:t>
            </w:r>
          </w:p>
        </w:tc>
      </w:tr>
    </w:tbl>
    <w:p w:rsidR="001B300F" w:rsidRDefault="001B300F">
      <w:pPr>
        <w:rPr>
          <w:sz w:val="24"/>
          <w:szCs w:val="24"/>
        </w:rPr>
      </w:pPr>
    </w:p>
    <w:p w:rsidR="001B300F" w:rsidRDefault="004555CE">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1B300F" w:rsidRDefault="004555CE">
      <w:pPr>
        <w:jc w:val="center"/>
        <w:rPr>
          <w:b/>
          <w:sz w:val="30"/>
          <w:szCs w:val="30"/>
        </w:rPr>
      </w:pPr>
      <w:r>
        <w:rPr>
          <w:b/>
          <w:sz w:val="30"/>
          <w:szCs w:val="30"/>
        </w:rPr>
        <w:br w:type="page"/>
      </w:r>
      <w:r>
        <w:rPr>
          <w:b/>
          <w:sz w:val="30"/>
          <w:szCs w:val="30"/>
        </w:rPr>
        <w:lastRenderedPageBreak/>
        <w:t>合同特殊条款</w:t>
      </w:r>
    </w:p>
    <w:p w:rsidR="001B300F" w:rsidRDefault="001B300F" w:rsidP="004555CE">
      <w:pPr>
        <w:tabs>
          <w:tab w:val="left" w:pos="360"/>
        </w:tabs>
        <w:spacing w:line="520" w:lineRule="exact"/>
        <w:ind w:firstLineChars="171" w:firstLine="382"/>
        <w:rPr>
          <w:sz w:val="24"/>
          <w:szCs w:val="24"/>
        </w:rPr>
      </w:pPr>
    </w:p>
    <w:p w:rsidR="001B300F" w:rsidRDefault="004555CE" w:rsidP="004555CE">
      <w:pPr>
        <w:tabs>
          <w:tab w:val="left" w:pos="360"/>
        </w:tabs>
        <w:spacing w:line="520" w:lineRule="exact"/>
        <w:ind w:firstLineChars="171" w:firstLine="382"/>
        <w:rPr>
          <w:sz w:val="24"/>
          <w:szCs w:val="24"/>
        </w:rPr>
      </w:pPr>
      <w:r>
        <w:rPr>
          <w:sz w:val="24"/>
          <w:szCs w:val="24"/>
        </w:rPr>
        <w:t xml:space="preserve"> </w:t>
      </w:r>
      <w:r>
        <w:rPr>
          <w:sz w:val="24"/>
          <w:szCs w:val="24"/>
        </w:rPr>
        <w:t>合同特殊条款是合同一般条款的补充和修改。如果两者之间有抵触，应以特殊条款为准。</w:t>
      </w:r>
    </w:p>
    <w:p w:rsidR="001B300F" w:rsidRDefault="004555CE" w:rsidP="004555CE">
      <w:pPr>
        <w:tabs>
          <w:tab w:val="left" w:pos="360"/>
        </w:tabs>
        <w:spacing w:line="520" w:lineRule="exact"/>
        <w:ind w:firstLineChars="171" w:firstLine="382"/>
        <w:rPr>
          <w:sz w:val="24"/>
          <w:szCs w:val="24"/>
        </w:rPr>
      </w:pPr>
      <w:r>
        <w:rPr>
          <w:sz w:val="24"/>
          <w:szCs w:val="24"/>
        </w:rPr>
        <w:t xml:space="preserve"> </w:t>
      </w:r>
      <w:r>
        <w:rPr>
          <w:sz w:val="24"/>
          <w:szCs w:val="24"/>
        </w:rPr>
        <w:t>合同特殊条款由</w:t>
      </w:r>
      <w:r>
        <w:rPr>
          <w:rFonts w:hint="eastAsia"/>
          <w:sz w:val="24"/>
          <w:szCs w:val="24"/>
        </w:rPr>
        <w:t>供方</w:t>
      </w:r>
      <w:r>
        <w:rPr>
          <w:sz w:val="24"/>
          <w:szCs w:val="24"/>
        </w:rPr>
        <w:t>和需方根据项目的具体情况协商拟订。</w:t>
      </w:r>
    </w:p>
    <w:p w:rsidR="001B300F" w:rsidRDefault="001B300F" w:rsidP="004555CE">
      <w:pPr>
        <w:autoSpaceDE w:val="0"/>
        <w:autoSpaceDN w:val="0"/>
        <w:adjustRightInd w:val="0"/>
        <w:spacing w:line="360" w:lineRule="auto"/>
        <w:ind w:firstLineChars="200" w:firstLine="446"/>
        <w:rPr>
          <w:sz w:val="24"/>
        </w:rPr>
      </w:pPr>
    </w:p>
    <w:p w:rsidR="001B300F" w:rsidRDefault="004555CE">
      <w:pPr>
        <w:widowControl/>
        <w:jc w:val="left"/>
        <w:rPr>
          <w:sz w:val="24"/>
        </w:rPr>
      </w:pPr>
      <w:r>
        <w:rPr>
          <w:sz w:val="24"/>
        </w:rPr>
        <w:br w:type="page"/>
      </w:r>
    </w:p>
    <w:p w:rsidR="001B300F" w:rsidRDefault="004555CE">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1B300F" w:rsidRDefault="004555CE">
      <w:pPr>
        <w:autoSpaceDN w:val="0"/>
        <w:spacing w:line="360" w:lineRule="auto"/>
        <w:jc w:val="center"/>
        <w:rPr>
          <w:b/>
          <w:bCs/>
          <w:sz w:val="24"/>
        </w:rPr>
      </w:pPr>
      <w:r>
        <w:rPr>
          <w:b/>
          <w:bCs/>
          <w:sz w:val="24"/>
        </w:rPr>
        <w:t>投标文件封面格式</w:t>
      </w:r>
    </w:p>
    <w:p w:rsidR="001B300F" w:rsidRDefault="001B300F">
      <w:pPr>
        <w:autoSpaceDE w:val="0"/>
        <w:autoSpaceDN w:val="0"/>
        <w:adjustRightInd w:val="0"/>
        <w:spacing w:line="520" w:lineRule="exact"/>
      </w:pPr>
    </w:p>
    <w:p w:rsidR="001B300F" w:rsidRDefault="004555CE">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1B300F" w:rsidRDefault="001B300F">
      <w:pPr>
        <w:autoSpaceDE w:val="0"/>
        <w:autoSpaceDN w:val="0"/>
        <w:adjustRightInd w:val="0"/>
        <w:spacing w:line="520" w:lineRule="exact"/>
        <w:rPr>
          <w:b/>
          <w:kern w:val="0"/>
          <w:sz w:val="24"/>
        </w:rPr>
      </w:pPr>
    </w:p>
    <w:p w:rsidR="001B300F" w:rsidRDefault="001B300F">
      <w:pPr>
        <w:autoSpaceDE w:val="0"/>
        <w:autoSpaceDN w:val="0"/>
        <w:adjustRightInd w:val="0"/>
        <w:spacing w:line="520" w:lineRule="exact"/>
        <w:rPr>
          <w:b/>
          <w:kern w:val="0"/>
          <w:sz w:val="24"/>
        </w:rPr>
      </w:pPr>
    </w:p>
    <w:p w:rsidR="001B300F" w:rsidRDefault="004555CE">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1B300F" w:rsidRDefault="001B300F">
      <w:pPr>
        <w:autoSpaceDE w:val="0"/>
        <w:autoSpaceDN w:val="0"/>
        <w:adjustRightInd w:val="0"/>
        <w:spacing w:line="520" w:lineRule="exact"/>
        <w:rPr>
          <w:b/>
          <w:kern w:val="0"/>
          <w:sz w:val="36"/>
          <w:szCs w:val="36"/>
        </w:rPr>
      </w:pPr>
    </w:p>
    <w:p w:rsidR="001B300F" w:rsidRDefault="004555CE">
      <w:pPr>
        <w:autoSpaceDE w:val="0"/>
        <w:autoSpaceDN w:val="0"/>
        <w:adjustRightInd w:val="0"/>
        <w:spacing w:line="520" w:lineRule="exact"/>
        <w:jc w:val="center"/>
        <w:rPr>
          <w:b/>
          <w:kern w:val="0"/>
          <w:sz w:val="24"/>
        </w:rPr>
      </w:pPr>
      <w:r>
        <w:rPr>
          <w:b/>
          <w:kern w:val="0"/>
          <w:sz w:val="24"/>
        </w:rPr>
        <w:t>（加盖电子签章）</w:t>
      </w:r>
    </w:p>
    <w:p w:rsidR="001B300F" w:rsidRDefault="004555CE" w:rsidP="004555CE">
      <w:pPr>
        <w:spacing w:beforeLines="30" w:before="85" w:afterLines="70" w:after="199" w:line="540" w:lineRule="exact"/>
        <w:ind w:leftChars="300" w:left="579"/>
        <w:rPr>
          <w:b/>
          <w:sz w:val="34"/>
          <w:szCs w:val="34"/>
        </w:rPr>
      </w:pPr>
      <w:r>
        <w:rPr>
          <w:b/>
          <w:sz w:val="34"/>
          <w:szCs w:val="34"/>
        </w:rPr>
        <w:t>项目编号：</w:t>
      </w:r>
    </w:p>
    <w:p w:rsidR="001B300F" w:rsidRDefault="004555CE" w:rsidP="004555CE">
      <w:pPr>
        <w:spacing w:beforeLines="30" w:before="85" w:afterLines="70" w:after="199" w:line="540" w:lineRule="exact"/>
        <w:ind w:leftChars="300" w:left="2026" w:hangingChars="446" w:hanging="1447"/>
        <w:rPr>
          <w:b/>
          <w:sz w:val="34"/>
          <w:szCs w:val="34"/>
        </w:rPr>
      </w:pPr>
      <w:r>
        <w:rPr>
          <w:b/>
          <w:sz w:val="34"/>
          <w:szCs w:val="34"/>
        </w:rPr>
        <w:t>项目名称：</w:t>
      </w:r>
    </w:p>
    <w:p w:rsidR="001B300F" w:rsidRDefault="004555CE" w:rsidP="004555CE">
      <w:pPr>
        <w:spacing w:beforeLines="30" w:before="85" w:afterLines="70" w:after="199" w:line="540" w:lineRule="exact"/>
        <w:ind w:leftChars="300" w:left="2026" w:hangingChars="446" w:hanging="1447"/>
        <w:rPr>
          <w:b/>
          <w:sz w:val="34"/>
          <w:szCs w:val="34"/>
        </w:rPr>
      </w:pPr>
      <w:r>
        <w:rPr>
          <w:b/>
          <w:sz w:val="34"/>
          <w:szCs w:val="34"/>
        </w:rPr>
        <w:t>所投包号：</w:t>
      </w:r>
    </w:p>
    <w:p w:rsidR="001B300F" w:rsidRDefault="004555CE" w:rsidP="004555CE">
      <w:pPr>
        <w:spacing w:beforeLines="30" w:before="85" w:afterLines="70" w:after="199" w:line="540" w:lineRule="exact"/>
        <w:ind w:leftChars="300" w:left="579"/>
        <w:rPr>
          <w:b/>
          <w:sz w:val="34"/>
          <w:szCs w:val="34"/>
        </w:rPr>
      </w:pPr>
      <w:r>
        <w:rPr>
          <w:b/>
          <w:sz w:val="34"/>
          <w:szCs w:val="34"/>
        </w:rPr>
        <w:t>投标单位名称：</w:t>
      </w:r>
    </w:p>
    <w:p w:rsidR="001B300F" w:rsidRDefault="004555CE" w:rsidP="004555CE">
      <w:pPr>
        <w:spacing w:beforeLines="30" w:before="85" w:afterLines="70" w:after="199" w:line="540" w:lineRule="exact"/>
        <w:ind w:leftChars="300" w:left="579"/>
        <w:rPr>
          <w:b/>
          <w:sz w:val="34"/>
          <w:szCs w:val="34"/>
        </w:rPr>
      </w:pPr>
      <w:r>
        <w:rPr>
          <w:rFonts w:hint="eastAsia"/>
          <w:b/>
          <w:sz w:val="34"/>
          <w:szCs w:val="34"/>
        </w:rPr>
        <w:t>投标代表人姓名：</w:t>
      </w:r>
    </w:p>
    <w:p w:rsidR="001B300F" w:rsidRDefault="001B300F" w:rsidP="004555CE">
      <w:pPr>
        <w:spacing w:beforeLines="30" w:before="85" w:afterLines="70" w:after="199" w:line="540" w:lineRule="exact"/>
        <w:ind w:leftChars="300" w:left="579"/>
        <w:rPr>
          <w:b/>
          <w:sz w:val="34"/>
          <w:szCs w:val="34"/>
        </w:rPr>
      </w:pPr>
    </w:p>
    <w:p w:rsidR="001B300F" w:rsidRDefault="001B300F" w:rsidP="004555CE">
      <w:pPr>
        <w:spacing w:beforeLines="30" w:before="85" w:afterLines="70" w:after="199" w:line="540" w:lineRule="exact"/>
        <w:ind w:leftChars="300" w:left="579"/>
        <w:rPr>
          <w:b/>
          <w:sz w:val="34"/>
          <w:szCs w:val="34"/>
        </w:rPr>
      </w:pPr>
    </w:p>
    <w:p w:rsidR="001B300F" w:rsidRDefault="001B300F" w:rsidP="004555CE">
      <w:pPr>
        <w:spacing w:beforeLines="30" w:before="85" w:afterLines="70" w:after="199" w:line="540" w:lineRule="exact"/>
        <w:ind w:leftChars="300" w:left="579"/>
        <w:rPr>
          <w:b/>
          <w:sz w:val="34"/>
          <w:szCs w:val="34"/>
        </w:rPr>
      </w:pPr>
    </w:p>
    <w:p w:rsidR="001B300F" w:rsidRDefault="004555CE" w:rsidP="004555CE">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1B300F" w:rsidRDefault="004555CE">
      <w:pPr>
        <w:widowControl/>
        <w:jc w:val="left"/>
        <w:rPr>
          <w:b/>
          <w:bCs/>
          <w:sz w:val="24"/>
        </w:rPr>
      </w:pPr>
      <w:r>
        <w:rPr>
          <w:b/>
          <w:bCs/>
          <w:sz w:val="24"/>
        </w:rPr>
        <w:br w:type="page"/>
      </w:r>
    </w:p>
    <w:p w:rsidR="001B300F" w:rsidRDefault="004555CE">
      <w:pPr>
        <w:autoSpaceDN w:val="0"/>
        <w:spacing w:line="360" w:lineRule="auto"/>
        <w:jc w:val="center"/>
        <w:rPr>
          <w:b/>
          <w:bCs/>
          <w:sz w:val="24"/>
        </w:rPr>
      </w:pPr>
      <w:r>
        <w:rPr>
          <w:b/>
          <w:bCs/>
          <w:sz w:val="24"/>
        </w:rPr>
        <w:lastRenderedPageBreak/>
        <w:t>投标文件总目录</w:t>
      </w:r>
    </w:p>
    <w:p w:rsidR="001B300F" w:rsidRDefault="004555CE">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1B300F" w:rsidRDefault="001B300F">
      <w:pPr>
        <w:widowControl/>
        <w:jc w:val="center"/>
        <w:rPr>
          <w:b/>
          <w:sz w:val="24"/>
        </w:rPr>
      </w:pPr>
    </w:p>
    <w:p w:rsidR="001B300F" w:rsidRDefault="004555CE">
      <w:pPr>
        <w:widowControl/>
        <w:jc w:val="left"/>
        <w:rPr>
          <w:b/>
          <w:sz w:val="24"/>
        </w:rPr>
      </w:pPr>
      <w:r>
        <w:rPr>
          <w:b/>
          <w:sz w:val="24"/>
        </w:rPr>
        <w:br w:type="page"/>
      </w:r>
    </w:p>
    <w:p w:rsidR="001B300F" w:rsidRDefault="004555CE">
      <w:pPr>
        <w:widowControl/>
        <w:jc w:val="center"/>
        <w:rPr>
          <w:b/>
          <w:sz w:val="24"/>
        </w:rPr>
      </w:pPr>
      <w:r>
        <w:rPr>
          <w:b/>
          <w:sz w:val="24"/>
        </w:rPr>
        <w:lastRenderedPageBreak/>
        <w:t>评分因素及评标标准页码检索</w:t>
      </w:r>
    </w:p>
    <w:p w:rsidR="001B300F" w:rsidRDefault="004555CE">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1B300F" w:rsidRDefault="004555CE">
      <w:pPr>
        <w:widowControl/>
        <w:jc w:val="left"/>
        <w:rPr>
          <w:sz w:val="24"/>
        </w:rPr>
      </w:pPr>
      <w:r>
        <w:rPr>
          <w:sz w:val="24"/>
        </w:rPr>
        <w:br w:type="page"/>
      </w:r>
    </w:p>
    <w:p w:rsidR="001B300F" w:rsidRDefault="004555CE">
      <w:pPr>
        <w:tabs>
          <w:tab w:val="left" w:pos="360"/>
        </w:tabs>
        <w:spacing w:afterLines="100" w:after="285" w:line="360" w:lineRule="auto"/>
        <w:rPr>
          <w:b/>
          <w:sz w:val="24"/>
        </w:rPr>
      </w:pPr>
      <w:r>
        <w:rPr>
          <w:b/>
          <w:sz w:val="24"/>
        </w:rPr>
        <w:lastRenderedPageBreak/>
        <w:t>附件</w:t>
      </w:r>
      <w:r>
        <w:rPr>
          <w:b/>
          <w:sz w:val="24"/>
        </w:rPr>
        <w:t>1</w:t>
      </w:r>
    </w:p>
    <w:p w:rsidR="001B300F" w:rsidRDefault="004555CE">
      <w:pPr>
        <w:autoSpaceDN w:val="0"/>
        <w:spacing w:line="360" w:lineRule="auto"/>
        <w:jc w:val="center"/>
        <w:rPr>
          <w:b/>
          <w:bCs/>
          <w:sz w:val="24"/>
        </w:rPr>
      </w:pPr>
      <w:r>
        <w:rPr>
          <w:b/>
          <w:bCs/>
          <w:sz w:val="24"/>
        </w:rPr>
        <w:t>投标书</w:t>
      </w:r>
    </w:p>
    <w:p w:rsidR="001B300F" w:rsidRDefault="004555CE">
      <w:pPr>
        <w:spacing w:line="360" w:lineRule="auto"/>
        <w:rPr>
          <w:sz w:val="24"/>
        </w:rPr>
      </w:pPr>
      <w:r>
        <w:rPr>
          <w:sz w:val="24"/>
        </w:rPr>
        <w:t>致：天津市政府采购中心</w:t>
      </w:r>
    </w:p>
    <w:p w:rsidR="001B300F" w:rsidRDefault="004555CE" w:rsidP="004555CE">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1B300F" w:rsidRDefault="004555CE" w:rsidP="004555CE">
      <w:pPr>
        <w:spacing w:line="360" w:lineRule="auto"/>
        <w:ind w:firstLineChars="200" w:firstLine="446"/>
        <w:rPr>
          <w:sz w:val="24"/>
        </w:rPr>
      </w:pPr>
      <w:r>
        <w:rPr>
          <w:sz w:val="24"/>
        </w:rPr>
        <w:t>据此函，签字代表宣布同意如下：</w:t>
      </w:r>
    </w:p>
    <w:p w:rsidR="001B300F" w:rsidRDefault="004555CE" w:rsidP="004555CE">
      <w:pPr>
        <w:spacing w:line="360" w:lineRule="auto"/>
        <w:ind w:firstLineChars="200" w:firstLine="446"/>
        <w:rPr>
          <w:sz w:val="24"/>
        </w:rPr>
      </w:pPr>
      <w:r>
        <w:rPr>
          <w:sz w:val="24"/>
        </w:rPr>
        <w:t xml:space="preserve">1. </w:t>
      </w:r>
      <w:r>
        <w:rPr>
          <w:sz w:val="24"/>
        </w:rPr>
        <w:t>所附投标报价表中规定的应提供和交付的服务投标总价为：</w:t>
      </w:r>
    </w:p>
    <w:p w:rsidR="001B300F" w:rsidRDefault="004555CE" w:rsidP="004555CE">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1B300F" w:rsidRDefault="004555CE" w:rsidP="004555CE">
      <w:pPr>
        <w:spacing w:line="360" w:lineRule="auto"/>
        <w:ind w:firstLineChars="200" w:firstLine="446"/>
        <w:rPr>
          <w:sz w:val="24"/>
        </w:rPr>
      </w:pPr>
      <w:r>
        <w:rPr>
          <w:sz w:val="24"/>
        </w:rPr>
        <w:t>……</w:t>
      </w:r>
    </w:p>
    <w:p w:rsidR="001B300F" w:rsidRDefault="004555CE" w:rsidP="004555CE">
      <w:pPr>
        <w:spacing w:line="360" w:lineRule="auto"/>
        <w:ind w:firstLineChars="200" w:firstLine="446"/>
        <w:rPr>
          <w:sz w:val="24"/>
        </w:rPr>
      </w:pPr>
      <w:r>
        <w:rPr>
          <w:sz w:val="24"/>
        </w:rPr>
        <w:t xml:space="preserve">2. </w:t>
      </w:r>
      <w:r>
        <w:rPr>
          <w:sz w:val="24"/>
        </w:rPr>
        <w:t>我公司将按招标文件的规定履行合同责任和义务。</w:t>
      </w:r>
    </w:p>
    <w:p w:rsidR="001B300F" w:rsidRDefault="004555CE" w:rsidP="004555CE">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1B300F" w:rsidRDefault="004555CE" w:rsidP="004555CE">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1B300F" w:rsidRDefault="004555CE" w:rsidP="004555CE">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1B300F" w:rsidRDefault="004555CE" w:rsidP="004555CE">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1B300F" w:rsidRDefault="004555CE" w:rsidP="004555CE">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1B300F" w:rsidRDefault="004555CE" w:rsidP="004555CE">
      <w:pPr>
        <w:spacing w:line="360" w:lineRule="auto"/>
        <w:ind w:firstLineChars="200" w:firstLine="446"/>
        <w:rPr>
          <w:sz w:val="24"/>
        </w:rPr>
      </w:pPr>
      <w:r>
        <w:rPr>
          <w:sz w:val="24"/>
        </w:rPr>
        <w:t xml:space="preserve">8. </w:t>
      </w: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rsidR="001B300F" w:rsidRDefault="004555CE" w:rsidP="004555CE">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1B300F" w:rsidRDefault="004555CE" w:rsidP="004555CE">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1B300F" w:rsidRDefault="004555CE" w:rsidP="004555CE">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1B300F" w:rsidRDefault="004555CE" w:rsidP="004555CE">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1B300F" w:rsidRDefault="004555CE" w:rsidP="004555CE">
      <w:pPr>
        <w:spacing w:line="360" w:lineRule="auto"/>
        <w:ind w:firstLineChars="200" w:firstLine="446"/>
        <w:rPr>
          <w:sz w:val="24"/>
        </w:rPr>
      </w:pPr>
      <w:r>
        <w:rPr>
          <w:rFonts w:hint="eastAsia"/>
          <w:sz w:val="24"/>
        </w:rPr>
        <w:t>纳税人识别号：</w:t>
      </w:r>
    </w:p>
    <w:p w:rsidR="001B300F" w:rsidRDefault="004555CE" w:rsidP="004555CE">
      <w:pPr>
        <w:spacing w:line="360" w:lineRule="auto"/>
        <w:ind w:firstLineChars="200" w:firstLine="446"/>
        <w:rPr>
          <w:sz w:val="24"/>
        </w:rPr>
      </w:pPr>
      <w:r>
        <w:rPr>
          <w:rFonts w:hint="eastAsia"/>
          <w:sz w:val="24"/>
        </w:rPr>
        <w:t>地址、电话：</w:t>
      </w:r>
    </w:p>
    <w:p w:rsidR="001B300F" w:rsidRDefault="004555CE" w:rsidP="004555CE">
      <w:pPr>
        <w:spacing w:line="360" w:lineRule="auto"/>
        <w:ind w:firstLineChars="200" w:firstLine="446"/>
        <w:rPr>
          <w:sz w:val="24"/>
        </w:rPr>
      </w:pPr>
      <w:r>
        <w:rPr>
          <w:rFonts w:hint="eastAsia"/>
          <w:sz w:val="24"/>
        </w:rPr>
        <w:t>开户行及账号：</w:t>
      </w:r>
    </w:p>
    <w:p w:rsidR="001B300F" w:rsidRDefault="004555CE" w:rsidP="004555CE">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1B300F" w:rsidRDefault="004555CE" w:rsidP="004555CE">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1B300F" w:rsidRDefault="004555CE">
      <w:pPr>
        <w:spacing w:line="360" w:lineRule="auto"/>
        <w:ind w:firstLineChars="200" w:firstLine="448"/>
        <w:rPr>
          <w:b/>
          <w:sz w:val="24"/>
        </w:rPr>
      </w:pPr>
      <w:r>
        <w:rPr>
          <w:rFonts w:hint="eastAsia"/>
          <w:b/>
          <w:sz w:val="24"/>
        </w:rPr>
        <w:t>□</w:t>
      </w:r>
      <w:r>
        <w:rPr>
          <w:b/>
          <w:sz w:val="24"/>
        </w:rPr>
        <w:t>上门自取</w:t>
      </w:r>
    </w:p>
    <w:p w:rsidR="001B300F" w:rsidRDefault="001B300F" w:rsidP="004555CE">
      <w:pPr>
        <w:spacing w:line="360" w:lineRule="auto"/>
        <w:ind w:firstLineChars="200" w:firstLine="446"/>
        <w:rPr>
          <w:sz w:val="24"/>
        </w:rPr>
      </w:pPr>
    </w:p>
    <w:p w:rsidR="001B300F" w:rsidRDefault="004555CE">
      <w:pPr>
        <w:spacing w:line="360" w:lineRule="auto"/>
        <w:ind w:firstLineChars="200" w:firstLine="448"/>
        <w:rPr>
          <w:b/>
          <w:sz w:val="24"/>
        </w:rPr>
      </w:pPr>
      <w:r>
        <w:rPr>
          <w:rFonts w:hint="eastAsia"/>
          <w:b/>
          <w:sz w:val="24"/>
        </w:rPr>
        <w:t>□</w:t>
      </w:r>
      <w:r>
        <w:rPr>
          <w:b/>
          <w:sz w:val="24"/>
        </w:rPr>
        <w:t>到付邮寄</w:t>
      </w:r>
    </w:p>
    <w:p w:rsidR="001B300F" w:rsidRDefault="004555CE" w:rsidP="004555CE">
      <w:pPr>
        <w:spacing w:line="360" w:lineRule="auto"/>
        <w:ind w:firstLineChars="200" w:firstLine="446"/>
        <w:rPr>
          <w:sz w:val="24"/>
        </w:rPr>
      </w:pPr>
      <w:r>
        <w:rPr>
          <w:sz w:val="24"/>
        </w:rPr>
        <w:lastRenderedPageBreak/>
        <w:t>邮寄地址</w:t>
      </w:r>
      <w:r>
        <w:rPr>
          <w:rFonts w:hint="eastAsia"/>
          <w:sz w:val="24"/>
        </w:rPr>
        <w:t>、邮编</w:t>
      </w:r>
      <w:r>
        <w:rPr>
          <w:sz w:val="24"/>
        </w:rPr>
        <w:t>：</w:t>
      </w:r>
    </w:p>
    <w:p w:rsidR="001B300F" w:rsidRDefault="004555CE" w:rsidP="004555CE">
      <w:pPr>
        <w:spacing w:line="360" w:lineRule="auto"/>
        <w:ind w:firstLineChars="200" w:firstLine="446"/>
        <w:rPr>
          <w:sz w:val="24"/>
        </w:rPr>
      </w:pPr>
      <w:r>
        <w:rPr>
          <w:sz w:val="24"/>
        </w:rPr>
        <w:t>邮寄联系人、手机号码：</w:t>
      </w:r>
    </w:p>
    <w:p w:rsidR="001B300F" w:rsidRDefault="001B300F" w:rsidP="004555CE">
      <w:pPr>
        <w:spacing w:line="360" w:lineRule="auto"/>
        <w:ind w:firstLineChars="1700" w:firstLine="3794"/>
        <w:rPr>
          <w:sz w:val="24"/>
        </w:rPr>
      </w:pPr>
    </w:p>
    <w:p w:rsidR="001B300F" w:rsidRDefault="004555CE" w:rsidP="004555CE">
      <w:pPr>
        <w:spacing w:line="360" w:lineRule="auto"/>
        <w:ind w:firstLineChars="1700" w:firstLine="3794"/>
        <w:rPr>
          <w:sz w:val="24"/>
        </w:rPr>
      </w:pPr>
      <w:r>
        <w:rPr>
          <w:sz w:val="24"/>
        </w:rPr>
        <w:t>投标人名称：</w:t>
      </w:r>
    </w:p>
    <w:p w:rsidR="001B300F" w:rsidRDefault="001B300F" w:rsidP="004555CE">
      <w:pPr>
        <w:spacing w:line="360" w:lineRule="auto"/>
        <w:ind w:firstLineChars="1700" w:firstLine="3794"/>
        <w:rPr>
          <w:sz w:val="24"/>
        </w:rPr>
      </w:pPr>
    </w:p>
    <w:p w:rsidR="001B300F" w:rsidRDefault="004555CE" w:rsidP="004555CE">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B300F" w:rsidRDefault="001B300F">
      <w:pPr>
        <w:spacing w:line="460" w:lineRule="exact"/>
        <w:rPr>
          <w:sz w:val="24"/>
        </w:rPr>
      </w:pPr>
    </w:p>
    <w:p w:rsidR="001B300F" w:rsidRDefault="004555CE">
      <w:pPr>
        <w:widowControl/>
        <w:jc w:val="left"/>
        <w:rPr>
          <w:sz w:val="24"/>
        </w:rPr>
      </w:pPr>
      <w:r>
        <w:rPr>
          <w:sz w:val="24"/>
        </w:rPr>
        <w:br w:type="page"/>
      </w:r>
    </w:p>
    <w:p w:rsidR="001B300F" w:rsidRDefault="004555CE">
      <w:pPr>
        <w:widowControl/>
        <w:jc w:val="left"/>
        <w:rPr>
          <w:b/>
          <w:sz w:val="24"/>
        </w:rPr>
      </w:pPr>
      <w:r>
        <w:rPr>
          <w:b/>
          <w:sz w:val="24"/>
        </w:rPr>
        <w:lastRenderedPageBreak/>
        <w:t>附件</w:t>
      </w:r>
      <w:r>
        <w:rPr>
          <w:b/>
          <w:sz w:val="24"/>
        </w:rPr>
        <w:t>2</w:t>
      </w:r>
    </w:p>
    <w:p w:rsidR="001B300F" w:rsidRDefault="001B300F">
      <w:pPr>
        <w:autoSpaceDN w:val="0"/>
        <w:spacing w:line="360" w:lineRule="auto"/>
        <w:jc w:val="center"/>
        <w:rPr>
          <w:b/>
          <w:bCs/>
          <w:sz w:val="24"/>
        </w:rPr>
      </w:pPr>
    </w:p>
    <w:p w:rsidR="001B300F" w:rsidRDefault="004555CE">
      <w:pPr>
        <w:ind w:right="84"/>
        <w:jc w:val="center"/>
        <w:rPr>
          <w:b/>
          <w:sz w:val="24"/>
        </w:rPr>
      </w:pPr>
      <w:r>
        <w:rPr>
          <w:rFonts w:hint="eastAsia"/>
          <w:b/>
          <w:sz w:val="24"/>
        </w:rPr>
        <w:t>供应商资格声明函</w:t>
      </w:r>
    </w:p>
    <w:p w:rsidR="001B300F" w:rsidRDefault="001B300F">
      <w:pPr>
        <w:spacing w:line="360" w:lineRule="auto"/>
        <w:ind w:firstLine="420"/>
        <w:jc w:val="center"/>
        <w:rPr>
          <w:b/>
          <w:sz w:val="24"/>
        </w:rPr>
      </w:pPr>
    </w:p>
    <w:p w:rsidR="001B300F" w:rsidRDefault="004555CE">
      <w:pPr>
        <w:spacing w:line="360" w:lineRule="auto"/>
        <w:rPr>
          <w:sz w:val="24"/>
        </w:rPr>
      </w:pPr>
      <w:r>
        <w:rPr>
          <w:rFonts w:hint="eastAsia"/>
          <w:sz w:val="24"/>
        </w:rPr>
        <w:t>天津市政府采购中心：</w:t>
      </w:r>
    </w:p>
    <w:p w:rsidR="001B300F" w:rsidRDefault="004555CE" w:rsidP="004555CE">
      <w:pPr>
        <w:spacing w:line="360" w:lineRule="auto"/>
        <w:ind w:firstLineChars="200" w:firstLine="446"/>
        <w:rPr>
          <w:sz w:val="24"/>
        </w:rPr>
      </w:pPr>
      <w:r>
        <w:rPr>
          <w:rFonts w:hint="eastAsia"/>
          <w:sz w:val="24"/>
        </w:rPr>
        <w:t>我单位自愿参与本项目的政府采购活动，郑重承诺如下：</w:t>
      </w:r>
    </w:p>
    <w:p w:rsidR="001B300F" w:rsidRDefault="004555CE" w:rsidP="004555CE">
      <w:pPr>
        <w:spacing w:line="360" w:lineRule="auto"/>
        <w:ind w:firstLineChars="200" w:firstLine="446"/>
        <w:rPr>
          <w:sz w:val="24"/>
        </w:rPr>
      </w:pPr>
      <w:r>
        <w:rPr>
          <w:rFonts w:hint="eastAsia"/>
          <w:sz w:val="24"/>
        </w:rPr>
        <w:t>（一）我单位具有良好的商业信誉和健全的财务会计制度；</w:t>
      </w:r>
    </w:p>
    <w:p w:rsidR="001B300F" w:rsidRDefault="004555CE" w:rsidP="004555CE">
      <w:pPr>
        <w:spacing w:line="360" w:lineRule="auto"/>
        <w:ind w:firstLineChars="200" w:firstLine="446"/>
        <w:rPr>
          <w:sz w:val="24"/>
        </w:rPr>
      </w:pPr>
      <w:r>
        <w:rPr>
          <w:rFonts w:hint="eastAsia"/>
          <w:sz w:val="24"/>
        </w:rPr>
        <w:t>（二）我单位依法缴纳税收和社会保障资金；</w:t>
      </w:r>
    </w:p>
    <w:p w:rsidR="001B300F" w:rsidRDefault="004555CE" w:rsidP="004555CE">
      <w:pPr>
        <w:spacing w:line="360" w:lineRule="auto"/>
        <w:ind w:firstLineChars="200" w:firstLine="446"/>
        <w:rPr>
          <w:sz w:val="24"/>
        </w:rPr>
      </w:pPr>
      <w:r>
        <w:rPr>
          <w:rFonts w:hint="eastAsia"/>
          <w:sz w:val="24"/>
        </w:rPr>
        <w:t>（三）我单位具备履行合同所必需的设备和专业技术能力；</w:t>
      </w:r>
    </w:p>
    <w:p w:rsidR="001B300F" w:rsidRDefault="004555CE" w:rsidP="004555CE">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1B300F" w:rsidRDefault="004555CE" w:rsidP="004555CE">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1B300F" w:rsidRDefault="004555CE" w:rsidP="004555CE">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1B300F">
        <w:tc>
          <w:tcPr>
            <w:tcW w:w="1061" w:type="pct"/>
            <w:vAlign w:val="center"/>
          </w:tcPr>
          <w:p w:rsidR="001B300F" w:rsidRDefault="004555CE">
            <w:pPr>
              <w:jc w:val="center"/>
              <w:rPr>
                <w:szCs w:val="21"/>
              </w:rPr>
            </w:pPr>
            <w:r>
              <w:rPr>
                <w:rFonts w:hint="eastAsia"/>
                <w:szCs w:val="21"/>
              </w:rPr>
              <w:t>序号</w:t>
            </w:r>
          </w:p>
        </w:tc>
        <w:tc>
          <w:tcPr>
            <w:tcW w:w="2273" w:type="pct"/>
            <w:vAlign w:val="center"/>
          </w:tcPr>
          <w:p w:rsidR="001B300F" w:rsidRDefault="004555CE">
            <w:pPr>
              <w:jc w:val="center"/>
              <w:rPr>
                <w:szCs w:val="21"/>
              </w:rPr>
            </w:pPr>
            <w:r>
              <w:rPr>
                <w:rFonts w:hint="eastAsia"/>
                <w:szCs w:val="21"/>
              </w:rPr>
              <w:t>单位名称</w:t>
            </w:r>
          </w:p>
        </w:tc>
        <w:tc>
          <w:tcPr>
            <w:tcW w:w="1667" w:type="pct"/>
            <w:vAlign w:val="center"/>
          </w:tcPr>
          <w:p w:rsidR="001B300F" w:rsidRDefault="004555CE">
            <w:pPr>
              <w:jc w:val="center"/>
              <w:rPr>
                <w:szCs w:val="21"/>
              </w:rPr>
            </w:pPr>
            <w:r>
              <w:rPr>
                <w:rFonts w:hint="eastAsia"/>
                <w:szCs w:val="21"/>
              </w:rPr>
              <w:t>相互关系类型</w:t>
            </w:r>
          </w:p>
        </w:tc>
      </w:tr>
      <w:tr w:rsidR="001B300F">
        <w:tc>
          <w:tcPr>
            <w:tcW w:w="1061" w:type="pct"/>
            <w:vAlign w:val="center"/>
          </w:tcPr>
          <w:p w:rsidR="001B300F" w:rsidRDefault="004555CE">
            <w:pPr>
              <w:jc w:val="center"/>
              <w:rPr>
                <w:szCs w:val="21"/>
              </w:rPr>
            </w:pPr>
            <w:r>
              <w:rPr>
                <w:rFonts w:hint="eastAsia"/>
                <w:szCs w:val="21"/>
              </w:rPr>
              <w:t>1</w:t>
            </w:r>
          </w:p>
        </w:tc>
        <w:tc>
          <w:tcPr>
            <w:tcW w:w="2273" w:type="pct"/>
            <w:vAlign w:val="center"/>
          </w:tcPr>
          <w:p w:rsidR="001B300F" w:rsidRDefault="001B300F">
            <w:pPr>
              <w:jc w:val="center"/>
              <w:rPr>
                <w:szCs w:val="21"/>
              </w:rPr>
            </w:pPr>
          </w:p>
        </w:tc>
        <w:tc>
          <w:tcPr>
            <w:tcW w:w="1667" w:type="pct"/>
            <w:vAlign w:val="center"/>
          </w:tcPr>
          <w:p w:rsidR="001B300F" w:rsidRDefault="001B300F">
            <w:pPr>
              <w:jc w:val="center"/>
              <w:rPr>
                <w:szCs w:val="21"/>
              </w:rPr>
            </w:pPr>
          </w:p>
        </w:tc>
      </w:tr>
      <w:tr w:rsidR="001B300F">
        <w:tc>
          <w:tcPr>
            <w:tcW w:w="1061" w:type="pct"/>
            <w:vAlign w:val="center"/>
          </w:tcPr>
          <w:p w:rsidR="001B300F" w:rsidRDefault="004555CE">
            <w:pPr>
              <w:jc w:val="center"/>
              <w:rPr>
                <w:szCs w:val="21"/>
              </w:rPr>
            </w:pPr>
            <w:r>
              <w:rPr>
                <w:rFonts w:hint="eastAsia"/>
                <w:szCs w:val="21"/>
              </w:rPr>
              <w:t>2</w:t>
            </w:r>
          </w:p>
        </w:tc>
        <w:tc>
          <w:tcPr>
            <w:tcW w:w="2273" w:type="pct"/>
            <w:vAlign w:val="center"/>
          </w:tcPr>
          <w:p w:rsidR="001B300F" w:rsidRDefault="001B300F">
            <w:pPr>
              <w:jc w:val="center"/>
              <w:rPr>
                <w:szCs w:val="21"/>
              </w:rPr>
            </w:pPr>
          </w:p>
        </w:tc>
        <w:tc>
          <w:tcPr>
            <w:tcW w:w="1667" w:type="pct"/>
            <w:vAlign w:val="center"/>
          </w:tcPr>
          <w:p w:rsidR="001B300F" w:rsidRDefault="001B300F">
            <w:pPr>
              <w:jc w:val="center"/>
              <w:rPr>
                <w:szCs w:val="21"/>
              </w:rPr>
            </w:pPr>
          </w:p>
        </w:tc>
      </w:tr>
      <w:tr w:rsidR="001B300F">
        <w:tc>
          <w:tcPr>
            <w:tcW w:w="1061" w:type="pct"/>
            <w:vAlign w:val="center"/>
          </w:tcPr>
          <w:p w:rsidR="001B300F" w:rsidRDefault="004555CE">
            <w:pPr>
              <w:jc w:val="center"/>
              <w:rPr>
                <w:szCs w:val="21"/>
              </w:rPr>
            </w:pPr>
            <w:r>
              <w:rPr>
                <w:rFonts w:hint="eastAsia"/>
                <w:szCs w:val="21"/>
              </w:rPr>
              <w:t>3</w:t>
            </w:r>
          </w:p>
        </w:tc>
        <w:tc>
          <w:tcPr>
            <w:tcW w:w="2273" w:type="pct"/>
            <w:vAlign w:val="center"/>
          </w:tcPr>
          <w:p w:rsidR="001B300F" w:rsidRDefault="001B300F">
            <w:pPr>
              <w:jc w:val="center"/>
              <w:rPr>
                <w:szCs w:val="21"/>
              </w:rPr>
            </w:pPr>
          </w:p>
        </w:tc>
        <w:tc>
          <w:tcPr>
            <w:tcW w:w="1667" w:type="pct"/>
            <w:vAlign w:val="center"/>
          </w:tcPr>
          <w:p w:rsidR="001B300F" w:rsidRDefault="001B300F">
            <w:pPr>
              <w:jc w:val="center"/>
              <w:rPr>
                <w:szCs w:val="21"/>
              </w:rPr>
            </w:pPr>
          </w:p>
        </w:tc>
      </w:tr>
    </w:tbl>
    <w:p w:rsidR="001B300F" w:rsidRDefault="004555CE" w:rsidP="004555CE">
      <w:pPr>
        <w:spacing w:line="360" w:lineRule="auto"/>
        <w:ind w:firstLineChars="200" w:firstLine="446"/>
        <w:rPr>
          <w:sz w:val="24"/>
        </w:rPr>
      </w:pPr>
      <w:r>
        <w:rPr>
          <w:rFonts w:hint="eastAsia"/>
          <w:sz w:val="24"/>
        </w:rPr>
        <w:t>上表未填写的，视为不存在第（六）条所列情形</w:t>
      </w:r>
    </w:p>
    <w:p w:rsidR="001B300F" w:rsidRDefault="001B300F" w:rsidP="004555CE">
      <w:pPr>
        <w:spacing w:line="360" w:lineRule="auto"/>
        <w:ind w:firstLineChars="200" w:firstLine="446"/>
        <w:rPr>
          <w:sz w:val="24"/>
        </w:rPr>
      </w:pPr>
    </w:p>
    <w:p w:rsidR="001B300F" w:rsidRDefault="004555CE" w:rsidP="004555CE">
      <w:pPr>
        <w:spacing w:line="360" w:lineRule="auto"/>
        <w:ind w:firstLineChars="200" w:firstLine="446"/>
        <w:rPr>
          <w:sz w:val="24"/>
        </w:rPr>
      </w:pPr>
      <w:r>
        <w:rPr>
          <w:rFonts w:hint="eastAsia"/>
          <w:sz w:val="24"/>
        </w:rPr>
        <w:t>上述声明真实有效，否则我单位承担全部责任和不利后果。</w:t>
      </w:r>
    </w:p>
    <w:p w:rsidR="001B300F" w:rsidRDefault="001B300F" w:rsidP="004555CE">
      <w:pPr>
        <w:spacing w:line="360" w:lineRule="auto"/>
        <w:ind w:firstLineChars="200" w:firstLine="446"/>
        <w:rPr>
          <w:sz w:val="24"/>
        </w:rPr>
      </w:pPr>
    </w:p>
    <w:p w:rsidR="001B300F" w:rsidRDefault="004555CE" w:rsidP="004555CE">
      <w:pPr>
        <w:spacing w:line="360" w:lineRule="auto"/>
        <w:ind w:firstLineChars="100" w:firstLine="223"/>
        <w:rPr>
          <w:sz w:val="24"/>
        </w:rPr>
      </w:pPr>
      <w:r>
        <w:rPr>
          <w:sz w:val="24"/>
        </w:rPr>
        <w:t>投标人名称：</w:t>
      </w:r>
    </w:p>
    <w:p w:rsidR="001B300F" w:rsidRDefault="001B300F" w:rsidP="004555CE">
      <w:pPr>
        <w:spacing w:line="360" w:lineRule="auto"/>
        <w:ind w:firstLineChars="100" w:firstLine="223"/>
        <w:rPr>
          <w:sz w:val="24"/>
        </w:rPr>
      </w:pPr>
    </w:p>
    <w:p w:rsidR="001B300F" w:rsidRDefault="004555CE" w:rsidP="004555CE">
      <w:pPr>
        <w:spacing w:line="360" w:lineRule="auto"/>
        <w:ind w:firstLineChars="100" w:firstLine="223"/>
        <w:rPr>
          <w:position w:val="-40"/>
          <w:sz w:val="24"/>
        </w:rPr>
      </w:pPr>
      <w:r>
        <w:rPr>
          <w:sz w:val="24"/>
        </w:rPr>
        <w:t>日期：</w:t>
      </w:r>
      <w:r>
        <w:rPr>
          <w:sz w:val="24"/>
        </w:rPr>
        <w:t xml:space="preserve">  </w:t>
      </w:r>
    </w:p>
    <w:p w:rsidR="001B300F" w:rsidRDefault="001B300F">
      <w:pPr>
        <w:autoSpaceDN w:val="0"/>
        <w:spacing w:line="360" w:lineRule="auto"/>
        <w:jc w:val="center"/>
        <w:rPr>
          <w:b/>
          <w:bCs/>
          <w:sz w:val="24"/>
        </w:rPr>
      </w:pPr>
    </w:p>
    <w:p w:rsidR="001B300F" w:rsidRDefault="004555CE">
      <w:pPr>
        <w:widowControl/>
        <w:jc w:val="left"/>
        <w:rPr>
          <w:b/>
          <w:bCs/>
          <w:sz w:val="24"/>
        </w:rPr>
      </w:pPr>
      <w:r>
        <w:rPr>
          <w:b/>
          <w:bCs/>
          <w:sz w:val="24"/>
        </w:rPr>
        <w:br w:type="page"/>
      </w:r>
    </w:p>
    <w:p w:rsidR="001B300F" w:rsidRDefault="004555CE">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1B300F" w:rsidRDefault="004555CE">
      <w:pPr>
        <w:widowControl/>
        <w:jc w:val="left"/>
        <w:rPr>
          <w:b/>
          <w:bCs/>
          <w:sz w:val="24"/>
        </w:rPr>
      </w:pPr>
      <w:r>
        <w:rPr>
          <w:b/>
          <w:bCs/>
          <w:sz w:val="24"/>
        </w:rPr>
        <w:br w:type="page"/>
      </w:r>
    </w:p>
    <w:p w:rsidR="001B300F" w:rsidRDefault="004555CE">
      <w:pPr>
        <w:autoSpaceDN w:val="0"/>
        <w:spacing w:line="360" w:lineRule="auto"/>
        <w:rPr>
          <w:b/>
          <w:bCs/>
          <w:sz w:val="24"/>
        </w:rPr>
      </w:pPr>
      <w:r>
        <w:rPr>
          <w:rFonts w:hint="eastAsia"/>
          <w:b/>
          <w:bCs/>
          <w:sz w:val="24"/>
        </w:rPr>
        <w:lastRenderedPageBreak/>
        <w:t>附件</w:t>
      </w:r>
      <w:r>
        <w:rPr>
          <w:rFonts w:hint="eastAsia"/>
          <w:b/>
          <w:bCs/>
          <w:sz w:val="24"/>
        </w:rPr>
        <w:t>3</w:t>
      </w:r>
    </w:p>
    <w:p w:rsidR="001B300F" w:rsidRDefault="001B300F">
      <w:pPr>
        <w:autoSpaceDN w:val="0"/>
        <w:spacing w:line="360" w:lineRule="auto"/>
        <w:jc w:val="center"/>
        <w:rPr>
          <w:b/>
          <w:bCs/>
          <w:sz w:val="24"/>
        </w:rPr>
      </w:pPr>
    </w:p>
    <w:p w:rsidR="001B300F" w:rsidRDefault="004555CE">
      <w:pPr>
        <w:autoSpaceDN w:val="0"/>
        <w:spacing w:line="360" w:lineRule="auto"/>
        <w:jc w:val="center"/>
        <w:rPr>
          <w:b/>
          <w:bCs/>
          <w:sz w:val="24"/>
        </w:rPr>
      </w:pPr>
      <w:r>
        <w:rPr>
          <w:b/>
          <w:bCs/>
          <w:sz w:val="24"/>
        </w:rPr>
        <w:t>开标一览表</w:t>
      </w:r>
    </w:p>
    <w:p w:rsidR="001B300F" w:rsidRDefault="001B300F">
      <w:pPr>
        <w:ind w:right="84"/>
        <w:rPr>
          <w:sz w:val="24"/>
        </w:rPr>
      </w:pPr>
    </w:p>
    <w:p w:rsidR="001B300F" w:rsidRDefault="004555CE">
      <w:pPr>
        <w:spacing w:line="460" w:lineRule="exact"/>
        <w:rPr>
          <w:sz w:val="24"/>
        </w:rPr>
      </w:pPr>
      <w:r>
        <w:rPr>
          <w:sz w:val="24"/>
        </w:rPr>
        <w:t>项目名称：</w:t>
      </w:r>
      <w:r>
        <w:rPr>
          <w:sz w:val="24"/>
          <w:u w:val="single"/>
        </w:rPr>
        <w:t xml:space="preserve">                    </w:t>
      </w:r>
    </w:p>
    <w:p w:rsidR="001B300F" w:rsidRDefault="004555CE">
      <w:pPr>
        <w:spacing w:line="460" w:lineRule="exact"/>
        <w:rPr>
          <w:sz w:val="24"/>
        </w:rPr>
      </w:pPr>
      <w:r>
        <w:rPr>
          <w:sz w:val="24"/>
        </w:rPr>
        <w:t>项目编号：</w:t>
      </w:r>
      <w:r>
        <w:rPr>
          <w:sz w:val="24"/>
          <w:u w:val="single"/>
        </w:rPr>
        <w:t xml:space="preserve">                    </w:t>
      </w:r>
    </w:p>
    <w:p w:rsidR="001B300F" w:rsidRDefault="004555CE">
      <w:pPr>
        <w:spacing w:line="460" w:lineRule="exact"/>
        <w:rPr>
          <w:sz w:val="24"/>
          <w:u w:val="single"/>
        </w:rPr>
      </w:pPr>
      <w:r>
        <w:rPr>
          <w:sz w:val="24"/>
        </w:rPr>
        <w:t>包号：</w:t>
      </w:r>
      <w:r>
        <w:rPr>
          <w:sz w:val="24"/>
          <w:u w:val="single"/>
        </w:rPr>
        <w:t xml:space="preserve">                        </w:t>
      </w:r>
    </w:p>
    <w:p w:rsidR="001B300F" w:rsidRDefault="004555CE">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1B300F">
        <w:trPr>
          <w:jc w:val="center"/>
        </w:trPr>
        <w:tc>
          <w:tcPr>
            <w:tcW w:w="730" w:type="pct"/>
            <w:vAlign w:val="center"/>
          </w:tcPr>
          <w:p w:rsidR="001B300F" w:rsidRDefault="004555CE">
            <w:pPr>
              <w:spacing w:line="460" w:lineRule="exact"/>
              <w:jc w:val="center"/>
              <w:rPr>
                <w:sz w:val="24"/>
              </w:rPr>
            </w:pPr>
            <w:proofErr w:type="gramStart"/>
            <w:r>
              <w:rPr>
                <w:sz w:val="24"/>
              </w:rPr>
              <w:t>包号</w:t>
            </w:r>
            <w:proofErr w:type="gramEnd"/>
          </w:p>
        </w:tc>
        <w:tc>
          <w:tcPr>
            <w:tcW w:w="1278" w:type="pct"/>
            <w:vAlign w:val="center"/>
          </w:tcPr>
          <w:p w:rsidR="001B300F" w:rsidRDefault="004555CE">
            <w:pPr>
              <w:spacing w:line="460" w:lineRule="exact"/>
              <w:jc w:val="center"/>
              <w:rPr>
                <w:sz w:val="24"/>
              </w:rPr>
            </w:pPr>
            <w:r>
              <w:rPr>
                <w:sz w:val="24"/>
              </w:rPr>
              <w:t>服务名称</w:t>
            </w:r>
          </w:p>
        </w:tc>
        <w:tc>
          <w:tcPr>
            <w:tcW w:w="806" w:type="pct"/>
            <w:vAlign w:val="center"/>
          </w:tcPr>
          <w:p w:rsidR="001B300F" w:rsidRDefault="004555CE">
            <w:pPr>
              <w:spacing w:line="460" w:lineRule="exact"/>
              <w:jc w:val="center"/>
              <w:rPr>
                <w:sz w:val="24"/>
              </w:rPr>
            </w:pPr>
            <w:r>
              <w:rPr>
                <w:sz w:val="24"/>
              </w:rPr>
              <w:t>数量</w:t>
            </w:r>
          </w:p>
        </w:tc>
        <w:tc>
          <w:tcPr>
            <w:tcW w:w="1202" w:type="pct"/>
            <w:vAlign w:val="center"/>
          </w:tcPr>
          <w:p w:rsidR="001B300F" w:rsidRDefault="004555CE">
            <w:pPr>
              <w:spacing w:line="460" w:lineRule="exact"/>
              <w:jc w:val="center"/>
              <w:rPr>
                <w:sz w:val="24"/>
              </w:rPr>
            </w:pPr>
            <w:r>
              <w:rPr>
                <w:sz w:val="24"/>
              </w:rPr>
              <w:t>投标总价</w:t>
            </w:r>
          </w:p>
        </w:tc>
        <w:tc>
          <w:tcPr>
            <w:tcW w:w="984" w:type="pct"/>
            <w:vAlign w:val="center"/>
          </w:tcPr>
          <w:p w:rsidR="001B300F" w:rsidRDefault="004555CE">
            <w:pPr>
              <w:spacing w:line="460" w:lineRule="exact"/>
              <w:jc w:val="center"/>
              <w:rPr>
                <w:sz w:val="24"/>
              </w:rPr>
            </w:pPr>
            <w:r>
              <w:rPr>
                <w:sz w:val="24"/>
              </w:rPr>
              <w:t>备注</w:t>
            </w: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r w:rsidR="001B300F">
        <w:trPr>
          <w:jc w:val="center"/>
        </w:trPr>
        <w:tc>
          <w:tcPr>
            <w:tcW w:w="730" w:type="pct"/>
          </w:tcPr>
          <w:p w:rsidR="001B300F" w:rsidRDefault="001B300F">
            <w:pPr>
              <w:spacing w:line="460" w:lineRule="exact"/>
              <w:rPr>
                <w:sz w:val="24"/>
              </w:rPr>
            </w:pPr>
          </w:p>
        </w:tc>
        <w:tc>
          <w:tcPr>
            <w:tcW w:w="1278" w:type="pct"/>
          </w:tcPr>
          <w:p w:rsidR="001B300F" w:rsidRDefault="001B300F">
            <w:pPr>
              <w:spacing w:line="460" w:lineRule="exact"/>
              <w:rPr>
                <w:sz w:val="24"/>
              </w:rPr>
            </w:pPr>
          </w:p>
        </w:tc>
        <w:tc>
          <w:tcPr>
            <w:tcW w:w="806" w:type="pct"/>
          </w:tcPr>
          <w:p w:rsidR="001B300F" w:rsidRDefault="001B300F">
            <w:pPr>
              <w:spacing w:line="460" w:lineRule="exact"/>
              <w:rPr>
                <w:sz w:val="24"/>
              </w:rPr>
            </w:pPr>
          </w:p>
        </w:tc>
        <w:tc>
          <w:tcPr>
            <w:tcW w:w="1202" w:type="pct"/>
          </w:tcPr>
          <w:p w:rsidR="001B300F" w:rsidRDefault="001B300F">
            <w:pPr>
              <w:spacing w:line="460" w:lineRule="exact"/>
              <w:rPr>
                <w:sz w:val="24"/>
              </w:rPr>
            </w:pPr>
          </w:p>
        </w:tc>
        <w:tc>
          <w:tcPr>
            <w:tcW w:w="984" w:type="pct"/>
          </w:tcPr>
          <w:p w:rsidR="001B300F" w:rsidRDefault="001B300F">
            <w:pPr>
              <w:spacing w:line="460" w:lineRule="exact"/>
              <w:rPr>
                <w:sz w:val="24"/>
              </w:rPr>
            </w:pPr>
          </w:p>
        </w:tc>
      </w:tr>
    </w:tbl>
    <w:p w:rsidR="001B300F" w:rsidRDefault="001B300F">
      <w:pPr>
        <w:spacing w:line="360" w:lineRule="auto"/>
        <w:ind w:right="84" w:firstLine="420"/>
        <w:rPr>
          <w:sz w:val="24"/>
        </w:rPr>
      </w:pPr>
    </w:p>
    <w:p w:rsidR="001B300F" w:rsidRDefault="001B300F">
      <w:pPr>
        <w:spacing w:line="360" w:lineRule="auto"/>
        <w:ind w:right="84" w:firstLine="420"/>
        <w:rPr>
          <w:sz w:val="24"/>
        </w:rPr>
      </w:pPr>
    </w:p>
    <w:p w:rsidR="001B300F" w:rsidRDefault="004555CE" w:rsidP="004555CE">
      <w:pPr>
        <w:spacing w:line="360" w:lineRule="auto"/>
        <w:ind w:firstLineChars="1700" w:firstLine="3794"/>
        <w:rPr>
          <w:sz w:val="24"/>
        </w:rPr>
      </w:pPr>
      <w:r>
        <w:rPr>
          <w:sz w:val="24"/>
        </w:rPr>
        <w:t>投标人名称：</w:t>
      </w:r>
    </w:p>
    <w:p w:rsidR="001B300F" w:rsidRDefault="001B300F" w:rsidP="004555CE">
      <w:pPr>
        <w:spacing w:line="360" w:lineRule="auto"/>
        <w:ind w:firstLineChars="1700" w:firstLine="3794"/>
        <w:rPr>
          <w:sz w:val="24"/>
        </w:rPr>
      </w:pPr>
    </w:p>
    <w:p w:rsidR="001B300F" w:rsidRDefault="004555CE" w:rsidP="004555CE">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B300F" w:rsidRDefault="001B300F">
      <w:pPr>
        <w:spacing w:line="360" w:lineRule="auto"/>
        <w:ind w:right="84" w:firstLine="420"/>
        <w:rPr>
          <w:sz w:val="24"/>
        </w:rPr>
      </w:pPr>
    </w:p>
    <w:p w:rsidR="001B300F" w:rsidRDefault="004555CE">
      <w:pPr>
        <w:widowControl/>
        <w:jc w:val="left"/>
        <w:rPr>
          <w:sz w:val="24"/>
        </w:rPr>
      </w:pPr>
      <w:r>
        <w:rPr>
          <w:sz w:val="24"/>
        </w:rPr>
        <w:br w:type="page"/>
      </w:r>
    </w:p>
    <w:p w:rsidR="001B300F" w:rsidRDefault="004555CE">
      <w:pPr>
        <w:tabs>
          <w:tab w:val="left" w:pos="360"/>
        </w:tabs>
        <w:spacing w:line="360" w:lineRule="auto"/>
        <w:rPr>
          <w:b/>
          <w:sz w:val="24"/>
        </w:rPr>
      </w:pPr>
      <w:r>
        <w:rPr>
          <w:b/>
          <w:sz w:val="24"/>
        </w:rPr>
        <w:lastRenderedPageBreak/>
        <w:t>附件</w:t>
      </w:r>
      <w:r>
        <w:rPr>
          <w:rFonts w:hint="eastAsia"/>
          <w:b/>
          <w:sz w:val="24"/>
        </w:rPr>
        <w:t>4</w:t>
      </w:r>
    </w:p>
    <w:p w:rsidR="001B300F" w:rsidRDefault="004555CE">
      <w:pPr>
        <w:autoSpaceDN w:val="0"/>
        <w:spacing w:line="360" w:lineRule="auto"/>
        <w:jc w:val="center"/>
        <w:rPr>
          <w:b/>
          <w:bCs/>
          <w:sz w:val="24"/>
        </w:rPr>
      </w:pPr>
      <w:r>
        <w:rPr>
          <w:b/>
          <w:bCs/>
          <w:sz w:val="24"/>
        </w:rPr>
        <w:t>开标分项一览表</w:t>
      </w:r>
    </w:p>
    <w:p w:rsidR="001B300F" w:rsidRDefault="001B300F">
      <w:pPr>
        <w:ind w:right="84"/>
        <w:rPr>
          <w:sz w:val="24"/>
        </w:rPr>
      </w:pPr>
    </w:p>
    <w:p w:rsidR="001B300F" w:rsidRDefault="004555CE">
      <w:pPr>
        <w:spacing w:line="460" w:lineRule="exact"/>
        <w:ind w:left="192"/>
        <w:rPr>
          <w:sz w:val="24"/>
        </w:rPr>
      </w:pPr>
      <w:r>
        <w:rPr>
          <w:sz w:val="24"/>
        </w:rPr>
        <w:t>项目名称：</w:t>
      </w:r>
      <w:r>
        <w:rPr>
          <w:sz w:val="24"/>
          <w:u w:val="single"/>
        </w:rPr>
        <w:t xml:space="preserve">                    </w:t>
      </w:r>
    </w:p>
    <w:p w:rsidR="001B300F" w:rsidRDefault="004555CE">
      <w:pPr>
        <w:spacing w:line="460" w:lineRule="exact"/>
        <w:ind w:left="192"/>
        <w:rPr>
          <w:sz w:val="24"/>
        </w:rPr>
      </w:pPr>
      <w:r>
        <w:rPr>
          <w:sz w:val="24"/>
        </w:rPr>
        <w:t>项目编号：</w:t>
      </w:r>
      <w:r>
        <w:rPr>
          <w:sz w:val="24"/>
          <w:u w:val="single"/>
        </w:rPr>
        <w:t xml:space="preserve">                    </w:t>
      </w:r>
    </w:p>
    <w:p w:rsidR="001B300F" w:rsidRDefault="004555CE">
      <w:pPr>
        <w:spacing w:line="460" w:lineRule="exact"/>
        <w:ind w:left="192"/>
        <w:rPr>
          <w:sz w:val="24"/>
        </w:rPr>
      </w:pPr>
      <w:r>
        <w:rPr>
          <w:sz w:val="24"/>
        </w:rPr>
        <w:t>包</w:t>
      </w:r>
      <w:r>
        <w:rPr>
          <w:sz w:val="24"/>
        </w:rPr>
        <w:t xml:space="preserve">    </w:t>
      </w:r>
      <w:r>
        <w:rPr>
          <w:sz w:val="24"/>
        </w:rPr>
        <w:t>号：</w:t>
      </w:r>
      <w:r>
        <w:rPr>
          <w:sz w:val="24"/>
          <w:u w:val="single"/>
        </w:rPr>
        <w:t xml:space="preserve">                    </w:t>
      </w:r>
    </w:p>
    <w:p w:rsidR="001B300F" w:rsidRDefault="004555CE" w:rsidP="004555CE">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1B300F">
        <w:trPr>
          <w:trHeight w:val="555"/>
          <w:jc w:val="center"/>
        </w:trPr>
        <w:tc>
          <w:tcPr>
            <w:tcW w:w="878" w:type="dxa"/>
            <w:vAlign w:val="center"/>
          </w:tcPr>
          <w:p w:rsidR="001B300F" w:rsidRDefault="004555CE">
            <w:pPr>
              <w:widowControl/>
              <w:jc w:val="center"/>
              <w:rPr>
                <w:b/>
                <w:bCs/>
                <w:kern w:val="0"/>
                <w:sz w:val="24"/>
                <w:szCs w:val="24"/>
              </w:rPr>
            </w:pPr>
            <w:proofErr w:type="gramStart"/>
            <w:r>
              <w:rPr>
                <w:b/>
                <w:bCs/>
                <w:kern w:val="0"/>
                <w:sz w:val="24"/>
                <w:szCs w:val="24"/>
              </w:rPr>
              <w:t>项号</w:t>
            </w:r>
            <w:proofErr w:type="gramEnd"/>
          </w:p>
        </w:tc>
        <w:tc>
          <w:tcPr>
            <w:tcW w:w="2349" w:type="dxa"/>
            <w:vAlign w:val="center"/>
          </w:tcPr>
          <w:p w:rsidR="001B300F" w:rsidRDefault="004555CE">
            <w:pPr>
              <w:widowControl/>
              <w:jc w:val="center"/>
              <w:rPr>
                <w:b/>
                <w:bCs/>
                <w:kern w:val="0"/>
                <w:sz w:val="24"/>
                <w:szCs w:val="24"/>
              </w:rPr>
            </w:pPr>
            <w:r>
              <w:rPr>
                <w:b/>
                <w:bCs/>
                <w:kern w:val="0"/>
                <w:sz w:val="24"/>
                <w:szCs w:val="24"/>
              </w:rPr>
              <w:t>服务名称</w:t>
            </w:r>
          </w:p>
        </w:tc>
        <w:tc>
          <w:tcPr>
            <w:tcW w:w="1701" w:type="dxa"/>
            <w:vAlign w:val="center"/>
          </w:tcPr>
          <w:p w:rsidR="001B300F" w:rsidRDefault="004555CE">
            <w:pPr>
              <w:widowControl/>
              <w:jc w:val="center"/>
              <w:rPr>
                <w:b/>
                <w:bCs/>
                <w:kern w:val="0"/>
                <w:sz w:val="24"/>
                <w:szCs w:val="24"/>
              </w:rPr>
            </w:pPr>
            <w:r>
              <w:rPr>
                <w:b/>
                <w:bCs/>
                <w:kern w:val="0"/>
                <w:sz w:val="24"/>
                <w:szCs w:val="24"/>
              </w:rPr>
              <w:t>总价</w:t>
            </w:r>
          </w:p>
        </w:tc>
        <w:tc>
          <w:tcPr>
            <w:tcW w:w="2238" w:type="dxa"/>
            <w:vAlign w:val="center"/>
          </w:tcPr>
          <w:p w:rsidR="001B300F" w:rsidRDefault="004555CE">
            <w:pPr>
              <w:widowControl/>
              <w:jc w:val="center"/>
              <w:rPr>
                <w:b/>
                <w:bCs/>
                <w:kern w:val="0"/>
                <w:sz w:val="24"/>
                <w:szCs w:val="24"/>
              </w:rPr>
            </w:pPr>
            <w:r>
              <w:rPr>
                <w:b/>
                <w:bCs/>
                <w:kern w:val="0"/>
                <w:sz w:val="24"/>
                <w:szCs w:val="24"/>
              </w:rPr>
              <w:t>数量</w:t>
            </w:r>
          </w:p>
        </w:tc>
        <w:tc>
          <w:tcPr>
            <w:tcW w:w="1848" w:type="dxa"/>
            <w:vAlign w:val="center"/>
          </w:tcPr>
          <w:p w:rsidR="001B300F" w:rsidRDefault="004555CE">
            <w:pPr>
              <w:widowControl/>
              <w:jc w:val="center"/>
              <w:rPr>
                <w:b/>
                <w:bCs/>
                <w:kern w:val="0"/>
                <w:sz w:val="24"/>
                <w:szCs w:val="24"/>
              </w:rPr>
            </w:pPr>
            <w:r>
              <w:rPr>
                <w:b/>
                <w:bCs/>
                <w:kern w:val="0"/>
                <w:sz w:val="24"/>
                <w:szCs w:val="24"/>
              </w:rPr>
              <w:t>备注</w:t>
            </w:r>
          </w:p>
        </w:tc>
      </w:tr>
      <w:tr w:rsidR="001B300F">
        <w:trPr>
          <w:trHeight w:val="465"/>
          <w:jc w:val="center"/>
        </w:trPr>
        <w:tc>
          <w:tcPr>
            <w:tcW w:w="878" w:type="dxa"/>
            <w:vAlign w:val="center"/>
          </w:tcPr>
          <w:p w:rsidR="001B300F" w:rsidRDefault="004555CE">
            <w:pPr>
              <w:widowControl/>
              <w:jc w:val="center"/>
              <w:rPr>
                <w:kern w:val="0"/>
                <w:sz w:val="24"/>
                <w:szCs w:val="24"/>
              </w:rPr>
            </w:pPr>
            <w:r>
              <w:rPr>
                <w:kern w:val="0"/>
                <w:sz w:val="24"/>
                <w:szCs w:val="24"/>
              </w:rPr>
              <w:t>1</w:t>
            </w:r>
          </w:p>
        </w:tc>
        <w:tc>
          <w:tcPr>
            <w:tcW w:w="2349" w:type="dxa"/>
            <w:vAlign w:val="center"/>
          </w:tcPr>
          <w:p w:rsidR="001B300F" w:rsidRDefault="001B300F">
            <w:pPr>
              <w:widowControl/>
              <w:jc w:val="center"/>
              <w:rPr>
                <w:kern w:val="0"/>
                <w:sz w:val="24"/>
                <w:szCs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4555CE">
            <w:pPr>
              <w:widowControl/>
              <w:jc w:val="center"/>
              <w:rPr>
                <w:sz w:val="24"/>
                <w:szCs w:val="24"/>
              </w:rPr>
            </w:pPr>
            <w:r>
              <w:rPr>
                <w:sz w:val="24"/>
                <w:szCs w:val="24"/>
              </w:rPr>
              <w:t>1</w:t>
            </w:r>
            <w:r>
              <w:rPr>
                <w:sz w:val="24"/>
                <w:szCs w:val="24"/>
              </w:rPr>
              <w:t>项</w:t>
            </w:r>
          </w:p>
        </w:tc>
        <w:tc>
          <w:tcPr>
            <w:tcW w:w="1848" w:type="dxa"/>
            <w:vAlign w:val="center"/>
          </w:tcPr>
          <w:p w:rsidR="001B300F" w:rsidRDefault="001B300F">
            <w:pPr>
              <w:widowControl/>
              <w:jc w:val="center"/>
              <w:rPr>
                <w:sz w:val="24"/>
                <w:szCs w:val="24"/>
              </w:rPr>
            </w:pPr>
          </w:p>
        </w:tc>
      </w:tr>
      <w:tr w:rsidR="001B300F">
        <w:trPr>
          <w:trHeight w:val="465"/>
          <w:jc w:val="center"/>
        </w:trPr>
        <w:tc>
          <w:tcPr>
            <w:tcW w:w="9014" w:type="dxa"/>
            <w:gridSpan w:val="5"/>
            <w:vAlign w:val="center"/>
          </w:tcPr>
          <w:p w:rsidR="001B300F" w:rsidRDefault="004555CE">
            <w:pPr>
              <w:widowControl/>
              <w:jc w:val="left"/>
              <w:rPr>
                <w:kern w:val="0"/>
                <w:sz w:val="24"/>
                <w:szCs w:val="24"/>
              </w:rPr>
            </w:pPr>
            <w:r>
              <w:rPr>
                <w:kern w:val="0"/>
                <w:sz w:val="24"/>
                <w:szCs w:val="24"/>
              </w:rPr>
              <w:t>其中</w:t>
            </w:r>
          </w:p>
        </w:tc>
      </w:tr>
      <w:tr w:rsidR="001B300F">
        <w:trPr>
          <w:trHeight w:val="465"/>
          <w:jc w:val="center"/>
        </w:trPr>
        <w:tc>
          <w:tcPr>
            <w:tcW w:w="3227" w:type="dxa"/>
            <w:gridSpan w:val="2"/>
            <w:vAlign w:val="center"/>
          </w:tcPr>
          <w:p w:rsidR="001B300F" w:rsidRDefault="004555CE">
            <w:pPr>
              <w:widowControl/>
              <w:jc w:val="left"/>
              <w:rPr>
                <w:b/>
                <w:sz w:val="24"/>
                <w:szCs w:val="24"/>
              </w:rPr>
            </w:pPr>
            <w:r>
              <w:rPr>
                <w:b/>
                <w:sz w:val="24"/>
                <w:szCs w:val="24"/>
              </w:rPr>
              <w:t>分项名称</w:t>
            </w:r>
          </w:p>
        </w:tc>
        <w:tc>
          <w:tcPr>
            <w:tcW w:w="1701" w:type="dxa"/>
            <w:vAlign w:val="center"/>
          </w:tcPr>
          <w:p w:rsidR="001B300F" w:rsidRDefault="004555CE">
            <w:pPr>
              <w:widowControl/>
              <w:jc w:val="center"/>
              <w:rPr>
                <w:b/>
                <w:kern w:val="0"/>
                <w:sz w:val="24"/>
                <w:szCs w:val="24"/>
              </w:rPr>
            </w:pPr>
            <w:r>
              <w:rPr>
                <w:b/>
                <w:kern w:val="0"/>
                <w:sz w:val="24"/>
                <w:szCs w:val="24"/>
              </w:rPr>
              <w:t>价格</w:t>
            </w:r>
          </w:p>
        </w:tc>
        <w:tc>
          <w:tcPr>
            <w:tcW w:w="2238" w:type="dxa"/>
            <w:vAlign w:val="center"/>
          </w:tcPr>
          <w:p w:rsidR="001B300F" w:rsidRDefault="004555CE">
            <w:pPr>
              <w:widowControl/>
              <w:jc w:val="center"/>
              <w:rPr>
                <w:b/>
                <w:kern w:val="0"/>
                <w:sz w:val="24"/>
                <w:szCs w:val="24"/>
              </w:rPr>
            </w:pPr>
            <w:r>
              <w:rPr>
                <w:b/>
                <w:kern w:val="0"/>
                <w:sz w:val="24"/>
                <w:szCs w:val="24"/>
              </w:rPr>
              <w:t>数量</w:t>
            </w:r>
          </w:p>
        </w:tc>
        <w:tc>
          <w:tcPr>
            <w:tcW w:w="1848" w:type="dxa"/>
            <w:vAlign w:val="center"/>
          </w:tcPr>
          <w:p w:rsidR="001B300F" w:rsidRDefault="004555CE">
            <w:pPr>
              <w:widowControl/>
              <w:jc w:val="center"/>
              <w:rPr>
                <w:b/>
                <w:bCs/>
                <w:kern w:val="0"/>
                <w:sz w:val="24"/>
                <w:szCs w:val="24"/>
              </w:rPr>
            </w:pPr>
            <w:r>
              <w:rPr>
                <w:b/>
                <w:bCs/>
                <w:kern w:val="0"/>
                <w:sz w:val="24"/>
                <w:szCs w:val="24"/>
              </w:rPr>
              <w:t>备注</w:t>
            </w:r>
          </w:p>
        </w:tc>
      </w:tr>
      <w:tr w:rsidR="001B300F">
        <w:trPr>
          <w:trHeight w:val="465"/>
          <w:jc w:val="center"/>
        </w:trPr>
        <w:tc>
          <w:tcPr>
            <w:tcW w:w="3227" w:type="dxa"/>
            <w:gridSpan w:val="2"/>
            <w:vAlign w:val="center"/>
          </w:tcPr>
          <w:p w:rsidR="001B300F" w:rsidRDefault="001B300F">
            <w:pPr>
              <w:widowControl/>
              <w:jc w:val="left"/>
              <w:rPr>
                <w:kern w:val="0"/>
                <w:sz w:val="24"/>
                <w:szCs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1B300F">
            <w:pPr>
              <w:widowControl/>
              <w:jc w:val="center"/>
              <w:rPr>
                <w:kern w:val="0"/>
                <w:sz w:val="24"/>
                <w:szCs w:val="24"/>
              </w:rPr>
            </w:pPr>
          </w:p>
        </w:tc>
        <w:tc>
          <w:tcPr>
            <w:tcW w:w="1848" w:type="dxa"/>
            <w:vAlign w:val="center"/>
          </w:tcPr>
          <w:p w:rsidR="001B300F" w:rsidRDefault="001B300F">
            <w:pPr>
              <w:widowControl/>
              <w:jc w:val="center"/>
              <w:rPr>
                <w:sz w:val="24"/>
                <w:szCs w:val="24"/>
              </w:rPr>
            </w:pPr>
          </w:p>
        </w:tc>
      </w:tr>
      <w:tr w:rsidR="001B300F">
        <w:trPr>
          <w:trHeight w:val="465"/>
          <w:jc w:val="center"/>
        </w:trPr>
        <w:tc>
          <w:tcPr>
            <w:tcW w:w="3227" w:type="dxa"/>
            <w:gridSpan w:val="2"/>
            <w:vAlign w:val="center"/>
          </w:tcPr>
          <w:p w:rsidR="001B300F" w:rsidRDefault="001B300F">
            <w:pPr>
              <w:widowControl/>
              <w:jc w:val="left"/>
              <w:rPr>
                <w:kern w:val="0"/>
                <w:sz w:val="24"/>
                <w:szCs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1B300F">
            <w:pPr>
              <w:widowControl/>
              <w:jc w:val="center"/>
              <w:rPr>
                <w:kern w:val="0"/>
                <w:sz w:val="24"/>
                <w:szCs w:val="24"/>
              </w:rPr>
            </w:pPr>
          </w:p>
        </w:tc>
        <w:tc>
          <w:tcPr>
            <w:tcW w:w="1848" w:type="dxa"/>
            <w:vAlign w:val="center"/>
          </w:tcPr>
          <w:p w:rsidR="001B300F" w:rsidRDefault="001B300F">
            <w:pPr>
              <w:widowControl/>
              <w:jc w:val="center"/>
              <w:rPr>
                <w:sz w:val="24"/>
                <w:szCs w:val="24"/>
              </w:rPr>
            </w:pPr>
          </w:p>
        </w:tc>
      </w:tr>
      <w:tr w:rsidR="001B300F">
        <w:trPr>
          <w:trHeight w:val="465"/>
          <w:jc w:val="center"/>
        </w:trPr>
        <w:tc>
          <w:tcPr>
            <w:tcW w:w="3227" w:type="dxa"/>
            <w:gridSpan w:val="2"/>
            <w:vAlign w:val="center"/>
          </w:tcPr>
          <w:p w:rsidR="001B300F" w:rsidRDefault="001B300F">
            <w:pPr>
              <w:widowControl/>
              <w:jc w:val="left"/>
              <w:rPr>
                <w:kern w:val="0"/>
                <w:sz w:val="24"/>
                <w:szCs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1B300F">
            <w:pPr>
              <w:widowControl/>
              <w:jc w:val="center"/>
              <w:rPr>
                <w:kern w:val="0"/>
                <w:sz w:val="24"/>
                <w:szCs w:val="24"/>
              </w:rPr>
            </w:pPr>
          </w:p>
        </w:tc>
        <w:tc>
          <w:tcPr>
            <w:tcW w:w="1848" w:type="dxa"/>
            <w:vAlign w:val="center"/>
          </w:tcPr>
          <w:p w:rsidR="001B300F" w:rsidRDefault="001B300F">
            <w:pPr>
              <w:widowControl/>
              <w:jc w:val="center"/>
              <w:rPr>
                <w:sz w:val="24"/>
                <w:szCs w:val="24"/>
              </w:rPr>
            </w:pPr>
          </w:p>
        </w:tc>
      </w:tr>
      <w:tr w:rsidR="001B300F">
        <w:trPr>
          <w:trHeight w:val="465"/>
          <w:jc w:val="center"/>
        </w:trPr>
        <w:tc>
          <w:tcPr>
            <w:tcW w:w="3227" w:type="dxa"/>
            <w:gridSpan w:val="2"/>
            <w:vAlign w:val="center"/>
          </w:tcPr>
          <w:p w:rsidR="001B300F" w:rsidRDefault="001B300F">
            <w:pPr>
              <w:widowControl/>
              <w:jc w:val="left"/>
              <w:rPr>
                <w:kern w:val="0"/>
                <w:sz w:val="24"/>
                <w:szCs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1B300F">
            <w:pPr>
              <w:widowControl/>
              <w:jc w:val="center"/>
              <w:rPr>
                <w:kern w:val="0"/>
                <w:sz w:val="24"/>
                <w:szCs w:val="24"/>
              </w:rPr>
            </w:pPr>
          </w:p>
        </w:tc>
        <w:tc>
          <w:tcPr>
            <w:tcW w:w="1848" w:type="dxa"/>
            <w:vAlign w:val="center"/>
          </w:tcPr>
          <w:p w:rsidR="001B300F" w:rsidRDefault="001B300F">
            <w:pPr>
              <w:widowControl/>
              <w:jc w:val="center"/>
              <w:rPr>
                <w:sz w:val="24"/>
                <w:szCs w:val="24"/>
              </w:rPr>
            </w:pPr>
          </w:p>
        </w:tc>
      </w:tr>
      <w:tr w:rsidR="001B300F">
        <w:trPr>
          <w:trHeight w:val="465"/>
          <w:jc w:val="center"/>
        </w:trPr>
        <w:tc>
          <w:tcPr>
            <w:tcW w:w="3227" w:type="dxa"/>
            <w:gridSpan w:val="2"/>
            <w:vAlign w:val="center"/>
          </w:tcPr>
          <w:p w:rsidR="001B300F" w:rsidRDefault="001B300F">
            <w:pPr>
              <w:widowControl/>
              <w:jc w:val="left"/>
              <w:rPr>
                <w:sz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1B300F">
            <w:pPr>
              <w:widowControl/>
              <w:jc w:val="center"/>
              <w:rPr>
                <w:kern w:val="0"/>
                <w:sz w:val="24"/>
                <w:szCs w:val="24"/>
              </w:rPr>
            </w:pPr>
          </w:p>
        </w:tc>
        <w:tc>
          <w:tcPr>
            <w:tcW w:w="1848" w:type="dxa"/>
            <w:vAlign w:val="center"/>
          </w:tcPr>
          <w:p w:rsidR="001B300F" w:rsidRDefault="001B300F">
            <w:pPr>
              <w:widowControl/>
              <w:jc w:val="center"/>
              <w:rPr>
                <w:kern w:val="0"/>
                <w:sz w:val="24"/>
                <w:szCs w:val="24"/>
              </w:rPr>
            </w:pPr>
          </w:p>
        </w:tc>
      </w:tr>
      <w:tr w:rsidR="001B300F">
        <w:trPr>
          <w:trHeight w:val="465"/>
          <w:jc w:val="center"/>
        </w:trPr>
        <w:tc>
          <w:tcPr>
            <w:tcW w:w="3227" w:type="dxa"/>
            <w:gridSpan w:val="2"/>
            <w:vAlign w:val="center"/>
          </w:tcPr>
          <w:p w:rsidR="001B300F" w:rsidRDefault="001B300F">
            <w:pPr>
              <w:widowControl/>
              <w:jc w:val="left"/>
              <w:rPr>
                <w:sz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1B300F">
            <w:pPr>
              <w:widowControl/>
              <w:jc w:val="center"/>
              <w:rPr>
                <w:kern w:val="0"/>
                <w:sz w:val="24"/>
                <w:szCs w:val="24"/>
              </w:rPr>
            </w:pPr>
          </w:p>
        </w:tc>
        <w:tc>
          <w:tcPr>
            <w:tcW w:w="1848" w:type="dxa"/>
            <w:vAlign w:val="center"/>
          </w:tcPr>
          <w:p w:rsidR="001B300F" w:rsidRDefault="001B300F">
            <w:pPr>
              <w:widowControl/>
              <w:jc w:val="center"/>
              <w:rPr>
                <w:kern w:val="0"/>
                <w:sz w:val="24"/>
                <w:szCs w:val="24"/>
              </w:rPr>
            </w:pPr>
          </w:p>
        </w:tc>
      </w:tr>
      <w:tr w:rsidR="001B300F">
        <w:trPr>
          <w:trHeight w:val="465"/>
          <w:jc w:val="center"/>
        </w:trPr>
        <w:tc>
          <w:tcPr>
            <w:tcW w:w="3227" w:type="dxa"/>
            <w:gridSpan w:val="2"/>
            <w:vAlign w:val="center"/>
          </w:tcPr>
          <w:p w:rsidR="001B300F" w:rsidRDefault="001B300F">
            <w:pPr>
              <w:widowControl/>
              <w:jc w:val="center"/>
              <w:rPr>
                <w:sz w:val="24"/>
              </w:rPr>
            </w:pPr>
          </w:p>
        </w:tc>
        <w:tc>
          <w:tcPr>
            <w:tcW w:w="1701" w:type="dxa"/>
            <w:vAlign w:val="center"/>
          </w:tcPr>
          <w:p w:rsidR="001B300F" w:rsidRDefault="001B300F">
            <w:pPr>
              <w:widowControl/>
              <w:jc w:val="center"/>
              <w:rPr>
                <w:kern w:val="0"/>
                <w:sz w:val="24"/>
                <w:szCs w:val="24"/>
              </w:rPr>
            </w:pPr>
          </w:p>
        </w:tc>
        <w:tc>
          <w:tcPr>
            <w:tcW w:w="2238" w:type="dxa"/>
            <w:vAlign w:val="center"/>
          </w:tcPr>
          <w:p w:rsidR="001B300F" w:rsidRDefault="001B300F">
            <w:pPr>
              <w:widowControl/>
              <w:jc w:val="center"/>
              <w:rPr>
                <w:kern w:val="0"/>
                <w:sz w:val="24"/>
                <w:szCs w:val="24"/>
              </w:rPr>
            </w:pPr>
          </w:p>
        </w:tc>
        <w:tc>
          <w:tcPr>
            <w:tcW w:w="1848" w:type="dxa"/>
            <w:vAlign w:val="center"/>
          </w:tcPr>
          <w:p w:rsidR="001B300F" w:rsidRDefault="001B300F">
            <w:pPr>
              <w:widowControl/>
              <w:jc w:val="center"/>
              <w:rPr>
                <w:kern w:val="0"/>
                <w:sz w:val="24"/>
                <w:szCs w:val="24"/>
              </w:rPr>
            </w:pPr>
          </w:p>
        </w:tc>
      </w:tr>
    </w:tbl>
    <w:p w:rsidR="001B300F" w:rsidRDefault="004555CE">
      <w:pPr>
        <w:ind w:left="180"/>
        <w:rPr>
          <w:sz w:val="22"/>
          <w:szCs w:val="24"/>
        </w:rPr>
      </w:pPr>
      <w:r>
        <w:rPr>
          <w:sz w:val="22"/>
          <w:szCs w:val="24"/>
        </w:rPr>
        <w:t>注：</w:t>
      </w:r>
      <w:r>
        <w:rPr>
          <w:sz w:val="22"/>
          <w:szCs w:val="24"/>
        </w:rPr>
        <w:t xml:space="preserve">1. </w:t>
      </w:r>
      <w:r>
        <w:rPr>
          <w:sz w:val="22"/>
          <w:szCs w:val="24"/>
        </w:rPr>
        <w:t>本表第一行填写本项目投标总价，须与附件</w:t>
      </w:r>
      <w:r>
        <w:rPr>
          <w:rFonts w:hint="eastAsia"/>
          <w:sz w:val="22"/>
          <w:szCs w:val="24"/>
        </w:rPr>
        <w:t>3</w:t>
      </w:r>
      <w:r>
        <w:rPr>
          <w:sz w:val="22"/>
          <w:szCs w:val="24"/>
        </w:rPr>
        <w:t>中投标总价保持一致。</w:t>
      </w:r>
    </w:p>
    <w:p w:rsidR="001B300F" w:rsidRDefault="004555CE" w:rsidP="004555CE">
      <w:pPr>
        <w:ind w:left="180" w:firstLineChars="200" w:firstLine="406"/>
      </w:pPr>
      <w:r>
        <w:rPr>
          <w:sz w:val="22"/>
          <w:szCs w:val="24"/>
        </w:rPr>
        <w:t xml:space="preserve">2. </w:t>
      </w:r>
      <w:r>
        <w:rPr>
          <w:sz w:val="22"/>
          <w:szCs w:val="24"/>
        </w:rPr>
        <w:t>下面应填写分项价格及分项名称（分项名称可根据实际情况增减、修改），分项价格汇总应等于总价。</w:t>
      </w:r>
    </w:p>
    <w:p w:rsidR="001B300F" w:rsidRDefault="004555CE" w:rsidP="004555CE">
      <w:pPr>
        <w:spacing w:line="360" w:lineRule="auto"/>
        <w:ind w:firstLineChars="1700" w:firstLine="3794"/>
        <w:rPr>
          <w:sz w:val="24"/>
        </w:rPr>
      </w:pPr>
      <w:r>
        <w:rPr>
          <w:sz w:val="24"/>
        </w:rPr>
        <w:t>投标人名称：</w:t>
      </w:r>
    </w:p>
    <w:p w:rsidR="001B300F" w:rsidRDefault="001B300F" w:rsidP="004555CE">
      <w:pPr>
        <w:spacing w:line="360" w:lineRule="auto"/>
        <w:ind w:firstLineChars="1700" w:firstLine="3794"/>
        <w:rPr>
          <w:sz w:val="24"/>
        </w:rPr>
      </w:pPr>
    </w:p>
    <w:p w:rsidR="001B300F" w:rsidRDefault="004555CE" w:rsidP="004555CE">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B300F" w:rsidRDefault="004555CE">
      <w:pPr>
        <w:widowControl/>
        <w:jc w:val="left"/>
        <w:rPr>
          <w:sz w:val="24"/>
        </w:rPr>
      </w:pPr>
      <w:r>
        <w:rPr>
          <w:sz w:val="24"/>
        </w:rPr>
        <w:br w:type="page"/>
      </w:r>
    </w:p>
    <w:p w:rsidR="001B300F" w:rsidRDefault="004555CE">
      <w:pPr>
        <w:tabs>
          <w:tab w:val="left" w:pos="360"/>
        </w:tabs>
        <w:spacing w:line="360" w:lineRule="auto"/>
        <w:rPr>
          <w:b/>
          <w:sz w:val="24"/>
        </w:rPr>
      </w:pPr>
      <w:r>
        <w:rPr>
          <w:b/>
          <w:sz w:val="24"/>
        </w:rPr>
        <w:lastRenderedPageBreak/>
        <w:t>附件</w:t>
      </w:r>
      <w:r>
        <w:rPr>
          <w:rFonts w:hint="eastAsia"/>
          <w:b/>
          <w:sz w:val="24"/>
        </w:rPr>
        <w:t>5</w:t>
      </w:r>
    </w:p>
    <w:p w:rsidR="001B300F" w:rsidRDefault="004555CE">
      <w:pPr>
        <w:autoSpaceDN w:val="0"/>
        <w:spacing w:line="360" w:lineRule="auto"/>
        <w:jc w:val="center"/>
        <w:rPr>
          <w:b/>
          <w:bCs/>
          <w:sz w:val="24"/>
        </w:rPr>
      </w:pPr>
      <w:r>
        <w:rPr>
          <w:b/>
          <w:bCs/>
          <w:sz w:val="24"/>
        </w:rPr>
        <w:t>商务要求点对点应答表</w:t>
      </w:r>
    </w:p>
    <w:p w:rsidR="001B300F" w:rsidRDefault="001B300F">
      <w:pPr>
        <w:spacing w:line="460" w:lineRule="exact"/>
        <w:rPr>
          <w:sz w:val="24"/>
        </w:rPr>
      </w:pPr>
    </w:p>
    <w:p w:rsidR="001B300F" w:rsidRDefault="004555CE">
      <w:pPr>
        <w:spacing w:line="460" w:lineRule="exact"/>
        <w:rPr>
          <w:sz w:val="24"/>
        </w:rPr>
      </w:pPr>
      <w:r>
        <w:rPr>
          <w:sz w:val="24"/>
        </w:rPr>
        <w:t>项目名称：</w:t>
      </w:r>
      <w:r>
        <w:rPr>
          <w:sz w:val="24"/>
          <w:u w:val="single"/>
        </w:rPr>
        <w:t xml:space="preserve">                    </w:t>
      </w:r>
    </w:p>
    <w:p w:rsidR="001B300F" w:rsidRDefault="004555CE">
      <w:pPr>
        <w:spacing w:line="460" w:lineRule="exact"/>
        <w:rPr>
          <w:sz w:val="24"/>
        </w:rPr>
      </w:pPr>
      <w:r>
        <w:rPr>
          <w:sz w:val="24"/>
        </w:rPr>
        <w:t>项目编号：</w:t>
      </w:r>
      <w:r>
        <w:rPr>
          <w:sz w:val="24"/>
          <w:u w:val="single"/>
        </w:rPr>
        <w:t xml:space="preserve">                    </w:t>
      </w:r>
    </w:p>
    <w:p w:rsidR="001B300F" w:rsidRDefault="004555CE">
      <w:pPr>
        <w:spacing w:line="460" w:lineRule="exact"/>
        <w:rPr>
          <w:sz w:val="24"/>
          <w:u w:val="single"/>
        </w:rPr>
      </w:pPr>
      <w:r>
        <w:rPr>
          <w:sz w:val="24"/>
        </w:rPr>
        <w:t>包号：</w:t>
      </w:r>
      <w:r>
        <w:rPr>
          <w:sz w:val="24"/>
          <w:u w:val="single"/>
        </w:rPr>
        <w:t xml:space="preserve">                        </w:t>
      </w:r>
    </w:p>
    <w:p w:rsidR="001B300F" w:rsidRDefault="001B300F">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1B300F">
        <w:trPr>
          <w:trHeight w:val="373"/>
        </w:trPr>
        <w:tc>
          <w:tcPr>
            <w:tcW w:w="974" w:type="pct"/>
            <w:shd w:val="clear" w:color="auto" w:fill="auto"/>
            <w:vAlign w:val="center"/>
          </w:tcPr>
          <w:p w:rsidR="001B300F" w:rsidRDefault="004555CE">
            <w:pPr>
              <w:widowControl/>
              <w:jc w:val="center"/>
              <w:rPr>
                <w:kern w:val="0"/>
                <w:szCs w:val="21"/>
              </w:rPr>
            </w:pPr>
            <w:r>
              <w:rPr>
                <w:kern w:val="0"/>
                <w:szCs w:val="21"/>
              </w:rPr>
              <w:t>序号</w:t>
            </w:r>
          </w:p>
        </w:tc>
        <w:tc>
          <w:tcPr>
            <w:tcW w:w="1274" w:type="pct"/>
            <w:shd w:val="clear" w:color="auto" w:fill="auto"/>
            <w:vAlign w:val="center"/>
          </w:tcPr>
          <w:p w:rsidR="001B300F" w:rsidRDefault="004555CE">
            <w:pPr>
              <w:widowControl/>
              <w:jc w:val="center"/>
              <w:rPr>
                <w:kern w:val="0"/>
                <w:szCs w:val="21"/>
              </w:rPr>
            </w:pPr>
            <w:r>
              <w:rPr>
                <w:kern w:val="0"/>
                <w:szCs w:val="21"/>
              </w:rPr>
              <w:t>招标要求</w:t>
            </w:r>
          </w:p>
        </w:tc>
        <w:tc>
          <w:tcPr>
            <w:tcW w:w="1457" w:type="pct"/>
            <w:shd w:val="clear" w:color="auto" w:fill="auto"/>
            <w:vAlign w:val="center"/>
          </w:tcPr>
          <w:p w:rsidR="001B300F" w:rsidRDefault="004555CE">
            <w:pPr>
              <w:widowControl/>
              <w:jc w:val="center"/>
              <w:rPr>
                <w:kern w:val="0"/>
                <w:szCs w:val="21"/>
              </w:rPr>
            </w:pPr>
            <w:r>
              <w:rPr>
                <w:kern w:val="0"/>
                <w:szCs w:val="21"/>
              </w:rPr>
              <w:t>投标应答</w:t>
            </w:r>
          </w:p>
        </w:tc>
        <w:tc>
          <w:tcPr>
            <w:tcW w:w="648" w:type="pct"/>
            <w:shd w:val="clear" w:color="auto" w:fill="auto"/>
            <w:vAlign w:val="center"/>
          </w:tcPr>
          <w:p w:rsidR="001B300F" w:rsidRDefault="004555CE">
            <w:pPr>
              <w:widowControl/>
              <w:jc w:val="center"/>
              <w:rPr>
                <w:kern w:val="0"/>
                <w:szCs w:val="21"/>
              </w:rPr>
            </w:pPr>
            <w:r>
              <w:rPr>
                <w:kern w:val="0"/>
                <w:szCs w:val="21"/>
              </w:rPr>
              <w:t>偏离说明</w:t>
            </w:r>
          </w:p>
        </w:tc>
        <w:tc>
          <w:tcPr>
            <w:tcW w:w="647" w:type="pct"/>
            <w:shd w:val="clear" w:color="auto" w:fill="auto"/>
            <w:vAlign w:val="center"/>
          </w:tcPr>
          <w:p w:rsidR="001B300F" w:rsidRDefault="004555CE">
            <w:pPr>
              <w:widowControl/>
              <w:jc w:val="center"/>
              <w:rPr>
                <w:kern w:val="0"/>
                <w:szCs w:val="21"/>
              </w:rPr>
            </w:pPr>
            <w:r>
              <w:rPr>
                <w:kern w:val="0"/>
                <w:szCs w:val="21"/>
              </w:rPr>
              <w:t>备注</w:t>
            </w:r>
          </w:p>
        </w:tc>
      </w:tr>
      <w:tr w:rsidR="001B300F">
        <w:tc>
          <w:tcPr>
            <w:tcW w:w="5000" w:type="pct"/>
            <w:gridSpan w:val="5"/>
            <w:shd w:val="clear" w:color="auto" w:fill="auto"/>
            <w:vAlign w:val="center"/>
          </w:tcPr>
          <w:p w:rsidR="001B300F" w:rsidRDefault="004555CE">
            <w:pPr>
              <w:widowControl/>
              <w:jc w:val="left"/>
              <w:rPr>
                <w:kern w:val="0"/>
                <w:szCs w:val="21"/>
              </w:rPr>
            </w:pPr>
            <w:r>
              <w:rPr>
                <w:kern w:val="0"/>
                <w:szCs w:val="21"/>
              </w:rPr>
              <w:t>（一）报价要求</w:t>
            </w:r>
          </w:p>
        </w:tc>
      </w:tr>
      <w:tr w:rsidR="001B300F">
        <w:trPr>
          <w:trHeight w:val="46"/>
        </w:trPr>
        <w:tc>
          <w:tcPr>
            <w:tcW w:w="974" w:type="pct"/>
            <w:shd w:val="clear" w:color="auto" w:fill="auto"/>
            <w:vAlign w:val="center"/>
          </w:tcPr>
          <w:p w:rsidR="001B300F" w:rsidRDefault="004555CE">
            <w:pPr>
              <w:widowControl/>
              <w:jc w:val="left"/>
              <w:rPr>
                <w:kern w:val="0"/>
                <w:szCs w:val="21"/>
              </w:rPr>
            </w:pPr>
            <w:r>
              <w:rPr>
                <w:kern w:val="0"/>
                <w:szCs w:val="21"/>
              </w:rPr>
              <w:t xml:space="preserve">　</w:t>
            </w:r>
          </w:p>
        </w:tc>
        <w:tc>
          <w:tcPr>
            <w:tcW w:w="1274" w:type="pct"/>
            <w:shd w:val="clear" w:color="auto" w:fill="auto"/>
            <w:vAlign w:val="center"/>
          </w:tcPr>
          <w:p w:rsidR="001B300F" w:rsidRDefault="004555CE">
            <w:pPr>
              <w:widowControl/>
              <w:jc w:val="left"/>
              <w:rPr>
                <w:kern w:val="0"/>
                <w:szCs w:val="21"/>
              </w:rPr>
            </w:pPr>
            <w:r>
              <w:rPr>
                <w:kern w:val="0"/>
                <w:szCs w:val="21"/>
              </w:rPr>
              <w:t xml:space="preserve">　</w:t>
            </w:r>
          </w:p>
        </w:tc>
        <w:tc>
          <w:tcPr>
            <w:tcW w:w="1457" w:type="pct"/>
            <w:shd w:val="clear" w:color="auto" w:fill="auto"/>
            <w:vAlign w:val="center"/>
          </w:tcPr>
          <w:p w:rsidR="001B300F" w:rsidRDefault="004555CE">
            <w:pPr>
              <w:widowControl/>
              <w:jc w:val="left"/>
              <w:rPr>
                <w:kern w:val="0"/>
                <w:szCs w:val="21"/>
              </w:rPr>
            </w:pPr>
            <w:r>
              <w:rPr>
                <w:kern w:val="0"/>
                <w:szCs w:val="21"/>
              </w:rPr>
              <w:t xml:space="preserve">　</w:t>
            </w:r>
          </w:p>
        </w:tc>
        <w:tc>
          <w:tcPr>
            <w:tcW w:w="648" w:type="pct"/>
            <w:shd w:val="clear" w:color="auto" w:fill="auto"/>
            <w:vAlign w:val="center"/>
          </w:tcPr>
          <w:p w:rsidR="001B300F" w:rsidRDefault="004555CE">
            <w:pPr>
              <w:widowControl/>
              <w:jc w:val="left"/>
              <w:rPr>
                <w:kern w:val="0"/>
                <w:szCs w:val="21"/>
              </w:rPr>
            </w:pPr>
            <w:r>
              <w:rPr>
                <w:kern w:val="0"/>
                <w:szCs w:val="21"/>
              </w:rPr>
              <w:t xml:space="preserve">　</w:t>
            </w:r>
          </w:p>
        </w:tc>
        <w:tc>
          <w:tcPr>
            <w:tcW w:w="647" w:type="pct"/>
            <w:shd w:val="clear" w:color="auto" w:fill="auto"/>
            <w:vAlign w:val="center"/>
          </w:tcPr>
          <w:p w:rsidR="001B300F" w:rsidRDefault="004555CE">
            <w:pPr>
              <w:widowControl/>
              <w:jc w:val="left"/>
              <w:rPr>
                <w:kern w:val="0"/>
                <w:szCs w:val="21"/>
              </w:rPr>
            </w:pPr>
            <w:r>
              <w:rPr>
                <w:kern w:val="0"/>
                <w:szCs w:val="21"/>
              </w:rPr>
              <w:t xml:space="preserve">　</w:t>
            </w:r>
          </w:p>
        </w:tc>
      </w:tr>
      <w:tr w:rsidR="001B300F">
        <w:tc>
          <w:tcPr>
            <w:tcW w:w="5000" w:type="pct"/>
            <w:gridSpan w:val="5"/>
            <w:shd w:val="clear" w:color="auto" w:fill="auto"/>
            <w:vAlign w:val="center"/>
          </w:tcPr>
          <w:p w:rsidR="001B300F" w:rsidRDefault="004555CE">
            <w:pPr>
              <w:widowControl/>
              <w:jc w:val="left"/>
              <w:rPr>
                <w:kern w:val="0"/>
                <w:szCs w:val="21"/>
              </w:rPr>
            </w:pPr>
            <w:r>
              <w:rPr>
                <w:kern w:val="0"/>
                <w:szCs w:val="21"/>
              </w:rPr>
              <w:t>（</w:t>
            </w:r>
            <w:r>
              <w:rPr>
                <w:rFonts w:hint="eastAsia"/>
                <w:kern w:val="0"/>
                <w:szCs w:val="21"/>
              </w:rPr>
              <w:t>二</w:t>
            </w:r>
            <w:r>
              <w:rPr>
                <w:kern w:val="0"/>
                <w:szCs w:val="21"/>
              </w:rPr>
              <w:t>）时间、地点要求</w:t>
            </w:r>
          </w:p>
        </w:tc>
      </w:tr>
      <w:tr w:rsidR="001B300F">
        <w:tc>
          <w:tcPr>
            <w:tcW w:w="974" w:type="pct"/>
            <w:shd w:val="clear" w:color="auto" w:fill="auto"/>
            <w:vAlign w:val="center"/>
          </w:tcPr>
          <w:p w:rsidR="001B300F" w:rsidRDefault="004555CE">
            <w:pPr>
              <w:widowControl/>
              <w:jc w:val="left"/>
              <w:rPr>
                <w:kern w:val="0"/>
                <w:szCs w:val="21"/>
              </w:rPr>
            </w:pPr>
            <w:r>
              <w:rPr>
                <w:kern w:val="0"/>
                <w:szCs w:val="21"/>
              </w:rPr>
              <w:t xml:space="preserve">　</w:t>
            </w:r>
          </w:p>
        </w:tc>
        <w:tc>
          <w:tcPr>
            <w:tcW w:w="1274" w:type="pct"/>
            <w:shd w:val="clear" w:color="auto" w:fill="auto"/>
            <w:vAlign w:val="center"/>
          </w:tcPr>
          <w:p w:rsidR="001B300F" w:rsidRDefault="004555CE">
            <w:pPr>
              <w:widowControl/>
              <w:jc w:val="left"/>
              <w:rPr>
                <w:kern w:val="0"/>
                <w:szCs w:val="21"/>
              </w:rPr>
            </w:pPr>
            <w:r>
              <w:rPr>
                <w:kern w:val="0"/>
                <w:szCs w:val="21"/>
              </w:rPr>
              <w:t xml:space="preserve">　</w:t>
            </w:r>
          </w:p>
        </w:tc>
        <w:tc>
          <w:tcPr>
            <w:tcW w:w="1457" w:type="pct"/>
            <w:shd w:val="clear" w:color="auto" w:fill="auto"/>
            <w:vAlign w:val="center"/>
          </w:tcPr>
          <w:p w:rsidR="001B300F" w:rsidRDefault="004555CE">
            <w:pPr>
              <w:widowControl/>
              <w:jc w:val="left"/>
              <w:rPr>
                <w:kern w:val="0"/>
                <w:szCs w:val="21"/>
              </w:rPr>
            </w:pPr>
            <w:r>
              <w:rPr>
                <w:kern w:val="0"/>
                <w:szCs w:val="21"/>
              </w:rPr>
              <w:t xml:space="preserve">　</w:t>
            </w:r>
          </w:p>
        </w:tc>
        <w:tc>
          <w:tcPr>
            <w:tcW w:w="648" w:type="pct"/>
            <w:shd w:val="clear" w:color="auto" w:fill="auto"/>
            <w:vAlign w:val="center"/>
          </w:tcPr>
          <w:p w:rsidR="001B300F" w:rsidRDefault="004555CE">
            <w:pPr>
              <w:widowControl/>
              <w:jc w:val="left"/>
              <w:rPr>
                <w:kern w:val="0"/>
                <w:szCs w:val="21"/>
              </w:rPr>
            </w:pPr>
            <w:r>
              <w:rPr>
                <w:kern w:val="0"/>
                <w:szCs w:val="21"/>
              </w:rPr>
              <w:t xml:space="preserve">　</w:t>
            </w:r>
          </w:p>
        </w:tc>
        <w:tc>
          <w:tcPr>
            <w:tcW w:w="647" w:type="pct"/>
            <w:shd w:val="clear" w:color="auto" w:fill="auto"/>
            <w:vAlign w:val="center"/>
          </w:tcPr>
          <w:p w:rsidR="001B300F" w:rsidRDefault="004555CE">
            <w:pPr>
              <w:widowControl/>
              <w:jc w:val="left"/>
              <w:rPr>
                <w:kern w:val="0"/>
                <w:szCs w:val="21"/>
              </w:rPr>
            </w:pPr>
            <w:r>
              <w:rPr>
                <w:kern w:val="0"/>
                <w:szCs w:val="21"/>
              </w:rPr>
              <w:t xml:space="preserve">　</w:t>
            </w:r>
          </w:p>
        </w:tc>
      </w:tr>
      <w:tr w:rsidR="001B300F">
        <w:tc>
          <w:tcPr>
            <w:tcW w:w="5000" w:type="pct"/>
            <w:gridSpan w:val="5"/>
            <w:shd w:val="clear" w:color="auto" w:fill="auto"/>
            <w:vAlign w:val="center"/>
          </w:tcPr>
          <w:p w:rsidR="001B300F" w:rsidRDefault="004555CE">
            <w:pPr>
              <w:widowControl/>
              <w:jc w:val="left"/>
              <w:rPr>
                <w:kern w:val="0"/>
                <w:szCs w:val="21"/>
              </w:rPr>
            </w:pPr>
            <w:r>
              <w:rPr>
                <w:kern w:val="0"/>
                <w:szCs w:val="21"/>
              </w:rPr>
              <w:t>（</w:t>
            </w:r>
            <w:r>
              <w:rPr>
                <w:rFonts w:hint="eastAsia"/>
                <w:kern w:val="0"/>
                <w:szCs w:val="21"/>
              </w:rPr>
              <w:t>三</w:t>
            </w:r>
            <w:r>
              <w:rPr>
                <w:kern w:val="0"/>
                <w:szCs w:val="21"/>
              </w:rPr>
              <w:t>）付款方式</w:t>
            </w:r>
          </w:p>
        </w:tc>
      </w:tr>
      <w:tr w:rsidR="001B300F">
        <w:tc>
          <w:tcPr>
            <w:tcW w:w="974" w:type="pct"/>
            <w:shd w:val="clear" w:color="auto" w:fill="auto"/>
            <w:vAlign w:val="center"/>
          </w:tcPr>
          <w:p w:rsidR="001B300F" w:rsidRDefault="004555CE">
            <w:pPr>
              <w:widowControl/>
              <w:jc w:val="left"/>
              <w:rPr>
                <w:kern w:val="0"/>
                <w:szCs w:val="21"/>
              </w:rPr>
            </w:pPr>
            <w:r>
              <w:rPr>
                <w:kern w:val="0"/>
                <w:szCs w:val="21"/>
              </w:rPr>
              <w:t xml:space="preserve">　</w:t>
            </w:r>
          </w:p>
        </w:tc>
        <w:tc>
          <w:tcPr>
            <w:tcW w:w="1274" w:type="pct"/>
            <w:shd w:val="clear" w:color="auto" w:fill="auto"/>
            <w:vAlign w:val="center"/>
          </w:tcPr>
          <w:p w:rsidR="001B300F" w:rsidRDefault="004555CE">
            <w:pPr>
              <w:widowControl/>
              <w:jc w:val="left"/>
              <w:rPr>
                <w:kern w:val="0"/>
                <w:szCs w:val="21"/>
              </w:rPr>
            </w:pPr>
            <w:r>
              <w:rPr>
                <w:kern w:val="0"/>
                <w:szCs w:val="21"/>
              </w:rPr>
              <w:t xml:space="preserve">　</w:t>
            </w:r>
          </w:p>
        </w:tc>
        <w:tc>
          <w:tcPr>
            <w:tcW w:w="1457" w:type="pct"/>
            <w:shd w:val="clear" w:color="auto" w:fill="auto"/>
            <w:vAlign w:val="center"/>
          </w:tcPr>
          <w:p w:rsidR="001B300F" w:rsidRDefault="004555CE">
            <w:pPr>
              <w:widowControl/>
              <w:jc w:val="left"/>
              <w:rPr>
                <w:kern w:val="0"/>
                <w:szCs w:val="21"/>
              </w:rPr>
            </w:pPr>
            <w:r>
              <w:rPr>
                <w:kern w:val="0"/>
                <w:szCs w:val="21"/>
              </w:rPr>
              <w:t xml:space="preserve">　</w:t>
            </w:r>
          </w:p>
        </w:tc>
        <w:tc>
          <w:tcPr>
            <w:tcW w:w="648" w:type="pct"/>
            <w:shd w:val="clear" w:color="auto" w:fill="auto"/>
            <w:vAlign w:val="center"/>
          </w:tcPr>
          <w:p w:rsidR="001B300F" w:rsidRDefault="004555CE">
            <w:pPr>
              <w:widowControl/>
              <w:jc w:val="left"/>
              <w:rPr>
                <w:kern w:val="0"/>
                <w:szCs w:val="21"/>
              </w:rPr>
            </w:pPr>
            <w:r>
              <w:rPr>
                <w:kern w:val="0"/>
                <w:szCs w:val="21"/>
              </w:rPr>
              <w:t xml:space="preserve">　</w:t>
            </w:r>
          </w:p>
        </w:tc>
        <w:tc>
          <w:tcPr>
            <w:tcW w:w="647" w:type="pct"/>
            <w:shd w:val="clear" w:color="auto" w:fill="auto"/>
            <w:vAlign w:val="center"/>
          </w:tcPr>
          <w:p w:rsidR="001B300F" w:rsidRDefault="004555CE">
            <w:pPr>
              <w:widowControl/>
              <w:jc w:val="left"/>
              <w:rPr>
                <w:kern w:val="0"/>
                <w:szCs w:val="21"/>
              </w:rPr>
            </w:pPr>
            <w:r>
              <w:rPr>
                <w:kern w:val="0"/>
                <w:szCs w:val="21"/>
              </w:rPr>
              <w:t xml:space="preserve">　</w:t>
            </w:r>
          </w:p>
        </w:tc>
      </w:tr>
      <w:tr w:rsidR="001B300F">
        <w:tc>
          <w:tcPr>
            <w:tcW w:w="5000" w:type="pct"/>
            <w:gridSpan w:val="5"/>
            <w:shd w:val="clear" w:color="auto" w:fill="auto"/>
            <w:vAlign w:val="center"/>
          </w:tcPr>
          <w:p w:rsidR="001B300F" w:rsidRDefault="004555CE">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rsidR="001B300F">
        <w:tc>
          <w:tcPr>
            <w:tcW w:w="974" w:type="pct"/>
            <w:shd w:val="clear" w:color="auto" w:fill="auto"/>
            <w:vAlign w:val="center"/>
          </w:tcPr>
          <w:p w:rsidR="001B300F" w:rsidRDefault="004555CE">
            <w:pPr>
              <w:widowControl/>
              <w:jc w:val="left"/>
              <w:rPr>
                <w:kern w:val="0"/>
                <w:szCs w:val="21"/>
              </w:rPr>
            </w:pPr>
            <w:r>
              <w:rPr>
                <w:kern w:val="0"/>
                <w:szCs w:val="21"/>
              </w:rPr>
              <w:t xml:space="preserve">　</w:t>
            </w:r>
          </w:p>
        </w:tc>
        <w:tc>
          <w:tcPr>
            <w:tcW w:w="1274" w:type="pct"/>
            <w:shd w:val="clear" w:color="auto" w:fill="auto"/>
            <w:vAlign w:val="center"/>
          </w:tcPr>
          <w:p w:rsidR="001B300F" w:rsidRDefault="004555CE">
            <w:pPr>
              <w:widowControl/>
              <w:jc w:val="left"/>
              <w:rPr>
                <w:kern w:val="0"/>
                <w:szCs w:val="21"/>
              </w:rPr>
            </w:pPr>
            <w:r>
              <w:rPr>
                <w:kern w:val="0"/>
                <w:szCs w:val="21"/>
              </w:rPr>
              <w:t xml:space="preserve">　</w:t>
            </w:r>
          </w:p>
        </w:tc>
        <w:tc>
          <w:tcPr>
            <w:tcW w:w="1457" w:type="pct"/>
            <w:shd w:val="clear" w:color="auto" w:fill="auto"/>
            <w:vAlign w:val="center"/>
          </w:tcPr>
          <w:p w:rsidR="001B300F" w:rsidRDefault="004555CE">
            <w:pPr>
              <w:widowControl/>
              <w:jc w:val="left"/>
              <w:rPr>
                <w:kern w:val="0"/>
                <w:szCs w:val="21"/>
              </w:rPr>
            </w:pPr>
            <w:r>
              <w:rPr>
                <w:kern w:val="0"/>
                <w:szCs w:val="21"/>
              </w:rPr>
              <w:t xml:space="preserve">　</w:t>
            </w:r>
          </w:p>
        </w:tc>
        <w:tc>
          <w:tcPr>
            <w:tcW w:w="648" w:type="pct"/>
            <w:shd w:val="clear" w:color="auto" w:fill="auto"/>
            <w:vAlign w:val="center"/>
          </w:tcPr>
          <w:p w:rsidR="001B300F" w:rsidRDefault="004555CE">
            <w:pPr>
              <w:widowControl/>
              <w:jc w:val="left"/>
              <w:rPr>
                <w:kern w:val="0"/>
                <w:szCs w:val="21"/>
              </w:rPr>
            </w:pPr>
            <w:r>
              <w:rPr>
                <w:kern w:val="0"/>
                <w:szCs w:val="21"/>
              </w:rPr>
              <w:t xml:space="preserve">　</w:t>
            </w:r>
          </w:p>
        </w:tc>
        <w:tc>
          <w:tcPr>
            <w:tcW w:w="647" w:type="pct"/>
            <w:shd w:val="clear" w:color="auto" w:fill="auto"/>
            <w:vAlign w:val="center"/>
          </w:tcPr>
          <w:p w:rsidR="001B300F" w:rsidRDefault="004555CE">
            <w:pPr>
              <w:widowControl/>
              <w:jc w:val="left"/>
              <w:rPr>
                <w:kern w:val="0"/>
                <w:szCs w:val="21"/>
              </w:rPr>
            </w:pPr>
            <w:r>
              <w:rPr>
                <w:kern w:val="0"/>
                <w:szCs w:val="21"/>
              </w:rPr>
              <w:t xml:space="preserve">　</w:t>
            </w:r>
          </w:p>
        </w:tc>
      </w:tr>
      <w:tr w:rsidR="001B300F">
        <w:tc>
          <w:tcPr>
            <w:tcW w:w="5000" w:type="pct"/>
            <w:gridSpan w:val="5"/>
            <w:shd w:val="clear" w:color="auto" w:fill="auto"/>
            <w:vAlign w:val="center"/>
          </w:tcPr>
          <w:p w:rsidR="001B300F" w:rsidRDefault="004555CE">
            <w:pPr>
              <w:widowControl/>
              <w:jc w:val="left"/>
              <w:rPr>
                <w:kern w:val="0"/>
                <w:szCs w:val="21"/>
              </w:rPr>
            </w:pPr>
            <w:r>
              <w:rPr>
                <w:rFonts w:hint="eastAsia"/>
                <w:kern w:val="0"/>
                <w:szCs w:val="21"/>
              </w:rPr>
              <w:t>（五）验收方法及标准</w:t>
            </w:r>
          </w:p>
        </w:tc>
      </w:tr>
      <w:tr w:rsidR="001B300F">
        <w:tc>
          <w:tcPr>
            <w:tcW w:w="974" w:type="pct"/>
            <w:shd w:val="clear" w:color="auto" w:fill="auto"/>
            <w:vAlign w:val="center"/>
          </w:tcPr>
          <w:p w:rsidR="001B300F" w:rsidRDefault="001B300F">
            <w:pPr>
              <w:widowControl/>
              <w:jc w:val="left"/>
              <w:rPr>
                <w:kern w:val="0"/>
                <w:szCs w:val="21"/>
              </w:rPr>
            </w:pPr>
          </w:p>
        </w:tc>
        <w:tc>
          <w:tcPr>
            <w:tcW w:w="1274" w:type="pct"/>
            <w:shd w:val="clear" w:color="auto" w:fill="auto"/>
            <w:vAlign w:val="center"/>
          </w:tcPr>
          <w:p w:rsidR="001B300F" w:rsidRDefault="001B300F">
            <w:pPr>
              <w:widowControl/>
              <w:jc w:val="left"/>
              <w:rPr>
                <w:kern w:val="0"/>
                <w:szCs w:val="21"/>
              </w:rPr>
            </w:pPr>
          </w:p>
        </w:tc>
        <w:tc>
          <w:tcPr>
            <w:tcW w:w="1457" w:type="pct"/>
            <w:shd w:val="clear" w:color="auto" w:fill="auto"/>
            <w:vAlign w:val="center"/>
          </w:tcPr>
          <w:p w:rsidR="001B300F" w:rsidRDefault="001B300F">
            <w:pPr>
              <w:widowControl/>
              <w:jc w:val="left"/>
              <w:rPr>
                <w:kern w:val="0"/>
                <w:szCs w:val="21"/>
              </w:rPr>
            </w:pPr>
          </w:p>
        </w:tc>
        <w:tc>
          <w:tcPr>
            <w:tcW w:w="648" w:type="pct"/>
            <w:shd w:val="clear" w:color="auto" w:fill="auto"/>
            <w:vAlign w:val="center"/>
          </w:tcPr>
          <w:p w:rsidR="001B300F" w:rsidRDefault="001B300F">
            <w:pPr>
              <w:widowControl/>
              <w:jc w:val="left"/>
              <w:rPr>
                <w:kern w:val="0"/>
                <w:szCs w:val="21"/>
              </w:rPr>
            </w:pPr>
          </w:p>
        </w:tc>
        <w:tc>
          <w:tcPr>
            <w:tcW w:w="647" w:type="pct"/>
            <w:shd w:val="clear" w:color="auto" w:fill="auto"/>
            <w:vAlign w:val="center"/>
          </w:tcPr>
          <w:p w:rsidR="001B300F" w:rsidRDefault="001B300F">
            <w:pPr>
              <w:widowControl/>
              <w:jc w:val="left"/>
              <w:rPr>
                <w:kern w:val="0"/>
                <w:szCs w:val="21"/>
              </w:rPr>
            </w:pPr>
          </w:p>
        </w:tc>
      </w:tr>
    </w:tbl>
    <w:p w:rsidR="001B300F" w:rsidRDefault="004555CE" w:rsidP="004555CE">
      <w:pPr>
        <w:spacing w:line="360" w:lineRule="auto"/>
        <w:ind w:firstLineChars="200" w:firstLine="446"/>
        <w:rPr>
          <w:sz w:val="24"/>
        </w:rPr>
      </w:pPr>
      <w:r>
        <w:rPr>
          <w:sz w:val="24"/>
        </w:rPr>
        <w:t>注：</w:t>
      </w:r>
    </w:p>
    <w:p w:rsidR="001B300F" w:rsidRDefault="004555CE" w:rsidP="004555CE">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1B300F" w:rsidRDefault="004555CE" w:rsidP="004555CE">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1B300F" w:rsidRDefault="004555CE" w:rsidP="004555CE">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1B300F" w:rsidRDefault="001B300F">
      <w:pPr>
        <w:spacing w:line="360" w:lineRule="auto"/>
        <w:rPr>
          <w:sz w:val="24"/>
        </w:rPr>
      </w:pPr>
    </w:p>
    <w:p w:rsidR="001B300F" w:rsidRDefault="004555CE" w:rsidP="004555CE">
      <w:pPr>
        <w:spacing w:line="360" w:lineRule="auto"/>
        <w:ind w:firstLineChars="1700" w:firstLine="3794"/>
        <w:rPr>
          <w:sz w:val="24"/>
        </w:rPr>
      </w:pPr>
      <w:r>
        <w:rPr>
          <w:sz w:val="24"/>
        </w:rPr>
        <w:t>投标人名称：</w:t>
      </w:r>
    </w:p>
    <w:p w:rsidR="001B300F" w:rsidRDefault="001B300F" w:rsidP="004555CE">
      <w:pPr>
        <w:spacing w:line="360" w:lineRule="auto"/>
        <w:ind w:firstLineChars="1700" w:firstLine="3794"/>
        <w:rPr>
          <w:sz w:val="24"/>
        </w:rPr>
      </w:pPr>
    </w:p>
    <w:p w:rsidR="001B300F" w:rsidRDefault="004555CE" w:rsidP="004555CE">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B300F" w:rsidRDefault="004555CE">
      <w:pPr>
        <w:tabs>
          <w:tab w:val="left" w:pos="360"/>
        </w:tabs>
        <w:spacing w:line="360" w:lineRule="auto"/>
        <w:rPr>
          <w:b/>
          <w:sz w:val="24"/>
        </w:rPr>
      </w:pPr>
      <w:r>
        <w:rPr>
          <w:sz w:val="24"/>
        </w:rPr>
        <w:br w:type="page"/>
      </w:r>
      <w:r>
        <w:rPr>
          <w:b/>
          <w:sz w:val="24"/>
        </w:rPr>
        <w:lastRenderedPageBreak/>
        <w:t>附件</w:t>
      </w:r>
      <w:r>
        <w:rPr>
          <w:rFonts w:hint="eastAsia"/>
          <w:b/>
          <w:sz w:val="24"/>
        </w:rPr>
        <w:t>6</w:t>
      </w:r>
    </w:p>
    <w:p w:rsidR="001B300F" w:rsidRDefault="004555CE">
      <w:pPr>
        <w:spacing w:line="360" w:lineRule="auto"/>
        <w:jc w:val="center"/>
        <w:rPr>
          <w:b/>
          <w:bCs/>
          <w:sz w:val="24"/>
          <w:szCs w:val="24"/>
        </w:rPr>
      </w:pPr>
      <w:r>
        <w:rPr>
          <w:rFonts w:ascii="宋体" w:hAnsi="宋体"/>
          <w:b/>
          <w:bCs/>
          <w:sz w:val="24"/>
          <w:szCs w:val="24"/>
        </w:rPr>
        <w:t>技术要求偏离应答表</w:t>
      </w:r>
    </w:p>
    <w:p w:rsidR="001B300F" w:rsidRDefault="004555CE">
      <w:pPr>
        <w:spacing w:line="460" w:lineRule="exact"/>
        <w:rPr>
          <w:sz w:val="24"/>
        </w:rPr>
      </w:pPr>
      <w:r>
        <w:rPr>
          <w:sz w:val="24"/>
        </w:rPr>
        <w:t>项目名称：</w:t>
      </w:r>
      <w:r>
        <w:rPr>
          <w:sz w:val="24"/>
          <w:u w:val="single"/>
        </w:rPr>
        <w:t xml:space="preserve">                    </w:t>
      </w:r>
    </w:p>
    <w:p w:rsidR="001B300F" w:rsidRDefault="004555CE">
      <w:pPr>
        <w:spacing w:line="460" w:lineRule="exact"/>
        <w:rPr>
          <w:sz w:val="24"/>
        </w:rPr>
      </w:pPr>
      <w:r>
        <w:rPr>
          <w:sz w:val="24"/>
        </w:rPr>
        <w:t>项目编号：</w:t>
      </w:r>
      <w:r>
        <w:rPr>
          <w:sz w:val="24"/>
          <w:u w:val="single"/>
        </w:rPr>
        <w:t xml:space="preserve">                    </w:t>
      </w:r>
    </w:p>
    <w:p w:rsidR="001B300F" w:rsidRDefault="004555CE">
      <w:pPr>
        <w:spacing w:line="460" w:lineRule="exact"/>
        <w:rPr>
          <w:sz w:val="24"/>
          <w:u w:val="single"/>
        </w:rPr>
      </w:pPr>
      <w:r>
        <w:rPr>
          <w:sz w:val="24"/>
        </w:rPr>
        <w:t>包号：</w:t>
      </w:r>
      <w:r>
        <w:rPr>
          <w:sz w:val="24"/>
          <w:u w:val="single"/>
        </w:rPr>
        <w:t xml:space="preserve">                        </w:t>
      </w:r>
    </w:p>
    <w:p w:rsidR="001B300F" w:rsidRDefault="001B300F">
      <w:pPr>
        <w:spacing w:line="460" w:lineRule="exact"/>
        <w:rPr>
          <w:sz w:val="24"/>
          <w:szCs w:val="24"/>
          <w:u w:val="single"/>
        </w:rPr>
      </w:pPr>
    </w:p>
    <w:p w:rsidR="001B300F" w:rsidRDefault="004555CE">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w:t>
      </w:r>
      <w:proofErr w:type="gramStart"/>
      <w:r>
        <w:rPr>
          <w:rFonts w:ascii="宋体" w:hAnsi="宋体" w:hint="eastAsia"/>
          <w:b/>
          <w:sz w:val="24"/>
          <w:szCs w:val="24"/>
        </w:rPr>
        <w:t>规</w:t>
      </w:r>
      <w:proofErr w:type="gramEnd"/>
      <w:r>
        <w:rPr>
          <w:rFonts w:ascii="宋体" w:hAnsi="宋体" w:hint="eastAsia"/>
          <w:b/>
          <w:sz w:val="24"/>
          <w:szCs w:val="24"/>
        </w:rPr>
        <w:t>使用。除下表列出的偏离外，与招标文件技术要求完全一致，并承担相应的法律责任。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1B30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kern w:val="0"/>
                <w:sz w:val="24"/>
                <w:szCs w:val="24"/>
              </w:rPr>
              <w:t>备注</w:t>
            </w:r>
          </w:p>
        </w:tc>
      </w:tr>
      <w:tr w:rsidR="001B30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1B300F" w:rsidRDefault="004555CE">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r>
      <w:tr w:rsidR="001B30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r>
      <w:tr w:rsidR="001B30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r>
      <w:tr w:rsidR="001B30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r>
      <w:tr w:rsidR="001B30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1B300F" w:rsidRDefault="001B300F">
            <w:pPr>
              <w:widowControl/>
              <w:snapToGrid w:val="0"/>
              <w:jc w:val="center"/>
              <w:rPr>
                <w:kern w:val="0"/>
                <w:sz w:val="24"/>
                <w:szCs w:val="24"/>
              </w:rPr>
            </w:pPr>
          </w:p>
        </w:tc>
      </w:tr>
    </w:tbl>
    <w:p w:rsidR="001B300F" w:rsidRDefault="004555CE" w:rsidP="004555CE">
      <w:pPr>
        <w:spacing w:line="360" w:lineRule="auto"/>
        <w:ind w:firstLineChars="200" w:firstLine="446"/>
        <w:rPr>
          <w:sz w:val="24"/>
          <w:szCs w:val="24"/>
        </w:rPr>
      </w:pPr>
      <w:r>
        <w:rPr>
          <w:rFonts w:ascii="宋体" w:hAnsi="宋体"/>
          <w:sz w:val="24"/>
          <w:szCs w:val="24"/>
        </w:rPr>
        <w:t>注：</w:t>
      </w:r>
    </w:p>
    <w:p w:rsidR="001B300F" w:rsidRDefault="004555CE" w:rsidP="004555CE">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1B300F" w:rsidRDefault="004555CE" w:rsidP="004555CE">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1B300F" w:rsidRDefault="004555CE" w:rsidP="004555CE">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1B300F" w:rsidRDefault="001B300F">
      <w:pPr>
        <w:spacing w:line="360" w:lineRule="auto"/>
        <w:rPr>
          <w:sz w:val="24"/>
        </w:rPr>
      </w:pPr>
    </w:p>
    <w:p w:rsidR="001B300F" w:rsidRDefault="004555CE" w:rsidP="004555CE">
      <w:pPr>
        <w:spacing w:line="360" w:lineRule="auto"/>
        <w:ind w:firstLineChars="1700" w:firstLine="3794"/>
        <w:rPr>
          <w:sz w:val="24"/>
        </w:rPr>
      </w:pPr>
      <w:r>
        <w:rPr>
          <w:sz w:val="24"/>
        </w:rPr>
        <w:t>投标人名称：</w:t>
      </w:r>
    </w:p>
    <w:p w:rsidR="001B300F" w:rsidRDefault="001B300F" w:rsidP="004555CE">
      <w:pPr>
        <w:spacing w:line="360" w:lineRule="auto"/>
        <w:ind w:firstLineChars="1700" w:firstLine="3794"/>
        <w:rPr>
          <w:sz w:val="24"/>
        </w:rPr>
      </w:pPr>
    </w:p>
    <w:p w:rsidR="001B300F" w:rsidRDefault="004555CE" w:rsidP="004555CE">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B300F" w:rsidRDefault="004555CE">
      <w:pPr>
        <w:tabs>
          <w:tab w:val="left" w:pos="360"/>
        </w:tabs>
        <w:spacing w:line="360" w:lineRule="auto"/>
        <w:rPr>
          <w:b/>
          <w:sz w:val="24"/>
        </w:rPr>
      </w:pPr>
      <w:r>
        <w:rPr>
          <w:sz w:val="24"/>
        </w:rPr>
        <w:br w:type="page"/>
      </w:r>
      <w:r>
        <w:rPr>
          <w:b/>
          <w:sz w:val="24"/>
        </w:rPr>
        <w:lastRenderedPageBreak/>
        <w:t>附件</w:t>
      </w:r>
      <w:r>
        <w:rPr>
          <w:rFonts w:hint="eastAsia"/>
          <w:b/>
          <w:sz w:val="24"/>
        </w:rPr>
        <w:t>7</w:t>
      </w:r>
    </w:p>
    <w:p w:rsidR="001B300F" w:rsidRDefault="004555CE">
      <w:pPr>
        <w:autoSpaceDN w:val="0"/>
        <w:spacing w:line="360" w:lineRule="auto"/>
        <w:jc w:val="center"/>
        <w:rPr>
          <w:b/>
          <w:bCs/>
          <w:sz w:val="24"/>
        </w:rPr>
      </w:pPr>
      <w:r>
        <w:rPr>
          <w:b/>
          <w:sz w:val="24"/>
        </w:rPr>
        <w:t>主要相关项目业绩一览表</w:t>
      </w:r>
    </w:p>
    <w:p w:rsidR="001B300F" w:rsidRDefault="001B300F">
      <w:pPr>
        <w:spacing w:line="460" w:lineRule="exact"/>
        <w:ind w:left="192"/>
        <w:rPr>
          <w:sz w:val="24"/>
        </w:rPr>
      </w:pPr>
    </w:p>
    <w:p w:rsidR="001B300F" w:rsidRDefault="004555CE">
      <w:pPr>
        <w:spacing w:line="460" w:lineRule="exact"/>
        <w:rPr>
          <w:sz w:val="24"/>
        </w:rPr>
      </w:pPr>
      <w:r>
        <w:rPr>
          <w:sz w:val="24"/>
        </w:rPr>
        <w:t>项目名称：</w:t>
      </w:r>
      <w:r>
        <w:rPr>
          <w:sz w:val="24"/>
          <w:u w:val="single"/>
        </w:rPr>
        <w:t xml:space="preserve">                    </w:t>
      </w:r>
    </w:p>
    <w:p w:rsidR="001B300F" w:rsidRDefault="004555CE">
      <w:pPr>
        <w:spacing w:line="460" w:lineRule="exact"/>
        <w:rPr>
          <w:sz w:val="24"/>
        </w:rPr>
      </w:pPr>
      <w:r>
        <w:rPr>
          <w:sz w:val="24"/>
        </w:rPr>
        <w:t>项目编号：</w:t>
      </w:r>
      <w:r>
        <w:rPr>
          <w:sz w:val="24"/>
          <w:u w:val="single"/>
        </w:rPr>
        <w:t xml:space="preserve">                    </w:t>
      </w:r>
    </w:p>
    <w:p w:rsidR="001B300F" w:rsidRDefault="004555CE">
      <w:pPr>
        <w:spacing w:line="460" w:lineRule="exact"/>
        <w:rPr>
          <w:sz w:val="24"/>
          <w:u w:val="single"/>
        </w:rPr>
      </w:pPr>
      <w:r>
        <w:rPr>
          <w:sz w:val="24"/>
        </w:rPr>
        <w:t>包号：</w:t>
      </w:r>
      <w:r>
        <w:rPr>
          <w:sz w:val="24"/>
          <w:u w:val="single"/>
        </w:rPr>
        <w:t xml:space="preserve">                        </w:t>
      </w:r>
    </w:p>
    <w:p w:rsidR="001B300F" w:rsidRDefault="001B300F">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4555CE">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4555CE">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4555CE">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4555CE">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4555CE">
            <w:pPr>
              <w:snapToGrid w:val="0"/>
              <w:jc w:val="center"/>
              <w:rPr>
                <w:sz w:val="24"/>
              </w:rPr>
            </w:pPr>
            <w:r>
              <w:rPr>
                <w:sz w:val="24"/>
              </w:rPr>
              <w:t>项目起止时间</w:t>
            </w: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r w:rsidR="001B30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1B300F" w:rsidRDefault="001B300F">
            <w:pPr>
              <w:snapToGrid w:val="0"/>
              <w:jc w:val="center"/>
              <w:rPr>
                <w:sz w:val="24"/>
              </w:rPr>
            </w:pPr>
          </w:p>
        </w:tc>
      </w:tr>
    </w:tbl>
    <w:p w:rsidR="001B300F" w:rsidRDefault="004555CE">
      <w:pPr>
        <w:spacing w:line="560" w:lineRule="exact"/>
        <w:rPr>
          <w:sz w:val="24"/>
        </w:rPr>
      </w:pPr>
      <w:r>
        <w:rPr>
          <w:sz w:val="24"/>
        </w:rPr>
        <w:t>备注：若招标文件第二部分评分因素及评标标准中要求提供业绩的，投标人所列业绩应按其要求将证明材料按顺序附后。</w:t>
      </w:r>
    </w:p>
    <w:p w:rsidR="001B300F" w:rsidRDefault="001B300F">
      <w:pPr>
        <w:spacing w:line="560" w:lineRule="exact"/>
        <w:rPr>
          <w:sz w:val="24"/>
        </w:rPr>
      </w:pPr>
    </w:p>
    <w:p w:rsidR="001B300F" w:rsidRDefault="004555CE" w:rsidP="004555CE">
      <w:pPr>
        <w:spacing w:line="360" w:lineRule="auto"/>
        <w:ind w:firstLineChars="1700" w:firstLine="3794"/>
        <w:rPr>
          <w:sz w:val="24"/>
        </w:rPr>
      </w:pPr>
      <w:r>
        <w:rPr>
          <w:sz w:val="24"/>
        </w:rPr>
        <w:t>投标人名称：</w:t>
      </w:r>
    </w:p>
    <w:p w:rsidR="001B300F" w:rsidRDefault="001B300F" w:rsidP="004555CE">
      <w:pPr>
        <w:spacing w:line="360" w:lineRule="auto"/>
        <w:ind w:firstLineChars="1700" w:firstLine="3794"/>
        <w:rPr>
          <w:sz w:val="24"/>
        </w:rPr>
      </w:pPr>
    </w:p>
    <w:p w:rsidR="001B300F" w:rsidRDefault="004555CE" w:rsidP="004555CE">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B300F" w:rsidRDefault="001B300F">
      <w:pPr>
        <w:spacing w:line="460" w:lineRule="exact"/>
        <w:rPr>
          <w:sz w:val="24"/>
        </w:rPr>
      </w:pPr>
    </w:p>
    <w:p w:rsidR="001B300F" w:rsidRDefault="004555CE">
      <w:pPr>
        <w:widowControl/>
        <w:jc w:val="left"/>
        <w:rPr>
          <w:sz w:val="24"/>
        </w:rPr>
      </w:pPr>
      <w:r>
        <w:rPr>
          <w:sz w:val="24"/>
        </w:rPr>
        <w:br w:type="page"/>
      </w:r>
    </w:p>
    <w:p w:rsidR="001B300F" w:rsidRDefault="004555CE">
      <w:pPr>
        <w:tabs>
          <w:tab w:val="left" w:pos="360"/>
        </w:tabs>
        <w:spacing w:line="360" w:lineRule="auto"/>
        <w:rPr>
          <w:b/>
          <w:sz w:val="24"/>
        </w:rPr>
      </w:pPr>
      <w:r>
        <w:rPr>
          <w:b/>
          <w:sz w:val="24"/>
        </w:rPr>
        <w:lastRenderedPageBreak/>
        <w:t>附件</w:t>
      </w:r>
      <w:r>
        <w:rPr>
          <w:rFonts w:hint="eastAsia"/>
          <w:b/>
          <w:sz w:val="24"/>
        </w:rPr>
        <w:t>8</w:t>
      </w:r>
    </w:p>
    <w:p w:rsidR="001B300F" w:rsidRDefault="004555CE">
      <w:pPr>
        <w:autoSpaceDN w:val="0"/>
        <w:spacing w:line="360" w:lineRule="auto"/>
        <w:jc w:val="center"/>
        <w:rPr>
          <w:b/>
          <w:bCs/>
          <w:sz w:val="24"/>
        </w:rPr>
      </w:pPr>
      <w:r>
        <w:rPr>
          <w:rFonts w:hint="eastAsia"/>
          <w:b/>
          <w:bCs/>
          <w:sz w:val="24"/>
        </w:rPr>
        <w:t>投标</w:t>
      </w:r>
      <w:r>
        <w:rPr>
          <w:b/>
          <w:bCs/>
          <w:sz w:val="24"/>
        </w:rPr>
        <w:t>代表人授权书</w:t>
      </w:r>
    </w:p>
    <w:p w:rsidR="001B300F" w:rsidRDefault="001B300F">
      <w:pPr>
        <w:spacing w:line="360" w:lineRule="auto"/>
        <w:rPr>
          <w:sz w:val="24"/>
          <w:szCs w:val="21"/>
        </w:rPr>
      </w:pPr>
    </w:p>
    <w:p w:rsidR="001B300F" w:rsidRDefault="004555CE">
      <w:pPr>
        <w:spacing w:line="360" w:lineRule="auto"/>
        <w:rPr>
          <w:sz w:val="24"/>
          <w:szCs w:val="21"/>
        </w:rPr>
      </w:pPr>
      <w:r>
        <w:rPr>
          <w:sz w:val="24"/>
          <w:szCs w:val="21"/>
        </w:rPr>
        <w:t>致：天津市政府采购中心</w:t>
      </w:r>
    </w:p>
    <w:p w:rsidR="001B300F" w:rsidRDefault="004555CE" w:rsidP="004555CE">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1B300F" w:rsidRDefault="004555CE" w:rsidP="004555CE">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1B300F" w:rsidRDefault="004555CE" w:rsidP="004555CE">
      <w:pPr>
        <w:spacing w:line="360" w:lineRule="auto"/>
        <w:ind w:firstLineChars="200" w:firstLine="446"/>
        <w:rPr>
          <w:sz w:val="24"/>
          <w:szCs w:val="21"/>
        </w:rPr>
      </w:pPr>
      <w:r>
        <w:rPr>
          <w:sz w:val="24"/>
          <w:szCs w:val="21"/>
        </w:rPr>
        <w:t>本授权书至投标有效期结束前始终有效。</w:t>
      </w:r>
    </w:p>
    <w:p w:rsidR="001B300F" w:rsidRDefault="004555CE" w:rsidP="004555CE">
      <w:pPr>
        <w:spacing w:line="360" w:lineRule="auto"/>
        <w:ind w:firstLineChars="200" w:firstLine="446"/>
        <w:rPr>
          <w:sz w:val="24"/>
          <w:szCs w:val="21"/>
        </w:rPr>
      </w:pPr>
      <w:r>
        <w:rPr>
          <w:sz w:val="24"/>
          <w:szCs w:val="21"/>
        </w:rPr>
        <w:t>投标代表人无转委托权，特此委托。</w:t>
      </w:r>
    </w:p>
    <w:p w:rsidR="001B300F" w:rsidRDefault="001B300F" w:rsidP="004555CE">
      <w:pPr>
        <w:spacing w:line="360" w:lineRule="auto"/>
        <w:ind w:firstLineChars="200" w:firstLine="446"/>
        <w:rPr>
          <w:sz w:val="24"/>
        </w:rPr>
      </w:pPr>
    </w:p>
    <w:p w:rsidR="001B300F" w:rsidRDefault="001B300F" w:rsidP="004555CE">
      <w:pPr>
        <w:spacing w:line="360" w:lineRule="auto"/>
        <w:ind w:firstLineChars="200" w:firstLine="446"/>
        <w:rPr>
          <w:sz w:val="24"/>
        </w:rPr>
      </w:pPr>
    </w:p>
    <w:p w:rsidR="001B300F" w:rsidRDefault="004555CE">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1B300F" w:rsidRDefault="001B300F" w:rsidP="004555CE">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1B300F">
        <w:tc>
          <w:tcPr>
            <w:tcW w:w="4264" w:type="dxa"/>
          </w:tcPr>
          <w:p w:rsidR="001B300F" w:rsidRDefault="004555CE">
            <w:pPr>
              <w:spacing w:line="360" w:lineRule="auto"/>
              <w:jc w:val="left"/>
              <w:rPr>
                <w:sz w:val="24"/>
              </w:rPr>
            </w:pPr>
            <w:r>
              <w:rPr>
                <w:sz w:val="24"/>
              </w:rPr>
              <w:t>投标代表人身份证正面</w:t>
            </w:r>
          </w:p>
          <w:p w:rsidR="001B300F" w:rsidRDefault="001B300F">
            <w:pPr>
              <w:spacing w:line="360" w:lineRule="auto"/>
              <w:jc w:val="left"/>
              <w:rPr>
                <w:sz w:val="24"/>
              </w:rPr>
            </w:pPr>
          </w:p>
          <w:p w:rsidR="001B300F" w:rsidRDefault="001B300F">
            <w:pPr>
              <w:spacing w:line="360" w:lineRule="auto"/>
              <w:jc w:val="left"/>
              <w:rPr>
                <w:sz w:val="24"/>
              </w:rPr>
            </w:pPr>
          </w:p>
          <w:p w:rsidR="001B300F" w:rsidRDefault="001B300F">
            <w:pPr>
              <w:spacing w:line="360" w:lineRule="auto"/>
              <w:jc w:val="left"/>
              <w:rPr>
                <w:sz w:val="24"/>
              </w:rPr>
            </w:pPr>
          </w:p>
          <w:p w:rsidR="001B300F" w:rsidRDefault="001B300F">
            <w:pPr>
              <w:spacing w:line="360" w:lineRule="auto"/>
              <w:jc w:val="left"/>
              <w:rPr>
                <w:sz w:val="24"/>
              </w:rPr>
            </w:pPr>
          </w:p>
          <w:p w:rsidR="001B300F" w:rsidRDefault="001B300F">
            <w:pPr>
              <w:spacing w:line="360" w:lineRule="auto"/>
              <w:jc w:val="left"/>
              <w:rPr>
                <w:sz w:val="24"/>
              </w:rPr>
            </w:pPr>
          </w:p>
        </w:tc>
        <w:tc>
          <w:tcPr>
            <w:tcW w:w="4264" w:type="dxa"/>
          </w:tcPr>
          <w:p w:rsidR="001B300F" w:rsidRDefault="004555CE">
            <w:pPr>
              <w:spacing w:line="360" w:lineRule="auto"/>
              <w:jc w:val="left"/>
              <w:rPr>
                <w:sz w:val="24"/>
              </w:rPr>
            </w:pPr>
            <w:r>
              <w:rPr>
                <w:sz w:val="24"/>
              </w:rPr>
              <w:t>投标代表人身份证背面</w:t>
            </w:r>
          </w:p>
        </w:tc>
      </w:tr>
    </w:tbl>
    <w:p w:rsidR="001B300F" w:rsidRDefault="004555CE">
      <w:pPr>
        <w:widowControl/>
        <w:jc w:val="left"/>
        <w:rPr>
          <w:sz w:val="24"/>
        </w:rPr>
      </w:pPr>
      <w:r>
        <w:rPr>
          <w:sz w:val="24"/>
        </w:rPr>
        <w:br w:type="page"/>
      </w:r>
    </w:p>
    <w:p w:rsidR="001B300F" w:rsidRDefault="004555CE">
      <w:pPr>
        <w:autoSpaceDN w:val="0"/>
        <w:spacing w:line="360" w:lineRule="auto"/>
        <w:jc w:val="left"/>
        <w:rPr>
          <w:b/>
          <w:bCs/>
          <w:sz w:val="24"/>
        </w:rPr>
      </w:pPr>
      <w:r>
        <w:rPr>
          <w:b/>
          <w:bCs/>
          <w:sz w:val="24"/>
        </w:rPr>
        <w:lastRenderedPageBreak/>
        <w:t>附件</w:t>
      </w:r>
      <w:r>
        <w:rPr>
          <w:rFonts w:hint="eastAsia"/>
          <w:b/>
          <w:bCs/>
          <w:sz w:val="24"/>
        </w:rPr>
        <w:t>9-1</w:t>
      </w:r>
    </w:p>
    <w:p w:rsidR="001B300F" w:rsidRDefault="004555CE">
      <w:pPr>
        <w:autoSpaceDE w:val="0"/>
        <w:autoSpaceDN w:val="0"/>
        <w:spacing w:line="480" w:lineRule="auto"/>
        <w:jc w:val="center"/>
        <w:rPr>
          <w:sz w:val="24"/>
          <w:szCs w:val="24"/>
        </w:rPr>
      </w:pPr>
      <w:r>
        <w:rPr>
          <w:b/>
          <w:sz w:val="24"/>
          <w:szCs w:val="24"/>
        </w:rPr>
        <w:t>中小企业声明函（服务）</w:t>
      </w:r>
    </w:p>
    <w:p w:rsidR="001B300F" w:rsidRDefault="004555CE" w:rsidP="004555CE">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1B300F" w:rsidRDefault="004555CE" w:rsidP="004555CE">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w:t>
      </w:r>
      <w:r>
        <w:rPr>
          <w:sz w:val="24"/>
          <w:szCs w:val="24"/>
          <w:u w:val="single"/>
        </w:rPr>
        <w:t>和信息技术服务业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1B300F" w:rsidRDefault="004555CE" w:rsidP="004555CE">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1B300F" w:rsidRDefault="004555CE">
      <w:pPr>
        <w:autoSpaceDE w:val="0"/>
        <w:autoSpaceDN w:val="0"/>
        <w:spacing w:line="500" w:lineRule="exact"/>
        <w:ind w:left="641"/>
        <w:jc w:val="left"/>
        <w:rPr>
          <w:sz w:val="24"/>
          <w:szCs w:val="24"/>
        </w:rPr>
      </w:pPr>
      <w:r>
        <w:rPr>
          <w:sz w:val="24"/>
          <w:szCs w:val="24"/>
        </w:rPr>
        <w:t>……</w:t>
      </w:r>
    </w:p>
    <w:p w:rsidR="001B300F" w:rsidRDefault="004555CE" w:rsidP="004555CE">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1B300F" w:rsidRDefault="004555CE" w:rsidP="004555CE">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1B300F" w:rsidRDefault="004555CE">
      <w:pPr>
        <w:autoSpaceDE w:val="0"/>
        <w:autoSpaceDN w:val="0"/>
        <w:spacing w:line="500" w:lineRule="exact"/>
        <w:ind w:left="3840"/>
        <w:jc w:val="left"/>
        <w:rPr>
          <w:sz w:val="24"/>
          <w:szCs w:val="24"/>
        </w:rPr>
      </w:pPr>
      <w:r>
        <w:rPr>
          <w:sz w:val="24"/>
          <w:szCs w:val="24"/>
        </w:rPr>
        <w:t>投标人名称：</w:t>
      </w:r>
    </w:p>
    <w:p w:rsidR="001B300F" w:rsidRDefault="004555CE">
      <w:pPr>
        <w:autoSpaceDE w:val="0"/>
        <w:autoSpaceDN w:val="0"/>
        <w:spacing w:line="500" w:lineRule="exact"/>
        <w:ind w:left="3840"/>
        <w:jc w:val="left"/>
        <w:rPr>
          <w:sz w:val="32"/>
        </w:rPr>
      </w:pPr>
      <w:r>
        <w:rPr>
          <w:sz w:val="24"/>
          <w:szCs w:val="24"/>
        </w:rPr>
        <w:t>日期：</w:t>
      </w:r>
    </w:p>
    <w:p w:rsidR="001B300F" w:rsidRDefault="004555CE">
      <w:pPr>
        <w:spacing w:line="360" w:lineRule="auto"/>
        <w:ind w:right="84" w:firstLineChars="100" w:firstLine="224"/>
        <w:rPr>
          <w:b/>
          <w:sz w:val="24"/>
          <w:szCs w:val="24"/>
        </w:rPr>
      </w:pPr>
      <w:r>
        <w:rPr>
          <w:b/>
          <w:sz w:val="24"/>
          <w:szCs w:val="24"/>
        </w:rPr>
        <w:t>注：</w:t>
      </w:r>
    </w:p>
    <w:p w:rsidR="001B300F" w:rsidRDefault="004555CE">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1B300F" w:rsidRDefault="004555CE">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1B300F" w:rsidRDefault="004555CE">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w:t>
      </w:r>
      <w:r>
        <w:rPr>
          <w:b/>
          <w:sz w:val="24"/>
          <w:szCs w:val="21"/>
        </w:rPr>
        <w:lastRenderedPageBreak/>
        <w:t>告其《中小企业声明函》，接受社会监督。</w:t>
      </w:r>
    </w:p>
    <w:p w:rsidR="001B300F" w:rsidRDefault="004555CE">
      <w:pPr>
        <w:widowControl/>
        <w:jc w:val="left"/>
        <w:rPr>
          <w:sz w:val="24"/>
        </w:rPr>
      </w:pPr>
      <w:r>
        <w:rPr>
          <w:sz w:val="24"/>
        </w:rPr>
        <w:br w:type="page"/>
      </w:r>
    </w:p>
    <w:p w:rsidR="001B300F" w:rsidRDefault="004555CE">
      <w:pPr>
        <w:autoSpaceDN w:val="0"/>
        <w:spacing w:line="360" w:lineRule="auto"/>
        <w:rPr>
          <w:b/>
          <w:bCs/>
          <w:sz w:val="24"/>
        </w:rPr>
      </w:pPr>
      <w:bookmarkStart w:id="6" w:name="OLE_LINK13"/>
      <w:bookmarkStart w:id="7" w:name="OLE_LINK14"/>
      <w:r>
        <w:rPr>
          <w:rFonts w:hint="eastAsia"/>
          <w:b/>
          <w:bCs/>
          <w:sz w:val="24"/>
        </w:rPr>
        <w:lastRenderedPageBreak/>
        <w:t>附件</w:t>
      </w:r>
      <w:r>
        <w:rPr>
          <w:rFonts w:hint="eastAsia"/>
          <w:b/>
          <w:bCs/>
          <w:sz w:val="24"/>
        </w:rPr>
        <w:t>9-2</w:t>
      </w:r>
    </w:p>
    <w:bookmarkEnd w:id="6"/>
    <w:bookmarkEnd w:id="7"/>
    <w:p w:rsidR="001B300F" w:rsidRDefault="004555CE">
      <w:pPr>
        <w:autoSpaceDN w:val="0"/>
        <w:spacing w:line="360" w:lineRule="auto"/>
        <w:jc w:val="left"/>
        <w:rPr>
          <w:b/>
          <w:bCs/>
          <w:sz w:val="24"/>
        </w:rPr>
      </w:pPr>
      <w:r>
        <w:rPr>
          <w:rFonts w:hint="eastAsia"/>
          <w:b/>
          <w:kern w:val="0"/>
          <w:sz w:val="24"/>
          <w:szCs w:val="21"/>
        </w:rPr>
        <w:t>若不是残疾人福利性单位，投标文件中可不提供此声明函</w:t>
      </w:r>
    </w:p>
    <w:p w:rsidR="001B300F" w:rsidRDefault="001B300F">
      <w:pPr>
        <w:autoSpaceDN w:val="0"/>
        <w:spacing w:line="360" w:lineRule="auto"/>
        <w:jc w:val="center"/>
        <w:rPr>
          <w:b/>
          <w:bCs/>
          <w:sz w:val="24"/>
        </w:rPr>
      </w:pPr>
    </w:p>
    <w:p w:rsidR="001B300F" w:rsidRDefault="004555CE">
      <w:pPr>
        <w:snapToGrid w:val="0"/>
        <w:spacing w:line="360" w:lineRule="auto"/>
        <w:jc w:val="center"/>
        <w:rPr>
          <w:b/>
          <w:bCs/>
          <w:sz w:val="24"/>
        </w:rPr>
      </w:pPr>
      <w:r>
        <w:rPr>
          <w:rFonts w:hint="eastAsia"/>
          <w:b/>
          <w:bCs/>
          <w:sz w:val="24"/>
        </w:rPr>
        <w:t>残疾人福利性单位声明函</w:t>
      </w:r>
    </w:p>
    <w:p w:rsidR="001B300F" w:rsidRDefault="001B300F">
      <w:pPr>
        <w:snapToGrid w:val="0"/>
        <w:spacing w:line="360" w:lineRule="auto"/>
        <w:ind w:firstLineChars="200" w:firstLine="448"/>
        <w:jc w:val="left"/>
        <w:rPr>
          <w:b/>
          <w:bCs/>
          <w:sz w:val="24"/>
        </w:rPr>
      </w:pPr>
    </w:p>
    <w:p w:rsidR="001B300F" w:rsidRDefault="004555CE" w:rsidP="004555CE">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1B300F" w:rsidRDefault="004555CE" w:rsidP="004555CE">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1B300F" w:rsidRDefault="001B300F" w:rsidP="004555CE">
      <w:pPr>
        <w:snapToGrid w:val="0"/>
        <w:spacing w:line="360" w:lineRule="auto"/>
        <w:ind w:firstLineChars="200" w:firstLine="446"/>
        <w:jc w:val="left"/>
        <w:rPr>
          <w:bCs/>
          <w:sz w:val="24"/>
        </w:rPr>
      </w:pPr>
    </w:p>
    <w:p w:rsidR="001B300F" w:rsidRDefault="001B300F" w:rsidP="004555CE">
      <w:pPr>
        <w:snapToGrid w:val="0"/>
        <w:spacing w:line="360" w:lineRule="auto"/>
        <w:ind w:firstLineChars="200" w:firstLine="446"/>
        <w:jc w:val="left"/>
        <w:rPr>
          <w:bCs/>
          <w:sz w:val="24"/>
        </w:rPr>
      </w:pPr>
    </w:p>
    <w:p w:rsidR="001B300F" w:rsidRDefault="004555CE" w:rsidP="004555CE">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1B300F" w:rsidRDefault="001B300F" w:rsidP="004555CE">
      <w:pPr>
        <w:snapToGrid w:val="0"/>
        <w:spacing w:line="360" w:lineRule="auto"/>
        <w:ind w:firstLineChars="200" w:firstLine="446"/>
        <w:jc w:val="left"/>
        <w:rPr>
          <w:bCs/>
          <w:sz w:val="24"/>
        </w:rPr>
      </w:pPr>
    </w:p>
    <w:p w:rsidR="001B300F" w:rsidRDefault="004555CE" w:rsidP="004555CE">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1B300F" w:rsidRDefault="001B300F" w:rsidP="004555CE">
      <w:pPr>
        <w:snapToGrid w:val="0"/>
        <w:spacing w:line="360" w:lineRule="auto"/>
        <w:ind w:firstLineChars="200" w:firstLine="446"/>
        <w:jc w:val="left"/>
        <w:rPr>
          <w:sz w:val="24"/>
          <w:szCs w:val="21"/>
        </w:rPr>
      </w:pPr>
    </w:p>
    <w:p w:rsidR="001B300F" w:rsidRDefault="004555CE" w:rsidP="004555CE">
      <w:pPr>
        <w:snapToGrid w:val="0"/>
        <w:spacing w:line="360" w:lineRule="auto"/>
        <w:ind w:firstLineChars="200" w:firstLine="446"/>
        <w:rPr>
          <w:sz w:val="24"/>
          <w:szCs w:val="21"/>
        </w:rPr>
      </w:pPr>
      <w:r>
        <w:rPr>
          <w:sz w:val="24"/>
          <w:szCs w:val="21"/>
        </w:rPr>
        <w:t>注：</w:t>
      </w:r>
    </w:p>
    <w:p w:rsidR="001B300F" w:rsidRDefault="004555CE">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1B300F" w:rsidRDefault="004555CE">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1B300F" w:rsidRDefault="001B300F" w:rsidP="004555CE">
      <w:pPr>
        <w:snapToGrid w:val="0"/>
        <w:spacing w:line="360" w:lineRule="auto"/>
        <w:ind w:firstLineChars="200" w:firstLine="446"/>
        <w:rPr>
          <w:sz w:val="24"/>
          <w:szCs w:val="21"/>
        </w:rPr>
      </w:pPr>
    </w:p>
    <w:p w:rsidR="001B300F" w:rsidRDefault="001B300F" w:rsidP="004555CE">
      <w:pPr>
        <w:snapToGrid w:val="0"/>
        <w:spacing w:line="360" w:lineRule="auto"/>
        <w:ind w:firstLineChars="200" w:firstLine="446"/>
        <w:jc w:val="left"/>
        <w:rPr>
          <w:sz w:val="24"/>
          <w:szCs w:val="21"/>
        </w:rPr>
      </w:pPr>
    </w:p>
    <w:p w:rsidR="001B300F" w:rsidRDefault="001B300F" w:rsidP="004555CE">
      <w:pPr>
        <w:spacing w:line="360" w:lineRule="auto"/>
        <w:ind w:right="84" w:firstLineChars="100" w:firstLine="223"/>
        <w:rPr>
          <w:position w:val="-40"/>
          <w:sz w:val="24"/>
        </w:rPr>
      </w:pPr>
    </w:p>
    <w:p w:rsidR="001B300F" w:rsidRDefault="004555CE">
      <w:pPr>
        <w:tabs>
          <w:tab w:val="left" w:pos="360"/>
        </w:tabs>
        <w:spacing w:line="360" w:lineRule="auto"/>
        <w:rPr>
          <w:b/>
          <w:bCs/>
          <w:sz w:val="24"/>
        </w:rPr>
      </w:pPr>
      <w:r>
        <w:rPr>
          <w:sz w:val="24"/>
        </w:rPr>
        <w:br w:type="page"/>
      </w:r>
      <w:r>
        <w:rPr>
          <w:b/>
          <w:sz w:val="24"/>
        </w:rPr>
        <w:lastRenderedPageBreak/>
        <w:t>附件</w:t>
      </w:r>
      <w:r>
        <w:rPr>
          <w:rFonts w:hint="eastAsia"/>
          <w:b/>
          <w:sz w:val="24"/>
        </w:rPr>
        <w:t>10</w:t>
      </w:r>
      <w:r>
        <w:rPr>
          <w:rFonts w:hint="eastAsia"/>
          <w:b/>
          <w:sz w:val="24"/>
        </w:rPr>
        <w:t>：</w:t>
      </w:r>
      <w:r>
        <w:rPr>
          <w:b/>
          <w:sz w:val="24"/>
        </w:rPr>
        <w:t>招标文件</w:t>
      </w:r>
      <w:r>
        <w:rPr>
          <w:b/>
          <w:bCs/>
          <w:sz w:val="24"/>
        </w:rPr>
        <w:t>评分因素及评标标准中要求的证明材料电子件、方案等</w:t>
      </w:r>
    </w:p>
    <w:p w:rsidR="001B300F" w:rsidRDefault="004555CE">
      <w:pPr>
        <w:snapToGrid w:val="0"/>
        <w:spacing w:line="360" w:lineRule="auto"/>
        <w:rPr>
          <w:b/>
          <w:sz w:val="24"/>
          <w:szCs w:val="21"/>
        </w:rPr>
      </w:pPr>
      <w:r>
        <w:rPr>
          <w:b/>
          <w:bCs/>
          <w:sz w:val="24"/>
        </w:rPr>
        <w:t>附件</w:t>
      </w:r>
      <w:r>
        <w:rPr>
          <w:b/>
          <w:bCs/>
          <w:sz w:val="24"/>
        </w:rPr>
        <w:t>1</w:t>
      </w:r>
      <w:r>
        <w:rPr>
          <w:rFonts w:hint="eastAsia"/>
          <w:b/>
          <w:bCs/>
          <w:sz w:val="24"/>
        </w:rPr>
        <w:t>1</w:t>
      </w:r>
      <w:r>
        <w:rPr>
          <w:b/>
          <w:bCs/>
          <w:sz w:val="24"/>
        </w:rPr>
        <w:t>：</w:t>
      </w:r>
      <w:r>
        <w:rPr>
          <w:b/>
          <w:sz w:val="24"/>
        </w:rPr>
        <w:t>投标人认为需要提供的其他资料</w:t>
      </w:r>
    </w:p>
    <w:sectPr w:rsidR="001B300F">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452" w:rsidRDefault="00654452">
      <w:r>
        <w:separator/>
      </w:r>
    </w:p>
  </w:endnote>
  <w:endnote w:type="continuationSeparator" w:id="0">
    <w:p w:rsidR="00654452" w:rsidRDefault="0065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宋体"/>
    <w:charset w:val="86"/>
    <w:family w:val="roma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00F" w:rsidRDefault="004555CE">
    <w:pPr>
      <w:pStyle w:val="aa"/>
      <w:jc w:val="center"/>
    </w:pPr>
    <w:r>
      <w:rPr>
        <w:b/>
      </w:rPr>
      <w:fldChar w:fldCharType="begin"/>
    </w:r>
    <w:r>
      <w:rPr>
        <w:b/>
      </w:rPr>
      <w:instrText>PAGE  \* Arabic  \* MERGEFORMAT</w:instrText>
    </w:r>
    <w:r>
      <w:rPr>
        <w:b/>
      </w:rPr>
      <w:fldChar w:fldCharType="separate"/>
    </w:r>
    <w:r w:rsidR="002F62F8" w:rsidRPr="002F62F8">
      <w:rPr>
        <w:b/>
        <w:noProof/>
        <w:lang w:val="zh-CN"/>
      </w:rPr>
      <w:t>67</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452" w:rsidRDefault="00654452">
      <w:r>
        <w:separator/>
      </w:r>
    </w:p>
  </w:footnote>
  <w:footnote w:type="continuationSeparator" w:id="0">
    <w:p w:rsidR="00654452" w:rsidRDefault="00654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00F" w:rsidRDefault="001B300F">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2C63"/>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18C"/>
    <w:rsid w:val="0018551D"/>
    <w:rsid w:val="00185D85"/>
    <w:rsid w:val="00187E24"/>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300F"/>
    <w:rsid w:val="001B4B24"/>
    <w:rsid w:val="001B5BEA"/>
    <w:rsid w:val="001B7DBD"/>
    <w:rsid w:val="001C0E64"/>
    <w:rsid w:val="001C1981"/>
    <w:rsid w:val="001C43A6"/>
    <w:rsid w:val="001C4A2D"/>
    <w:rsid w:val="001C50CC"/>
    <w:rsid w:val="001C7F50"/>
    <w:rsid w:val="001D0EB0"/>
    <w:rsid w:val="001D1850"/>
    <w:rsid w:val="001D249B"/>
    <w:rsid w:val="001D42F7"/>
    <w:rsid w:val="001D4FB9"/>
    <w:rsid w:val="001D619B"/>
    <w:rsid w:val="001E2BA2"/>
    <w:rsid w:val="001E3387"/>
    <w:rsid w:val="001E399D"/>
    <w:rsid w:val="001E3CB7"/>
    <w:rsid w:val="001E5B6F"/>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51A1"/>
    <w:rsid w:val="002929CD"/>
    <w:rsid w:val="00292BE5"/>
    <w:rsid w:val="00293139"/>
    <w:rsid w:val="00293728"/>
    <w:rsid w:val="00293B4A"/>
    <w:rsid w:val="002948B5"/>
    <w:rsid w:val="00294986"/>
    <w:rsid w:val="00294EAF"/>
    <w:rsid w:val="00295416"/>
    <w:rsid w:val="00295883"/>
    <w:rsid w:val="00295C13"/>
    <w:rsid w:val="0029610C"/>
    <w:rsid w:val="00296BBB"/>
    <w:rsid w:val="00297463"/>
    <w:rsid w:val="002976B0"/>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2F5265"/>
    <w:rsid w:val="002F62F8"/>
    <w:rsid w:val="0030126F"/>
    <w:rsid w:val="003036EA"/>
    <w:rsid w:val="00310819"/>
    <w:rsid w:val="0031086D"/>
    <w:rsid w:val="00311A89"/>
    <w:rsid w:val="00313073"/>
    <w:rsid w:val="0031461A"/>
    <w:rsid w:val="003159EF"/>
    <w:rsid w:val="00315FA2"/>
    <w:rsid w:val="003163A7"/>
    <w:rsid w:val="00316DDF"/>
    <w:rsid w:val="00317A7E"/>
    <w:rsid w:val="00320416"/>
    <w:rsid w:val="00321DA5"/>
    <w:rsid w:val="00321DB3"/>
    <w:rsid w:val="00322EA4"/>
    <w:rsid w:val="00325832"/>
    <w:rsid w:val="00325E11"/>
    <w:rsid w:val="00326E2A"/>
    <w:rsid w:val="0033138A"/>
    <w:rsid w:val="00332911"/>
    <w:rsid w:val="003332EC"/>
    <w:rsid w:val="003346D3"/>
    <w:rsid w:val="00335148"/>
    <w:rsid w:val="003353C7"/>
    <w:rsid w:val="00337301"/>
    <w:rsid w:val="00340281"/>
    <w:rsid w:val="00340C35"/>
    <w:rsid w:val="003424AE"/>
    <w:rsid w:val="00343849"/>
    <w:rsid w:val="00343957"/>
    <w:rsid w:val="00343E7C"/>
    <w:rsid w:val="0034565D"/>
    <w:rsid w:val="00346217"/>
    <w:rsid w:val="00346F22"/>
    <w:rsid w:val="003473CD"/>
    <w:rsid w:val="00351A70"/>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5CE"/>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0268"/>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3B01"/>
    <w:rsid w:val="005049CC"/>
    <w:rsid w:val="00505178"/>
    <w:rsid w:val="00506C8E"/>
    <w:rsid w:val="00506CD1"/>
    <w:rsid w:val="00506CFF"/>
    <w:rsid w:val="00512ABA"/>
    <w:rsid w:val="005131C3"/>
    <w:rsid w:val="00513A4E"/>
    <w:rsid w:val="00513CE6"/>
    <w:rsid w:val="005175A0"/>
    <w:rsid w:val="005201BE"/>
    <w:rsid w:val="00523636"/>
    <w:rsid w:val="00524604"/>
    <w:rsid w:val="00524852"/>
    <w:rsid w:val="0052485F"/>
    <w:rsid w:val="00525EE9"/>
    <w:rsid w:val="00526035"/>
    <w:rsid w:val="00526D86"/>
    <w:rsid w:val="0053021A"/>
    <w:rsid w:val="00530B5B"/>
    <w:rsid w:val="00530D50"/>
    <w:rsid w:val="00531017"/>
    <w:rsid w:val="005329BE"/>
    <w:rsid w:val="005334B4"/>
    <w:rsid w:val="005349D4"/>
    <w:rsid w:val="00535894"/>
    <w:rsid w:val="00537D63"/>
    <w:rsid w:val="005407BF"/>
    <w:rsid w:val="00541927"/>
    <w:rsid w:val="00542508"/>
    <w:rsid w:val="00544107"/>
    <w:rsid w:val="005449BE"/>
    <w:rsid w:val="00545124"/>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5ED"/>
    <w:rsid w:val="0058472E"/>
    <w:rsid w:val="00584D37"/>
    <w:rsid w:val="00585991"/>
    <w:rsid w:val="0058701B"/>
    <w:rsid w:val="0059473B"/>
    <w:rsid w:val="005953CA"/>
    <w:rsid w:val="005960BA"/>
    <w:rsid w:val="005960DE"/>
    <w:rsid w:val="00596744"/>
    <w:rsid w:val="005A213B"/>
    <w:rsid w:val="005A4012"/>
    <w:rsid w:val="005A4121"/>
    <w:rsid w:val="005A47D4"/>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489E"/>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4058"/>
    <w:rsid w:val="00625361"/>
    <w:rsid w:val="006253AB"/>
    <w:rsid w:val="0062548D"/>
    <w:rsid w:val="00626103"/>
    <w:rsid w:val="00627EED"/>
    <w:rsid w:val="00630655"/>
    <w:rsid w:val="00630B07"/>
    <w:rsid w:val="00630DB5"/>
    <w:rsid w:val="00631029"/>
    <w:rsid w:val="0063189E"/>
    <w:rsid w:val="00632268"/>
    <w:rsid w:val="006326CA"/>
    <w:rsid w:val="00633921"/>
    <w:rsid w:val="00634087"/>
    <w:rsid w:val="00635552"/>
    <w:rsid w:val="0063555E"/>
    <w:rsid w:val="00635DAE"/>
    <w:rsid w:val="00637E05"/>
    <w:rsid w:val="00641801"/>
    <w:rsid w:val="006437B9"/>
    <w:rsid w:val="00643D14"/>
    <w:rsid w:val="00644C09"/>
    <w:rsid w:val="006478CA"/>
    <w:rsid w:val="00653F68"/>
    <w:rsid w:val="00654452"/>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933"/>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3AF8"/>
    <w:rsid w:val="006D6564"/>
    <w:rsid w:val="006E0CD2"/>
    <w:rsid w:val="006E1997"/>
    <w:rsid w:val="006E203E"/>
    <w:rsid w:val="006E2EB7"/>
    <w:rsid w:val="006E43DE"/>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870"/>
    <w:rsid w:val="00730D0F"/>
    <w:rsid w:val="00731AB7"/>
    <w:rsid w:val="00734FF9"/>
    <w:rsid w:val="00740C6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1AE4"/>
    <w:rsid w:val="0078209B"/>
    <w:rsid w:val="00782A8B"/>
    <w:rsid w:val="00783E3F"/>
    <w:rsid w:val="00784C33"/>
    <w:rsid w:val="00787A41"/>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1CC3"/>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492"/>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0148"/>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456"/>
    <w:rsid w:val="008A7D42"/>
    <w:rsid w:val="008B0E8C"/>
    <w:rsid w:val="008B1700"/>
    <w:rsid w:val="008B1F33"/>
    <w:rsid w:val="008B202B"/>
    <w:rsid w:val="008B3001"/>
    <w:rsid w:val="008B3CFE"/>
    <w:rsid w:val="008B54B4"/>
    <w:rsid w:val="008B5DBC"/>
    <w:rsid w:val="008B5F6A"/>
    <w:rsid w:val="008C3676"/>
    <w:rsid w:val="008C3C92"/>
    <w:rsid w:val="008C4E8A"/>
    <w:rsid w:val="008C6821"/>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E71B4"/>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177A"/>
    <w:rsid w:val="00924EA4"/>
    <w:rsid w:val="0092600D"/>
    <w:rsid w:val="009262B5"/>
    <w:rsid w:val="00926B0C"/>
    <w:rsid w:val="0092753A"/>
    <w:rsid w:val="00931A37"/>
    <w:rsid w:val="009357A1"/>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5FFC"/>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2B02"/>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1CA0"/>
    <w:rsid w:val="00A425B4"/>
    <w:rsid w:val="00A440E2"/>
    <w:rsid w:val="00A447A8"/>
    <w:rsid w:val="00A45815"/>
    <w:rsid w:val="00A45FEB"/>
    <w:rsid w:val="00A50266"/>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6E3F"/>
    <w:rsid w:val="00A97408"/>
    <w:rsid w:val="00A97998"/>
    <w:rsid w:val="00A979D9"/>
    <w:rsid w:val="00AA0FDA"/>
    <w:rsid w:val="00AA1333"/>
    <w:rsid w:val="00AA14F0"/>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5C3C"/>
    <w:rsid w:val="00AE7B06"/>
    <w:rsid w:val="00AF06D9"/>
    <w:rsid w:val="00AF3689"/>
    <w:rsid w:val="00AF3DA6"/>
    <w:rsid w:val="00AF4C34"/>
    <w:rsid w:val="00AF50C2"/>
    <w:rsid w:val="00B00486"/>
    <w:rsid w:val="00B012DE"/>
    <w:rsid w:val="00B03A0E"/>
    <w:rsid w:val="00B03D2C"/>
    <w:rsid w:val="00B05458"/>
    <w:rsid w:val="00B05625"/>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C7AE4"/>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2FC8"/>
    <w:rsid w:val="00C23D41"/>
    <w:rsid w:val="00C24369"/>
    <w:rsid w:val="00C24668"/>
    <w:rsid w:val="00C258AC"/>
    <w:rsid w:val="00C2600B"/>
    <w:rsid w:val="00C26AB0"/>
    <w:rsid w:val="00C27942"/>
    <w:rsid w:val="00C337B7"/>
    <w:rsid w:val="00C352E4"/>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12E9"/>
    <w:rsid w:val="00C8429F"/>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2210"/>
    <w:rsid w:val="00CC3889"/>
    <w:rsid w:val="00CC3D49"/>
    <w:rsid w:val="00CC4E4C"/>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680B"/>
    <w:rsid w:val="00D47E11"/>
    <w:rsid w:val="00D51367"/>
    <w:rsid w:val="00D515B3"/>
    <w:rsid w:val="00D51C7E"/>
    <w:rsid w:val="00D52BE7"/>
    <w:rsid w:val="00D540CF"/>
    <w:rsid w:val="00D54339"/>
    <w:rsid w:val="00D5526B"/>
    <w:rsid w:val="00D574C6"/>
    <w:rsid w:val="00D57E7B"/>
    <w:rsid w:val="00D616C1"/>
    <w:rsid w:val="00D63879"/>
    <w:rsid w:val="00D65F9B"/>
    <w:rsid w:val="00D660F1"/>
    <w:rsid w:val="00D67068"/>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02E"/>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2359"/>
    <w:rsid w:val="00DE27AF"/>
    <w:rsid w:val="00DE45AA"/>
    <w:rsid w:val="00DE4901"/>
    <w:rsid w:val="00DE5B26"/>
    <w:rsid w:val="00DE6542"/>
    <w:rsid w:val="00DE662C"/>
    <w:rsid w:val="00DE78D0"/>
    <w:rsid w:val="00DF03C2"/>
    <w:rsid w:val="00DF12BE"/>
    <w:rsid w:val="00DF2A97"/>
    <w:rsid w:val="00DF460E"/>
    <w:rsid w:val="00E03CA3"/>
    <w:rsid w:val="00E03E6D"/>
    <w:rsid w:val="00E0438B"/>
    <w:rsid w:val="00E070DF"/>
    <w:rsid w:val="00E07B01"/>
    <w:rsid w:val="00E10441"/>
    <w:rsid w:val="00E12E28"/>
    <w:rsid w:val="00E1349B"/>
    <w:rsid w:val="00E15291"/>
    <w:rsid w:val="00E152B8"/>
    <w:rsid w:val="00E15D14"/>
    <w:rsid w:val="00E15F3C"/>
    <w:rsid w:val="00E17FA9"/>
    <w:rsid w:val="00E20F2B"/>
    <w:rsid w:val="00E227FF"/>
    <w:rsid w:val="00E22993"/>
    <w:rsid w:val="00E2347A"/>
    <w:rsid w:val="00E24C09"/>
    <w:rsid w:val="00E2645F"/>
    <w:rsid w:val="00E26969"/>
    <w:rsid w:val="00E269BA"/>
    <w:rsid w:val="00E3028F"/>
    <w:rsid w:val="00E3103F"/>
    <w:rsid w:val="00E3184A"/>
    <w:rsid w:val="00E3293C"/>
    <w:rsid w:val="00E337A0"/>
    <w:rsid w:val="00E34F78"/>
    <w:rsid w:val="00E3578B"/>
    <w:rsid w:val="00E3596D"/>
    <w:rsid w:val="00E40D53"/>
    <w:rsid w:val="00E41D23"/>
    <w:rsid w:val="00E42474"/>
    <w:rsid w:val="00E43E9E"/>
    <w:rsid w:val="00E44D4E"/>
    <w:rsid w:val="00E455E0"/>
    <w:rsid w:val="00E46CD4"/>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281E"/>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023"/>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BEA"/>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32C10C5"/>
    <w:rsid w:val="06B46418"/>
    <w:rsid w:val="4AC607DB"/>
    <w:rsid w:val="52A96AA2"/>
    <w:rsid w:val="5C662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17">
    <w:name w:val="17"/>
    <w:basedOn w:val="a0"/>
    <w:pPr>
      <w:widowControl/>
      <w:jc w:val="left"/>
    </w:pPr>
    <w:rPr>
      <w:rFonts w:eastAsiaTheme="minorEastAsia"/>
      <w:kern w:val="0"/>
      <w:sz w:val="24"/>
      <w:szCs w:val="24"/>
      <w:lang w:eastAsia="en-US"/>
    </w:rPr>
  </w:style>
  <w:style w:type="table" w:customStyle="1" w:styleId="18">
    <w:name w:val="18"/>
    <w:basedOn w:val="a2"/>
    <w:rPr>
      <w:rFonts w:ascii="Times New Roman" w:hAnsi="Times New Roman" w:cs="Times New Roman"/>
      <w:lang w:eastAsia="en-US"/>
    </w:rPr>
    <w:tblPr>
      <w:tblInd w:w="0" w:type="dxa"/>
      <w:tblCellMar>
        <w:top w:w="0" w:type="dxa"/>
        <w:left w:w="108" w:type="dxa"/>
        <w:bottom w:w="0" w:type="dxa"/>
        <w:right w:w="108" w:type="dxa"/>
      </w:tblCellMar>
    </w:tblPr>
  </w:style>
  <w:style w:type="paragraph" w:customStyle="1" w:styleId="16">
    <w:name w:val="16"/>
    <w:basedOn w:val="a0"/>
    <w:qFormat/>
    <w:pPr>
      <w:widowControl/>
      <w:jc w:val="left"/>
    </w:pPr>
    <w:rPr>
      <w:rFonts w:eastAsiaTheme="minorEastAsia"/>
      <w:kern w:val="0"/>
      <w:sz w:val="24"/>
      <w:szCs w:val="24"/>
      <w:lang w:eastAsia="en-US"/>
    </w:rPr>
  </w:style>
  <w:style w:type="paragraph" w:customStyle="1" w:styleId="15">
    <w:name w:val="15"/>
    <w:basedOn w:val="a0"/>
    <w:qFormat/>
    <w:pPr>
      <w:widowControl/>
      <w:jc w:val="left"/>
    </w:pPr>
    <w:rPr>
      <w:rFonts w:eastAsiaTheme="minorEastAsia"/>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17">
    <w:name w:val="17"/>
    <w:basedOn w:val="a0"/>
    <w:pPr>
      <w:widowControl/>
      <w:jc w:val="left"/>
    </w:pPr>
    <w:rPr>
      <w:rFonts w:eastAsiaTheme="minorEastAsia"/>
      <w:kern w:val="0"/>
      <w:sz w:val="24"/>
      <w:szCs w:val="24"/>
      <w:lang w:eastAsia="en-US"/>
    </w:rPr>
  </w:style>
  <w:style w:type="table" w:customStyle="1" w:styleId="18">
    <w:name w:val="18"/>
    <w:basedOn w:val="a2"/>
    <w:rPr>
      <w:rFonts w:ascii="Times New Roman" w:hAnsi="Times New Roman" w:cs="Times New Roman"/>
      <w:lang w:eastAsia="en-US"/>
    </w:rPr>
    <w:tblPr>
      <w:tblInd w:w="0" w:type="dxa"/>
      <w:tblCellMar>
        <w:top w:w="0" w:type="dxa"/>
        <w:left w:w="108" w:type="dxa"/>
        <w:bottom w:w="0" w:type="dxa"/>
        <w:right w:w="108" w:type="dxa"/>
      </w:tblCellMar>
    </w:tblPr>
  </w:style>
  <w:style w:type="paragraph" w:customStyle="1" w:styleId="16">
    <w:name w:val="16"/>
    <w:basedOn w:val="a0"/>
    <w:qFormat/>
    <w:pPr>
      <w:widowControl/>
      <w:jc w:val="left"/>
    </w:pPr>
    <w:rPr>
      <w:rFonts w:eastAsiaTheme="minorEastAsia"/>
      <w:kern w:val="0"/>
      <w:sz w:val="24"/>
      <w:szCs w:val="24"/>
      <w:lang w:eastAsia="en-US"/>
    </w:rPr>
  </w:style>
  <w:style w:type="paragraph" w:customStyle="1" w:styleId="15">
    <w:name w:val="15"/>
    <w:basedOn w:val="a0"/>
    <w:qFormat/>
    <w:pPr>
      <w:widowControl/>
      <w:jc w:val="left"/>
    </w:pPr>
    <w:rPr>
      <w:rFonts w:eastAsiaTheme="minorEastAsia"/>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E54B3F-4CC5-4A58-9BD8-C76D7409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106</Pages>
  <Words>9342</Words>
  <Characters>53256</Characters>
  <Application>Microsoft Office Word</Application>
  <DocSecurity>0</DocSecurity>
  <Lines>443</Lines>
  <Paragraphs>124</Paragraphs>
  <ScaleCrop>false</ScaleCrop>
  <Company>MS</Company>
  <LinksUpToDate>false</LinksUpToDate>
  <CharactersWithSpaces>62474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3</cp:revision>
  <dcterms:created xsi:type="dcterms:W3CDTF">2026-06-29T01:27:00Z</dcterms:created>
  <dcterms:modified xsi:type="dcterms:W3CDTF">2026-07-01T07:21:00Z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2052-12.1.0.26375</vt:lpwstr>
  </property>
  <property fmtid="{D5CDD505-2E9C-101B-9397-08002B2CF9AE}" pid="4" name="ICV">
    <vt:lpwstr>1FFE88CD5C1B466294E2B5986DB03D0D_12</vt:lpwstr>
  </property>
</Properties>
</file>