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  <w:t>国家税务总局天津市税务局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kern w:val="0"/>
          <w:sz w:val="44"/>
          <w:szCs w:val="44"/>
          <w:lang w:val="en-US" w:eastAsia="zh-CN" w:bidi="ar-SA"/>
          <w14:ligatures w14:val="none"/>
        </w:rPr>
        <w:t>阻止出境决定书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center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津税 阻  〔2026〕  186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0" w:firstLineChars="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天津惠尔曼医药有限公司：（纳税人识别号：91120222MA05KJKA17)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鉴于你（单位）未按规定结清应纳税款、滞纳金，又不提供纳税担保，根据《中华人民共和国税收征收管理法》第四十四条规定：“欠缴税款的纳税人或者他的法定代表人需要出境的，应当在出境前向税务机关结清应纳税款、滞纳金或者提供担保。未结清税款、滞纳金，又不提供担保的，税务机关可以通知出境管理机关阻止其出境”，决定并通知出入境管理机关于2026年06月19日起阻止你（单位）陈钢出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>如对本决定不服，可自收到本决定之日起六十日内依法向国家税务总局申请行政复议，或者自收到本决定之日起六个月内依法向人民法院起诉。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760" w:firstLineChars="1700"/>
        <w:jc w:val="both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 xml:space="preserve"> 国家税务总局天津市税务局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both"/>
        <w:textAlignment w:val="auto"/>
        <w:rPr>
          <w:rFonts w:hint="default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  <w14:ligatures w14:val="none"/>
        </w:rPr>
        <w:t xml:space="preserve">                                         二0二六年六月九日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90B68"/>
    <w:rsid w:val="1F084B7F"/>
    <w:rsid w:val="2C416972"/>
    <w:rsid w:val="4DC9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单名称"/>
    <w:basedOn w:val="1"/>
    <w:qFormat/>
    <w:uiPriority w:val="0"/>
    <w:pPr>
      <w:widowControl/>
      <w:spacing w:line="360" w:lineRule="auto"/>
      <w:jc w:val="center"/>
    </w:pPr>
    <w:rPr>
      <w:rFonts w:ascii="宋体" w:hAnsi="宋体"/>
      <w:b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2026-07-28T08:58:00Z</dcterms:created>
  <dc:creator>范文浩</dc:creator>
  <cp:lastModifiedBy>李芝浩</cp:lastModifiedBy>
  <dcterms:modified xsi:type="dcterms:W3CDTF">2026-08-03T08:18:44Z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