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eastAsia="仿宋_GB2312"/>
          <w:sz w:val="84"/>
        </w:rPr>
      </w:pPr>
    </w:p>
    <w:p>
      <w:pPr>
        <w:ind w:right="105"/>
        <w:jc w:val="right"/>
        <w:rPr>
          <w:rFonts w:eastAsia="黑体"/>
          <w:b/>
          <w:spacing w:val="40"/>
          <w:w w:val="66"/>
          <w:sz w:val="60"/>
          <w:szCs w:val="60"/>
        </w:rPr>
      </w:pPr>
      <w:r>
        <w:rPr>
          <w:rFonts w:eastAsia="黑体"/>
          <w:b/>
          <w:spacing w:val="40"/>
          <w:w w:val="66"/>
          <w:sz w:val="60"/>
          <w:szCs w:val="60"/>
        </w:rPr>
        <mc:AlternateContent>
          <mc:Choice Requires="wps">
            <w:drawing>
              <wp:anchor distT="0" distB="0" distL="114300" distR="114300" simplePos="0" relativeHeight="251659264" behindDoc="0" locked="0" layoutInCell="1" allowOverlap="1">
                <wp:simplePos x="0" y="0"/>
                <wp:positionH relativeFrom="column">
                  <wp:posOffset>-121285</wp:posOffset>
                </wp:positionH>
                <wp:positionV relativeFrom="paragraph">
                  <wp:posOffset>347980</wp:posOffset>
                </wp:positionV>
                <wp:extent cx="500380" cy="0"/>
                <wp:effectExtent l="0" t="95250" r="13970" b="95250"/>
                <wp:wrapNone/>
                <wp:docPr id="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500380" cy="0"/>
                        </a:xfrm>
                        <a:prstGeom prst="line">
                          <a:avLst/>
                        </a:prstGeom>
                        <a:noFill/>
                        <a:ln w="190500">
                          <a:solidFill>
                            <a:srgbClr val="4B69B5"/>
                          </a:solidFill>
                          <a:round/>
                        </a:ln>
                      </wps:spPr>
                      <wps:bodyPr/>
                    </wps:wsp>
                  </a:graphicData>
                </a:graphic>
              </wp:anchor>
            </w:drawing>
          </mc:Choice>
          <mc:Fallback>
            <w:pict>
              <v:line id="_x0000_s1026" o:spid="_x0000_s1026" o:spt="20" style="position:absolute;left:0pt;margin-left:-9.55pt;margin-top:27.4pt;height:0pt;width:39.4pt;z-index:251659264;mso-width-relative:page;mso-height-relative:page;" filled="f" stroked="t" coordsize="21600,21600" o:gfxdata="UEsDBAoAAAAAAIdO4kAAAAAAAAAAAAAAAAAEAAAAZHJzL1BLAwQUAAAACACHTuJAGP69qNUAAAAI&#10;AQAADwAAAGRycy9kb3ducmV2LnhtbE2PMU/DMBCFdyT+g3VIbK2TiAANcSpRiQVYmsLAdo2PJCI+&#10;R7Hbhn/PIQY6Pt2nd98r17Mb1JGm0Hs2kC4TUMSNtz23Bt52T4t7UCEiWxw8k4FvCrCuLi9KLKw/&#10;8ZaOdWyVlHAo0EAX41hoHZqOHIalH4nl9uknh1Hi1Go74UnK3aCzJLnVDnuWDx2OtOmo+aoPzsD7&#10;Yz5kHxs9N8+7V8zs1tUvwRlzfZUmD6AizfEfhl99UYdKnPb+wDaowcAiXaWCGshvZIIA+eoO1P4v&#10;66rU5wOqH1BLAwQUAAAACACHTuJA5Cw49OgBAACrAwAADgAAAGRycy9lMm9Eb2MueG1srVPNbhMx&#10;EL4j8Q6W72Q3Da3aVTaVmqhcCkRqeYCJ15u1sD2W7WSTl+AFkLjBiWPvvA3lMRg7P5Ry6YGLZXtm&#10;vvm+b+zx5cZotpY+KLQ1Hw5KzqQV2Ci7rPmHu+tX55yFCLYBjVbWfCsDv5y8fDHuXSVPsEPdSM8I&#10;xIaqdzXvYnRVUQTRSQNhgE5aCrboDUQ6+mXReOgJ3ejipCzPih594zwKGQLdznZBvkf0zwHEtlVC&#10;zlCsjLRxh+qlhkiSQqdc4JPMtm2liO/bNsjIdM1JacwrNaH9Iq3FZAzV0oPrlNhTgOdQeKLJgLLU&#10;9Ag1gwhs5dU/UEYJjwHbOBBoip2Q7AipGJZPvLntwMmshawO7mh6+H+w4t167plqaj7izIKhgT98&#10;vv/56euvH19offj+jY2SSb0LFeVO7dwnmWJjb90Nio+BWZx2YJcyk73bOkIYporir5J0CI5aLfq3&#10;2FAOrCJmxzatNwmSvGCbPJjtcTByE5mgy9OyHJ3TyMQhVEB1qHM+xDcSDUubmmtlk2VQwfomxMQD&#10;qkNKurZ4rbTOY9eW9UT2oiT4XBJQqyaFU2Lwy8VUe7YGejqvr84urk6zLIo8TvO4ss2ujbZ71Uno&#10;zrIFNtu5P7hBM8x89u8tPZLH51z9549NfgN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Y/r2o1QAA&#10;AAgBAAAPAAAAAAAAAAEAIAAAACIAAABkcnMvZG93bnJldi54bWxQSwECFAAUAAAACACHTuJA5Cw4&#10;9OgBAACrAwAADgAAAAAAAAABACAAAAAkAQAAZHJzL2Uyb0RvYy54bWxQSwUGAAAAAAYABgBZAQAA&#10;fgUAAAAA&#10;">
                <v:fill on="f" focussize="0,0"/>
                <v:stroke weight="15pt" color="#4B69B5" joinstyle="round"/>
                <v:imagedata o:title=""/>
                <o:lock v:ext="edit" aspectratio="f"/>
              </v:line>
            </w:pict>
          </mc:Fallback>
        </mc:AlternateContent>
      </w:r>
      <w:r>
        <w:rPr>
          <w:rFonts w:hint="eastAsia" w:eastAsia="黑体"/>
          <w:b/>
          <w:spacing w:val="40"/>
          <w:w w:val="66"/>
          <w:sz w:val="60"/>
          <w:szCs w:val="60"/>
        </w:rPr>
        <w:t xml:space="preserve">   国家税务总局天津市税务局调整存量住房交易计税基准价格项目</w:t>
      </w:r>
    </w:p>
    <w:p>
      <w:pPr>
        <w:ind w:right="105"/>
        <w:jc w:val="right"/>
        <w:rPr>
          <w:rFonts w:eastAsia="黑体"/>
          <w:b/>
          <w:spacing w:val="40"/>
          <w:w w:val="66"/>
          <w:sz w:val="60"/>
          <w:szCs w:val="60"/>
        </w:rPr>
      </w:pPr>
      <w:r>
        <w:rPr>
          <w:rFonts w:eastAsia="黑体"/>
          <w:b/>
          <w:spacing w:val="40"/>
          <w:sz w:val="60"/>
          <w:szCs w:val="60"/>
        </w:rPr>
        <mc:AlternateContent>
          <mc:Choice Requires="wps">
            <w:drawing>
              <wp:anchor distT="0" distB="0" distL="114300" distR="114300" simplePos="0" relativeHeight="251660288" behindDoc="0" locked="0" layoutInCell="1" allowOverlap="1">
                <wp:simplePos x="0" y="0"/>
                <wp:positionH relativeFrom="column">
                  <wp:posOffset>-122555</wp:posOffset>
                </wp:positionH>
                <wp:positionV relativeFrom="paragraph">
                  <wp:posOffset>361315</wp:posOffset>
                </wp:positionV>
                <wp:extent cx="3308985" cy="0"/>
                <wp:effectExtent l="0" t="95250" r="5715" b="95250"/>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3308985" cy="0"/>
                        </a:xfrm>
                        <a:prstGeom prst="line">
                          <a:avLst/>
                        </a:prstGeom>
                        <a:noFill/>
                        <a:ln w="190500">
                          <a:solidFill>
                            <a:srgbClr val="4B69B5"/>
                          </a:solidFill>
                          <a:round/>
                        </a:ln>
                      </wps:spPr>
                      <wps:bodyPr/>
                    </wps:wsp>
                  </a:graphicData>
                </a:graphic>
              </wp:anchor>
            </w:drawing>
          </mc:Choice>
          <mc:Fallback>
            <w:pict>
              <v:line id="_x0000_s1026" o:spid="_x0000_s1026" o:spt="20" style="position:absolute;left:0pt;margin-left:-9.65pt;margin-top:28.45pt;height:0pt;width:260.55pt;z-index:251660288;mso-width-relative:page;mso-height-relative:page;" filled="f" stroked="t" coordsize="21600,21600" o:gfxdata="UEsDBAoAAAAAAIdO4kAAAAAAAAAAAAAAAAAEAAAAZHJzL1BLAwQUAAAACACHTuJA+gY9/tYAAAAJ&#10;AQAADwAAAGRycy9kb3ducmV2LnhtbE2PwU7DMAyG70i8Q2QkblvSok6sNJ3EJC7AZR0cuHlNaCsS&#10;p2qyrbw9RhzY0fan399fbWbvxMlOcQikIVsqEJbaYAbqNLztnxb3IGJCMugCWQ3fNsKmvr6qsDTh&#10;TDt7alInOIRiiRr6lMZSytj21mNchtES3z7D5DHxOHXSTHjmcO9krtRKehyIP/Q42m1v26/m6DW8&#10;PxYu/9jKuX3ev2Judr55iV7r25tMPYBIdk7/MPzqszrU7HQIRzJROA2LbH3HqIZitQbBQKEy7nL4&#10;W8i6kpcN6h9QSwMEFAAAAAgAh07iQIqXt5frAQAArAMAAA4AAABkcnMvZTJvRG9jLnhtbK1TzW4T&#10;MRC+I/EOlu9kNympklU2lZqoXApEavsAjte7a2F7LNvJbl6CF0DiBieOvfM2lMdg7Py0lEsPXCzb&#10;M/PN931jzy56rchWOC/BlHQ4yCkRhkMlTVPSu9urNxNKfGCmYgqMKOlOeHoxf/1q1tlCjKAFVQlH&#10;EMT4orMlbUOwRZZ53grN/ACsMBiswWkW8OiarHKsQ3StslGen2cduMo64MJ7vF3ug/SA6F4CCHUt&#10;uVgC32hhwh7VCcUCSvKttJ7OE9u6Fjx8rGsvAlElRaUhrdgE9+u4ZvMZKxrHbCv5gQJ7CYVnmjST&#10;BpueoJYsMLJx8h8oLbkDD3UYcNDZXkhyBFUM82fe3LTMiqQFrfb2ZLr/f7D8w3bliKxKOqLEMI0D&#10;f/hy/+vzt98/v+L68OM7GUWTOusLzF2YlYsyeW9u7DXwT54YWLTMNCKRvd1ZRBjGiuyvknjwFlut&#10;u/dQYQ7bBEiO9bXTERK9IH0azO40GNEHwvHy7CyfTCdjSvgxlrHiWGidD+8EaBI3JVXSRM9YwbbX&#10;PkQirDimxGsDV1KpNHdlSIdsp/k4z1OJByWrGI6J3jXrhXJky/DtvL08n16Oky6MPE1zsDHVvo0y&#10;B9lR6d6zNVS7lTvagUNMfA4PLr6Sp+dU/fjJ5n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gY9&#10;/tYAAAAJAQAADwAAAAAAAAABACAAAAAiAAAAZHJzL2Rvd25yZXYueG1sUEsBAhQAFAAAAAgAh07i&#10;QIqXt5frAQAArAMAAA4AAAAAAAAAAQAgAAAAJQEAAGRycy9lMm9Eb2MueG1sUEsFBgAAAAAGAAYA&#10;WQEAAIIFAAAAAA==&#10;">
                <v:fill on="f" focussize="0,0"/>
                <v:stroke weight="15pt" color="#4B69B5" joinstyle="round"/>
                <v:imagedata o:title=""/>
                <o:lock v:ext="edit" aspectratio="f"/>
              </v:line>
            </w:pict>
          </mc:Fallback>
        </mc:AlternateContent>
      </w:r>
      <w:r>
        <w:rPr>
          <w:rFonts w:eastAsia="黑体"/>
          <w:b/>
          <w:spacing w:val="40"/>
          <w:w w:val="66"/>
          <w:sz w:val="60"/>
          <w:szCs w:val="60"/>
        </w:rPr>
        <w:t>招标文件</w:t>
      </w:r>
    </w:p>
    <w:p>
      <w:pPr>
        <w:ind w:right="1025"/>
        <w:jc w:val="center"/>
        <w:rPr>
          <w:rFonts w:eastAsia="黑体"/>
          <w:b/>
          <w:spacing w:val="40"/>
          <w:w w:val="66"/>
          <w:sz w:val="60"/>
          <w:szCs w:val="60"/>
        </w:rPr>
      </w:pPr>
    </w:p>
    <w:p>
      <w:pPr>
        <w:jc w:val="center"/>
        <w:rPr>
          <w:rFonts w:eastAsia="黑体"/>
          <w:b/>
          <w:spacing w:val="40"/>
          <w:w w:val="66"/>
          <w:sz w:val="15"/>
          <w:szCs w:val="15"/>
        </w:rPr>
      </w:pPr>
      <w:r>
        <w:rPr>
          <w:rFonts w:eastAsia="黑体"/>
          <w:b/>
          <w:spacing w:val="40"/>
          <w:w w:val="66"/>
          <w:sz w:val="56"/>
          <w:szCs w:val="56"/>
        </w:rPr>
        <w:t xml:space="preserve">            </w:t>
      </w:r>
    </w:p>
    <w:p>
      <w:pPr>
        <w:jc w:val="center"/>
        <w:rPr>
          <w:rFonts w:eastAsia="黑体"/>
          <w:spacing w:val="40"/>
          <w:w w:val="66"/>
          <w:sz w:val="32"/>
          <w:szCs w:val="32"/>
        </w:rPr>
      </w:pPr>
      <w:r>
        <w:rPr>
          <w:rFonts w:eastAsia="黑体"/>
          <w:spacing w:val="40"/>
          <w:w w:val="66"/>
          <w:sz w:val="32"/>
          <w:szCs w:val="32"/>
        </w:rPr>
        <w:t>（项目编号：TGPC-2026-D-0834）</w:t>
      </w:r>
    </w:p>
    <w:p>
      <w:pPr>
        <w:rPr>
          <w:sz w:val="40"/>
        </w:rPr>
      </w:pPr>
    </w:p>
    <w:p>
      <w:pPr>
        <w:rPr>
          <w:sz w:val="36"/>
        </w:rPr>
      </w:pPr>
    </w:p>
    <w:p>
      <w:pPr>
        <w:rPr>
          <w:sz w:val="36"/>
        </w:rPr>
      </w:pPr>
    </w:p>
    <w:p>
      <w:pPr>
        <w:rPr>
          <w:sz w:val="36"/>
        </w:rPr>
      </w:pPr>
    </w:p>
    <w:p>
      <w:pPr>
        <w:rPr>
          <w:sz w:val="36"/>
        </w:rPr>
      </w:pPr>
    </w:p>
    <w:p>
      <w:pPr>
        <w:rPr>
          <w:sz w:val="36"/>
        </w:rPr>
      </w:pPr>
    </w:p>
    <w:p>
      <w:pPr>
        <w:rPr>
          <w:sz w:val="36"/>
        </w:rPr>
      </w:pPr>
    </w:p>
    <w:p>
      <w:pPr>
        <w:rPr>
          <w:sz w:val="36"/>
        </w:rPr>
      </w:pPr>
    </w:p>
    <w:p>
      <w:pPr>
        <w:rPr>
          <w:sz w:val="36"/>
        </w:rPr>
      </w:pPr>
    </w:p>
    <w:p>
      <w:pPr>
        <w:ind w:firstLine="2897" w:firstLineChars="1493"/>
        <w:rPr>
          <w:rFonts w:eastAsia="黑体"/>
          <w:spacing w:val="20"/>
          <w:w w:val="66"/>
          <w:sz w:val="44"/>
          <w:szCs w:val="44"/>
        </w:rPr>
      </w:pPr>
      <w:r>
        <w:drawing>
          <wp:anchor distT="0" distB="0" distL="114300" distR="114300" simplePos="0" relativeHeight="251661312" behindDoc="0" locked="0" layoutInCell="1" allowOverlap="1">
            <wp:simplePos x="0" y="0"/>
            <wp:positionH relativeFrom="column">
              <wp:posOffset>1321435</wp:posOffset>
            </wp:positionH>
            <wp:positionV relativeFrom="paragraph">
              <wp:posOffset>-1270</wp:posOffset>
            </wp:positionV>
            <wp:extent cx="480060" cy="434340"/>
            <wp:effectExtent l="0" t="0" r="0" b="3810"/>
            <wp:wrapNone/>
            <wp:docPr id="1"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480060" cy="434340"/>
                    </a:xfrm>
                    <a:prstGeom prst="rect">
                      <a:avLst/>
                    </a:prstGeom>
                    <a:noFill/>
                    <a:ln>
                      <a:noFill/>
                    </a:ln>
                  </pic:spPr>
                </pic:pic>
              </a:graphicData>
            </a:graphic>
          </wp:anchor>
        </w:drawing>
      </w:r>
      <w:r>
        <w:rPr>
          <w:rFonts w:eastAsia="黑体"/>
          <w:spacing w:val="20"/>
          <w:w w:val="66"/>
          <w:sz w:val="44"/>
          <w:szCs w:val="44"/>
        </w:rPr>
        <w:t>天津市政府采购中心</w:t>
      </w:r>
    </w:p>
    <w:p>
      <w:pPr>
        <w:tabs>
          <w:tab w:val="left" w:pos="3281"/>
          <w:tab w:val="center" w:pos="4711"/>
        </w:tabs>
        <w:jc w:val="center"/>
        <w:rPr>
          <w:rFonts w:eastAsia="仿宋_GB2312"/>
          <w:b/>
          <w:bCs/>
          <w:kern w:val="0"/>
          <w:sz w:val="44"/>
          <w:szCs w:val="44"/>
        </w:rPr>
      </w:pPr>
      <w:r>
        <w:rPr>
          <w:rFonts w:eastAsia="仿宋_GB2312"/>
          <w:b/>
          <w:bCs/>
          <w:kern w:val="0"/>
          <w:sz w:val="44"/>
          <w:szCs w:val="44"/>
        </w:rPr>
        <w:t>202</w:t>
      </w:r>
      <w:r>
        <w:rPr>
          <w:rFonts w:hint="eastAsia" w:eastAsia="仿宋_GB2312"/>
          <w:b/>
          <w:bCs/>
          <w:kern w:val="0"/>
          <w:sz w:val="44"/>
          <w:szCs w:val="44"/>
        </w:rPr>
        <w:t>6</w:t>
      </w:r>
      <w:r>
        <w:rPr>
          <w:rFonts w:eastAsia="仿宋_GB2312"/>
          <w:b/>
          <w:bCs/>
          <w:kern w:val="0"/>
          <w:sz w:val="44"/>
          <w:szCs w:val="44"/>
        </w:rPr>
        <w:t>.</w:t>
      </w:r>
      <w:r>
        <w:rPr>
          <w:rFonts w:hint="eastAsia" w:eastAsia="仿宋_GB2312"/>
          <w:b/>
          <w:bCs/>
          <w:kern w:val="0"/>
          <w:sz w:val="44"/>
          <w:szCs w:val="44"/>
        </w:rPr>
        <w:t>7</w:t>
      </w:r>
    </w:p>
    <w:p>
      <w:pPr>
        <w:widowControl/>
        <w:jc w:val="left"/>
        <w:rPr>
          <w:rFonts w:eastAsia="仿宋_GB2312"/>
          <w:b/>
          <w:bCs/>
          <w:kern w:val="0"/>
          <w:sz w:val="44"/>
          <w:szCs w:val="44"/>
        </w:rPr>
      </w:pPr>
    </w:p>
    <w:p>
      <w:pPr>
        <w:ind w:firstLine="408" w:firstLineChars="100"/>
        <w:jc w:val="center"/>
        <w:rPr>
          <w:b/>
          <w:spacing w:val="20"/>
          <w:w w:val="80"/>
          <w:sz w:val="48"/>
          <w:szCs w:val="48"/>
        </w:rPr>
        <w:sectPr>
          <w:headerReference r:id="rId3" w:type="default"/>
          <w:pgSz w:w="11906" w:h="16838"/>
          <w:pgMar w:top="1440" w:right="1797" w:bottom="1440" w:left="1797" w:header="851" w:footer="992" w:gutter="0"/>
          <w:pgNumType w:start="1"/>
          <w:cols w:space="425" w:num="1"/>
          <w:docGrid w:type="linesAndChars" w:linePitch="285" w:charSpace="-3449"/>
        </w:sectPr>
      </w:pPr>
    </w:p>
    <w:p>
      <w:pPr>
        <w:ind w:firstLine="408" w:firstLineChars="100"/>
        <w:jc w:val="center"/>
        <w:rPr>
          <w:b/>
          <w:spacing w:val="20"/>
          <w:w w:val="80"/>
          <w:sz w:val="48"/>
          <w:szCs w:val="48"/>
        </w:rPr>
      </w:pPr>
      <w:r>
        <w:rPr>
          <w:b/>
          <w:spacing w:val="20"/>
          <w:w w:val="80"/>
          <w:sz w:val="48"/>
          <w:szCs w:val="48"/>
        </w:rPr>
        <w:t>目  录</w:t>
      </w:r>
    </w:p>
    <w:p>
      <w:pPr>
        <w:spacing w:line="560" w:lineRule="exact"/>
        <w:ind w:right="-141" w:rightChars="-73"/>
        <w:rPr>
          <w:b/>
          <w:sz w:val="24"/>
        </w:rPr>
      </w:pPr>
      <w:r>
        <w:rPr>
          <w:b/>
          <w:sz w:val="24"/>
        </w:rPr>
        <w:t>第一部分  投标邀请函</w:t>
      </w:r>
    </w:p>
    <w:p>
      <w:pPr>
        <w:spacing w:line="560" w:lineRule="exact"/>
        <w:ind w:right="-141" w:rightChars="-73"/>
        <w:rPr>
          <w:b/>
          <w:sz w:val="24"/>
        </w:rPr>
      </w:pPr>
    </w:p>
    <w:p>
      <w:pPr>
        <w:spacing w:line="560" w:lineRule="exact"/>
        <w:ind w:right="-141" w:rightChars="-73"/>
        <w:rPr>
          <w:b/>
          <w:sz w:val="24"/>
        </w:rPr>
      </w:pPr>
      <w:r>
        <w:rPr>
          <w:b/>
          <w:sz w:val="24"/>
        </w:rPr>
        <w:t>第二部分  招标项目需求</w:t>
      </w:r>
    </w:p>
    <w:p>
      <w:pPr>
        <w:spacing w:line="560" w:lineRule="exact"/>
        <w:ind w:right="-141" w:rightChars="-73"/>
        <w:rPr>
          <w:b/>
          <w:sz w:val="24"/>
        </w:rPr>
      </w:pPr>
    </w:p>
    <w:p>
      <w:pPr>
        <w:spacing w:line="560" w:lineRule="exact"/>
        <w:ind w:right="-141" w:rightChars="-73"/>
        <w:rPr>
          <w:b/>
          <w:sz w:val="24"/>
        </w:rPr>
      </w:pPr>
      <w:r>
        <w:rPr>
          <w:b/>
          <w:sz w:val="24"/>
        </w:rPr>
        <w:t>第三部分  投标须知</w:t>
      </w:r>
    </w:p>
    <w:p>
      <w:pPr>
        <w:spacing w:line="560" w:lineRule="exact"/>
        <w:ind w:right="-141" w:rightChars="-73"/>
        <w:rPr>
          <w:sz w:val="24"/>
        </w:rPr>
      </w:pPr>
    </w:p>
    <w:p>
      <w:pPr>
        <w:spacing w:line="560" w:lineRule="exact"/>
        <w:rPr>
          <w:b/>
          <w:sz w:val="24"/>
        </w:rPr>
      </w:pPr>
      <w:r>
        <w:rPr>
          <w:b/>
          <w:sz w:val="24"/>
        </w:rPr>
        <w:t>第四部分  合同条款</w:t>
      </w:r>
    </w:p>
    <w:p>
      <w:pPr>
        <w:spacing w:line="560" w:lineRule="exact"/>
        <w:rPr>
          <w:sz w:val="24"/>
        </w:rPr>
      </w:pPr>
    </w:p>
    <w:p>
      <w:pPr>
        <w:spacing w:line="560" w:lineRule="exact"/>
        <w:rPr>
          <w:sz w:val="24"/>
        </w:rPr>
      </w:pPr>
      <w:r>
        <w:rPr>
          <w:b/>
          <w:sz w:val="24"/>
        </w:rPr>
        <w:t>第五部分  投标文件格式</w:t>
      </w:r>
    </w:p>
    <w:p>
      <w:pPr>
        <w:rPr>
          <w:sz w:val="24"/>
        </w:rPr>
      </w:pPr>
    </w:p>
    <w:p>
      <w:pPr>
        <w:rPr>
          <w:sz w:val="24"/>
        </w:rPr>
      </w:pPr>
    </w:p>
    <w:p>
      <w:pPr>
        <w:rPr>
          <w:sz w:val="24"/>
        </w:rPr>
      </w:pPr>
    </w:p>
    <w:p>
      <w:pPr>
        <w:rPr>
          <w:sz w:val="24"/>
        </w:rPr>
      </w:pPr>
    </w:p>
    <w:p>
      <w:pPr>
        <w:rPr>
          <w:sz w:val="24"/>
        </w:rPr>
      </w:pPr>
    </w:p>
    <w:p>
      <w:pPr>
        <w:rPr>
          <w:sz w:val="24"/>
        </w:rPr>
      </w:pPr>
    </w:p>
    <w:p>
      <w:pPr>
        <w:rPr>
          <w:b/>
        </w:rPr>
      </w:pPr>
    </w:p>
    <w:p>
      <w:pPr>
        <w:pStyle w:val="16"/>
        <w:rPr>
          <w:rFonts w:ascii="Times New Roman" w:hAnsi="Times New Roman"/>
        </w:rPr>
        <w:sectPr>
          <w:pgSz w:w="11906" w:h="16838"/>
          <w:pgMar w:top="1440" w:right="1797" w:bottom="1440" w:left="1797" w:header="851" w:footer="992" w:gutter="0"/>
          <w:pgNumType w:start="1"/>
          <w:cols w:space="425" w:num="1"/>
          <w:docGrid w:type="linesAndChars" w:linePitch="285" w:charSpace="-3449"/>
        </w:sectPr>
      </w:pPr>
      <w:bookmarkStart w:id="0" w:name="_Toc412903614"/>
    </w:p>
    <w:p>
      <w:pPr>
        <w:pStyle w:val="16"/>
        <w:rPr>
          <w:rFonts w:ascii="Times New Roman" w:hAnsi="Times New Roman"/>
        </w:rPr>
      </w:pPr>
      <w:r>
        <w:rPr>
          <w:rFonts w:ascii="Times New Roman" w:hAnsi="Times New Roman"/>
        </w:rPr>
        <w:t>第一部分  投标邀请函</w:t>
      </w:r>
      <w:bookmarkEnd w:id="0"/>
    </w:p>
    <w:p>
      <w:pPr>
        <w:pStyle w:val="29"/>
        <w:spacing w:line="360" w:lineRule="auto"/>
        <w:ind w:firstLine="448" w:firstLineChars="200"/>
        <w:jc w:val="both"/>
        <w:rPr>
          <w:rFonts w:ascii="Times New Roman" w:hAnsi="Times New Roman" w:cs="Times New Roman" w:eastAsiaTheme="minorEastAsia"/>
          <w:color w:val="auto"/>
          <w:szCs w:val="32"/>
        </w:rPr>
      </w:pPr>
      <w:r>
        <w:rPr>
          <w:rFonts w:ascii="Times New Roman" w:hAnsi="Times New Roman" w:cs="Times New Roman" w:eastAsiaTheme="minorEastAsia"/>
          <w:color w:val="auto"/>
          <w:szCs w:val="32"/>
        </w:rPr>
        <w:t>受</w:t>
      </w:r>
      <w:r>
        <w:rPr>
          <w:rFonts w:hint="eastAsia" w:ascii="Times New Roman" w:hAnsi="Times New Roman" w:cs="Times New Roman" w:eastAsiaTheme="minorEastAsia"/>
          <w:color w:val="auto"/>
          <w:szCs w:val="32"/>
        </w:rPr>
        <w:t>国家税务总局天津市税务局</w:t>
      </w:r>
      <w:r>
        <w:rPr>
          <w:rFonts w:ascii="Times New Roman" w:hAnsi="Times New Roman" w:cs="Times New Roman" w:eastAsiaTheme="minorEastAsia"/>
          <w:color w:val="auto"/>
          <w:szCs w:val="32"/>
        </w:rPr>
        <w:t>委托，天津市政府采购中心对</w:t>
      </w:r>
      <w:r>
        <w:rPr>
          <w:rFonts w:hint="eastAsia" w:ascii="Times New Roman" w:hAnsi="Times New Roman" w:cs="Times New Roman" w:eastAsiaTheme="minorEastAsia"/>
          <w:color w:val="auto"/>
          <w:szCs w:val="32"/>
        </w:rPr>
        <w:t>国家税务总局天津市税务局调整存量住房交易计税基准价格项目</w:t>
      </w:r>
      <w:r>
        <w:rPr>
          <w:rFonts w:ascii="Times New Roman" w:hAnsi="Times New Roman" w:cs="Times New Roman" w:eastAsiaTheme="minorEastAsia"/>
          <w:color w:val="auto"/>
          <w:szCs w:val="32"/>
        </w:rPr>
        <w:t>实施政府采购。现欢迎合格的供应商参加投标。</w:t>
      </w:r>
    </w:p>
    <w:p>
      <w:pPr>
        <w:pStyle w:val="29"/>
        <w:spacing w:line="360" w:lineRule="auto"/>
        <w:ind w:firstLine="448" w:firstLineChars="200"/>
        <w:jc w:val="both"/>
        <w:rPr>
          <w:rFonts w:ascii="Times New Roman" w:hAnsi="Times New Roman" w:eastAsia="宋体" w:cs="Times New Roman"/>
          <w:color w:val="auto"/>
          <w:szCs w:val="32"/>
        </w:rPr>
      </w:pPr>
      <w:r>
        <w:rPr>
          <w:rFonts w:hint="eastAsia" w:ascii="Times New Roman" w:hAnsi="Times New Roman" w:eastAsia="宋体" w:cs="Times New Roman"/>
          <w:color w:val="auto"/>
          <w:szCs w:val="32"/>
        </w:rPr>
        <w:t>本项目为远程招投标，一律不接受纸质投标文件，只接受加盖投标人电子签章的电子投标文件（以通过天津公共资源电子签章客户端正确读取签章信息为准）。供应商参加投标前须办理CA数字证书（USBKEY）和电子签章。投标人须按本文件的规定在天津市政府采购中心招投标系统中提交网上应答并上传加盖投标人电子签章的电子投标文件（以通过天津公共资源电子签章客户端正确读取签章信息为准）。投标文件加盖1个有效电子签章即视同所有页均已盖章。</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一、基本概况</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（一）项目名称：</w:t>
      </w:r>
      <w:r>
        <w:rPr>
          <w:rFonts w:hint="eastAsia" w:ascii="Times New Roman" w:hAnsi="Times New Roman" w:eastAsia="宋体" w:cs="Times New Roman"/>
          <w:color w:val="auto"/>
        </w:rPr>
        <w:t>国家税务总局天津市税务局调整存量住房交易计税基准价格项目</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（二）项目编号：TGPC-2026-D-0834</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（三）采购方式：公开招标</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（四）项目属性：服务</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（五）本项目不接受联合体参与。不接受联合体参与的，若有供应商组成联合体参与，视为无效投标。</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（六）本文件售价：免费。</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二、项目内容</w:t>
      </w:r>
    </w:p>
    <w:tbl>
      <w:tblPr>
        <w:tblStyle w:val="23"/>
        <w:tblW w:w="92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
        <w:gridCol w:w="1385"/>
        <w:gridCol w:w="1815"/>
        <w:gridCol w:w="1947"/>
        <w:gridCol w:w="1735"/>
        <w:gridCol w:w="13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35" w:type="dxa"/>
            <w:vAlign w:val="center"/>
          </w:tcPr>
          <w:p>
            <w:pPr>
              <w:pStyle w:val="29"/>
              <w:snapToGrid w:val="0"/>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包号</w:t>
            </w:r>
          </w:p>
        </w:tc>
        <w:tc>
          <w:tcPr>
            <w:tcW w:w="1385" w:type="dxa"/>
            <w:vAlign w:val="center"/>
          </w:tcPr>
          <w:p>
            <w:pPr>
              <w:pStyle w:val="29"/>
              <w:snapToGrid w:val="0"/>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包名称</w:t>
            </w:r>
          </w:p>
        </w:tc>
        <w:tc>
          <w:tcPr>
            <w:tcW w:w="1815" w:type="dxa"/>
            <w:vAlign w:val="center"/>
          </w:tcPr>
          <w:p>
            <w:pPr>
              <w:pStyle w:val="29"/>
              <w:snapToGrid w:val="0"/>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包预算</w:t>
            </w:r>
          </w:p>
        </w:tc>
        <w:tc>
          <w:tcPr>
            <w:tcW w:w="1947" w:type="dxa"/>
            <w:vAlign w:val="center"/>
          </w:tcPr>
          <w:p>
            <w:pPr>
              <w:pStyle w:val="29"/>
              <w:snapToGrid w:val="0"/>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包最高限价</w:t>
            </w:r>
          </w:p>
        </w:tc>
        <w:tc>
          <w:tcPr>
            <w:tcW w:w="1735" w:type="dxa"/>
            <w:vAlign w:val="center"/>
          </w:tcPr>
          <w:p>
            <w:pPr>
              <w:pStyle w:val="29"/>
              <w:snapToGrid w:val="0"/>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合同履行期限</w:t>
            </w:r>
          </w:p>
        </w:tc>
        <w:tc>
          <w:tcPr>
            <w:tcW w:w="1389" w:type="dxa"/>
            <w:vAlign w:val="center"/>
          </w:tcPr>
          <w:p>
            <w:pPr>
              <w:pStyle w:val="29"/>
              <w:snapToGrid w:val="0"/>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所属行业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 w:type="dxa"/>
            <w:vAlign w:val="center"/>
          </w:tcPr>
          <w:p>
            <w:pPr>
              <w:pStyle w:val="29"/>
              <w:snapToGrid w:val="0"/>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1</w:t>
            </w:r>
          </w:p>
        </w:tc>
        <w:tc>
          <w:tcPr>
            <w:tcW w:w="1385" w:type="dxa"/>
            <w:vAlign w:val="center"/>
          </w:tcPr>
          <w:p>
            <w:pPr>
              <w:pStyle w:val="29"/>
              <w:snapToGrid w:val="0"/>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调整存量住房交易计税基准价格评估服务</w:t>
            </w:r>
          </w:p>
        </w:tc>
        <w:tc>
          <w:tcPr>
            <w:tcW w:w="1815" w:type="dxa"/>
            <w:vAlign w:val="center"/>
          </w:tcPr>
          <w:p>
            <w:pPr>
              <w:pStyle w:val="29"/>
              <w:snapToGrid w:val="0"/>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3220000</w:t>
            </w:r>
            <w:r>
              <w:rPr>
                <w:rFonts w:hint="eastAsia" w:ascii="Times New Roman" w:hAnsi="Times New Roman" w:eastAsia="宋体" w:cs="Times New Roman"/>
                <w:color w:val="auto"/>
                <w:sz w:val="21"/>
                <w:szCs w:val="21"/>
              </w:rPr>
              <w:t>元</w:t>
            </w:r>
          </w:p>
        </w:tc>
        <w:tc>
          <w:tcPr>
            <w:tcW w:w="1947" w:type="dxa"/>
            <w:vAlign w:val="center"/>
          </w:tcPr>
          <w:p>
            <w:pPr>
              <w:pStyle w:val="29"/>
              <w:snapToGrid w:val="0"/>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3220000</w:t>
            </w:r>
            <w:r>
              <w:rPr>
                <w:rFonts w:hint="eastAsia" w:ascii="Times New Roman" w:hAnsi="Times New Roman" w:eastAsia="宋体" w:cs="Times New Roman"/>
                <w:color w:val="auto"/>
                <w:sz w:val="21"/>
                <w:szCs w:val="21"/>
              </w:rPr>
              <w:t>元</w:t>
            </w:r>
          </w:p>
        </w:tc>
        <w:tc>
          <w:tcPr>
            <w:tcW w:w="1735" w:type="dxa"/>
            <w:vAlign w:val="center"/>
          </w:tcPr>
          <w:p>
            <w:pPr>
              <w:pStyle w:val="29"/>
              <w:snapToGrid w:val="0"/>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3年</w:t>
            </w:r>
          </w:p>
        </w:tc>
        <w:tc>
          <w:tcPr>
            <w:tcW w:w="1389" w:type="dxa"/>
            <w:vAlign w:val="center"/>
          </w:tcPr>
          <w:p>
            <w:pPr>
              <w:pStyle w:val="29"/>
              <w:snapToGrid w:val="0"/>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房地产业</w:t>
            </w:r>
          </w:p>
        </w:tc>
      </w:tr>
    </w:tbl>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三</w:t>
      </w:r>
      <w:r>
        <w:rPr>
          <w:rFonts w:ascii="Times New Roman" w:hAnsi="Times New Roman" w:eastAsia="宋体" w:cs="Times New Roman"/>
          <w:color w:val="auto"/>
        </w:rPr>
        <w:t>、供应商资格要求（实质性要求）</w:t>
      </w:r>
    </w:p>
    <w:p>
      <w:pPr>
        <w:pStyle w:val="29"/>
        <w:spacing w:line="360" w:lineRule="auto"/>
        <w:ind w:firstLine="448" w:firstLineChars="200"/>
        <w:rPr>
          <w:rFonts w:ascii="Times New Roman" w:hAnsi="Times New Roman" w:cs="Times New Roman" w:eastAsiaTheme="minorEastAsia"/>
          <w:color w:val="auto"/>
        </w:rPr>
      </w:pPr>
      <w:r>
        <w:rPr>
          <w:rFonts w:ascii="Times New Roman" w:hAnsi="Times New Roman" w:cs="Times New Roman" w:eastAsiaTheme="minorEastAsia"/>
          <w:color w:val="auto"/>
        </w:rPr>
        <w:t>（一）</w:t>
      </w:r>
      <w:r>
        <w:rPr>
          <w:rFonts w:hint="eastAsia" w:ascii="Times New Roman" w:hAnsi="Times New Roman" w:eastAsia="宋体" w:cs="Times New Roman"/>
          <w:color w:val="auto"/>
        </w:rPr>
        <w:t>投标人具备房地产估价机构备案证书，提供证书电子件；</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（二）供应商应具备《中华人民共和国政府采购法》第二十二条第一款和《中华人民共和国政府采购法实施条例》第十八条规定的条件，</w:t>
      </w:r>
      <w:r>
        <w:rPr>
          <w:rFonts w:ascii="Times New Roman" w:hAnsi="Times New Roman" w:eastAsia="宋体" w:cs="Times New Roman"/>
          <w:color w:val="auto"/>
        </w:rPr>
        <w:t>提供以下材料：</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 营业执照副本或事业单位法人证书或民办非企业单位登记证书或社会团体法人登记证书或基金会法人登记证书电子件或自然人的身份证明电子件。</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 提供《供应商资格声明函》（格式见附件2）</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cs="Times New Roman" w:eastAsiaTheme="minorEastAsia"/>
          <w:color w:val="auto"/>
        </w:rPr>
        <w:t>（三）本项目专门面向中小企业采购，提供《中小企业声明函》。</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四</w:t>
      </w:r>
      <w:r>
        <w:rPr>
          <w:rFonts w:ascii="Times New Roman" w:hAnsi="Times New Roman" w:eastAsia="宋体" w:cs="Times New Roman"/>
          <w:color w:val="auto"/>
        </w:rPr>
        <w:t>、项目需要落实的政府采购政策</w:t>
      </w:r>
    </w:p>
    <w:p>
      <w:pPr>
        <w:pStyle w:val="29"/>
        <w:spacing w:line="360" w:lineRule="auto"/>
        <w:ind w:firstLine="448" w:firstLineChars="200"/>
        <w:rPr>
          <w:rFonts w:ascii="Times New Roman" w:hAnsi="Times New Roman" w:eastAsia="宋体" w:cs="Times New Roman"/>
          <w:color w:val="auto"/>
        </w:rPr>
      </w:pPr>
      <w:bookmarkStart w:id="1" w:name="OLE_LINK4"/>
      <w:bookmarkStart w:id="2" w:name="OLE_LINK3"/>
      <w:r>
        <w:rPr>
          <w:rFonts w:ascii="Times New Roman" w:hAnsi="Times New Roman" w:eastAsia="宋体" w:cs="Times New Roman"/>
          <w:color w:val="auto"/>
        </w:rPr>
        <w:t>（一）</w:t>
      </w:r>
      <w:r>
        <w:rPr>
          <w:rFonts w:hint="eastAsia" w:ascii="Times New Roman" w:hAnsi="Times New Roman" w:cs="Times New Roman" w:eastAsiaTheme="minorEastAsia"/>
          <w:color w:val="auto"/>
        </w:rPr>
        <w:t>本项目专门面向中小企业采购</w:t>
      </w:r>
      <w:r>
        <w:rPr>
          <w:rFonts w:ascii="Times New Roman" w:hAnsi="Times New Roman" w:eastAsia="宋体" w:cs="Times New Roman"/>
          <w:color w:val="auto"/>
        </w:rPr>
        <w:t>。</w:t>
      </w:r>
    </w:p>
    <w:p>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（二）根据财政部发布的《关于政府采购支持监狱企业发展有关问题的通知》规定，监狱企业视同小微企业。</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（三）</w:t>
      </w:r>
      <w:r>
        <w:rPr>
          <w:rFonts w:hint="eastAsia" w:ascii="Times New Roman" w:hAnsi="Times New Roman" w:eastAsia="宋体"/>
          <w:color w:val="auto"/>
        </w:rPr>
        <w:t>根据财政部、民政部、中国残疾人联合会发布的《关于促进残疾人就业政府采购政策的通知》规定，残疾人福利性单位视同小微企业。</w:t>
      </w:r>
    </w:p>
    <w:p>
      <w:pPr>
        <w:pStyle w:val="29"/>
        <w:spacing w:line="360" w:lineRule="auto"/>
        <w:ind w:firstLine="448" w:firstLineChars="200"/>
        <w:jc w:val="both"/>
        <w:rPr>
          <w:rFonts w:ascii="Times New Roman" w:hAnsi="Times New Roman" w:eastAsia="宋体"/>
          <w:color w:val="auto"/>
        </w:rPr>
      </w:pPr>
      <w:r>
        <w:rPr>
          <w:rFonts w:hint="eastAsia" w:ascii="Times New Roman" w:hAnsi="Times New Roman" w:eastAsia="宋体"/>
          <w:color w:val="auto"/>
        </w:rPr>
        <w:t>注：中小微企业以投标人填写的《中小企业声明函》为判定标准，残疾人福利性单位以投标人填写的《残疾人福利性单位声明函》为判定标准，监狱企业须投标人提供由省级以上监狱管理局、戒毒管理局（含新疆生产建设兵团）出具的属于监狱企业的证明文件，否则不予认定。以上政策不重复享受。</w:t>
      </w:r>
    </w:p>
    <w:p>
      <w:pPr>
        <w:pStyle w:val="29"/>
        <w:spacing w:line="360" w:lineRule="auto"/>
        <w:ind w:firstLine="448" w:firstLineChars="200"/>
        <w:jc w:val="both"/>
        <w:rPr>
          <w:rFonts w:ascii="Times New Roman" w:hAnsi="Times New Roman" w:eastAsia="宋体"/>
          <w:color w:val="auto"/>
        </w:rPr>
      </w:pPr>
      <w:r>
        <w:rPr>
          <w:rFonts w:hint="eastAsia" w:ascii="Times New Roman" w:hAnsi="Times New Roman" w:eastAsia="宋体"/>
          <w:color w:val="auto"/>
        </w:rPr>
        <w:t>（四）涉及商品包装或快递包装的，按照《财政部办公厅、生态环境部办公厅、国家邮政局办公室关于印发&lt;商品包装政府采购需求标准（试行）&gt;、&lt;快递包装政府采购需求标准（试行）&gt;的通知》（财办库〔2020〕123号）要求执行。</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五）按照《财政部关于在政府采购活动中查询及使用信用记录有关问题的通知》（财库〔2016〕125号）的要求，根据开标当日解密截止时间“信用中国”网站（www.creditchina.gov.cn）、中国政府采购网（www.ccgp.gov.cn）的信息，对列入失信被执行人、重大税收违法案件当事人名单、政府采购严重违法失信行为记录名单及其他不符合《中华人民共和国政府采购法》第二十二条规定条件的供应商，拒绝参与政府采购活动，同时对信用信息查询记录和证据进行打印存档。</w:t>
      </w:r>
    </w:p>
    <w:bookmarkEnd w:id="1"/>
    <w:bookmarkEnd w:id="2"/>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（六）根据《关于推动解决政府采购异常低价问题的通知》（财库〔2026〕2号）的要求，当供应商报价出现以下情形之一时，评标委员会应当启动对该供应商的异常低价审查程序：</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 供应商报价&lt;全部通过符合性审查供应商报价平均值×50%；</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 供应商报价&lt;通过符合性审查的次低供应商报价×50%；</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3. 供应商报价&lt;最高限价×45%；</w:t>
      </w:r>
    </w:p>
    <w:p>
      <w:pPr>
        <w:pStyle w:val="29"/>
        <w:spacing w:line="360" w:lineRule="auto"/>
        <w:ind w:firstLine="448" w:firstLineChars="200"/>
        <w:rPr>
          <w:rFonts w:ascii="Times New Roman" w:hAnsi="Times New Roman" w:eastAsia="宋体"/>
          <w:color w:val="auto"/>
        </w:rPr>
      </w:pPr>
      <w:r>
        <w:rPr>
          <w:rFonts w:hint="eastAsia" w:ascii="Times New Roman" w:hAnsi="Times New Roman" w:eastAsia="宋体" w:cs="Times New Roman"/>
          <w:color w:val="auto"/>
        </w:rPr>
        <w:t>4. 评标委员会基于专业判断，认为供应商报价过低，有可能影响产品质量或者不能诚信履约的其他情形。</w:t>
      </w:r>
    </w:p>
    <w:p>
      <w:pPr>
        <w:pStyle w:val="29"/>
        <w:spacing w:line="360" w:lineRule="auto"/>
        <w:ind w:firstLine="448" w:firstLineChars="200"/>
        <w:rPr>
          <w:rFonts w:ascii="Times New Roman" w:hAnsi="Times New Roman" w:eastAsia="宋体"/>
          <w:color w:val="auto"/>
        </w:rPr>
      </w:pPr>
      <w:r>
        <w:rPr>
          <w:rFonts w:hint="eastAsia" w:ascii="Times New Roman" w:hAnsi="Times New Roman" w:eastAsia="宋体"/>
          <w:color w:val="auto"/>
        </w:rPr>
        <w:t>五、参与本项目的步骤、时间与方式</w:t>
      </w:r>
    </w:p>
    <w:p>
      <w:pPr>
        <w:pStyle w:val="29"/>
        <w:spacing w:line="360" w:lineRule="auto"/>
        <w:ind w:firstLine="448" w:firstLineChars="200"/>
        <w:rPr>
          <w:rFonts w:ascii="Times New Roman" w:hAnsi="Times New Roman" w:eastAsia="宋体"/>
          <w:color w:val="auto"/>
        </w:rPr>
      </w:pPr>
      <w:r>
        <w:rPr>
          <w:rFonts w:hint="eastAsia" w:ascii="Times New Roman" w:hAnsi="Times New Roman" w:eastAsia="宋体"/>
          <w:color w:val="auto"/>
        </w:rPr>
        <w:t>（一）参与本项目的时间要求</w:t>
      </w:r>
    </w:p>
    <w:tbl>
      <w:tblPr>
        <w:tblStyle w:val="23"/>
        <w:tblW w:w="91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9"/>
        <w:gridCol w:w="1941"/>
        <w:gridCol w:w="1891"/>
        <w:gridCol w:w="2037"/>
        <w:gridCol w:w="24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79" w:type="dxa"/>
            <w:vAlign w:val="center"/>
          </w:tcPr>
          <w:p>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序号</w:t>
            </w:r>
          </w:p>
        </w:tc>
        <w:tc>
          <w:tcPr>
            <w:tcW w:w="1941" w:type="dxa"/>
            <w:vAlign w:val="center"/>
          </w:tcPr>
          <w:p>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步骤名称</w:t>
            </w:r>
          </w:p>
        </w:tc>
        <w:tc>
          <w:tcPr>
            <w:tcW w:w="1891" w:type="dxa"/>
            <w:vAlign w:val="center"/>
          </w:tcPr>
          <w:p>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开始时间</w:t>
            </w:r>
          </w:p>
        </w:tc>
        <w:tc>
          <w:tcPr>
            <w:tcW w:w="2037" w:type="dxa"/>
            <w:vAlign w:val="center"/>
          </w:tcPr>
          <w:p>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截止时间</w:t>
            </w:r>
          </w:p>
        </w:tc>
        <w:tc>
          <w:tcPr>
            <w:tcW w:w="2486" w:type="dxa"/>
            <w:vAlign w:val="center"/>
          </w:tcPr>
          <w:p>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9" w:type="dxa"/>
            <w:vAlign w:val="center"/>
          </w:tcPr>
          <w:p>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1</w:t>
            </w:r>
          </w:p>
        </w:tc>
        <w:tc>
          <w:tcPr>
            <w:tcW w:w="1941" w:type="dxa"/>
            <w:vAlign w:val="center"/>
          </w:tcPr>
          <w:p>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获取招标文件</w:t>
            </w:r>
          </w:p>
        </w:tc>
        <w:tc>
          <w:tcPr>
            <w:tcW w:w="1891" w:type="dxa"/>
            <w:vAlign w:val="center"/>
          </w:tcPr>
          <w:p>
            <w:pPr>
              <w:pStyle w:val="29"/>
              <w:snapToGrid w:val="0"/>
              <w:jc w:val="center"/>
              <w:rPr>
                <w:rFonts w:ascii="Times New Roman" w:hAnsi="Times New Roman" w:eastAsia="宋体"/>
                <w:color w:val="auto"/>
                <w:sz w:val="21"/>
                <w:szCs w:val="21"/>
              </w:rPr>
            </w:pPr>
            <w:r>
              <w:rPr>
                <w:rFonts w:ascii="Times New Roman" w:hAnsi="Times New Roman" w:eastAsia="宋体" w:cs="Times New Roman"/>
                <w:color w:val="auto"/>
                <w:sz w:val="21"/>
                <w:szCs w:val="21"/>
              </w:rPr>
              <w:t>2026年</w:t>
            </w:r>
            <w:r>
              <w:rPr>
                <w:rFonts w:hint="eastAsia" w:ascii="Times New Roman" w:hAnsi="Times New Roman" w:eastAsia="宋体" w:cs="Times New Roman"/>
                <w:color w:val="auto"/>
                <w:sz w:val="21"/>
                <w:szCs w:val="21"/>
              </w:rPr>
              <w:t>7</w:t>
            </w:r>
            <w:r>
              <w:rPr>
                <w:rFonts w:ascii="Times New Roman" w:hAnsi="Times New Roman" w:eastAsia="宋体" w:cs="Times New Roman"/>
                <w:color w:val="auto"/>
                <w:sz w:val="21"/>
                <w:szCs w:val="21"/>
              </w:rPr>
              <w:t>月</w:t>
            </w:r>
            <w:r>
              <w:rPr>
                <w:rFonts w:hint="eastAsia" w:ascii="Times New Roman" w:hAnsi="Times New Roman" w:eastAsia="宋体" w:cs="Times New Roman"/>
                <w:color w:val="auto"/>
                <w:sz w:val="21"/>
                <w:szCs w:val="21"/>
              </w:rPr>
              <w:t>31</w:t>
            </w:r>
            <w:r>
              <w:rPr>
                <w:rFonts w:ascii="Times New Roman" w:hAnsi="Times New Roman" w:eastAsia="宋体" w:cs="Times New Roman"/>
                <w:color w:val="auto"/>
                <w:sz w:val="21"/>
                <w:szCs w:val="21"/>
              </w:rPr>
              <w:t>日</w:t>
            </w:r>
          </w:p>
        </w:tc>
        <w:tc>
          <w:tcPr>
            <w:tcW w:w="2037" w:type="dxa"/>
            <w:vAlign w:val="center"/>
          </w:tcPr>
          <w:p>
            <w:pPr>
              <w:pStyle w:val="29"/>
              <w:snapToGrid w:val="0"/>
              <w:jc w:val="center"/>
              <w:rPr>
                <w:rFonts w:ascii="Times New Roman" w:hAnsi="Times New Roman" w:eastAsia="宋体"/>
                <w:color w:val="auto"/>
                <w:sz w:val="21"/>
                <w:szCs w:val="21"/>
              </w:rPr>
            </w:pPr>
            <w:r>
              <w:rPr>
                <w:rFonts w:ascii="Times New Roman" w:hAnsi="Times New Roman" w:eastAsia="宋体" w:cs="Times New Roman"/>
                <w:color w:val="auto"/>
                <w:sz w:val="21"/>
                <w:szCs w:val="21"/>
              </w:rPr>
              <w:t>2026年</w:t>
            </w:r>
            <w:r>
              <w:rPr>
                <w:rFonts w:hint="eastAsia" w:ascii="Times New Roman" w:hAnsi="Times New Roman" w:eastAsia="宋体" w:cs="Times New Roman"/>
                <w:color w:val="auto"/>
                <w:sz w:val="21"/>
                <w:szCs w:val="21"/>
              </w:rPr>
              <w:t>8</w:t>
            </w:r>
            <w:r>
              <w:rPr>
                <w:rFonts w:ascii="Times New Roman" w:hAnsi="Times New Roman" w:eastAsia="宋体" w:cs="Times New Roman"/>
                <w:color w:val="auto"/>
                <w:sz w:val="21"/>
                <w:szCs w:val="21"/>
              </w:rPr>
              <w:t>月</w:t>
            </w:r>
            <w:r>
              <w:rPr>
                <w:rFonts w:hint="eastAsia" w:ascii="Times New Roman" w:hAnsi="Times New Roman" w:eastAsia="宋体" w:cs="Times New Roman"/>
                <w:color w:val="auto"/>
                <w:sz w:val="21"/>
                <w:szCs w:val="21"/>
              </w:rPr>
              <w:t>7</w:t>
            </w:r>
            <w:r>
              <w:rPr>
                <w:rFonts w:ascii="Times New Roman" w:hAnsi="Times New Roman" w:eastAsia="宋体" w:cs="Times New Roman"/>
                <w:color w:val="auto"/>
                <w:sz w:val="21"/>
                <w:szCs w:val="21"/>
              </w:rPr>
              <w:t>日</w:t>
            </w:r>
          </w:p>
        </w:tc>
        <w:tc>
          <w:tcPr>
            <w:tcW w:w="2486" w:type="dxa"/>
            <w:vAlign w:val="center"/>
          </w:tcPr>
          <w:p>
            <w:pPr>
              <w:pStyle w:val="29"/>
              <w:snapToGrid w:val="0"/>
              <w:jc w:val="both"/>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每日9:00至17:00（北京时间，法定节假日除外）。</w:t>
            </w:r>
          </w:p>
          <w:p>
            <w:pPr>
              <w:pStyle w:val="29"/>
              <w:snapToGrid w:val="0"/>
              <w:jc w:val="both"/>
              <w:rPr>
                <w:rFonts w:ascii="Times New Roman" w:hAnsi="Times New Roman" w:eastAsia="宋体"/>
                <w:color w:val="auto"/>
                <w:sz w:val="21"/>
                <w:szCs w:val="21"/>
              </w:rPr>
            </w:pPr>
            <w:r>
              <w:rPr>
                <w:rFonts w:hint="eastAsia" w:ascii="Times New Roman" w:hAnsi="Times New Roman" w:eastAsia="宋体" w:cs="Times New Roman"/>
                <w:color w:val="auto"/>
                <w:sz w:val="21"/>
                <w:szCs w:val="21"/>
              </w:rPr>
              <w:t>未按时获取招标文件的，不能参与本项目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9" w:type="dxa"/>
            <w:vAlign w:val="center"/>
          </w:tcPr>
          <w:p>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2</w:t>
            </w:r>
          </w:p>
        </w:tc>
        <w:tc>
          <w:tcPr>
            <w:tcW w:w="1941" w:type="dxa"/>
            <w:vAlign w:val="center"/>
          </w:tcPr>
          <w:p>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网上应答（上传电子投标文件）</w:t>
            </w:r>
          </w:p>
        </w:tc>
        <w:tc>
          <w:tcPr>
            <w:tcW w:w="1891" w:type="dxa"/>
            <w:vAlign w:val="center"/>
          </w:tcPr>
          <w:p>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2026年7月31日9:00</w:t>
            </w:r>
          </w:p>
        </w:tc>
        <w:tc>
          <w:tcPr>
            <w:tcW w:w="2037" w:type="dxa"/>
            <w:vAlign w:val="center"/>
          </w:tcPr>
          <w:p>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2026年8月21日8:30</w:t>
            </w:r>
          </w:p>
        </w:tc>
        <w:tc>
          <w:tcPr>
            <w:tcW w:w="2486" w:type="dxa"/>
            <w:vAlign w:val="center"/>
          </w:tcPr>
          <w:p>
            <w:pPr>
              <w:pStyle w:val="29"/>
              <w:snapToGrid w:val="0"/>
              <w:jc w:val="both"/>
              <w:rPr>
                <w:rFonts w:ascii="Times New Roman" w:hAnsi="Times New Roman" w:eastAsia="宋体"/>
                <w:color w:val="auto"/>
                <w:sz w:val="21"/>
                <w:szCs w:val="21"/>
              </w:rPr>
            </w:pPr>
            <w:r>
              <w:rPr>
                <w:rFonts w:hint="eastAsia" w:ascii="Times New Roman" w:hAnsi="Times New Roman" w:eastAsia="宋体"/>
                <w:color w:val="auto"/>
                <w:sz w:val="21"/>
                <w:szCs w:val="21"/>
              </w:rPr>
              <w:t>未按时完成网上应答或未按时上传电子投标文件的，视为无效投标。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9" w:type="dxa"/>
            <w:vAlign w:val="center"/>
          </w:tcPr>
          <w:p>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3</w:t>
            </w:r>
          </w:p>
        </w:tc>
        <w:tc>
          <w:tcPr>
            <w:tcW w:w="1941" w:type="dxa"/>
            <w:vAlign w:val="center"/>
          </w:tcPr>
          <w:p>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开标解密</w:t>
            </w:r>
          </w:p>
        </w:tc>
        <w:tc>
          <w:tcPr>
            <w:tcW w:w="1891" w:type="dxa"/>
            <w:vAlign w:val="center"/>
          </w:tcPr>
          <w:p>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2026年8月21日8:30</w:t>
            </w:r>
          </w:p>
        </w:tc>
        <w:tc>
          <w:tcPr>
            <w:tcW w:w="2037" w:type="dxa"/>
            <w:vAlign w:val="center"/>
          </w:tcPr>
          <w:p>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2026年8月21日9:30</w:t>
            </w:r>
          </w:p>
        </w:tc>
        <w:tc>
          <w:tcPr>
            <w:tcW w:w="2486" w:type="dxa"/>
            <w:vAlign w:val="center"/>
          </w:tcPr>
          <w:p>
            <w:pPr>
              <w:pStyle w:val="29"/>
              <w:snapToGrid w:val="0"/>
              <w:jc w:val="both"/>
              <w:rPr>
                <w:rFonts w:ascii="Times New Roman" w:hAnsi="Times New Roman" w:eastAsia="宋体"/>
                <w:color w:val="auto"/>
                <w:sz w:val="21"/>
                <w:szCs w:val="21"/>
              </w:rPr>
            </w:pPr>
            <w:r>
              <w:rPr>
                <w:rFonts w:hint="eastAsia" w:ascii="Times New Roman" w:hAnsi="Times New Roman" w:eastAsia="宋体"/>
                <w:color w:val="auto"/>
                <w:sz w:val="21"/>
                <w:szCs w:val="21"/>
              </w:rPr>
              <w:t>未按时完成开标解密的，视为无效投标。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9" w:type="dxa"/>
            <w:vAlign w:val="center"/>
          </w:tcPr>
          <w:p>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4</w:t>
            </w:r>
          </w:p>
        </w:tc>
        <w:tc>
          <w:tcPr>
            <w:tcW w:w="1941" w:type="dxa"/>
            <w:vAlign w:val="center"/>
          </w:tcPr>
          <w:p>
            <w:pPr>
              <w:pStyle w:val="29"/>
              <w:snapToGrid w:val="0"/>
              <w:jc w:val="center"/>
              <w:rPr>
                <w:rFonts w:ascii="Times New Roman" w:hAnsi="Times New Roman" w:eastAsia="宋体"/>
                <w:color w:val="auto"/>
                <w:sz w:val="21"/>
                <w:szCs w:val="21"/>
              </w:rPr>
            </w:pPr>
            <w:r>
              <w:rPr>
                <w:rFonts w:ascii="Times New Roman" w:hAnsi="Times New Roman" w:eastAsia="宋体"/>
                <w:color w:val="auto"/>
                <w:sz w:val="21"/>
                <w:szCs w:val="21"/>
              </w:rPr>
              <w:t>网上开标公示</w:t>
            </w:r>
          </w:p>
        </w:tc>
        <w:tc>
          <w:tcPr>
            <w:tcW w:w="1891" w:type="dxa"/>
            <w:vAlign w:val="center"/>
          </w:tcPr>
          <w:p>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2026年8月21日9:30</w:t>
            </w:r>
          </w:p>
        </w:tc>
        <w:tc>
          <w:tcPr>
            <w:tcW w:w="2037" w:type="dxa"/>
            <w:vAlign w:val="center"/>
          </w:tcPr>
          <w:p>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2026年8月21日12:00</w:t>
            </w:r>
          </w:p>
        </w:tc>
        <w:tc>
          <w:tcPr>
            <w:tcW w:w="2486" w:type="dxa"/>
            <w:vAlign w:val="center"/>
          </w:tcPr>
          <w:p>
            <w:pPr>
              <w:pStyle w:val="29"/>
              <w:snapToGrid w:val="0"/>
              <w:jc w:val="both"/>
              <w:rPr>
                <w:rFonts w:ascii="Times New Roman" w:hAnsi="Times New Roman" w:eastAsia="宋体"/>
                <w:color w:val="auto"/>
                <w:sz w:val="21"/>
                <w:szCs w:val="21"/>
              </w:rPr>
            </w:pPr>
          </w:p>
        </w:tc>
      </w:tr>
    </w:tbl>
    <w:p>
      <w:pPr>
        <w:pStyle w:val="29"/>
        <w:spacing w:line="360" w:lineRule="auto"/>
        <w:ind w:firstLine="448" w:firstLineChars="200"/>
        <w:rPr>
          <w:rFonts w:ascii="Times New Roman" w:hAnsi="Times New Roman" w:eastAsia="宋体"/>
          <w:color w:val="auto"/>
        </w:rPr>
      </w:pPr>
      <w:r>
        <w:rPr>
          <w:rFonts w:hint="eastAsia" w:ascii="Times New Roman" w:hAnsi="Times New Roman" w:eastAsia="宋体"/>
          <w:color w:val="auto"/>
        </w:rPr>
        <w:t>（二）参与本项目的方式要求</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 供应商注册、</w:t>
      </w:r>
      <w:r>
        <w:rPr>
          <w:rFonts w:ascii="Times New Roman" w:hAnsi="Times New Roman" w:eastAsia="宋体" w:cs="Times New Roman"/>
          <w:color w:val="auto"/>
        </w:rPr>
        <w:t>CA</w:t>
      </w:r>
      <w:r>
        <w:rPr>
          <w:rFonts w:hint="eastAsia" w:ascii="Times New Roman" w:hAnsi="Times New Roman" w:eastAsia="宋体" w:cs="Times New Roman"/>
          <w:color w:val="auto"/>
        </w:rPr>
        <w:t>数字证书（</w:t>
      </w:r>
      <w:r>
        <w:rPr>
          <w:rFonts w:ascii="Times New Roman" w:hAnsi="Times New Roman" w:eastAsia="宋体" w:cs="Times New Roman"/>
          <w:color w:val="auto"/>
        </w:rPr>
        <w:t>USBKey</w:t>
      </w:r>
      <w:r>
        <w:rPr>
          <w:rFonts w:hint="eastAsia" w:ascii="Times New Roman" w:hAnsi="Times New Roman" w:eastAsia="宋体" w:cs="Times New Roman"/>
          <w:color w:val="auto"/>
        </w:rPr>
        <w:t>）领取、</w:t>
      </w:r>
      <w:r>
        <w:rPr>
          <w:rFonts w:hint="eastAsia" w:ascii="Times New Roman" w:hAnsi="Times New Roman" w:eastAsia="宋体"/>
          <w:color w:val="auto"/>
        </w:rPr>
        <w:t>电子签章办理</w:t>
      </w:r>
      <w:r>
        <w:rPr>
          <w:rFonts w:hint="eastAsia" w:ascii="Times New Roman" w:hAnsi="Times New Roman" w:eastAsia="宋体" w:cs="Times New Roman"/>
          <w:color w:val="auto"/>
        </w:rPr>
        <w:t>办法：</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天津市政府采购中心网注册：登录天津市政府采购中心网（</w:t>
      </w:r>
      <w:r>
        <w:rPr>
          <w:rFonts w:ascii="Times New Roman" w:hAnsi="Times New Roman" w:eastAsia="宋体" w:cs="Times New Roman"/>
          <w:color w:val="auto"/>
        </w:rPr>
        <w:t>http://tjgpc.zwfwb.tj.gov.cn</w:t>
      </w:r>
      <w:r>
        <w:rPr>
          <w:rFonts w:hint="eastAsia" w:ascii="Times New Roman" w:hAnsi="Times New Roman" w:eastAsia="宋体" w:cs="Times New Roman"/>
          <w:color w:val="auto"/>
        </w:rPr>
        <w:t>）首页点击“用户注册维护”，填写相关内容。天津市政府采购中心</w:t>
      </w:r>
      <w:r>
        <w:rPr>
          <w:rFonts w:hint="eastAsia" w:ascii="Times New Roman" w:hAnsi="Times New Roman" w:eastAsia="宋体"/>
          <w:color w:val="auto"/>
        </w:rPr>
        <w:t>注册窗口联系电话：</w:t>
      </w:r>
      <w:r>
        <w:rPr>
          <w:rFonts w:ascii="Times New Roman" w:hAnsi="Times New Roman" w:eastAsia="宋体"/>
          <w:color w:val="auto"/>
        </w:rPr>
        <w:t>022-</w:t>
      </w:r>
      <w:r>
        <w:rPr>
          <w:rFonts w:ascii="Times New Roman" w:hAnsi="Times New Roman" w:eastAsia="宋体" w:cs="Times New Roman"/>
          <w:color w:val="auto"/>
        </w:rPr>
        <w:t>24538167</w:t>
      </w:r>
      <w:r>
        <w:rPr>
          <w:rFonts w:hint="eastAsia" w:ascii="Times New Roman" w:hAnsi="Times New Roman" w:eastAsia="宋体"/>
          <w:color w:val="auto"/>
        </w:rPr>
        <w:t>。</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CA</w:t>
      </w:r>
      <w:r>
        <w:rPr>
          <w:rFonts w:hint="eastAsia" w:ascii="Times New Roman" w:hAnsi="Times New Roman" w:eastAsia="宋体" w:cs="Times New Roman"/>
          <w:color w:val="auto"/>
        </w:rPr>
        <w:t>数字证书（</w:t>
      </w:r>
      <w:r>
        <w:rPr>
          <w:rFonts w:ascii="Times New Roman" w:hAnsi="Times New Roman" w:eastAsia="宋体" w:cs="Times New Roman"/>
          <w:color w:val="auto"/>
        </w:rPr>
        <w:t>USBKey</w:t>
      </w:r>
      <w:r>
        <w:rPr>
          <w:rFonts w:hint="eastAsia" w:ascii="Times New Roman" w:hAnsi="Times New Roman" w:eastAsia="宋体" w:cs="Times New Roman"/>
          <w:color w:val="auto"/>
        </w:rPr>
        <w:t>）领取及</w:t>
      </w:r>
      <w:r>
        <w:rPr>
          <w:rFonts w:hint="eastAsia" w:ascii="Times New Roman" w:hAnsi="Times New Roman" w:eastAsia="宋体"/>
          <w:color w:val="auto"/>
        </w:rPr>
        <w:t>电子签章办理</w:t>
      </w:r>
      <w:r>
        <w:rPr>
          <w:rFonts w:hint="eastAsia" w:ascii="Times New Roman" w:hAnsi="Times New Roman" w:eastAsia="宋体" w:cs="Times New Roman"/>
          <w:color w:val="auto"/>
        </w:rPr>
        <w:t>：参见天津市政府采购中心网（</w:t>
      </w:r>
      <w:r>
        <w:rPr>
          <w:rFonts w:ascii="Times New Roman" w:hAnsi="Times New Roman" w:eastAsia="宋体" w:cs="Times New Roman"/>
          <w:color w:val="auto"/>
        </w:rPr>
        <w:t>http://tjgpc.zwfwb.tj.gov.cn</w:t>
      </w:r>
      <w:r>
        <w:rPr>
          <w:rFonts w:hint="eastAsia" w:ascii="Times New Roman" w:hAnsi="Times New Roman" w:eastAsia="宋体" w:cs="Times New Roman"/>
          <w:color w:val="auto"/>
        </w:rPr>
        <w:t>）</w:t>
      </w:r>
      <w:r>
        <w:rPr>
          <w:rFonts w:ascii="Times New Roman" w:hAnsi="Times New Roman" w:eastAsia="宋体" w:cs="Times New Roman"/>
          <w:color w:val="auto"/>
        </w:rPr>
        <w:t>--</w:t>
      </w:r>
      <w:r>
        <w:rPr>
          <w:rFonts w:hint="eastAsia" w:ascii="Times New Roman" w:hAnsi="Times New Roman" w:eastAsia="宋体" w:cs="Times New Roman"/>
          <w:color w:val="auto"/>
        </w:rPr>
        <w:t>服务指南</w:t>
      </w:r>
      <w:r>
        <w:rPr>
          <w:rFonts w:ascii="Times New Roman" w:hAnsi="Times New Roman" w:eastAsia="宋体" w:cs="Times New Roman"/>
          <w:color w:val="auto"/>
        </w:rPr>
        <w:t>--</w:t>
      </w:r>
      <w:r>
        <w:rPr>
          <w:rFonts w:hint="eastAsia" w:ascii="Times New Roman" w:hAnsi="Times New Roman" w:eastAsia="宋体" w:cs="Times New Roman"/>
          <w:color w:val="auto"/>
        </w:rPr>
        <w:t>供应商注册、领取</w:t>
      </w:r>
      <w:r>
        <w:rPr>
          <w:rFonts w:ascii="Times New Roman" w:hAnsi="Times New Roman" w:eastAsia="宋体" w:cs="Times New Roman"/>
          <w:color w:val="auto"/>
        </w:rPr>
        <w:t>CA</w:t>
      </w:r>
      <w:r>
        <w:rPr>
          <w:rFonts w:hint="eastAsia" w:ascii="Times New Roman" w:hAnsi="Times New Roman" w:eastAsia="宋体" w:cs="Times New Roman"/>
          <w:color w:val="auto"/>
        </w:rPr>
        <w:t>数字证书（</w:t>
      </w:r>
      <w:r>
        <w:rPr>
          <w:rFonts w:ascii="Times New Roman" w:hAnsi="Times New Roman" w:eastAsia="宋体" w:cs="Times New Roman"/>
          <w:color w:val="auto"/>
        </w:rPr>
        <w:t>USBKey</w:t>
      </w:r>
      <w:r>
        <w:rPr>
          <w:rFonts w:hint="eastAsia" w:ascii="Times New Roman" w:hAnsi="Times New Roman" w:eastAsia="宋体" w:cs="Times New Roman"/>
          <w:color w:val="auto"/>
        </w:rPr>
        <w:t>）及电子签章制章的流程。</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CA</w:t>
      </w:r>
      <w:r>
        <w:rPr>
          <w:rFonts w:hint="eastAsia" w:ascii="Times New Roman" w:hAnsi="Times New Roman" w:eastAsia="宋体" w:cs="Times New Roman"/>
          <w:color w:val="auto"/>
        </w:rPr>
        <w:t>数字证书办理联系电话：</w:t>
      </w:r>
      <w:r>
        <w:rPr>
          <w:rFonts w:ascii="Times New Roman" w:hAnsi="Times New Roman" w:eastAsia="宋体" w:cs="Times New Roman"/>
          <w:color w:val="auto"/>
        </w:rPr>
        <w:t>400-0566-110</w:t>
      </w:r>
      <w:r>
        <w:rPr>
          <w:rFonts w:hint="eastAsia" w:ascii="Times New Roman" w:hAnsi="Times New Roman" w:eastAsia="宋体" w:cs="Times New Roman"/>
          <w:color w:val="auto"/>
        </w:rPr>
        <w:t>或</w:t>
      </w:r>
      <w:r>
        <w:rPr>
          <w:rFonts w:ascii="Times New Roman" w:hAnsi="Times New Roman" w:eastAsia="宋体" w:cs="Times New Roman"/>
          <w:color w:val="auto"/>
        </w:rPr>
        <w:t>022-24538059</w:t>
      </w:r>
      <w:r>
        <w:rPr>
          <w:rFonts w:hint="eastAsia" w:ascii="Times New Roman" w:hAnsi="Times New Roman" w:eastAsia="宋体" w:cs="Times New Roman"/>
          <w:color w:val="auto"/>
        </w:rPr>
        <w:t>。</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电子签章办理联系电话：</w:t>
      </w:r>
      <w:r>
        <w:rPr>
          <w:rFonts w:ascii="Times New Roman" w:hAnsi="Times New Roman" w:eastAsia="宋体" w:cs="Times New Roman"/>
          <w:color w:val="auto"/>
        </w:rPr>
        <w:t>022-24538</w:t>
      </w:r>
      <w:r>
        <w:rPr>
          <w:rFonts w:hint="eastAsia" w:ascii="Times New Roman" w:hAnsi="Times New Roman" w:eastAsia="宋体" w:cs="Times New Roman"/>
          <w:color w:val="auto"/>
        </w:rPr>
        <w:t>059。</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 xml:space="preserve">2. </w:t>
      </w:r>
      <w:r>
        <w:rPr>
          <w:rFonts w:ascii="Times New Roman" w:hAnsi="Times New Roman" w:eastAsia="宋体" w:cs="Times New Roman"/>
          <w:color w:val="auto"/>
        </w:rPr>
        <w:t>获取招标文件的方式</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采用</w:t>
      </w:r>
      <w:r>
        <w:rPr>
          <w:rFonts w:ascii="Times New Roman" w:hAnsi="Times New Roman" w:eastAsia="宋体" w:cs="Times New Roman"/>
          <w:color w:val="auto"/>
        </w:rPr>
        <w:t>网上获取电子</w:t>
      </w:r>
      <w:r>
        <w:rPr>
          <w:rFonts w:hint="eastAsia" w:ascii="Times New Roman" w:hAnsi="Times New Roman" w:eastAsia="宋体" w:cs="Times New Roman"/>
          <w:color w:val="auto"/>
        </w:rPr>
        <w:t>招标</w:t>
      </w:r>
      <w:r>
        <w:rPr>
          <w:rFonts w:ascii="Times New Roman" w:hAnsi="Times New Roman" w:eastAsia="宋体" w:cs="Times New Roman"/>
          <w:color w:val="auto"/>
        </w:rPr>
        <w:t>文件的方式，供应商应于规定的时间内使用天津数字认证有限公司发出的CA数字证书（原天津市电子认证中心发出尚在有效期内的CA数字证书仍可使用）登录天津市政府采购中心网（网址：</w:t>
      </w:r>
      <w:r>
        <w:fldChar w:fldCharType="begin"/>
      </w:r>
      <w:r>
        <w:instrText xml:space="preserve"> HYPERLINK "http://www.tjgpc.gov.cn" </w:instrText>
      </w:r>
      <w:r>
        <w:fldChar w:fldCharType="separate"/>
      </w:r>
      <w:r>
        <w:rPr>
          <w:rStyle w:val="26"/>
          <w:rFonts w:hint="eastAsia" w:ascii="Times New Roman" w:hAnsi="Times New Roman" w:eastAsia="宋体" w:cs="Times New Roman"/>
        </w:rPr>
        <w:t>http://tjgpc.zwfwb.tj.gov.cn</w:t>
      </w:r>
      <w:r>
        <w:rPr>
          <w:rStyle w:val="26"/>
          <w:rFonts w:hint="eastAsia" w:ascii="Times New Roman" w:hAnsi="Times New Roman" w:eastAsia="宋体" w:cs="Times New Roman"/>
        </w:rPr>
        <w:fldChar w:fldCharType="end"/>
      </w:r>
      <w:r>
        <w:rPr>
          <w:rFonts w:hint="eastAsia" w:ascii="Times New Roman" w:hAnsi="Times New Roman" w:eastAsia="宋体" w:cs="Times New Roman"/>
          <w:color w:val="auto"/>
        </w:rPr>
        <w:t>）-”网上招投标”-“供应商登录”-“市级集采机构入口”</w:t>
      </w:r>
      <w:r>
        <w:rPr>
          <w:rFonts w:ascii="Times New Roman" w:hAnsi="Times New Roman" w:eastAsia="宋体" w:cs="Times New Roman"/>
          <w:color w:val="auto"/>
        </w:rPr>
        <w:t>下载招标文件。</w:t>
      </w:r>
    </w:p>
    <w:p>
      <w:pPr>
        <w:pStyle w:val="29"/>
        <w:spacing w:line="360" w:lineRule="auto"/>
        <w:ind w:firstLine="448" w:firstLineChars="200"/>
        <w:jc w:val="both"/>
        <w:rPr>
          <w:rFonts w:ascii="Times New Roman" w:hAnsi="Times New Roman" w:eastAsia="宋体"/>
          <w:color w:val="auto"/>
        </w:rPr>
      </w:pPr>
      <w:r>
        <w:rPr>
          <w:rFonts w:hint="eastAsia" w:ascii="Times New Roman" w:hAnsi="Times New Roman" w:eastAsia="宋体"/>
          <w:color w:val="auto"/>
        </w:rPr>
        <w:t>3. 网上应答（上传电子投标文件）方式</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采用网上电子投标方式，投标人</w:t>
      </w:r>
      <w:r>
        <w:rPr>
          <w:rFonts w:hint="eastAsia" w:ascii="Times New Roman" w:hAnsi="Times New Roman" w:eastAsia="宋体" w:cs="Times New Roman"/>
          <w:color w:val="auto"/>
        </w:rPr>
        <w:t>应</w:t>
      </w:r>
      <w:r>
        <w:rPr>
          <w:rFonts w:ascii="Times New Roman" w:hAnsi="Times New Roman" w:eastAsia="宋体" w:cs="Times New Roman"/>
          <w:color w:val="auto"/>
        </w:rPr>
        <w:t>于</w:t>
      </w:r>
      <w:r>
        <w:rPr>
          <w:rFonts w:hint="eastAsia" w:ascii="Times New Roman" w:hAnsi="Times New Roman" w:eastAsia="宋体" w:cs="Times New Roman"/>
          <w:color w:val="auto"/>
        </w:rPr>
        <w:t>规定</w:t>
      </w:r>
      <w:r>
        <w:rPr>
          <w:rFonts w:ascii="Times New Roman" w:hAnsi="Times New Roman" w:eastAsia="宋体" w:cs="Times New Roman"/>
          <w:color w:val="auto"/>
        </w:rPr>
        <w:t>的时间</w:t>
      </w:r>
      <w:r>
        <w:rPr>
          <w:rFonts w:hint="eastAsia" w:ascii="Times New Roman" w:hAnsi="Times New Roman" w:eastAsia="宋体" w:cs="Times New Roman"/>
          <w:color w:val="auto"/>
        </w:rPr>
        <w:t>内</w:t>
      </w:r>
      <w:r>
        <w:rPr>
          <w:rFonts w:ascii="Times New Roman" w:hAnsi="Times New Roman" w:eastAsia="宋体" w:cs="Times New Roman"/>
          <w:color w:val="auto"/>
        </w:rPr>
        <w:t>使用天津数字认证有限公司发出的CA数字证书（原天津市电子认证中心发出尚在有效期内的CA数字证书仍可使用）登录</w:t>
      </w:r>
      <w:r>
        <w:rPr>
          <w:rFonts w:hint="eastAsia" w:ascii="Times New Roman" w:hAnsi="Times New Roman" w:eastAsia="宋体" w:cs="Times New Roman"/>
          <w:color w:val="auto"/>
        </w:rPr>
        <w:t>天津市政府采购中心网（网址：http://tjgpc.zwfwb.tj.gov.cn）-”网上招投标”-“供应商登录”-“市级集采机构入口”</w:t>
      </w:r>
      <w:r>
        <w:rPr>
          <w:rFonts w:ascii="Times New Roman" w:hAnsi="Times New Roman" w:eastAsia="宋体" w:cs="Times New Roman"/>
          <w:color w:val="auto"/>
        </w:rPr>
        <w:t xml:space="preserve"> 进行网上应答</w:t>
      </w:r>
      <w:r>
        <w:rPr>
          <w:rFonts w:hint="eastAsia" w:ascii="Times New Roman" w:hAnsi="Times New Roman" w:eastAsia="宋体" w:cs="Times New Roman"/>
          <w:color w:val="auto"/>
        </w:rPr>
        <w:t>及提交，并上传加盖投标人电子签章的电子投标文件（以通过天津公共资源电子签章客户端正确读取签章信息为准），否则视为无效投标。</w:t>
      </w:r>
    </w:p>
    <w:p>
      <w:pPr>
        <w:pStyle w:val="29"/>
        <w:spacing w:line="360" w:lineRule="auto"/>
        <w:ind w:firstLine="448" w:firstLineChars="200"/>
        <w:rPr>
          <w:rFonts w:ascii="Times New Roman" w:hAnsi="Times New Roman" w:eastAsia="宋体"/>
          <w:color w:val="auto"/>
        </w:rPr>
      </w:pPr>
      <w:r>
        <w:rPr>
          <w:rFonts w:ascii="Times New Roman" w:hAnsi="Times New Roman" w:eastAsia="宋体" w:cs="Times New Roman"/>
          <w:color w:val="auto"/>
        </w:rPr>
        <w:t>网上应答帮助链接：http://tjgpc.zwfwb.tj.gov.cn/webInfo/getWebInfoListForwebInfoClass.do?fkWebInfoclassId=W008</w:t>
      </w:r>
    </w:p>
    <w:p>
      <w:pPr>
        <w:pStyle w:val="29"/>
        <w:spacing w:line="360" w:lineRule="auto"/>
        <w:ind w:firstLine="448" w:firstLineChars="200"/>
        <w:rPr>
          <w:rFonts w:ascii="Times New Roman" w:hAnsi="Times New Roman" w:eastAsia="宋体"/>
          <w:color w:val="auto"/>
        </w:rPr>
      </w:pPr>
      <w:r>
        <w:rPr>
          <w:rFonts w:hint="eastAsia" w:ascii="Times New Roman" w:hAnsi="Times New Roman" w:eastAsia="宋体"/>
          <w:color w:val="auto"/>
        </w:rPr>
        <w:t>4. 开标解密方式</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采用网上开标解密方式，投标人</w:t>
      </w:r>
      <w:r>
        <w:rPr>
          <w:rFonts w:hint="eastAsia" w:ascii="Times New Roman" w:hAnsi="Times New Roman" w:eastAsia="宋体" w:cs="Times New Roman"/>
          <w:color w:val="auto"/>
        </w:rPr>
        <w:t>应</w:t>
      </w:r>
      <w:r>
        <w:rPr>
          <w:rFonts w:ascii="Times New Roman" w:hAnsi="Times New Roman" w:eastAsia="宋体" w:cs="Times New Roman"/>
          <w:color w:val="auto"/>
        </w:rPr>
        <w:t>于</w:t>
      </w:r>
      <w:r>
        <w:rPr>
          <w:rFonts w:hint="eastAsia" w:ascii="Times New Roman" w:hAnsi="Times New Roman" w:eastAsia="宋体" w:cs="Times New Roman"/>
          <w:color w:val="auto"/>
        </w:rPr>
        <w:t>规定的时间</w:t>
      </w:r>
      <w:r>
        <w:rPr>
          <w:rFonts w:ascii="Times New Roman" w:hAnsi="Times New Roman" w:eastAsia="宋体" w:cs="Times New Roman"/>
          <w:color w:val="auto"/>
        </w:rPr>
        <w:t>内使用天津数字认证有限公司发出的CA数字证书（原天津市电子认证中心发出尚在有效期内的CA数字证书仍可使用）</w:t>
      </w:r>
      <w:r>
        <w:rPr>
          <w:rFonts w:hint="eastAsia" w:ascii="Times New Roman" w:hAnsi="Times New Roman" w:eastAsia="宋体" w:cs="Times New Roman"/>
          <w:color w:val="auto"/>
        </w:rPr>
        <w:t>登录天津市政府采购中心网（网址：http://tjgpc.zwfwb.tj.gov.cn）-”网上招投标”-“供应商登录”-“市级集采机构入口”</w:t>
      </w:r>
      <w:r>
        <w:rPr>
          <w:rFonts w:ascii="Times New Roman" w:hAnsi="Times New Roman" w:eastAsia="宋体" w:cs="Times New Roman"/>
          <w:color w:val="auto"/>
        </w:rPr>
        <w:t>完成开标解密</w:t>
      </w:r>
      <w:r>
        <w:rPr>
          <w:rFonts w:hint="eastAsia" w:ascii="Times New Roman" w:hAnsi="Times New Roman" w:eastAsia="宋体" w:cs="Times New Roman"/>
          <w:color w:val="auto"/>
        </w:rPr>
        <w:t>，否则视为无效投标。</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 xml:space="preserve">5. </w:t>
      </w:r>
      <w:r>
        <w:rPr>
          <w:rFonts w:ascii="Times New Roman" w:hAnsi="Times New Roman" w:eastAsia="宋体" w:cs="Times New Roman"/>
          <w:color w:val="auto"/>
        </w:rPr>
        <w:t>网上开标公示方式</w:t>
      </w:r>
    </w:p>
    <w:p>
      <w:pPr>
        <w:pStyle w:val="29"/>
        <w:spacing w:line="360" w:lineRule="auto"/>
        <w:ind w:firstLine="448" w:firstLineChars="200"/>
        <w:rPr>
          <w:rFonts w:ascii="Times New Roman" w:hAnsi="Times New Roman" w:eastAsia="宋体"/>
          <w:color w:val="auto"/>
        </w:rPr>
      </w:pPr>
      <w:r>
        <w:rPr>
          <w:rFonts w:hint="eastAsia" w:ascii="Times New Roman" w:hAnsi="Times New Roman" w:eastAsia="宋体" w:cs="Times New Roman"/>
          <w:color w:val="auto"/>
        </w:rPr>
        <w:t>投标人可在规定时间内使用天津数字认证有限公司发出的CA数字证书（原天津市电子认证中心发出尚在有效期内的CA数字证书仍可使用）登录天津市政府采购中心网（网址：http://tjgpc.zwfwb.tj.gov.cn）-”网上招投标”-“供应商登录”-“市级集采机构入口”自行查看开标信息。</w:t>
      </w:r>
    </w:p>
    <w:p>
      <w:pPr>
        <w:pStyle w:val="29"/>
        <w:spacing w:line="360" w:lineRule="auto"/>
        <w:ind w:firstLine="448" w:firstLineChars="200"/>
        <w:rPr>
          <w:rFonts w:ascii="Times New Roman" w:hAnsi="Times New Roman" w:eastAsia="宋体"/>
          <w:color w:val="auto"/>
        </w:rPr>
      </w:pPr>
      <w:r>
        <w:rPr>
          <w:rFonts w:hint="eastAsia" w:ascii="Times New Roman" w:hAnsi="Times New Roman" w:eastAsia="宋体"/>
          <w:color w:val="auto"/>
        </w:rPr>
        <w:t>供应商应按以上步骤顺序、时间及方式要求参与本项目，否则视为不参与本项目。</w:t>
      </w:r>
    </w:p>
    <w:p>
      <w:pPr>
        <w:pStyle w:val="29"/>
        <w:spacing w:line="360" w:lineRule="auto"/>
        <w:ind w:firstLine="448" w:firstLineChars="200"/>
        <w:jc w:val="both"/>
        <w:rPr>
          <w:rFonts w:ascii="Times New Roman" w:hAnsi="Times New Roman" w:eastAsia="宋体" w:cs="Times New Roman"/>
          <w:color w:val="auto"/>
        </w:rPr>
      </w:pPr>
      <w:bookmarkStart w:id="3" w:name="_Toc412903615"/>
      <w:r>
        <w:rPr>
          <w:rFonts w:hint="eastAsia" w:ascii="Times New Roman" w:hAnsi="Times New Roman" w:eastAsia="宋体" w:cs="Times New Roman"/>
          <w:color w:val="auto"/>
        </w:rPr>
        <w:t>六、现场考察、标前答疑会</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 本项目不组织现场考察及标前答疑会</w:t>
      </w:r>
      <w:r>
        <w:rPr>
          <w:rFonts w:ascii="Times New Roman" w:hAnsi="Times New Roman" w:eastAsia="宋体" w:cs="Times New Roman"/>
          <w:color w:val="auto"/>
        </w:rPr>
        <w:t>。</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七、采购代理机构</w:t>
      </w:r>
      <w:r>
        <w:rPr>
          <w:rFonts w:hint="eastAsia" w:ascii="Times New Roman" w:hAnsi="Times New Roman" w:eastAsia="宋体" w:cs="Times New Roman"/>
          <w:color w:val="auto"/>
        </w:rPr>
        <w:t>信息</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（一）</w:t>
      </w:r>
      <w:r>
        <w:rPr>
          <w:rFonts w:hint="eastAsia" w:ascii="Times New Roman" w:hAnsi="Times New Roman" w:eastAsia="宋体" w:cs="Times New Roman"/>
          <w:color w:val="auto"/>
        </w:rPr>
        <w:t>采购代理机构名称：天津市政府采购中心</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（二）采购代理机构地址：天津市河东区红星路79号二楼</w:t>
      </w:r>
      <w:r>
        <w:rPr>
          <w:rFonts w:hint="eastAsia" w:ascii="Times New Roman" w:hAnsi="Times New Roman" w:eastAsia="宋体" w:cs="Times New Roman"/>
          <w:color w:val="auto"/>
        </w:rPr>
        <w:t>（邮编</w:t>
      </w:r>
      <w:r>
        <w:rPr>
          <w:rFonts w:ascii="Times New Roman" w:hAnsi="Times New Roman" w:eastAsia="宋体" w:cs="Times New Roman"/>
          <w:color w:val="auto"/>
        </w:rPr>
        <w:t>：300161</w:t>
      </w:r>
      <w:r>
        <w:rPr>
          <w:rFonts w:hint="eastAsia" w:ascii="Times New Roman" w:hAnsi="Times New Roman" w:eastAsia="宋体" w:cs="Times New Roman"/>
          <w:color w:val="auto"/>
        </w:rPr>
        <w:t>）</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（三）</w:t>
      </w:r>
      <w:r>
        <w:rPr>
          <w:rFonts w:ascii="Times New Roman" w:hAnsi="Times New Roman" w:eastAsia="宋体" w:cs="Times New Roman"/>
          <w:color w:val="auto"/>
        </w:rPr>
        <w:t>联系人：</w:t>
      </w:r>
      <w:r>
        <w:rPr>
          <w:rFonts w:hint="eastAsia" w:ascii="Times New Roman" w:hAnsi="Times New Roman" w:eastAsia="宋体" w:cs="Times New Roman"/>
          <w:color w:val="auto"/>
        </w:rPr>
        <w:t>丁亚天</w:t>
      </w:r>
      <w:r>
        <w:rPr>
          <w:rFonts w:ascii="Times New Roman" w:hAnsi="Times New Roman" w:eastAsia="宋体" w:cs="Times New Roman"/>
          <w:color w:val="auto"/>
        </w:rPr>
        <w:t>、</w:t>
      </w:r>
      <w:r>
        <w:rPr>
          <w:rFonts w:hint="eastAsia" w:ascii="Times New Roman" w:hAnsi="Times New Roman" w:eastAsia="宋体" w:cs="Times New Roman"/>
          <w:color w:val="auto"/>
        </w:rPr>
        <w:t>王蓉蓉</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（四）</w:t>
      </w:r>
      <w:r>
        <w:rPr>
          <w:rFonts w:ascii="Times New Roman" w:hAnsi="Times New Roman" w:eastAsia="宋体" w:cs="Times New Roman"/>
          <w:color w:val="auto"/>
        </w:rPr>
        <w:t>网址：http://tjgpc.zwfwb.tj.gov.cn</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（五）</w:t>
      </w:r>
      <w:r>
        <w:rPr>
          <w:rFonts w:ascii="Times New Roman" w:hAnsi="Times New Roman" w:eastAsia="宋体" w:cs="Times New Roman"/>
          <w:color w:val="auto"/>
        </w:rPr>
        <w:t>对外办公时间：</w:t>
      </w:r>
      <w:r>
        <w:rPr>
          <w:rFonts w:hint="eastAsia" w:ascii="Times New Roman" w:hAnsi="Times New Roman" w:eastAsia="宋体" w:cs="Times New Roman"/>
          <w:color w:val="auto"/>
        </w:rPr>
        <w:t>法定</w:t>
      </w:r>
      <w:r>
        <w:rPr>
          <w:rFonts w:ascii="Times New Roman" w:hAnsi="Times New Roman" w:eastAsia="宋体" w:cs="Times New Roman"/>
          <w:color w:val="auto"/>
        </w:rPr>
        <w:t>工作日9:00～12:00，14:00～1</w:t>
      </w:r>
      <w:r>
        <w:rPr>
          <w:rFonts w:hint="eastAsia" w:ascii="Times New Roman" w:hAnsi="Times New Roman" w:eastAsia="宋体" w:cs="Times New Roman"/>
          <w:color w:val="auto"/>
        </w:rPr>
        <w:t>7</w:t>
      </w:r>
      <w:r>
        <w:rPr>
          <w:rFonts w:ascii="Times New Roman" w:hAnsi="Times New Roman" w:eastAsia="宋体" w:cs="Times New Roman"/>
          <w:color w:val="auto"/>
        </w:rPr>
        <w:t>:00</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（六）咨询服务电话</w:t>
      </w:r>
      <w:r>
        <w:rPr>
          <w:rFonts w:ascii="Times New Roman" w:hAnsi="Times New Roman" w:eastAsia="宋体" w:cs="Times New Roman"/>
          <w:color w:val="auto"/>
        </w:rPr>
        <w:t>：</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 供应商注册咨询</w:t>
      </w:r>
      <w:r>
        <w:rPr>
          <w:rFonts w:hint="eastAsia" w:ascii="Times New Roman" w:hAnsi="Times New Roman" w:eastAsia="宋体" w:cs="Times New Roman"/>
          <w:color w:val="auto"/>
        </w:rPr>
        <w:t>：</w:t>
      </w:r>
      <w:r>
        <w:rPr>
          <w:rFonts w:ascii="Times New Roman" w:hAnsi="Times New Roman" w:eastAsia="宋体" w:cs="Times New Roman"/>
          <w:color w:val="auto"/>
        </w:rPr>
        <w:t>022-24538167</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 CA证书和</w:t>
      </w:r>
      <w:r>
        <w:rPr>
          <w:rFonts w:ascii="Times New Roman" w:hAnsi="Times New Roman" w:eastAsia="宋体" w:cs="Times New Roman"/>
          <w:color w:val="auto"/>
        </w:rPr>
        <w:t>电子签章办理咨询：</w:t>
      </w:r>
      <w:r>
        <w:rPr>
          <w:rFonts w:hint="eastAsia" w:ascii="Times New Roman" w:hAnsi="Times New Roman" w:eastAsia="宋体" w:cs="Times New Roman"/>
          <w:color w:val="auto"/>
        </w:rPr>
        <w:t>022-24538059</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w:t>
      </w:r>
      <w:r>
        <w:rPr>
          <w:rFonts w:ascii="Times New Roman" w:hAnsi="Times New Roman" w:eastAsia="宋体" w:cs="Times New Roman"/>
          <w:color w:val="auto"/>
        </w:rPr>
        <w:t>. 采购文件咨询：022-2453</w:t>
      </w:r>
      <w:r>
        <w:rPr>
          <w:rFonts w:hint="eastAsia" w:ascii="Times New Roman" w:hAnsi="Times New Roman" w:eastAsia="宋体" w:cs="Times New Roman"/>
          <w:color w:val="auto"/>
        </w:rPr>
        <w:t>8301</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4</w:t>
      </w:r>
      <w:r>
        <w:rPr>
          <w:rFonts w:ascii="Times New Roman" w:hAnsi="Times New Roman" w:eastAsia="宋体" w:cs="Times New Roman"/>
          <w:color w:val="auto"/>
        </w:rPr>
        <w:t>. 网上应答</w:t>
      </w:r>
      <w:r>
        <w:rPr>
          <w:rFonts w:hint="eastAsia" w:ascii="Times New Roman" w:hAnsi="Times New Roman" w:eastAsia="宋体" w:cs="Times New Roman"/>
          <w:color w:val="auto"/>
        </w:rPr>
        <w:t>及</w:t>
      </w:r>
      <w:r>
        <w:rPr>
          <w:rFonts w:ascii="Times New Roman" w:hAnsi="Times New Roman" w:eastAsia="宋体" w:cs="Times New Roman"/>
          <w:color w:val="auto"/>
        </w:rPr>
        <w:t>解密操作咨询：022-24538309</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八</w:t>
      </w:r>
      <w:r>
        <w:rPr>
          <w:rFonts w:ascii="Times New Roman" w:hAnsi="Times New Roman" w:eastAsia="宋体" w:cs="Times New Roman"/>
          <w:color w:val="auto"/>
        </w:rPr>
        <w:t>、采购人</w:t>
      </w:r>
      <w:r>
        <w:rPr>
          <w:rFonts w:hint="eastAsia" w:ascii="Times New Roman" w:hAnsi="Times New Roman" w:eastAsia="宋体" w:cs="Times New Roman"/>
          <w:color w:val="auto"/>
        </w:rPr>
        <w:t>信息</w:t>
      </w:r>
    </w:p>
    <w:p>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（一）采购人名称：</w:t>
      </w:r>
      <w:r>
        <w:rPr>
          <w:rFonts w:hint="eastAsia" w:ascii="Times New Roman" w:hAnsi="Times New Roman" w:eastAsia="宋体" w:cs="Times New Roman"/>
          <w:color w:val="auto"/>
        </w:rPr>
        <w:t>国家税务总局天津市税务局</w:t>
      </w:r>
    </w:p>
    <w:p>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（二）采购人地址：</w:t>
      </w:r>
      <w:r>
        <w:rPr>
          <w:rFonts w:hint="eastAsia" w:ascii="Times New Roman" w:hAnsi="Times New Roman" w:eastAsia="宋体" w:cs="Times New Roman"/>
          <w:color w:val="auto"/>
        </w:rPr>
        <w:t>天津市河北区民主道16号</w:t>
      </w:r>
    </w:p>
    <w:p>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（三）采购人联系人：</w:t>
      </w:r>
      <w:r>
        <w:rPr>
          <w:rFonts w:hint="eastAsia" w:ascii="Times New Roman" w:hAnsi="Times New Roman" w:eastAsia="宋体" w:cs="Times New Roman"/>
          <w:color w:val="auto"/>
        </w:rPr>
        <w:t>牛宗雯</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（四）采购人联系电话：022-24465513</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九</w:t>
      </w:r>
      <w:r>
        <w:rPr>
          <w:rFonts w:ascii="Times New Roman" w:hAnsi="Times New Roman" w:eastAsia="宋体" w:cs="Times New Roman"/>
          <w:color w:val="auto"/>
        </w:rPr>
        <w:t>、质疑方式</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（一）供应商认为采购文件、采购过程和采购结果使自己的权益受到损害的，可以在知道或者应知其权益受到损害之日起七个工作日内，按照本项目采购文件第三部分《投标须知》“8. 询问与质疑”的相关规定，以书面原件形式针对同一采购程序环节一次性提出质疑，否则不予受理。</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采购人质疑受理：</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 联系部门：国家税务总局天津市税务局</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 联系地址：天津市河北区民主道16号</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3. 联 系 人：牛宗雯</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4. 联系方式：</w:t>
      </w:r>
      <w:r>
        <w:rPr>
          <w:rFonts w:ascii="Times New Roman" w:hAnsi="Times New Roman" w:eastAsia="宋体" w:cs="Times New Roman"/>
          <w:color w:val="auto"/>
        </w:rPr>
        <w:t>022-24465513</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（二）供应商对质疑答复不满意的，或者采购人、天津市政府采购中心未在规定期限内作出答复的，供应商可以在质疑答复期满后15个工作日内，向采购人同级财政部门提出投诉，逾期不予受理。</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十、公告期限</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招标公告的公告期限为5个工作日。</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十</w:t>
      </w:r>
      <w:r>
        <w:rPr>
          <w:rFonts w:hint="eastAsia" w:ascii="Times New Roman" w:hAnsi="Times New Roman" w:eastAsia="宋体" w:cs="Times New Roman"/>
          <w:color w:val="auto"/>
        </w:rPr>
        <w:t>一</w:t>
      </w:r>
      <w:r>
        <w:rPr>
          <w:rFonts w:ascii="Times New Roman" w:hAnsi="Times New Roman" w:eastAsia="宋体" w:cs="Times New Roman"/>
          <w:color w:val="auto"/>
        </w:rPr>
        <w:t>、招标代理服务费</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本项目按以下比例向中标供应商收取招标代理服务费</w:t>
      </w:r>
      <w:r>
        <w:rPr>
          <w:rFonts w:hint="eastAsia" w:ascii="Times New Roman" w:hAnsi="Times New Roman" w:eastAsia="宋体" w:cs="Times New Roman"/>
          <w:color w:val="auto"/>
        </w:rPr>
        <w:t>：</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6"/>
        <w:gridCol w:w="36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blHeader/>
          <w:jc w:val="center"/>
        </w:trPr>
        <w:tc>
          <w:tcPr>
            <w:tcW w:w="3656" w:type="dxa"/>
            <w:vAlign w:val="center"/>
          </w:tcPr>
          <w:p>
            <w:pPr>
              <w:tabs>
                <w:tab w:val="left" w:pos="750"/>
                <w:tab w:val="left" w:pos="840"/>
              </w:tabs>
              <w:adjustRightInd w:val="0"/>
              <w:snapToGrid w:val="0"/>
              <w:jc w:val="center"/>
              <w:rPr>
                <w:sz w:val="24"/>
              </w:rPr>
            </w:pPr>
            <w:r>
              <w:rPr>
                <w:sz w:val="24"/>
              </w:rPr>
              <w:t>中标金额</w:t>
            </w:r>
            <w:r>
              <w:rPr>
                <w:rFonts w:hint="eastAsia"/>
                <w:sz w:val="24"/>
              </w:rPr>
              <w:t>（万元）</w:t>
            </w:r>
          </w:p>
        </w:tc>
        <w:tc>
          <w:tcPr>
            <w:tcW w:w="3657" w:type="dxa"/>
            <w:vAlign w:val="center"/>
          </w:tcPr>
          <w:p>
            <w:pPr>
              <w:tabs>
                <w:tab w:val="left" w:pos="750"/>
                <w:tab w:val="left" w:pos="840"/>
              </w:tabs>
              <w:adjustRightInd w:val="0"/>
              <w:snapToGrid w:val="0"/>
              <w:jc w:val="center"/>
              <w:rPr>
                <w:sz w:val="24"/>
              </w:rPr>
            </w:pPr>
            <w:r>
              <w:rPr>
                <w:sz w:val="24"/>
              </w:rPr>
              <w:t>费率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pPr>
              <w:tabs>
                <w:tab w:val="left" w:pos="750"/>
                <w:tab w:val="left" w:pos="840"/>
              </w:tabs>
              <w:adjustRightInd w:val="0"/>
              <w:snapToGrid w:val="0"/>
              <w:jc w:val="center"/>
              <w:rPr>
                <w:sz w:val="24"/>
              </w:rPr>
            </w:pPr>
            <w:r>
              <w:rPr>
                <w:sz w:val="24"/>
              </w:rPr>
              <w:t>100以下</w:t>
            </w:r>
          </w:p>
        </w:tc>
        <w:tc>
          <w:tcPr>
            <w:tcW w:w="3657" w:type="dxa"/>
            <w:vAlign w:val="center"/>
          </w:tcPr>
          <w:p>
            <w:pPr>
              <w:tabs>
                <w:tab w:val="left" w:pos="750"/>
                <w:tab w:val="left" w:pos="840"/>
              </w:tabs>
              <w:adjustRightInd w:val="0"/>
              <w:snapToGrid w:val="0"/>
              <w:jc w:val="center"/>
              <w:rPr>
                <w:sz w:val="24"/>
              </w:rPr>
            </w:pPr>
            <w:r>
              <w:rPr>
                <w:sz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pPr>
              <w:tabs>
                <w:tab w:val="left" w:pos="750"/>
                <w:tab w:val="left" w:pos="840"/>
              </w:tabs>
              <w:adjustRightInd w:val="0"/>
              <w:snapToGrid w:val="0"/>
              <w:jc w:val="center"/>
              <w:rPr>
                <w:sz w:val="24"/>
              </w:rPr>
            </w:pPr>
            <w:r>
              <w:rPr>
                <w:sz w:val="24"/>
              </w:rPr>
              <w:t>100-500</w:t>
            </w:r>
          </w:p>
        </w:tc>
        <w:tc>
          <w:tcPr>
            <w:tcW w:w="3657" w:type="dxa"/>
            <w:vAlign w:val="center"/>
          </w:tcPr>
          <w:p>
            <w:pPr>
              <w:tabs>
                <w:tab w:val="left" w:pos="750"/>
                <w:tab w:val="left" w:pos="840"/>
              </w:tabs>
              <w:adjustRightInd w:val="0"/>
              <w:snapToGrid w:val="0"/>
              <w:jc w:val="center"/>
              <w:rPr>
                <w:sz w:val="24"/>
              </w:rPr>
            </w:pPr>
            <w:r>
              <w:rPr>
                <w:rFonts w:hint="eastAsia"/>
                <w:sz w:val="24"/>
              </w:rPr>
              <w:t>0.8</w:t>
            </w:r>
            <w:r>
              <w:rPr>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pPr>
              <w:tabs>
                <w:tab w:val="left" w:pos="750"/>
                <w:tab w:val="left" w:pos="840"/>
              </w:tabs>
              <w:adjustRightInd w:val="0"/>
              <w:snapToGrid w:val="0"/>
              <w:jc w:val="center"/>
              <w:rPr>
                <w:sz w:val="24"/>
              </w:rPr>
            </w:pPr>
            <w:r>
              <w:rPr>
                <w:sz w:val="24"/>
              </w:rPr>
              <w:t>500-1000</w:t>
            </w:r>
          </w:p>
        </w:tc>
        <w:tc>
          <w:tcPr>
            <w:tcW w:w="3657" w:type="dxa"/>
            <w:vAlign w:val="center"/>
          </w:tcPr>
          <w:p>
            <w:pPr>
              <w:tabs>
                <w:tab w:val="left" w:pos="750"/>
                <w:tab w:val="left" w:pos="840"/>
              </w:tabs>
              <w:adjustRightInd w:val="0"/>
              <w:snapToGrid w:val="0"/>
              <w:jc w:val="center"/>
              <w:rPr>
                <w:sz w:val="24"/>
              </w:rPr>
            </w:pPr>
            <w:r>
              <w:rPr>
                <w:sz w:val="24"/>
              </w:rPr>
              <w:t>0.</w:t>
            </w:r>
            <w:r>
              <w:rPr>
                <w:rFonts w:hint="eastAsia"/>
                <w:sz w:val="24"/>
              </w:rPr>
              <w:t>45</w:t>
            </w:r>
            <w:r>
              <w:rPr>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pPr>
              <w:tabs>
                <w:tab w:val="left" w:pos="750"/>
                <w:tab w:val="left" w:pos="840"/>
              </w:tabs>
              <w:adjustRightInd w:val="0"/>
              <w:snapToGrid w:val="0"/>
              <w:jc w:val="center"/>
              <w:rPr>
                <w:sz w:val="24"/>
              </w:rPr>
            </w:pPr>
            <w:r>
              <w:rPr>
                <w:sz w:val="24"/>
              </w:rPr>
              <w:t>1000</w:t>
            </w:r>
            <w:r>
              <w:rPr>
                <w:rFonts w:hint="eastAsia"/>
                <w:sz w:val="24"/>
              </w:rPr>
              <w:t>-5000</w:t>
            </w:r>
          </w:p>
        </w:tc>
        <w:tc>
          <w:tcPr>
            <w:tcW w:w="3657" w:type="dxa"/>
            <w:vAlign w:val="center"/>
          </w:tcPr>
          <w:p>
            <w:pPr>
              <w:tabs>
                <w:tab w:val="left" w:pos="750"/>
                <w:tab w:val="left" w:pos="840"/>
              </w:tabs>
              <w:adjustRightInd w:val="0"/>
              <w:snapToGrid w:val="0"/>
              <w:jc w:val="center"/>
              <w:rPr>
                <w:sz w:val="24"/>
              </w:rPr>
            </w:pPr>
            <w:r>
              <w:rPr>
                <w:rFonts w:hint="eastAsia"/>
                <w:sz w:val="24"/>
              </w:rPr>
              <w:t>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pPr>
              <w:tabs>
                <w:tab w:val="left" w:pos="750"/>
                <w:tab w:val="left" w:pos="840"/>
              </w:tabs>
              <w:adjustRightInd w:val="0"/>
              <w:snapToGrid w:val="0"/>
              <w:jc w:val="center"/>
              <w:rPr>
                <w:sz w:val="24"/>
              </w:rPr>
            </w:pPr>
            <w:r>
              <w:rPr>
                <w:rFonts w:hint="eastAsia"/>
                <w:sz w:val="24"/>
              </w:rPr>
              <w:t>5000-10000</w:t>
            </w:r>
          </w:p>
        </w:tc>
        <w:tc>
          <w:tcPr>
            <w:tcW w:w="3657" w:type="dxa"/>
            <w:vAlign w:val="center"/>
          </w:tcPr>
          <w:p>
            <w:pPr>
              <w:tabs>
                <w:tab w:val="left" w:pos="750"/>
                <w:tab w:val="left" w:pos="840"/>
              </w:tabs>
              <w:adjustRightInd w:val="0"/>
              <w:snapToGrid w:val="0"/>
              <w:jc w:val="center"/>
              <w:rPr>
                <w:sz w:val="24"/>
              </w:rPr>
            </w:pPr>
            <w:r>
              <w:rPr>
                <w:rFonts w:hint="eastAsia"/>
                <w:sz w:val="24"/>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pPr>
              <w:tabs>
                <w:tab w:val="left" w:pos="750"/>
                <w:tab w:val="left" w:pos="840"/>
              </w:tabs>
              <w:adjustRightInd w:val="0"/>
              <w:snapToGrid w:val="0"/>
              <w:jc w:val="center"/>
              <w:rPr>
                <w:sz w:val="24"/>
              </w:rPr>
            </w:pPr>
            <w:r>
              <w:rPr>
                <w:rFonts w:hint="eastAsia"/>
                <w:sz w:val="24"/>
              </w:rPr>
              <w:t>10000-100000</w:t>
            </w:r>
          </w:p>
        </w:tc>
        <w:tc>
          <w:tcPr>
            <w:tcW w:w="3657" w:type="dxa"/>
            <w:vAlign w:val="center"/>
          </w:tcPr>
          <w:p>
            <w:pPr>
              <w:tabs>
                <w:tab w:val="left" w:pos="750"/>
                <w:tab w:val="left" w:pos="840"/>
              </w:tabs>
              <w:adjustRightInd w:val="0"/>
              <w:snapToGrid w:val="0"/>
              <w:jc w:val="center"/>
              <w:rPr>
                <w:sz w:val="24"/>
              </w:rPr>
            </w:pPr>
            <w:r>
              <w:rPr>
                <w:rFonts w:hint="eastAsia"/>
                <w:sz w:val="24"/>
              </w:rPr>
              <w:t>0.05%</w:t>
            </w:r>
          </w:p>
        </w:tc>
      </w:tr>
    </w:tbl>
    <w:p>
      <w:pPr>
        <w:tabs>
          <w:tab w:val="left" w:pos="700"/>
        </w:tabs>
        <w:autoSpaceDE w:val="0"/>
        <w:autoSpaceDN w:val="0"/>
        <w:adjustRightInd w:val="0"/>
        <w:spacing w:line="360" w:lineRule="auto"/>
        <w:ind w:firstLine="448" w:firstLineChars="200"/>
        <w:rPr>
          <w:sz w:val="24"/>
          <w:lang w:val="zh-CN"/>
        </w:rPr>
      </w:pPr>
      <w:r>
        <w:rPr>
          <w:sz w:val="24"/>
          <w:lang w:val="zh-CN"/>
        </w:rPr>
        <w:t>服务费按差额定率累进法计算</w:t>
      </w:r>
      <w:r>
        <w:rPr>
          <w:rFonts w:hint="eastAsia"/>
          <w:sz w:val="24"/>
          <w:lang w:val="zh-CN"/>
        </w:rPr>
        <w:t>，向下取整，精确到元。</w:t>
      </w:r>
      <w:r>
        <w:rPr>
          <w:sz w:val="24"/>
          <w:lang w:val="zh-CN"/>
        </w:rPr>
        <w:t>例如</w:t>
      </w:r>
      <w:r>
        <w:rPr>
          <w:sz w:val="24"/>
        </w:rPr>
        <w:t>中标</w:t>
      </w:r>
      <w:r>
        <w:rPr>
          <w:sz w:val="24"/>
          <w:lang w:val="zh-CN"/>
        </w:rPr>
        <w:t>金额为680</w:t>
      </w:r>
      <w:r>
        <w:rPr>
          <w:rFonts w:hint="eastAsia"/>
          <w:sz w:val="24"/>
          <w:lang w:val="zh-CN"/>
        </w:rPr>
        <w:t>5000</w:t>
      </w:r>
      <w:r>
        <w:rPr>
          <w:sz w:val="24"/>
          <w:lang w:val="zh-CN"/>
        </w:rPr>
        <w:t>元，服务费</w:t>
      </w:r>
      <w:r>
        <w:rPr>
          <w:rFonts w:hint="eastAsia"/>
          <w:sz w:val="24"/>
          <w:lang w:val="zh-CN"/>
        </w:rPr>
        <w:t>=</w:t>
      </w:r>
      <w:r>
        <w:rPr>
          <w:sz w:val="24"/>
          <w:lang w:val="zh-CN"/>
        </w:rPr>
        <w:t>100</w:t>
      </w:r>
      <w:r>
        <w:rPr>
          <w:rFonts w:hint="eastAsia"/>
          <w:sz w:val="24"/>
          <w:lang w:val="zh-CN"/>
        </w:rPr>
        <w:t>0000</w:t>
      </w:r>
      <w:r>
        <w:rPr>
          <w:sz w:val="24"/>
          <w:lang w:val="zh-CN"/>
        </w:rPr>
        <w:t>×1%+</w:t>
      </w:r>
      <w:r>
        <w:rPr>
          <w:rFonts w:hint="eastAsia"/>
          <w:sz w:val="24"/>
          <w:lang w:val="zh-CN"/>
        </w:rPr>
        <w:t>（</w:t>
      </w:r>
      <w:r>
        <w:rPr>
          <w:sz w:val="24"/>
          <w:lang w:val="zh-CN"/>
        </w:rPr>
        <w:t>500</w:t>
      </w:r>
      <w:r>
        <w:rPr>
          <w:rFonts w:hint="eastAsia"/>
          <w:sz w:val="24"/>
          <w:lang w:val="zh-CN"/>
        </w:rPr>
        <w:t>0000</w:t>
      </w:r>
      <w:r>
        <w:rPr>
          <w:sz w:val="24"/>
          <w:lang w:val="zh-CN"/>
        </w:rPr>
        <w:t>-100</w:t>
      </w:r>
      <w:r>
        <w:rPr>
          <w:rFonts w:hint="eastAsia"/>
          <w:sz w:val="24"/>
          <w:lang w:val="zh-CN"/>
        </w:rPr>
        <w:t>0000）</w:t>
      </w:r>
      <w:r>
        <w:rPr>
          <w:sz w:val="24"/>
          <w:lang w:val="zh-CN"/>
        </w:rPr>
        <w:t>×</w:t>
      </w:r>
      <w:r>
        <w:rPr>
          <w:rFonts w:hint="eastAsia"/>
          <w:sz w:val="24"/>
          <w:lang w:val="zh-CN"/>
        </w:rPr>
        <w:t>0.8</w:t>
      </w:r>
      <w:r>
        <w:rPr>
          <w:sz w:val="24"/>
          <w:lang w:val="zh-CN"/>
        </w:rPr>
        <w:t>%+</w:t>
      </w:r>
      <w:r>
        <w:rPr>
          <w:rFonts w:hint="eastAsia"/>
          <w:sz w:val="24"/>
          <w:lang w:val="zh-CN"/>
        </w:rPr>
        <w:t>（</w:t>
      </w:r>
      <w:r>
        <w:rPr>
          <w:sz w:val="24"/>
          <w:lang w:val="zh-CN"/>
        </w:rPr>
        <w:t>680</w:t>
      </w:r>
      <w:r>
        <w:rPr>
          <w:rFonts w:hint="eastAsia"/>
          <w:sz w:val="24"/>
          <w:lang w:val="zh-CN"/>
        </w:rPr>
        <w:t>5000</w:t>
      </w:r>
      <w:r>
        <w:rPr>
          <w:sz w:val="24"/>
          <w:lang w:val="zh-CN"/>
        </w:rPr>
        <w:t>-500</w:t>
      </w:r>
      <w:r>
        <w:rPr>
          <w:rFonts w:hint="eastAsia"/>
          <w:sz w:val="24"/>
          <w:lang w:val="zh-CN"/>
        </w:rPr>
        <w:t>0000）</w:t>
      </w:r>
      <w:r>
        <w:rPr>
          <w:sz w:val="24"/>
          <w:lang w:val="zh-CN"/>
        </w:rPr>
        <w:t>×0.</w:t>
      </w:r>
      <w:r>
        <w:rPr>
          <w:rFonts w:hint="eastAsia"/>
          <w:sz w:val="24"/>
          <w:lang w:val="zh-CN"/>
        </w:rPr>
        <w:t>45</w:t>
      </w:r>
      <w:r>
        <w:rPr>
          <w:sz w:val="24"/>
          <w:lang w:val="zh-CN"/>
        </w:rPr>
        <w:t>%=</w:t>
      </w:r>
      <w:r>
        <w:rPr>
          <w:rFonts w:hint="eastAsia"/>
          <w:sz w:val="24"/>
          <w:lang w:val="zh-CN"/>
        </w:rPr>
        <w:t>50122.5</w:t>
      </w:r>
      <w:r>
        <w:rPr>
          <w:sz w:val="24"/>
          <w:lang w:val="zh-CN"/>
        </w:rPr>
        <w:t>元，服务费</w:t>
      </w:r>
      <w:r>
        <w:rPr>
          <w:rFonts w:hint="eastAsia"/>
          <w:sz w:val="24"/>
          <w:lang w:val="zh-CN"/>
        </w:rPr>
        <w:t>缴纳50122元。</w:t>
      </w:r>
      <w:r>
        <w:rPr>
          <w:sz w:val="24"/>
          <w:lang w:val="zh-CN"/>
        </w:rPr>
        <w:t>其中中标金额以《中标通知书》为准。</w:t>
      </w:r>
    </w:p>
    <w:p>
      <w:pPr>
        <w:tabs>
          <w:tab w:val="left" w:pos="700"/>
        </w:tabs>
        <w:autoSpaceDE w:val="0"/>
        <w:autoSpaceDN w:val="0"/>
        <w:adjustRightInd w:val="0"/>
        <w:spacing w:line="360" w:lineRule="auto"/>
        <w:ind w:firstLine="448" w:firstLineChars="200"/>
        <w:rPr>
          <w:sz w:val="24"/>
          <w:szCs w:val="24"/>
          <w:lang w:val="zh-CN"/>
        </w:rPr>
      </w:pPr>
      <w:r>
        <w:rPr>
          <w:rFonts w:hint="eastAsia"/>
          <w:sz w:val="24"/>
          <w:szCs w:val="24"/>
        </w:rPr>
        <w:t>中标供应商应于中标公告发布之日起5个工作日内缴纳</w:t>
      </w:r>
      <w:r>
        <w:rPr>
          <w:rFonts w:hint="eastAsia"/>
          <w:sz w:val="24"/>
          <w:szCs w:val="24"/>
          <w:lang w:val="zh-CN"/>
        </w:rPr>
        <w:t>招标代理服务费，缴费单位名称须与投标单位名称一致，缴费时请注明项目编号及中标包号。</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名        称：天津市公共资源交易中心</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 xml:space="preserve">开户行及账号：中国建设银行股份有限公司天津明华支行 </w:t>
      </w:r>
    </w:p>
    <w:p>
      <w:pPr>
        <w:pStyle w:val="29"/>
        <w:spacing w:line="360" w:lineRule="auto"/>
        <w:ind w:firstLine="2009" w:firstLineChars="897"/>
        <w:rPr>
          <w:rFonts w:ascii="Times New Roman" w:hAnsi="Times New Roman" w:eastAsia="宋体" w:cs="Times New Roman"/>
          <w:color w:val="auto"/>
        </w:rPr>
      </w:pPr>
      <w:r>
        <w:rPr>
          <w:rFonts w:ascii="Times New Roman" w:hAnsi="Times New Roman" w:eastAsia="宋体" w:cs="Times New Roman"/>
          <w:color w:val="auto"/>
        </w:rPr>
        <w:t>1205 0162 4900 0000 0675</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银行联行号：105110039436</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纳税人识别号：1212 0000 MB1E 44809C</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地址：天津市河东区红星路79号</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缴费及申请开票系统：http://pay.tjggzy.cn/</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缴费及开票咨询电话：022-24532012</w:t>
      </w:r>
    </w:p>
    <w:p>
      <w:pPr>
        <w:pStyle w:val="29"/>
        <w:spacing w:line="360" w:lineRule="auto"/>
        <w:ind w:firstLine="448" w:firstLineChars="200"/>
        <w:jc w:val="both"/>
        <w:rPr>
          <w:rFonts w:ascii="Times New Roman" w:hAnsi="Times New Roman" w:eastAsia="宋体" w:cs="Times New Roman"/>
          <w:color w:val="FF0000"/>
        </w:rPr>
      </w:pPr>
    </w:p>
    <w:p>
      <w:pPr>
        <w:pStyle w:val="29"/>
        <w:spacing w:line="360" w:lineRule="auto"/>
        <w:jc w:val="both"/>
        <w:rPr>
          <w:rFonts w:ascii="Times New Roman" w:hAnsi="Times New Roman" w:eastAsia="宋体" w:cs="Times New Roman"/>
          <w:color w:val="auto"/>
        </w:rPr>
      </w:pPr>
    </w:p>
    <w:p>
      <w:pPr>
        <w:pStyle w:val="29"/>
        <w:spacing w:line="360" w:lineRule="auto"/>
        <w:jc w:val="right"/>
        <w:rPr>
          <w:rFonts w:ascii="Times New Roman" w:hAnsi="Times New Roman" w:eastAsia="宋体" w:cs="Times New Roman"/>
          <w:color w:val="auto"/>
        </w:rPr>
      </w:pPr>
      <w:r>
        <w:rPr>
          <w:rFonts w:ascii="Times New Roman" w:hAnsi="Times New Roman" w:eastAsia="宋体" w:cs="Times New Roman"/>
          <w:color w:val="auto"/>
        </w:rPr>
        <w:t>2026年</w:t>
      </w:r>
      <w:r>
        <w:rPr>
          <w:rFonts w:hint="eastAsia" w:ascii="Times New Roman" w:hAnsi="Times New Roman" w:eastAsia="宋体" w:cs="Times New Roman"/>
          <w:color w:val="auto"/>
        </w:rPr>
        <w:t>7</w:t>
      </w:r>
      <w:r>
        <w:rPr>
          <w:rFonts w:ascii="Times New Roman" w:hAnsi="Times New Roman" w:eastAsia="宋体" w:cs="Times New Roman"/>
          <w:color w:val="auto"/>
        </w:rPr>
        <w:t>月</w:t>
      </w:r>
      <w:r>
        <w:rPr>
          <w:rFonts w:hint="eastAsia" w:ascii="Times New Roman" w:hAnsi="Times New Roman" w:eastAsia="宋体" w:cs="Times New Roman"/>
          <w:color w:val="auto"/>
        </w:rPr>
        <w:t>31</w:t>
      </w:r>
      <w:r>
        <w:rPr>
          <w:rFonts w:ascii="Times New Roman" w:hAnsi="Times New Roman" w:eastAsia="宋体" w:cs="Times New Roman"/>
          <w:color w:val="auto"/>
        </w:rPr>
        <w:t>日</w:t>
      </w:r>
    </w:p>
    <w:p>
      <w:pPr>
        <w:pStyle w:val="29"/>
        <w:spacing w:line="360" w:lineRule="auto"/>
        <w:ind w:right="892"/>
        <w:rPr>
          <w:rFonts w:ascii="Times New Roman" w:hAnsi="Times New Roman" w:eastAsia="宋体" w:cs="Times New Roman"/>
          <w:color w:val="auto"/>
        </w:rPr>
      </w:pPr>
    </w:p>
    <w:p>
      <w:pPr>
        <w:widowControl/>
        <w:jc w:val="left"/>
        <w:rPr>
          <w:b/>
          <w:bCs/>
          <w:kern w:val="28"/>
          <w:sz w:val="32"/>
          <w:szCs w:val="32"/>
        </w:rPr>
      </w:pPr>
      <w:r>
        <w:br w:type="page"/>
      </w:r>
    </w:p>
    <w:p>
      <w:pPr>
        <w:widowControl/>
        <w:jc w:val="left"/>
        <w:rPr>
          <w:b/>
          <w:bCs/>
          <w:kern w:val="28"/>
          <w:sz w:val="32"/>
          <w:szCs w:val="32"/>
          <w:lang w:val="zh-CN"/>
        </w:rPr>
      </w:pPr>
    </w:p>
    <w:p>
      <w:pPr>
        <w:pStyle w:val="16"/>
        <w:rPr>
          <w:rFonts w:ascii="Times New Roman" w:hAnsi="Times New Roman"/>
        </w:rPr>
      </w:pPr>
      <w:r>
        <w:rPr>
          <w:rFonts w:ascii="Times New Roman" w:hAnsi="Times New Roman"/>
        </w:rPr>
        <w:t>第二部分  招标项目</w:t>
      </w:r>
      <w:bookmarkEnd w:id="3"/>
      <w:r>
        <w:rPr>
          <w:rFonts w:ascii="Times New Roman" w:hAnsi="Times New Roman"/>
        </w:rPr>
        <w:t>需求</w:t>
      </w:r>
    </w:p>
    <w:p>
      <w:pPr>
        <w:autoSpaceDE w:val="0"/>
        <w:autoSpaceDN w:val="0"/>
        <w:adjustRightInd w:val="0"/>
        <w:spacing w:line="360" w:lineRule="auto"/>
        <w:ind w:firstLine="448" w:firstLineChars="200"/>
        <w:rPr>
          <w:sz w:val="24"/>
        </w:rPr>
      </w:pPr>
      <w:r>
        <w:rPr>
          <w:rFonts w:hint="eastAsia"/>
          <w:sz w:val="24"/>
        </w:rPr>
        <w:t>加注“★”号条款为不允许偏离的实质性要求，经评标委员会判定任意一条加注“★”号的条款出现偏离，视为无效投标。</w:t>
      </w:r>
    </w:p>
    <w:p>
      <w:pPr>
        <w:widowControl/>
        <w:ind w:firstLine="448" w:firstLineChars="200"/>
        <w:jc w:val="left"/>
        <w:rPr>
          <w:sz w:val="24"/>
        </w:rPr>
      </w:pPr>
      <w:r>
        <w:rPr>
          <w:rFonts w:hint="eastAsia"/>
          <w:sz w:val="24"/>
        </w:rPr>
        <w:t>一、项目背景</w:t>
      </w:r>
    </w:p>
    <w:p>
      <w:pPr>
        <w:tabs>
          <w:tab w:val="left" w:pos="210"/>
        </w:tabs>
        <w:autoSpaceDE w:val="0"/>
        <w:autoSpaceDN w:val="0"/>
        <w:adjustRightInd w:val="0"/>
        <w:spacing w:line="360" w:lineRule="auto"/>
        <w:ind w:firstLine="448" w:firstLineChars="200"/>
        <w:outlineLvl w:val="0"/>
        <w:rPr>
          <w:sz w:val="24"/>
          <w:szCs w:val="24"/>
        </w:rPr>
      </w:pPr>
      <w:r>
        <w:rPr>
          <w:rFonts w:hint="eastAsia"/>
          <w:sz w:val="24"/>
          <w:szCs w:val="24"/>
        </w:rPr>
        <w:t>我市现行基准价格体系已实施近十年，导致“核心区评估价格偏低”“同区不同价”“新盘旧价”等问题突出。因基准价格与实际市场脱节，存量住房交易中，纳税人对计税价格提出异议的案例逐渐增加，既增加行政成本，也影响办税效率与群众满意度,亟需进行调整以维护税收公平、市场秩序和群众权益。</w:t>
      </w:r>
    </w:p>
    <w:p>
      <w:pPr>
        <w:tabs>
          <w:tab w:val="left" w:pos="210"/>
        </w:tabs>
        <w:autoSpaceDE w:val="0"/>
        <w:autoSpaceDN w:val="0"/>
        <w:adjustRightInd w:val="0"/>
        <w:spacing w:line="360" w:lineRule="auto"/>
        <w:ind w:firstLine="448" w:firstLineChars="200"/>
        <w:outlineLvl w:val="0"/>
        <w:rPr>
          <w:sz w:val="24"/>
          <w:szCs w:val="24"/>
        </w:rPr>
      </w:pPr>
      <w:r>
        <w:rPr>
          <w:rFonts w:hint="eastAsia"/>
          <w:sz w:val="24"/>
          <w:szCs w:val="24"/>
        </w:rPr>
        <w:t>为适应我市房地产市场发展新形势，规范存量住房交易税收征管，保障税收公平与市场健康运行，按照国家税务总局对存量房交易核定计税价格工作的要求，我局将启动全市存量住房计税基准价格批量调整工作，需采购存量住房计税基准价格批量调整服务。</w:t>
      </w:r>
    </w:p>
    <w:p>
      <w:pPr>
        <w:tabs>
          <w:tab w:val="left" w:pos="210"/>
        </w:tabs>
        <w:autoSpaceDE w:val="0"/>
        <w:autoSpaceDN w:val="0"/>
        <w:adjustRightInd w:val="0"/>
        <w:spacing w:line="360" w:lineRule="auto"/>
        <w:ind w:firstLine="448" w:firstLineChars="200"/>
        <w:outlineLvl w:val="0"/>
        <w:rPr>
          <w:sz w:val="24"/>
          <w:szCs w:val="24"/>
        </w:rPr>
      </w:pPr>
      <w:r>
        <w:rPr>
          <w:rFonts w:hint="eastAsia"/>
          <w:sz w:val="24"/>
          <w:szCs w:val="24"/>
        </w:rPr>
        <w:t>二、技术要求</w:t>
      </w:r>
    </w:p>
    <w:p>
      <w:pPr>
        <w:spacing w:line="360" w:lineRule="auto"/>
        <w:ind w:firstLine="448" w:firstLineChars="200"/>
        <w:outlineLvl w:val="0"/>
        <w:rPr>
          <w:sz w:val="24"/>
        </w:rPr>
      </w:pPr>
      <w:r>
        <w:rPr>
          <w:rFonts w:hint="eastAsia"/>
          <w:sz w:val="24"/>
        </w:rPr>
        <w:t>★</w:t>
      </w:r>
      <w:r>
        <w:rPr>
          <w:sz w:val="24"/>
        </w:rPr>
        <w:t>（一）投标人须承诺所提供的服务、人员及设备符合相关强制性规定。</w:t>
      </w:r>
      <w:r>
        <w:rPr>
          <w:rFonts w:hint="eastAsia"/>
          <w:sz w:val="24"/>
        </w:rPr>
        <w:t>验收时采购人有权要求投标人出具</w:t>
      </w:r>
      <w:r>
        <w:rPr>
          <w:sz w:val="24"/>
        </w:rPr>
        <w:t>所提供的服务、人员及设备</w:t>
      </w:r>
      <w:r>
        <w:rPr>
          <w:rFonts w:hint="eastAsia"/>
          <w:sz w:val="24"/>
        </w:rPr>
        <w:t>符合上述规定的证明文件。</w:t>
      </w:r>
    </w:p>
    <w:p>
      <w:pPr>
        <w:tabs>
          <w:tab w:val="left" w:pos="210"/>
        </w:tabs>
        <w:autoSpaceDE w:val="0"/>
        <w:autoSpaceDN w:val="0"/>
        <w:adjustRightInd w:val="0"/>
        <w:spacing w:line="360" w:lineRule="auto"/>
        <w:ind w:firstLine="448" w:firstLineChars="200"/>
        <w:outlineLvl w:val="0"/>
        <w:rPr>
          <w:sz w:val="24"/>
          <w:szCs w:val="24"/>
        </w:rPr>
      </w:pPr>
      <w:r>
        <w:rPr>
          <w:rFonts w:hint="eastAsia"/>
          <w:sz w:val="24"/>
          <w:szCs w:val="24"/>
        </w:rPr>
        <w:t>（二）具体要求</w:t>
      </w:r>
    </w:p>
    <w:p>
      <w:pPr>
        <w:tabs>
          <w:tab w:val="left" w:pos="210"/>
        </w:tabs>
        <w:autoSpaceDE w:val="0"/>
        <w:autoSpaceDN w:val="0"/>
        <w:adjustRightInd w:val="0"/>
        <w:spacing w:line="360" w:lineRule="auto"/>
        <w:ind w:firstLine="448" w:firstLineChars="200"/>
        <w:outlineLvl w:val="0"/>
        <w:rPr>
          <w:sz w:val="24"/>
          <w:szCs w:val="24"/>
        </w:rPr>
      </w:pPr>
      <w:r>
        <w:rPr>
          <w:rFonts w:hint="eastAsia"/>
          <w:sz w:val="24"/>
          <w:szCs w:val="24"/>
        </w:rPr>
        <w:t>详见项目需求书。</w:t>
      </w:r>
    </w:p>
    <w:p>
      <w:pPr>
        <w:tabs>
          <w:tab w:val="left" w:pos="210"/>
        </w:tabs>
        <w:autoSpaceDE w:val="0"/>
        <w:autoSpaceDN w:val="0"/>
        <w:adjustRightInd w:val="0"/>
        <w:spacing w:line="360" w:lineRule="auto"/>
        <w:ind w:firstLine="448" w:firstLineChars="200"/>
        <w:outlineLvl w:val="0"/>
        <w:rPr>
          <w:sz w:val="24"/>
          <w:szCs w:val="24"/>
        </w:rPr>
      </w:pPr>
      <w:r>
        <w:rPr>
          <w:rFonts w:hint="eastAsia"/>
          <w:sz w:val="24"/>
          <w:szCs w:val="24"/>
        </w:rPr>
        <w:t>三</w:t>
      </w:r>
      <w:r>
        <w:rPr>
          <w:sz w:val="24"/>
          <w:szCs w:val="24"/>
        </w:rPr>
        <w:t>、商务要求</w:t>
      </w:r>
    </w:p>
    <w:p>
      <w:pPr>
        <w:autoSpaceDE w:val="0"/>
        <w:autoSpaceDN w:val="0"/>
        <w:adjustRightInd w:val="0"/>
        <w:spacing w:line="360" w:lineRule="auto"/>
        <w:ind w:firstLine="448" w:firstLineChars="200"/>
        <w:rPr>
          <w:sz w:val="24"/>
        </w:rPr>
      </w:pPr>
      <w:r>
        <w:rPr>
          <w:sz w:val="24"/>
        </w:rPr>
        <w:t>（一）报价要求</w:t>
      </w:r>
    </w:p>
    <w:p>
      <w:pPr>
        <w:autoSpaceDE w:val="0"/>
        <w:autoSpaceDN w:val="0"/>
        <w:adjustRightInd w:val="0"/>
        <w:spacing w:line="360" w:lineRule="auto"/>
        <w:ind w:firstLine="448" w:firstLineChars="200"/>
        <w:rPr>
          <w:sz w:val="24"/>
        </w:rPr>
      </w:pPr>
      <w:r>
        <w:rPr>
          <w:sz w:val="24"/>
        </w:rPr>
        <w:t>1. 投标报价以人民币填列。</w:t>
      </w:r>
    </w:p>
    <w:p>
      <w:pPr>
        <w:autoSpaceDE w:val="0"/>
        <w:autoSpaceDN w:val="0"/>
        <w:adjustRightInd w:val="0"/>
        <w:spacing w:line="360" w:lineRule="auto"/>
        <w:ind w:firstLine="448" w:firstLineChars="200"/>
        <w:rPr>
          <w:sz w:val="24"/>
        </w:rPr>
      </w:pPr>
      <w:r>
        <w:rPr>
          <w:sz w:val="24"/>
        </w:rPr>
        <w:t>2. 投标人的报价应包括：人员费用、服务费用、管理费等为完成</w:t>
      </w:r>
      <w:r>
        <w:rPr>
          <w:rFonts w:hint="eastAsia"/>
          <w:sz w:val="24"/>
        </w:rPr>
        <w:t>本</w:t>
      </w:r>
      <w:r>
        <w:rPr>
          <w:sz w:val="24"/>
        </w:rPr>
        <w:t>文件规定的一切工作所需的全部费用。投标人所报价格应为最终优惠价格。</w:t>
      </w:r>
    </w:p>
    <w:p>
      <w:pPr>
        <w:spacing w:line="360" w:lineRule="auto"/>
        <w:ind w:firstLine="448" w:firstLineChars="200"/>
        <w:rPr>
          <w:kern w:val="0"/>
          <w:sz w:val="24"/>
          <w:szCs w:val="24"/>
        </w:rPr>
      </w:pPr>
      <w:r>
        <w:rPr>
          <w:rFonts w:hint="eastAsia"/>
          <w:kern w:val="0"/>
          <w:sz w:val="24"/>
          <w:szCs w:val="24"/>
        </w:rPr>
        <w:t xml:space="preserve">3. </w:t>
      </w:r>
      <w:r>
        <w:rPr>
          <w:sz w:val="24"/>
        </w:rPr>
        <w:t>验收相关费用由投标人负责。</w:t>
      </w:r>
    </w:p>
    <w:p>
      <w:pPr>
        <w:autoSpaceDE w:val="0"/>
        <w:autoSpaceDN w:val="0"/>
        <w:adjustRightInd w:val="0"/>
        <w:spacing w:line="360" w:lineRule="auto"/>
        <w:ind w:firstLine="448" w:firstLineChars="200"/>
        <w:rPr>
          <w:sz w:val="24"/>
        </w:rPr>
      </w:pPr>
      <w:r>
        <w:rPr>
          <w:sz w:val="24"/>
        </w:rPr>
        <w:t>（</w:t>
      </w:r>
      <w:r>
        <w:rPr>
          <w:rFonts w:hint="eastAsia"/>
          <w:sz w:val="24"/>
        </w:rPr>
        <w:t>二</w:t>
      </w:r>
      <w:r>
        <w:rPr>
          <w:sz w:val="24"/>
        </w:rPr>
        <w:t>）时间、地点要求</w:t>
      </w:r>
    </w:p>
    <w:p>
      <w:pPr>
        <w:autoSpaceDE w:val="0"/>
        <w:autoSpaceDN w:val="0"/>
        <w:adjustRightInd w:val="0"/>
        <w:spacing w:line="360" w:lineRule="auto"/>
        <w:ind w:firstLine="448" w:firstLineChars="200"/>
        <w:rPr>
          <w:sz w:val="24"/>
        </w:rPr>
      </w:pPr>
      <w:r>
        <w:rPr>
          <w:sz w:val="24"/>
        </w:rPr>
        <w:t>1. 时间要求：</w:t>
      </w:r>
      <w:r>
        <w:rPr>
          <w:rFonts w:hint="eastAsia"/>
          <w:sz w:val="24"/>
        </w:rPr>
        <w:t>服务期3年</w:t>
      </w:r>
      <w:r>
        <w:rPr>
          <w:sz w:val="24"/>
        </w:rPr>
        <w:t>（特殊情况以合同为准）。</w:t>
      </w:r>
    </w:p>
    <w:p>
      <w:pPr>
        <w:autoSpaceDE w:val="0"/>
        <w:autoSpaceDN w:val="0"/>
        <w:adjustRightInd w:val="0"/>
        <w:spacing w:line="360" w:lineRule="auto"/>
        <w:ind w:firstLine="448" w:firstLineChars="200"/>
        <w:rPr>
          <w:sz w:val="24"/>
        </w:rPr>
      </w:pPr>
      <w:r>
        <w:rPr>
          <w:sz w:val="24"/>
        </w:rPr>
        <w:t>2. 服务地点：</w:t>
      </w:r>
      <w:r>
        <w:rPr>
          <w:rFonts w:hint="eastAsia"/>
          <w:sz w:val="24"/>
        </w:rPr>
        <w:t>天津市</w:t>
      </w:r>
      <w:r>
        <w:rPr>
          <w:sz w:val="24"/>
        </w:rPr>
        <w:t>行政区域内（特殊情况以合同为准）。</w:t>
      </w:r>
    </w:p>
    <w:p>
      <w:pPr>
        <w:autoSpaceDE w:val="0"/>
        <w:autoSpaceDN w:val="0"/>
        <w:adjustRightInd w:val="0"/>
        <w:spacing w:line="360" w:lineRule="auto"/>
        <w:ind w:firstLine="448" w:firstLineChars="200"/>
        <w:rPr>
          <w:sz w:val="24"/>
        </w:rPr>
      </w:pPr>
      <w:r>
        <w:rPr>
          <w:sz w:val="24"/>
        </w:rPr>
        <w:t>（</w:t>
      </w:r>
      <w:r>
        <w:rPr>
          <w:rFonts w:hint="eastAsia"/>
          <w:sz w:val="24"/>
        </w:rPr>
        <w:t>三</w:t>
      </w:r>
      <w:r>
        <w:rPr>
          <w:sz w:val="24"/>
        </w:rPr>
        <w:t>）付款方式</w:t>
      </w:r>
    </w:p>
    <w:p>
      <w:pPr>
        <w:autoSpaceDE w:val="0"/>
        <w:autoSpaceDN w:val="0"/>
        <w:adjustRightInd w:val="0"/>
        <w:spacing w:line="360" w:lineRule="auto"/>
        <w:ind w:firstLine="448" w:firstLineChars="200"/>
        <w:rPr>
          <w:sz w:val="24"/>
        </w:rPr>
      </w:pPr>
      <w:r>
        <w:rPr>
          <w:rFonts w:hint="eastAsia"/>
          <w:sz w:val="24"/>
        </w:rPr>
        <w:t>签订合同当月支付合同总额的20%，签订合同后6个月月末支付合同总额的20%，合同签订后12个月月末支付合同总额的20%，合同签订后24个月月末支付合同总额的20%，合同签订后36个月月末支付合同总额的20%</w:t>
      </w:r>
      <w:r>
        <w:rPr>
          <w:sz w:val="24"/>
        </w:rPr>
        <w:t>（特殊情况以合同为准）。</w:t>
      </w:r>
    </w:p>
    <w:p>
      <w:pPr>
        <w:autoSpaceDE w:val="0"/>
        <w:autoSpaceDN w:val="0"/>
        <w:adjustRightInd w:val="0"/>
        <w:spacing w:line="360" w:lineRule="auto"/>
        <w:ind w:firstLine="448" w:firstLineChars="200"/>
        <w:rPr>
          <w:sz w:val="24"/>
        </w:rPr>
      </w:pPr>
      <w:r>
        <w:rPr>
          <w:sz w:val="24"/>
        </w:rPr>
        <w:t>（</w:t>
      </w:r>
      <w:r>
        <w:rPr>
          <w:rFonts w:hint="eastAsia"/>
          <w:sz w:val="24"/>
        </w:rPr>
        <w:t>四</w:t>
      </w:r>
      <w:r>
        <w:rPr>
          <w:sz w:val="24"/>
        </w:rPr>
        <w:t>）投标保证金和履约保证金</w:t>
      </w:r>
    </w:p>
    <w:p>
      <w:pPr>
        <w:autoSpaceDE w:val="0"/>
        <w:autoSpaceDN w:val="0"/>
        <w:adjustRightInd w:val="0"/>
        <w:spacing w:line="360" w:lineRule="auto"/>
        <w:ind w:firstLine="448" w:firstLineChars="200"/>
        <w:rPr>
          <w:sz w:val="24"/>
        </w:rPr>
      </w:pPr>
      <w:r>
        <w:rPr>
          <w:sz w:val="24"/>
        </w:rPr>
        <w:t>本项目不收取投标保证金和履约保证金。</w:t>
      </w:r>
    </w:p>
    <w:p>
      <w:pPr>
        <w:autoSpaceDE w:val="0"/>
        <w:autoSpaceDN w:val="0"/>
        <w:adjustRightInd w:val="0"/>
        <w:spacing w:line="360" w:lineRule="auto"/>
        <w:ind w:firstLine="448" w:firstLineChars="200"/>
        <w:rPr>
          <w:sz w:val="24"/>
        </w:rPr>
      </w:pPr>
      <w:r>
        <w:rPr>
          <w:rFonts w:hint="eastAsia"/>
          <w:sz w:val="24"/>
        </w:rPr>
        <w:t>（五）验收方法及标准</w:t>
      </w:r>
    </w:p>
    <w:p>
      <w:pPr>
        <w:autoSpaceDE w:val="0"/>
        <w:autoSpaceDN w:val="0"/>
        <w:adjustRightInd w:val="0"/>
        <w:spacing w:line="360" w:lineRule="auto"/>
        <w:ind w:firstLine="448" w:firstLineChars="200"/>
        <w:rPr>
          <w:sz w:val="24"/>
        </w:rPr>
      </w:pPr>
      <w:r>
        <w:rPr>
          <w:rFonts w:hint="eastAsia"/>
          <w:sz w:val="24"/>
        </w:rPr>
        <w:t>按照采购合同的约定和现行国家标准、行业标准或企业标准对每一服务环节、安全标准的履约情况进行考核与验收。必要时，采购人有权邀请参加本项目的其他投标人或者第三方机构参与验收。参与验收的投标人或者第三方机构的意见作为验收书的参考资料一并存档。验收结束后，应当出具验收书，列明各项服务的考核验收情况及项目总体评价，由验收双方共同签署。</w:t>
      </w:r>
    </w:p>
    <w:p>
      <w:pPr>
        <w:spacing w:line="360" w:lineRule="auto"/>
        <w:ind w:firstLine="448" w:firstLineChars="200"/>
        <w:outlineLvl w:val="0"/>
        <w:rPr>
          <w:sz w:val="24"/>
        </w:rPr>
      </w:pPr>
      <w:r>
        <w:rPr>
          <w:sz w:val="24"/>
        </w:rPr>
        <w:t>四、评分因素及评标标准</w:t>
      </w:r>
    </w:p>
    <w:tbl>
      <w:tblPr>
        <w:tblStyle w:val="22"/>
        <w:tblW w:w="105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3"/>
        <w:gridCol w:w="1419"/>
        <w:gridCol w:w="7311"/>
        <w:gridCol w:w="11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393" w:type="dxa"/>
            <w:gridSpan w:val="3"/>
            <w:shd w:val="clear" w:color="auto" w:fill="auto"/>
            <w:vAlign w:val="center"/>
          </w:tcPr>
          <w:p>
            <w:pPr>
              <w:widowControl/>
              <w:adjustRightInd w:val="0"/>
              <w:snapToGrid w:val="0"/>
              <w:jc w:val="center"/>
              <w:rPr>
                <w:kern w:val="0"/>
                <w:sz w:val="24"/>
                <w:szCs w:val="24"/>
              </w:rPr>
            </w:pPr>
            <w:r>
              <w:rPr>
                <w:kern w:val="0"/>
                <w:sz w:val="24"/>
                <w:szCs w:val="24"/>
              </w:rPr>
              <w:t>第一部分 价格（</w:t>
            </w:r>
            <w:r>
              <w:rPr>
                <w:rFonts w:hint="eastAsia"/>
                <w:kern w:val="0"/>
                <w:sz w:val="24"/>
                <w:szCs w:val="24"/>
              </w:rPr>
              <w:t>2</w:t>
            </w:r>
            <w:r>
              <w:rPr>
                <w:kern w:val="0"/>
                <w:sz w:val="24"/>
                <w:szCs w:val="24"/>
              </w:rPr>
              <w:t>0分）</w:t>
            </w:r>
          </w:p>
        </w:tc>
        <w:tc>
          <w:tcPr>
            <w:tcW w:w="1143" w:type="dxa"/>
            <w:shd w:val="clear" w:color="auto" w:fill="auto"/>
            <w:vAlign w:val="center"/>
          </w:tcPr>
          <w:p>
            <w:pPr>
              <w:widowControl/>
              <w:adjustRightInd w:val="0"/>
              <w:snapToGrid w:val="0"/>
              <w:jc w:val="center"/>
              <w:rPr>
                <w:kern w:val="0"/>
                <w:sz w:val="24"/>
                <w:szCs w:val="24"/>
              </w:rPr>
            </w:pPr>
            <w:r>
              <w:rPr>
                <w:kern w:val="0"/>
                <w:sz w:val="24"/>
                <w:szCs w:val="24"/>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663" w:type="dxa"/>
            <w:shd w:val="clear" w:color="auto" w:fill="auto"/>
            <w:noWrap/>
            <w:vAlign w:val="center"/>
          </w:tcPr>
          <w:p>
            <w:pPr>
              <w:widowControl/>
              <w:adjustRightInd w:val="0"/>
              <w:snapToGrid w:val="0"/>
              <w:jc w:val="center"/>
              <w:rPr>
                <w:kern w:val="0"/>
                <w:sz w:val="24"/>
                <w:szCs w:val="24"/>
              </w:rPr>
            </w:pPr>
            <w:r>
              <w:rPr>
                <w:kern w:val="0"/>
                <w:sz w:val="24"/>
                <w:szCs w:val="24"/>
              </w:rPr>
              <w:t>1</w:t>
            </w:r>
          </w:p>
        </w:tc>
        <w:tc>
          <w:tcPr>
            <w:tcW w:w="1419" w:type="dxa"/>
            <w:shd w:val="clear" w:color="auto" w:fill="auto"/>
            <w:vAlign w:val="center"/>
          </w:tcPr>
          <w:p>
            <w:pPr>
              <w:widowControl/>
              <w:adjustRightInd w:val="0"/>
              <w:snapToGrid w:val="0"/>
              <w:jc w:val="center"/>
              <w:rPr>
                <w:kern w:val="0"/>
                <w:sz w:val="24"/>
                <w:szCs w:val="24"/>
              </w:rPr>
            </w:pPr>
            <w:r>
              <w:rPr>
                <w:kern w:val="0"/>
                <w:sz w:val="24"/>
                <w:szCs w:val="24"/>
              </w:rPr>
              <w:t>价格</w:t>
            </w:r>
          </w:p>
        </w:tc>
        <w:tc>
          <w:tcPr>
            <w:tcW w:w="7311" w:type="dxa"/>
            <w:shd w:val="clear" w:color="auto" w:fill="auto"/>
            <w:vAlign w:val="center"/>
          </w:tcPr>
          <w:p>
            <w:pPr>
              <w:widowControl/>
              <w:adjustRightInd w:val="0"/>
              <w:snapToGrid w:val="0"/>
              <w:rPr>
                <w:kern w:val="0"/>
                <w:sz w:val="24"/>
                <w:szCs w:val="24"/>
              </w:rPr>
            </w:pPr>
            <w:r>
              <w:rPr>
                <w:kern w:val="0"/>
                <w:sz w:val="24"/>
                <w:szCs w:val="24"/>
              </w:rPr>
              <w:t>（1）投标报价超过采购预算的，投标无效，未超过采购预算的投标报价按以下公式进行计算。</w:t>
            </w:r>
          </w:p>
          <w:p>
            <w:pPr>
              <w:widowControl/>
              <w:adjustRightInd w:val="0"/>
              <w:snapToGrid w:val="0"/>
              <w:rPr>
                <w:kern w:val="0"/>
                <w:sz w:val="24"/>
                <w:szCs w:val="24"/>
              </w:rPr>
            </w:pPr>
            <w:r>
              <w:rPr>
                <w:kern w:val="0"/>
                <w:sz w:val="24"/>
                <w:szCs w:val="24"/>
              </w:rPr>
              <w:t>（2）投标报价得分=（评标基准价/投标报价）×20</w:t>
            </w:r>
          </w:p>
          <w:p>
            <w:pPr>
              <w:widowControl/>
              <w:adjustRightInd w:val="0"/>
              <w:snapToGrid w:val="0"/>
              <w:rPr>
                <w:kern w:val="0"/>
                <w:sz w:val="24"/>
                <w:szCs w:val="24"/>
              </w:rPr>
            </w:pPr>
            <w:r>
              <w:rPr>
                <w:kern w:val="0"/>
                <w:sz w:val="24"/>
                <w:szCs w:val="24"/>
              </w:rPr>
              <w:t>注：满足本文件要求且投标报价最低的投标报价为评标基准价。</w:t>
            </w:r>
          </w:p>
        </w:tc>
        <w:tc>
          <w:tcPr>
            <w:tcW w:w="1143" w:type="dxa"/>
            <w:shd w:val="clear" w:color="auto" w:fill="auto"/>
            <w:vAlign w:val="center"/>
          </w:tcPr>
          <w:p>
            <w:pPr>
              <w:widowControl/>
              <w:adjustRightInd w:val="0"/>
              <w:snapToGrid w:val="0"/>
              <w:jc w:val="center"/>
              <w:rPr>
                <w:kern w:val="0"/>
                <w:sz w:val="24"/>
                <w:szCs w:val="24"/>
              </w:rPr>
            </w:pPr>
            <w:r>
              <w:rPr>
                <w:kern w:val="0"/>
                <w:sz w:val="24"/>
                <w:szCs w:val="24"/>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9393" w:type="dxa"/>
            <w:gridSpan w:val="3"/>
            <w:shd w:val="clear" w:color="auto" w:fill="auto"/>
            <w:noWrap/>
            <w:vAlign w:val="center"/>
          </w:tcPr>
          <w:p>
            <w:pPr>
              <w:widowControl/>
              <w:adjustRightInd w:val="0"/>
              <w:snapToGrid w:val="0"/>
              <w:jc w:val="center"/>
              <w:rPr>
                <w:kern w:val="0"/>
                <w:sz w:val="24"/>
                <w:szCs w:val="24"/>
              </w:rPr>
            </w:pPr>
            <w:r>
              <w:rPr>
                <w:kern w:val="0"/>
                <w:sz w:val="24"/>
                <w:szCs w:val="24"/>
              </w:rPr>
              <w:t>第二部分 客观分（</w:t>
            </w:r>
            <w:r>
              <w:rPr>
                <w:rFonts w:hint="eastAsia"/>
                <w:kern w:val="0"/>
                <w:sz w:val="24"/>
                <w:szCs w:val="24"/>
              </w:rPr>
              <w:t>19</w:t>
            </w:r>
            <w:r>
              <w:rPr>
                <w:kern w:val="0"/>
                <w:sz w:val="24"/>
                <w:szCs w:val="24"/>
              </w:rPr>
              <w:t>分）</w:t>
            </w:r>
          </w:p>
        </w:tc>
        <w:tc>
          <w:tcPr>
            <w:tcW w:w="1143" w:type="dxa"/>
            <w:shd w:val="clear" w:color="auto" w:fill="auto"/>
            <w:vAlign w:val="center"/>
          </w:tcPr>
          <w:p>
            <w:pPr>
              <w:widowControl/>
              <w:adjustRightInd w:val="0"/>
              <w:snapToGrid w:val="0"/>
              <w:jc w:val="center"/>
              <w:rPr>
                <w:kern w:val="0"/>
                <w:sz w:val="24"/>
                <w:szCs w:val="24"/>
              </w:rPr>
            </w:pPr>
            <w:r>
              <w:rPr>
                <w:kern w:val="0"/>
                <w:sz w:val="24"/>
                <w:szCs w:val="24"/>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663" w:type="dxa"/>
            <w:shd w:val="clear" w:color="auto" w:fill="auto"/>
            <w:noWrap/>
            <w:vAlign w:val="center"/>
          </w:tcPr>
          <w:p>
            <w:pPr>
              <w:widowControl/>
              <w:adjustRightInd w:val="0"/>
              <w:snapToGrid w:val="0"/>
              <w:jc w:val="center"/>
              <w:rPr>
                <w:kern w:val="0"/>
                <w:sz w:val="24"/>
                <w:szCs w:val="24"/>
              </w:rPr>
            </w:pPr>
            <w:r>
              <w:rPr>
                <w:kern w:val="0"/>
                <w:sz w:val="24"/>
                <w:szCs w:val="24"/>
              </w:rPr>
              <w:t>1</w:t>
            </w:r>
          </w:p>
        </w:tc>
        <w:tc>
          <w:tcPr>
            <w:tcW w:w="1419" w:type="dxa"/>
            <w:shd w:val="clear" w:color="auto" w:fill="auto"/>
            <w:vAlign w:val="center"/>
          </w:tcPr>
          <w:p>
            <w:pPr>
              <w:widowControl/>
              <w:adjustRightInd w:val="0"/>
              <w:snapToGrid w:val="0"/>
              <w:jc w:val="center"/>
              <w:rPr>
                <w:kern w:val="0"/>
                <w:sz w:val="24"/>
                <w:szCs w:val="24"/>
              </w:rPr>
            </w:pPr>
            <w:r>
              <w:rPr>
                <w:kern w:val="0"/>
                <w:sz w:val="24"/>
                <w:szCs w:val="24"/>
              </w:rPr>
              <w:t>投标人业绩</w:t>
            </w:r>
          </w:p>
        </w:tc>
        <w:tc>
          <w:tcPr>
            <w:tcW w:w="7311" w:type="dxa"/>
            <w:shd w:val="clear" w:color="auto" w:fill="auto"/>
            <w:vAlign w:val="center"/>
          </w:tcPr>
          <w:p>
            <w:pPr>
              <w:widowControl/>
              <w:adjustRightInd w:val="0"/>
              <w:snapToGrid w:val="0"/>
              <w:rPr>
                <w:kern w:val="0"/>
                <w:sz w:val="24"/>
                <w:szCs w:val="24"/>
              </w:rPr>
            </w:pPr>
            <w:r>
              <w:rPr>
                <w:kern w:val="0"/>
                <w:sz w:val="24"/>
                <w:szCs w:val="24"/>
              </w:rPr>
              <w:t>完全按照以下要求提供</w:t>
            </w:r>
            <w:r>
              <w:rPr>
                <w:rFonts w:hint="eastAsia"/>
                <w:kern w:val="0"/>
                <w:sz w:val="24"/>
                <w:szCs w:val="24"/>
              </w:rPr>
              <w:t>投标人</w:t>
            </w:r>
            <w:r>
              <w:rPr>
                <w:kern w:val="0"/>
                <w:sz w:val="24"/>
                <w:szCs w:val="24"/>
              </w:rPr>
              <w:t>曾实施的</w:t>
            </w:r>
            <w:r>
              <w:rPr>
                <w:rFonts w:hint="eastAsia"/>
                <w:kern w:val="0"/>
                <w:sz w:val="24"/>
                <w:szCs w:val="24"/>
              </w:rPr>
              <w:t>区域房地产指导价格评估业绩</w:t>
            </w:r>
            <w:r>
              <w:rPr>
                <w:kern w:val="0"/>
                <w:sz w:val="24"/>
                <w:szCs w:val="24"/>
              </w:rPr>
              <w:t>，提供的证明材料均不得遮挡涂黑，否则不予认定加分。</w:t>
            </w:r>
          </w:p>
          <w:p>
            <w:pPr>
              <w:widowControl/>
              <w:adjustRightInd w:val="0"/>
              <w:snapToGrid w:val="0"/>
              <w:rPr>
                <w:kern w:val="0"/>
                <w:sz w:val="24"/>
                <w:szCs w:val="24"/>
              </w:rPr>
            </w:pPr>
            <w:r>
              <w:rPr>
                <w:kern w:val="0"/>
                <w:sz w:val="24"/>
                <w:szCs w:val="24"/>
              </w:rPr>
              <w:t>合同</w:t>
            </w:r>
            <w:r>
              <w:rPr>
                <w:rFonts w:hint="eastAsia"/>
                <w:kern w:val="0"/>
                <w:sz w:val="24"/>
                <w:szCs w:val="24"/>
              </w:rPr>
              <w:t>原件电子件</w:t>
            </w:r>
            <w:r>
              <w:rPr>
                <w:kern w:val="0"/>
                <w:sz w:val="24"/>
                <w:szCs w:val="24"/>
              </w:rPr>
              <w:t>。包括买卖双方名称及盖章、服务内容</w:t>
            </w:r>
            <w:r>
              <w:rPr>
                <w:rFonts w:hint="eastAsia"/>
                <w:bCs/>
                <w:sz w:val="24"/>
              </w:rPr>
              <w:t>、合同签订日期（应为2023年1月1日或以后）</w:t>
            </w:r>
            <w:r>
              <w:rPr>
                <w:kern w:val="0"/>
                <w:sz w:val="24"/>
                <w:szCs w:val="24"/>
              </w:rPr>
              <w:t>。</w:t>
            </w:r>
          </w:p>
          <w:p>
            <w:pPr>
              <w:widowControl/>
              <w:adjustRightInd w:val="0"/>
              <w:snapToGrid w:val="0"/>
              <w:rPr>
                <w:kern w:val="0"/>
                <w:sz w:val="24"/>
                <w:szCs w:val="24"/>
              </w:rPr>
            </w:pPr>
            <w:r>
              <w:rPr>
                <w:kern w:val="0"/>
                <w:sz w:val="24"/>
                <w:szCs w:val="24"/>
              </w:rPr>
              <w:t>每个</w:t>
            </w:r>
            <w:r>
              <w:rPr>
                <w:rFonts w:hint="eastAsia"/>
                <w:kern w:val="0"/>
                <w:sz w:val="24"/>
                <w:szCs w:val="24"/>
              </w:rPr>
              <w:t>业绩2</w:t>
            </w:r>
            <w:r>
              <w:rPr>
                <w:kern w:val="0"/>
                <w:sz w:val="24"/>
                <w:szCs w:val="24"/>
              </w:rPr>
              <w:t>分，最多</w:t>
            </w:r>
            <w:r>
              <w:rPr>
                <w:rFonts w:hint="eastAsia"/>
                <w:kern w:val="0"/>
                <w:sz w:val="24"/>
                <w:szCs w:val="24"/>
              </w:rPr>
              <w:t>6</w:t>
            </w:r>
            <w:r>
              <w:rPr>
                <w:kern w:val="0"/>
                <w:sz w:val="24"/>
                <w:szCs w:val="24"/>
              </w:rPr>
              <w:t>分</w:t>
            </w:r>
          </w:p>
        </w:tc>
        <w:tc>
          <w:tcPr>
            <w:tcW w:w="1143" w:type="dxa"/>
            <w:shd w:val="clear" w:color="auto" w:fill="auto"/>
            <w:vAlign w:val="center"/>
          </w:tcPr>
          <w:p>
            <w:pPr>
              <w:widowControl/>
              <w:adjustRightInd w:val="0"/>
              <w:snapToGrid w:val="0"/>
              <w:jc w:val="center"/>
              <w:rPr>
                <w:kern w:val="0"/>
                <w:sz w:val="24"/>
                <w:szCs w:val="24"/>
              </w:rPr>
            </w:pPr>
            <w:r>
              <w:rPr>
                <w:rFonts w:hint="eastAsia"/>
                <w:kern w:val="0"/>
                <w:sz w:val="24"/>
                <w:szCs w:val="24"/>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663" w:type="dxa"/>
            <w:shd w:val="clear" w:color="auto" w:fill="auto"/>
            <w:noWrap/>
            <w:vAlign w:val="center"/>
          </w:tcPr>
          <w:p>
            <w:pPr>
              <w:widowControl/>
              <w:adjustRightInd w:val="0"/>
              <w:snapToGrid w:val="0"/>
              <w:jc w:val="center"/>
              <w:rPr>
                <w:kern w:val="0"/>
                <w:sz w:val="24"/>
                <w:szCs w:val="24"/>
              </w:rPr>
            </w:pPr>
            <w:r>
              <w:rPr>
                <w:rFonts w:hint="eastAsia"/>
                <w:kern w:val="0"/>
                <w:sz w:val="24"/>
                <w:szCs w:val="24"/>
              </w:rPr>
              <w:t>2</w:t>
            </w:r>
          </w:p>
        </w:tc>
        <w:tc>
          <w:tcPr>
            <w:tcW w:w="1419" w:type="dxa"/>
            <w:shd w:val="clear" w:color="auto" w:fill="auto"/>
            <w:vAlign w:val="center"/>
          </w:tcPr>
          <w:p>
            <w:pPr>
              <w:widowControl/>
              <w:adjustRightInd w:val="0"/>
              <w:snapToGrid w:val="0"/>
              <w:jc w:val="center"/>
              <w:rPr>
                <w:kern w:val="0"/>
                <w:sz w:val="24"/>
                <w:szCs w:val="24"/>
              </w:rPr>
            </w:pPr>
            <w:r>
              <w:rPr>
                <w:rFonts w:hint="eastAsia"/>
                <w:sz w:val="24"/>
              </w:rPr>
              <w:t>投入</w:t>
            </w:r>
            <w:r>
              <w:rPr>
                <w:sz w:val="24"/>
              </w:rPr>
              <w:t>人员评价</w:t>
            </w:r>
          </w:p>
        </w:tc>
        <w:tc>
          <w:tcPr>
            <w:tcW w:w="7311" w:type="dxa"/>
            <w:shd w:val="clear" w:color="auto" w:fill="auto"/>
            <w:vAlign w:val="center"/>
          </w:tcPr>
          <w:p>
            <w:pPr>
              <w:widowControl/>
              <w:adjustRightInd w:val="0"/>
              <w:snapToGrid w:val="0"/>
              <w:rPr>
                <w:kern w:val="0"/>
                <w:sz w:val="24"/>
                <w:szCs w:val="24"/>
              </w:rPr>
            </w:pPr>
            <w:r>
              <w:rPr>
                <w:kern w:val="0"/>
                <w:sz w:val="24"/>
                <w:szCs w:val="24"/>
              </w:rPr>
              <w:t>投入的</w:t>
            </w:r>
            <w:r>
              <w:rPr>
                <w:rFonts w:hint="eastAsia"/>
                <w:kern w:val="0"/>
                <w:sz w:val="24"/>
                <w:szCs w:val="24"/>
              </w:rPr>
              <w:t>人员</w:t>
            </w:r>
            <w:r>
              <w:rPr>
                <w:kern w:val="0"/>
                <w:sz w:val="24"/>
                <w:szCs w:val="24"/>
              </w:rPr>
              <w:t>为投标单位正式员工，提供</w:t>
            </w:r>
            <w:r>
              <w:rPr>
                <w:rFonts w:hint="eastAsia"/>
                <w:kern w:val="0"/>
                <w:sz w:val="24"/>
                <w:szCs w:val="24"/>
              </w:rPr>
              <w:t>人员</w:t>
            </w:r>
            <w:r>
              <w:rPr>
                <w:kern w:val="0"/>
                <w:sz w:val="24"/>
                <w:szCs w:val="24"/>
              </w:rPr>
              <w:t>姓名、开标日前</w:t>
            </w:r>
            <w:r>
              <w:rPr>
                <w:rFonts w:hint="eastAsia"/>
                <w:kern w:val="0"/>
                <w:sz w:val="24"/>
                <w:szCs w:val="24"/>
              </w:rPr>
              <w:t>四</w:t>
            </w:r>
            <w:r>
              <w:rPr>
                <w:kern w:val="0"/>
                <w:sz w:val="24"/>
                <w:szCs w:val="24"/>
              </w:rPr>
              <w:t>个月</w:t>
            </w:r>
            <w:r>
              <w:rPr>
                <w:rFonts w:hint="eastAsia"/>
                <w:kern w:val="0"/>
                <w:sz w:val="24"/>
                <w:szCs w:val="24"/>
              </w:rPr>
              <w:t>（含开标日当月）</w:t>
            </w:r>
            <w:r>
              <w:rPr>
                <w:kern w:val="0"/>
                <w:sz w:val="24"/>
                <w:szCs w:val="24"/>
              </w:rPr>
              <w:t>中连续两个月的由投标单位为该</w:t>
            </w:r>
            <w:r>
              <w:rPr>
                <w:rFonts w:hint="eastAsia"/>
                <w:kern w:val="0"/>
                <w:sz w:val="24"/>
                <w:szCs w:val="24"/>
              </w:rPr>
              <w:t>人员</w:t>
            </w:r>
            <w:r>
              <w:rPr>
                <w:kern w:val="0"/>
                <w:sz w:val="24"/>
                <w:szCs w:val="24"/>
              </w:rPr>
              <w:t>缴纳社会保险证明电子件，否则不予认定加分。</w:t>
            </w:r>
          </w:p>
          <w:p>
            <w:pPr>
              <w:widowControl/>
              <w:adjustRightInd w:val="0"/>
              <w:snapToGrid w:val="0"/>
              <w:rPr>
                <w:kern w:val="0"/>
                <w:sz w:val="24"/>
                <w:szCs w:val="24"/>
              </w:rPr>
            </w:pPr>
            <w:r>
              <w:rPr>
                <w:rFonts w:hint="eastAsia"/>
                <w:kern w:val="0"/>
                <w:sz w:val="24"/>
                <w:szCs w:val="24"/>
              </w:rPr>
              <w:t>（1）项目经理：提供人员简历电子件，简历能表明该人员执业工作时间不少于10年，得2分；</w:t>
            </w:r>
          </w:p>
          <w:p>
            <w:pPr>
              <w:widowControl/>
              <w:adjustRightInd w:val="0"/>
              <w:snapToGrid w:val="0"/>
              <w:rPr>
                <w:kern w:val="0"/>
                <w:sz w:val="24"/>
                <w:szCs w:val="24"/>
              </w:rPr>
            </w:pPr>
            <w:r>
              <w:rPr>
                <w:rFonts w:hint="eastAsia"/>
                <w:kern w:val="0"/>
                <w:sz w:val="24"/>
                <w:szCs w:val="24"/>
              </w:rPr>
              <w:t>（2）投入人员：提供人员简历电子件，简历能表明该人员执业工作时间不少于3年，每个合格的人员得0.5分，最多7.5分；</w:t>
            </w:r>
          </w:p>
        </w:tc>
        <w:tc>
          <w:tcPr>
            <w:tcW w:w="1143" w:type="dxa"/>
            <w:shd w:val="clear" w:color="auto" w:fill="auto"/>
            <w:vAlign w:val="center"/>
          </w:tcPr>
          <w:p>
            <w:pPr>
              <w:widowControl/>
              <w:adjustRightInd w:val="0"/>
              <w:snapToGrid w:val="0"/>
              <w:jc w:val="center"/>
              <w:rPr>
                <w:kern w:val="0"/>
                <w:sz w:val="24"/>
                <w:szCs w:val="24"/>
              </w:rPr>
            </w:pPr>
            <w:r>
              <w:rPr>
                <w:rFonts w:hint="eastAsia"/>
                <w:kern w:val="0"/>
                <w:sz w:val="24"/>
                <w:szCs w:val="24"/>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 w:hRule="atLeast"/>
          <w:jc w:val="center"/>
        </w:trPr>
        <w:tc>
          <w:tcPr>
            <w:tcW w:w="663" w:type="dxa"/>
            <w:shd w:val="clear" w:color="auto" w:fill="auto"/>
            <w:noWrap/>
            <w:vAlign w:val="center"/>
          </w:tcPr>
          <w:p>
            <w:pPr>
              <w:widowControl/>
              <w:adjustRightInd w:val="0"/>
              <w:snapToGrid w:val="0"/>
              <w:jc w:val="center"/>
              <w:rPr>
                <w:kern w:val="0"/>
                <w:sz w:val="24"/>
                <w:szCs w:val="24"/>
              </w:rPr>
            </w:pPr>
            <w:r>
              <w:rPr>
                <w:rFonts w:hint="eastAsia"/>
                <w:kern w:val="0"/>
                <w:sz w:val="24"/>
                <w:szCs w:val="24"/>
              </w:rPr>
              <w:t>3</w:t>
            </w:r>
          </w:p>
        </w:tc>
        <w:tc>
          <w:tcPr>
            <w:tcW w:w="1419" w:type="dxa"/>
            <w:shd w:val="clear" w:color="auto" w:fill="auto"/>
            <w:vAlign w:val="center"/>
          </w:tcPr>
          <w:p>
            <w:pPr>
              <w:widowControl/>
              <w:adjustRightInd w:val="0"/>
              <w:snapToGrid w:val="0"/>
              <w:jc w:val="center"/>
              <w:rPr>
                <w:sz w:val="24"/>
              </w:rPr>
            </w:pPr>
            <w:r>
              <w:rPr>
                <w:rFonts w:hint="eastAsia"/>
                <w:sz w:val="24"/>
              </w:rPr>
              <w:t>投标人承诺评价</w:t>
            </w:r>
          </w:p>
        </w:tc>
        <w:tc>
          <w:tcPr>
            <w:tcW w:w="7311" w:type="dxa"/>
            <w:shd w:val="clear" w:color="auto" w:fill="auto"/>
            <w:vAlign w:val="center"/>
          </w:tcPr>
          <w:p>
            <w:pPr>
              <w:widowControl/>
              <w:adjustRightInd w:val="0"/>
              <w:snapToGrid w:val="0"/>
              <w:rPr>
                <w:kern w:val="0"/>
                <w:sz w:val="24"/>
                <w:szCs w:val="24"/>
              </w:rPr>
            </w:pPr>
            <w:r>
              <w:rPr>
                <w:rFonts w:hint="eastAsia"/>
                <w:kern w:val="0"/>
                <w:sz w:val="24"/>
                <w:szCs w:val="24"/>
              </w:rPr>
              <w:t>承诺完全满足本文件“报价要求”、“时间地点要求”、“付款方式要求”和技术要求中非“★”号要求的：3.5分，其他0分。</w:t>
            </w:r>
          </w:p>
        </w:tc>
        <w:tc>
          <w:tcPr>
            <w:tcW w:w="1143" w:type="dxa"/>
            <w:shd w:val="clear" w:color="auto" w:fill="auto"/>
            <w:vAlign w:val="center"/>
          </w:tcPr>
          <w:p>
            <w:pPr>
              <w:widowControl/>
              <w:adjustRightInd w:val="0"/>
              <w:snapToGrid w:val="0"/>
              <w:jc w:val="center"/>
              <w:rPr>
                <w:kern w:val="0"/>
                <w:sz w:val="24"/>
                <w:szCs w:val="24"/>
              </w:rPr>
            </w:pPr>
            <w:r>
              <w:rPr>
                <w:rFonts w:hint="eastAsia"/>
                <w:kern w:val="0"/>
                <w:sz w:val="24"/>
                <w:szCs w:val="24"/>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jc w:val="center"/>
        </w:trPr>
        <w:tc>
          <w:tcPr>
            <w:tcW w:w="9393" w:type="dxa"/>
            <w:gridSpan w:val="3"/>
            <w:shd w:val="clear" w:color="auto" w:fill="auto"/>
            <w:noWrap/>
            <w:vAlign w:val="center"/>
          </w:tcPr>
          <w:p>
            <w:pPr>
              <w:widowControl/>
              <w:adjustRightInd w:val="0"/>
              <w:snapToGrid w:val="0"/>
              <w:jc w:val="center"/>
              <w:rPr>
                <w:kern w:val="0"/>
                <w:sz w:val="24"/>
                <w:szCs w:val="24"/>
              </w:rPr>
            </w:pPr>
            <w:r>
              <w:rPr>
                <w:kern w:val="0"/>
                <w:sz w:val="24"/>
                <w:szCs w:val="24"/>
              </w:rPr>
              <w:t>第三部分 主观分（</w:t>
            </w:r>
            <w:r>
              <w:rPr>
                <w:rFonts w:hint="eastAsia"/>
                <w:kern w:val="0"/>
                <w:sz w:val="24"/>
                <w:szCs w:val="24"/>
              </w:rPr>
              <w:t>61</w:t>
            </w:r>
            <w:r>
              <w:rPr>
                <w:kern w:val="0"/>
                <w:sz w:val="24"/>
                <w:szCs w:val="24"/>
              </w:rPr>
              <w:t>分）</w:t>
            </w:r>
          </w:p>
        </w:tc>
        <w:tc>
          <w:tcPr>
            <w:tcW w:w="1143" w:type="dxa"/>
            <w:shd w:val="clear" w:color="auto" w:fill="auto"/>
            <w:vAlign w:val="center"/>
          </w:tcPr>
          <w:p>
            <w:pPr>
              <w:widowControl/>
              <w:adjustRightInd w:val="0"/>
              <w:snapToGrid w:val="0"/>
              <w:jc w:val="center"/>
              <w:rPr>
                <w:kern w:val="0"/>
                <w:sz w:val="24"/>
                <w:szCs w:val="24"/>
              </w:rPr>
            </w:pPr>
            <w:r>
              <w:rPr>
                <w:kern w:val="0"/>
                <w:sz w:val="24"/>
                <w:szCs w:val="24"/>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663" w:type="dxa"/>
            <w:shd w:val="clear" w:color="auto" w:fill="auto"/>
            <w:noWrap/>
            <w:vAlign w:val="center"/>
          </w:tcPr>
          <w:p>
            <w:pPr>
              <w:widowControl/>
              <w:adjustRightInd w:val="0"/>
              <w:snapToGrid w:val="0"/>
              <w:jc w:val="center"/>
              <w:rPr>
                <w:kern w:val="0"/>
                <w:sz w:val="24"/>
                <w:szCs w:val="24"/>
              </w:rPr>
            </w:pPr>
            <w:r>
              <w:rPr>
                <w:kern w:val="0"/>
                <w:sz w:val="24"/>
                <w:szCs w:val="24"/>
              </w:rPr>
              <w:t>1</w:t>
            </w:r>
          </w:p>
        </w:tc>
        <w:tc>
          <w:tcPr>
            <w:tcW w:w="1419" w:type="dxa"/>
            <w:shd w:val="clear" w:color="auto" w:fill="auto"/>
            <w:vAlign w:val="center"/>
          </w:tcPr>
          <w:p>
            <w:pPr>
              <w:widowControl/>
              <w:adjustRightInd w:val="0"/>
              <w:snapToGrid w:val="0"/>
              <w:jc w:val="center"/>
              <w:rPr>
                <w:kern w:val="0"/>
                <w:sz w:val="24"/>
                <w:szCs w:val="24"/>
              </w:rPr>
            </w:pPr>
            <w:r>
              <w:rPr>
                <w:kern w:val="0"/>
                <w:sz w:val="24"/>
                <w:szCs w:val="24"/>
              </w:rPr>
              <w:t>人员、岗位配置方案评价</w:t>
            </w:r>
          </w:p>
        </w:tc>
        <w:tc>
          <w:tcPr>
            <w:tcW w:w="7311" w:type="dxa"/>
            <w:shd w:val="clear" w:color="auto" w:fill="auto"/>
            <w:vAlign w:val="center"/>
          </w:tcPr>
          <w:p>
            <w:pPr>
              <w:widowControl/>
              <w:adjustRightInd w:val="0"/>
              <w:snapToGrid w:val="0"/>
              <w:rPr>
                <w:kern w:val="0"/>
                <w:sz w:val="24"/>
                <w:szCs w:val="24"/>
              </w:rPr>
            </w:pPr>
            <w:r>
              <w:rPr>
                <w:rFonts w:hint="eastAsia"/>
                <w:kern w:val="0"/>
                <w:sz w:val="24"/>
                <w:szCs w:val="24"/>
              </w:rPr>
              <w:t>至少包含各岗位投入人员数量、各岗位内部人员安排配置方案</w:t>
            </w:r>
          </w:p>
          <w:p>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pPr>
              <w:widowControl/>
              <w:adjustRightInd w:val="0"/>
              <w:snapToGrid w:val="0"/>
              <w:rPr>
                <w:kern w:val="0"/>
                <w:sz w:val="24"/>
                <w:szCs w:val="24"/>
              </w:rPr>
            </w:pPr>
            <w:r>
              <w:rPr>
                <w:rFonts w:hint="eastAsia"/>
                <w:kern w:val="0"/>
                <w:sz w:val="24"/>
                <w:szCs w:val="24"/>
              </w:rPr>
              <w:t>方案</w:t>
            </w:r>
            <w:r>
              <w:rPr>
                <w:kern w:val="0"/>
                <w:sz w:val="24"/>
                <w:szCs w:val="24"/>
              </w:rPr>
              <w:t>内容每出现</w:t>
            </w:r>
            <w:r>
              <w:rPr>
                <w:rFonts w:hint="eastAsia"/>
                <w:kern w:val="0"/>
                <w:sz w:val="24"/>
                <w:szCs w:val="24"/>
              </w:rPr>
              <w:t>1处瑕疵减2分，最低0分。</w:t>
            </w:r>
          </w:p>
        </w:tc>
        <w:tc>
          <w:tcPr>
            <w:tcW w:w="1143" w:type="dxa"/>
            <w:shd w:val="clear" w:color="auto" w:fill="auto"/>
            <w:vAlign w:val="center"/>
          </w:tcPr>
          <w:p>
            <w:pPr>
              <w:widowControl/>
              <w:adjustRightInd w:val="0"/>
              <w:snapToGrid w:val="0"/>
              <w:jc w:val="center"/>
              <w:rPr>
                <w:kern w:val="0"/>
                <w:sz w:val="24"/>
                <w:szCs w:val="24"/>
              </w:rPr>
            </w:pPr>
            <w:r>
              <w:rPr>
                <w:rFonts w:hint="eastAsia"/>
                <w:kern w:val="0"/>
                <w:sz w:val="24"/>
                <w:szCs w:val="24"/>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663" w:type="dxa"/>
            <w:shd w:val="clear" w:color="auto" w:fill="auto"/>
            <w:noWrap/>
            <w:vAlign w:val="center"/>
          </w:tcPr>
          <w:p>
            <w:pPr>
              <w:widowControl/>
              <w:adjustRightInd w:val="0"/>
              <w:snapToGrid w:val="0"/>
              <w:jc w:val="center"/>
              <w:rPr>
                <w:kern w:val="0"/>
                <w:sz w:val="24"/>
                <w:szCs w:val="24"/>
              </w:rPr>
            </w:pPr>
            <w:r>
              <w:rPr>
                <w:kern w:val="0"/>
                <w:sz w:val="24"/>
                <w:szCs w:val="24"/>
              </w:rPr>
              <w:t>2</w:t>
            </w:r>
          </w:p>
        </w:tc>
        <w:tc>
          <w:tcPr>
            <w:tcW w:w="1419" w:type="dxa"/>
            <w:shd w:val="clear" w:color="auto" w:fill="auto"/>
            <w:vAlign w:val="center"/>
          </w:tcPr>
          <w:p>
            <w:pPr>
              <w:widowControl/>
              <w:adjustRightInd w:val="0"/>
              <w:snapToGrid w:val="0"/>
              <w:jc w:val="center"/>
              <w:rPr>
                <w:kern w:val="0"/>
                <w:sz w:val="24"/>
                <w:szCs w:val="24"/>
              </w:rPr>
            </w:pPr>
            <w:r>
              <w:rPr>
                <w:rFonts w:hint="eastAsia"/>
                <w:sz w:val="24"/>
              </w:rPr>
              <w:t>针对本项目特点的专业化服务方案评价</w:t>
            </w:r>
          </w:p>
        </w:tc>
        <w:tc>
          <w:tcPr>
            <w:tcW w:w="7311" w:type="dxa"/>
            <w:shd w:val="clear" w:color="auto" w:fill="auto"/>
            <w:vAlign w:val="center"/>
          </w:tcPr>
          <w:p>
            <w:pPr>
              <w:widowControl/>
              <w:adjustRightInd w:val="0"/>
              <w:snapToGrid w:val="0"/>
              <w:rPr>
                <w:kern w:val="0"/>
                <w:sz w:val="24"/>
                <w:szCs w:val="24"/>
              </w:rPr>
            </w:pPr>
            <w:r>
              <w:rPr>
                <w:rFonts w:hint="eastAsia"/>
                <w:kern w:val="0"/>
                <w:sz w:val="24"/>
                <w:szCs w:val="24"/>
              </w:rPr>
              <w:t>至少</w:t>
            </w:r>
            <w:r>
              <w:rPr>
                <w:kern w:val="0"/>
                <w:sz w:val="24"/>
                <w:szCs w:val="24"/>
              </w:rPr>
              <w:t>包含针对本项目的动态监测、年度</w:t>
            </w:r>
            <w:r>
              <w:rPr>
                <w:rFonts w:hint="eastAsia"/>
                <w:kern w:val="0"/>
                <w:sz w:val="24"/>
                <w:szCs w:val="24"/>
              </w:rPr>
              <w:t>调整、争议解决、个案评估</w:t>
            </w:r>
            <w:r>
              <w:rPr>
                <w:kern w:val="0"/>
                <w:sz w:val="24"/>
                <w:szCs w:val="24"/>
              </w:rPr>
              <w:t>方案</w:t>
            </w:r>
          </w:p>
          <w:p>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pPr>
              <w:widowControl/>
              <w:adjustRightInd w:val="0"/>
              <w:snapToGrid w:val="0"/>
              <w:rPr>
                <w:kern w:val="0"/>
                <w:sz w:val="24"/>
                <w:szCs w:val="24"/>
              </w:rPr>
            </w:pPr>
            <w:r>
              <w:rPr>
                <w:rFonts w:hint="eastAsia"/>
                <w:kern w:val="0"/>
                <w:sz w:val="24"/>
                <w:szCs w:val="24"/>
              </w:rPr>
              <w:t>方案</w:t>
            </w:r>
            <w:r>
              <w:rPr>
                <w:kern w:val="0"/>
                <w:sz w:val="24"/>
                <w:szCs w:val="24"/>
              </w:rPr>
              <w:t>内容每出现</w:t>
            </w:r>
            <w:r>
              <w:rPr>
                <w:rFonts w:hint="eastAsia"/>
                <w:kern w:val="0"/>
                <w:sz w:val="24"/>
                <w:szCs w:val="24"/>
              </w:rPr>
              <w:t>1处瑕疵减3分，最低0分。</w:t>
            </w:r>
          </w:p>
        </w:tc>
        <w:tc>
          <w:tcPr>
            <w:tcW w:w="1143" w:type="dxa"/>
            <w:shd w:val="clear" w:color="auto" w:fill="auto"/>
            <w:vAlign w:val="center"/>
          </w:tcPr>
          <w:p>
            <w:pPr>
              <w:widowControl/>
              <w:adjustRightInd w:val="0"/>
              <w:snapToGrid w:val="0"/>
              <w:jc w:val="center"/>
              <w:rPr>
                <w:kern w:val="0"/>
                <w:sz w:val="24"/>
                <w:szCs w:val="24"/>
              </w:rPr>
            </w:pPr>
            <w:r>
              <w:rPr>
                <w:rFonts w:hint="eastAsia"/>
                <w:kern w:val="0"/>
                <w:sz w:val="24"/>
                <w:szCs w:val="24"/>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663" w:type="dxa"/>
            <w:shd w:val="clear" w:color="auto" w:fill="auto"/>
            <w:noWrap/>
            <w:vAlign w:val="center"/>
          </w:tcPr>
          <w:p>
            <w:pPr>
              <w:widowControl/>
              <w:adjustRightInd w:val="0"/>
              <w:snapToGrid w:val="0"/>
              <w:jc w:val="center"/>
              <w:rPr>
                <w:kern w:val="0"/>
                <w:sz w:val="24"/>
                <w:szCs w:val="24"/>
              </w:rPr>
            </w:pPr>
            <w:r>
              <w:rPr>
                <w:kern w:val="0"/>
                <w:sz w:val="24"/>
                <w:szCs w:val="24"/>
              </w:rPr>
              <w:t>3</w:t>
            </w:r>
          </w:p>
        </w:tc>
        <w:tc>
          <w:tcPr>
            <w:tcW w:w="1419" w:type="dxa"/>
            <w:shd w:val="clear" w:color="auto" w:fill="auto"/>
            <w:vAlign w:val="center"/>
          </w:tcPr>
          <w:p>
            <w:pPr>
              <w:widowControl/>
              <w:adjustRightInd w:val="0"/>
              <w:snapToGrid w:val="0"/>
              <w:jc w:val="center"/>
              <w:rPr>
                <w:kern w:val="0"/>
                <w:sz w:val="24"/>
                <w:szCs w:val="24"/>
              </w:rPr>
            </w:pPr>
            <w:r>
              <w:rPr>
                <w:rFonts w:hint="eastAsia"/>
                <w:sz w:val="24"/>
              </w:rPr>
              <w:t>对项目重点、难点的理解评价</w:t>
            </w:r>
          </w:p>
        </w:tc>
        <w:tc>
          <w:tcPr>
            <w:tcW w:w="7311" w:type="dxa"/>
            <w:shd w:val="clear" w:color="auto" w:fill="auto"/>
            <w:vAlign w:val="center"/>
          </w:tcPr>
          <w:p>
            <w:pPr>
              <w:widowControl/>
              <w:adjustRightInd w:val="0"/>
              <w:snapToGrid w:val="0"/>
              <w:rPr>
                <w:kern w:val="0"/>
                <w:sz w:val="24"/>
                <w:szCs w:val="24"/>
              </w:rPr>
            </w:pPr>
            <w:r>
              <w:rPr>
                <w:rFonts w:hint="eastAsia"/>
                <w:kern w:val="0"/>
                <w:sz w:val="24"/>
                <w:szCs w:val="24"/>
              </w:rPr>
              <w:t>至少包含针对本项目重点和难点（包括如何</w:t>
            </w:r>
            <w:r>
              <w:rPr>
                <w:kern w:val="0"/>
                <w:sz w:val="24"/>
                <w:szCs w:val="24"/>
              </w:rPr>
              <w:t>以我市范围内住房小区为单位，充分考虑小区所在区域位置以及单套住宅的建筑结构、建筑面积、楼层、朝向等因素，制定修正体系，构建数学模型测算交易住房的计税基准价格，以及出现</w:t>
            </w:r>
            <w:r>
              <w:rPr>
                <w:rFonts w:hint="eastAsia"/>
                <w:kern w:val="0"/>
                <w:sz w:val="24"/>
                <w:szCs w:val="24"/>
              </w:rPr>
              <w:t>计税基准价格争议较为集中、明显偏离市场真实情况、新增楼盘存量房销售、在征纳过程中发现价格数据缺失等影响税收征管情况）的理解以及针对重点难点的应对解决方案</w:t>
            </w:r>
          </w:p>
          <w:p>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pPr>
              <w:widowControl/>
              <w:adjustRightInd w:val="0"/>
              <w:snapToGrid w:val="0"/>
              <w:rPr>
                <w:kern w:val="0"/>
                <w:sz w:val="24"/>
                <w:szCs w:val="24"/>
              </w:rPr>
            </w:pPr>
            <w:r>
              <w:rPr>
                <w:kern w:val="0"/>
                <w:sz w:val="24"/>
                <w:szCs w:val="24"/>
              </w:rPr>
              <w:t>重点难点理解或应对解决方案内容每出现</w:t>
            </w:r>
            <w:r>
              <w:rPr>
                <w:rFonts w:hint="eastAsia"/>
                <w:kern w:val="0"/>
                <w:sz w:val="24"/>
                <w:szCs w:val="24"/>
              </w:rPr>
              <w:t>1处瑕疵减3分，最低0分。</w:t>
            </w:r>
          </w:p>
        </w:tc>
        <w:tc>
          <w:tcPr>
            <w:tcW w:w="1143" w:type="dxa"/>
            <w:shd w:val="clear" w:color="auto" w:fill="auto"/>
            <w:vAlign w:val="center"/>
          </w:tcPr>
          <w:p>
            <w:pPr>
              <w:widowControl/>
              <w:adjustRightInd w:val="0"/>
              <w:snapToGrid w:val="0"/>
              <w:jc w:val="center"/>
              <w:rPr>
                <w:kern w:val="0"/>
                <w:sz w:val="24"/>
                <w:szCs w:val="24"/>
              </w:rPr>
            </w:pPr>
            <w:r>
              <w:rPr>
                <w:rFonts w:hint="eastAsia"/>
                <w:kern w:val="0"/>
                <w:sz w:val="24"/>
                <w:szCs w:val="24"/>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663" w:type="dxa"/>
            <w:shd w:val="clear" w:color="auto" w:fill="auto"/>
            <w:noWrap/>
            <w:vAlign w:val="center"/>
          </w:tcPr>
          <w:p>
            <w:pPr>
              <w:widowControl/>
              <w:adjustRightInd w:val="0"/>
              <w:snapToGrid w:val="0"/>
              <w:jc w:val="center"/>
              <w:rPr>
                <w:kern w:val="0"/>
                <w:sz w:val="24"/>
                <w:szCs w:val="24"/>
              </w:rPr>
            </w:pPr>
            <w:r>
              <w:rPr>
                <w:kern w:val="0"/>
                <w:sz w:val="24"/>
                <w:szCs w:val="24"/>
              </w:rPr>
              <w:t>4</w:t>
            </w:r>
          </w:p>
        </w:tc>
        <w:tc>
          <w:tcPr>
            <w:tcW w:w="1419" w:type="dxa"/>
            <w:shd w:val="clear" w:color="auto" w:fill="auto"/>
            <w:vAlign w:val="center"/>
          </w:tcPr>
          <w:p>
            <w:pPr>
              <w:widowControl/>
              <w:adjustRightInd w:val="0"/>
              <w:snapToGrid w:val="0"/>
              <w:jc w:val="center"/>
              <w:rPr>
                <w:kern w:val="0"/>
                <w:sz w:val="24"/>
                <w:szCs w:val="24"/>
              </w:rPr>
            </w:pPr>
            <w:r>
              <w:rPr>
                <w:sz w:val="24"/>
              </w:rPr>
              <w:t>管理规章制度评价</w:t>
            </w:r>
          </w:p>
        </w:tc>
        <w:tc>
          <w:tcPr>
            <w:tcW w:w="7311" w:type="dxa"/>
            <w:shd w:val="clear" w:color="auto" w:fill="auto"/>
            <w:vAlign w:val="center"/>
          </w:tcPr>
          <w:p>
            <w:pPr>
              <w:widowControl/>
              <w:adjustRightInd w:val="0"/>
              <w:snapToGrid w:val="0"/>
              <w:rPr>
                <w:kern w:val="0"/>
                <w:sz w:val="24"/>
                <w:szCs w:val="24"/>
              </w:rPr>
            </w:pPr>
            <w:r>
              <w:rPr>
                <w:rFonts w:hint="eastAsia"/>
                <w:kern w:val="0"/>
                <w:sz w:val="24"/>
                <w:szCs w:val="24"/>
              </w:rPr>
              <w:t>至少</w:t>
            </w:r>
            <w:r>
              <w:rPr>
                <w:kern w:val="0"/>
                <w:sz w:val="24"/>
                <w:szCs w:val="24"/>
              </w:rPr>
              <w:t>包含针对投入人员的服务管理规章制度</w:t>
            </w:r>
          </w:p>
          <w:p>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pPr>
              <w:widowControl/>
              <w:adjustRightInd w:val="0"/>
              <w:snapToGrid w:val="0"/>
              <w:rPr>
                <w:kern w:val="0"/>
                <w:sz w:val="24"/>
                <w:szCs w:val="24"/>
              </w:rPr>
            </w:pPr>
            <w:r>
              <w:rPr>
                <w:rFonts w:hint="eastAsia"/>
                <w:kern w:val="0"/>
                <w:sz w:val="24"/>
                <w:szCs w:val="24"/>
              </w:rPr>
              <w:t>方案</w:t>
            </w:r>
            <w:r>
              <w:rPr>
                <w:kern w:val="0"/>
                <w:sz w:val="24"/>
                <w:szCs w:val="24"/>
              </w:rPr>
              <w:t>内容每出现</w:t>
            </w:r>
            <w:r>
              <w:rPr>
                <w:rFonts w:hint="eastAsia"/>
                <w:kern w:val="0"/>
                <w:sz w:val="24"/>
                <w:szCs w:val="24"/>
              </w:rPr>
              <w:t>1处瑕疵减2分，最低0分。</w:t>
            </w:r>
          </w:p>
        </w:tc>
        <w:tc>
          <w:tcPr>
            <w:tcW w:w="1143" w:type="dxa"/>
            <w:shd w:val="clear" w:color="auto" w:fill="auto"/>
            <w:vAlign w:val="center"/>
          </w:tcPr>
          <w:p>
            <w:pPr>
              <w:widowControl/>
              <w:adjustRightInd w:val="0"/>
              <w:snapToGrid w:val="0"/>
              <w:jc w:val="center"/>
              <w:rPr>
                <w:kern w:val="0"/>
                <w:sz w:val="24"/>
                <w:szCs w:val="24"/>
              </w:rPr>
            </w:pPr>
            <w:r>
              <w:rPr>
                <w:rFonts w:hint="eastAsia"/>
                <w:kern w:val="0"/>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663" w:type="dxa"/>
            <w:shd w:val="clear" w:color="auto" w:fill="auto"/>
            <w:noWrap/>
            <w:vAlign w:val="center"/>
          </w:tcPr>
          <w:p>
            <w:pPr>
              <w:widowControl/>
              <w:adjustRightInd w:val="0"/>
              <w:snapToGrid w:val="0"/>
              <w:jc w:val="center"/>
              <w:rPr>
                <w:kern w:val="0"/>
                <w:sz w:val="24"/>
                <w:szCs w:val="24"/>
              </w:rPr>
            </w:pPr>
            <w:r>
              <w:rPr>
                <w:rFonts w:hint="eastAsia"/>
                <w:kern w:val="0"/>
                <w:sz w:val="24"/>
                <w:szCs w:val="24"/>
              </w:rPr>
              <w:t>5</w:t>
            </w:r>
          </w:p>
        </w:tc>
        <w:tc>
          <w:tcPr>
            <w:tcW w:w="1419" w:type="dxa"/>
            <w:shd w:val="clear" w:color="auto" w:fill="auto"/>
            <w:vAlign w:val="center"/>
          </w:tcPr>
          <w:p>
            <w:pPr>
              <w:widowControl/>
              <w:adjustRightInd w:val="0"/>
              <w:snapToGrid w:val="0"/>
              <w:jc w:val="center"/>
              <w:rPr>
                <w:kern w:val="0"/>
                <w:sz w:val="24"/>
                <w:szCs w:val="24"/>
              </w:rPr>
            </w:pPr>
            <w:r>
              <w:rPr>
                <w:sz w:val="24"/>
              </w:rPr>
              <w:t>保密管理方案评价</w:t>
            </w:r>
          </w:p>
        </w:tc>
        <w:tc>
          <w:tcPr>
            <w:tcW w:w="7311" w:type="dxa"/>
            <w:shd w:val="clear" w:color="auto" w:fill="auto"/>
            <w:vAlign w:val="center"/>
          </w:tcPr>
          <w:p>
            <w:pPr>
              <w:widowControl/>
              <w:adjustRightInd w:val="0"/>
              <w:snapToGrid w:val="0"/>
              <w:rPr>
                <w:sz w:val="24"/>
              </w:rPr>
            </w:pPr>
            <w:r>
              <w:rPr>
                <w:rFonts w:hint="eastAsia"/>
                <w:sz w:val="24"/>
              </w:rPr>
              <w:t>至少包含保证服务过程中有可能获取的保密信息不泄露的措施：制定保密制度、服务人员保密培训、重点岗位双人服务、泄密惩罚办法。</w:t>
            </w:r>
          </w:p>
          <w:p>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pPr>
              <w:widowControl/>
              <w:adjustRightInd w:val="0"/>
              <w:snapToGrid w:val="0"/>
              <w:rPr>
                <w:kern w:val="0"/>
                <w:sz w:val="24"/>
                <w:szCs w:val="24"/>
              </w:rPr>
            </w:pPr>
            <w:r>
              <w:rPr>
                <w:rFonts w:hint="eastAsia"/>
                <w:kern w:val="0"/>
                <w:sz w:val="24"/>
                <w:szCs w:val="24"/>
              </w:rPr>
              <w:t>方案</w:t>
            </w:r>
            <w:r>
              <w:rPr>
                <w:kern w:val="0"/>
                <w:sz w:val="24"/>
                <w:szCs w:val="24"/>
              </w:rPr>
              <w:t>内容每出现</w:t>
            </w:r>
            <w:r>
              <w:rPr>
                <w:rFonts w:hint="eastAsia"/>
                <w:kern w:val="0"/>
                <w:sz w:val="24"/>
                <w:szCs w:val="24"/>
              </w:rPr>
              <w:t>1处瑕疵减2分，最低0分。</w:t>
            </w:r>
          </w:p>
        </w:tc>
        <w:tc>
          <w:tcPr>
            <w:tcW w:w="1143" w:type="dxa"/>
            <w:shd w:val="clear" w:color="auto" w:fill="auto"/>
            <w:vAlign w:val="center"/>
          </w:tcPr>
          <w:p>
            <w:pPr>
              <w:widowControl/>
              <w:adjustRightInd w:val="0"/>
              <w:snapToGrid w:val="0"/>
              <w:jc w:val="center"/>
              <w:rPr>
                <w:kern w:val="0"/>
                <w:sz w:val="24"/>
                <w:szCs w:val="24"/>
              </w:rPr>
            </w:pPr>
            <w:r>
              <w:rPr>
                <w:rFonts w:hint="eastAsia"/>
                <w:kern w:val="0"/>
                <w:sz w:val="24"/>
                <w:szCs w:val="24"/>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663" w:type="dxa"/>
            <w:shd w:val="clear" w:color="auto" w:fill="auto"/>
            <w:noWrap/>
            <w:vAlign w:val="center"/>
          </w:tcPr>
          <w:p>
            <w:pPr>
              <w:widowControl/>
              <w:adjustRightInd w:val="0"/>
              <w:snapToGrid w:val="0"/>
              <w:jc w:val="center"/>
              <w:rPr>
                <w:kern w:val="0"/>
                <w:sz w:val="24"/>
                <w:szCs w:val="24"/>
              </w:rPr>
            </w:pPr>
            <w:r>
              <w:rPr>
                <w:rFonts w:hint="eastAsia"/>
                <w:kern w:val="0"/>
                <w:sz w:val="24"/>
                <w:szCs w:val="24"/>
              </w:rPr>
              <w:t>6</w:t>
            </w:r>
          </w:p>
        </w:tc>
        <w:tc>
          <w:tcPr>
            <w:tcW w:w="1419" w:type="dxa"/>
            <w:shd w:val="clear" w:color="auto" w:fill="auto"/>
            <w:vAlign w:val="center"/>
          </w:tcPr>
          <w:p>
            <w:pPr>
              <w:widowControl/>
              <w:adjustRightInd w:val="0"/>
              <w:snapToGrid w:val="0"/>
              <w:jc w:val="center"/>
              <w:rPr>
                <w:sz w:val="24"/>
              </w:rPr>
            </w:pPr>
            <w:r>
              <w:rPr>
                <w:rFonts w:hint="eastAsia"/>
                <w:sz w:val="24"/>
              </w:rPr>
              <w:t>进度安排评价</w:t>
            </w:r>
          </w:p>
        </w:tc>
        <w:tc>
          <w:tcPr>
            <w:tcW w:w="7311" w:type="dxa"/>
            <w:shd w:val="clear" w:color="auto" w:fill="auto"/>
            <w:vAlign w:val="center"/>
          </w:tcPr>
          <w:p>
            <w:pPr>
              <w:widowControl/>
              <w:adjustRightInd w:val="0"/>
              <w:snapToGrid w:val="0"/>
              <w:rPr>
                <w:kern w:val="0"/>
                <w:sz w:val="24"/>
                <w:szCs w:val="24"/>
              </w:rPr>
            </w:pPr>
            <w:r>
              <w:rPr>
                <w:rFonts w:hint="eastAsia"/>
                <w:kern w:val="0"/>
                <w:sz w:val="24"/>
                <w:szCs w:val="24"/>
              </w:rPr>
              <w:t>至少包含各阶段工作进度安排、按时限完成的保障措施、进度落后时的挽回措施等</w:t>
            </w:r>
          </w:p>
          <w:p>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pPr>
              <w:widowControl/>
              <w:adjustRightInd w:val="0"/>
              <w:snapToGrid w:val="0"/>
              <w:rPr>
                <w:kern w:val="0"/>
                <w:sz w:val="24"/>
                <w:szCs w:val="24"/>
              </w:rPr>
            </w:pPr>
            <w:r>
              <w:rPr>
                <w:rFonts w:hint="eastAsia"/>
                <w:kern w:val="0"/>
                <w:sz w:val="24"/>
                <w:szCs w:val="24"/>
              </w:rPr>
              <w:t>方案</w:t>
            </w:r>
            <w:r>
              <w:rPr>
                <w:kern w:val="0"/>
                <w:sz w:val="24"/>
                <w:szCs w:val="24"/>
              </w:rPr>
              <w:t>内容每出现</w:t>
            </w:r>
            <w:r>
              <w:rPr>
                <w:rFonts w:hint="eastAsia"/>
                <w:kern w:val="0"/>
                <w:sz w:val="24"/>
                <w:szCs w:val="24"/>
              </w:rPr>
              <w:t>1处瑕疵减3分，最低0分。</w:t>
            </w:r>
          </w:p>
        </w:tc>
        <w:tc>
          <w:tcPr>
            <w:tcW w:w="1143" w:type="dxa"/>
            <w:shd w:val="clear" w:color="auto" w:fill="auto"/>
            <w:vAlign w:val="center"/>
          </w:tcPr>
          <w:p>
            <w:pPr>
              <w:widowControl/>
              <w:adjustRightInd w:val="0"/>
              <w:snapToGrid w:val="0"/>
              <w:jc w:val="center"/>
              <w:rPr>
                <w:kern w:val="0"/>
                <w:sz w:val="24"/>
                <w:szCs w:val="24"/>
              </w:rPr>
            </w:pPr>
            <w:r>
              <w:rPr>
                <w:rFonts w:hint="eastAsia"/>
                <w:kern w:val="0"/>
                <w:sz w:val="24"/>
                <w:szCs w:val="24"/>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663" w:type="dxa"/>
            <w:shd w:val="clear" w:color="auto" w:fill="auto"/>
            <w:noWrap/>
            <w:vAlign w:val="center"/>
          </w:tcPr>
          <w:p>
            <w:pPr>
              <w:widowControl/>
              <w:adjustRightInd w:val="0"/>
              <w:snapToGrid w:val="0"/>
              <w:jc w:val="center"/>
              <w:rPr>
                <w:kern w:val="0"/>
                <w:sz w:val="24"/>
                <w:szCs w:val="24"/>
              </w:rPr>
            </w:pPr>
            <w:r>
              <w:rPr>
                <w:rFonts w:hint="eastAsia"/>
                <w:kern w:val="0"/>
                <w:sz w:val="24"/>
                <w:szCs w:val="24"/>
              </w:rPr>
              <w:t>7</w:t>
            </w:r>
          </w:p>
        </w:tc>
        <w:tc>
          <w:tcPr>
            <w:tcW w:w="1419" w:type="dxa"/>
            <w:shd w:val="clear" w:color="auto" w:fill="auto"/>
            <w:vAlign w:val="center"/>
          </w:tcPr>
          <w:p>
            <w:pPr>
              <w:widowControl/>
              <w:adjustRightInd w:val="0"/>
              <w:snapToGrid w:val="0"/>
              <w:jc w:val="center"/>
              <w:rPr>
                <w:kern w:val="0"/>
                <w:sz w:val="24"/>
                <w:szCs w:val="24"/>
              </w:rPr>
            </w:pPr>
            <w:r>
              <w:rPr>
                <w:kern w:val="0"/>
                <w:sz w:val="24"/>
                <w:szCs w:val="24"/>
              </w:rPr>
              <w:t>在服务过程中，与采购人配合沟通方案评价</w:t>
            </w:r>
          </w:p>
        </w:tc>
        <w:tc>
          <w:tcPr>
            <w:tcW w:w="7311" w:type="dxa"/>
            <w:shd w:val="clear" w:color="auto" w:fill="auto"/>
            <w:vAlign w:val="center"/>
          </w:tcPr>
          <w:p>
            <w:pPr>
              <w:widowControl/>
              <w:adjustRightInd w:val="0"/>
              <w:snapToGrid w:val="0"/>
              <w:rPr>
                <w:kern w:val="0"/>
                <w:sz w:val="24"/>
                <w:szCs w:val="24"/>
              </w:rPr>
            </w:pPr>
            <w:r>
              <w:rPr>
                <w:rFonts w:hint="eastAsia"/>
                <w:kern w:val="0"/>
                <w:sz w:val="24"/>
                <w:szCs w:val="24"/>
              </w:rPr>
              <w:t>至少包含</w:t>
            </w:r>
            <w:r>
              <w:rPr>
                <w:kern w:val="0"/>
                <w:sz w:val="24"/>
                <w:szCs w:val="24"/>
              </w:rPr>
              <w:t>指定专人为采购人服务</w:t>
            </w:r>
            <w:r>
              <w:rPr>
                <w:rFonts w:hint="eastAsia"/>
                <w:kern w:val="0"/>
                <w:sz w:val="24"/>
                <w:szCs w:val="24"/>
              </w:rPr>
              <w:t>、定期配合沟通频次、建立配合沟通内容记录台账、配合沟通效果反馈机制等方面内容</w:t>
            </w:r>
          </w:p>
          <w:p>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pPr>
              <w:widowControl/>
              <w:adjustRightInd w:val="0"/>
              <w:snapToGrid w:val="0"/>
              <w:rPr>
                <w:kern w:val="0"/>
                <w:sz w:val="24"/>
                <w:szCs w:val="24"/>
              </w:rPr>
            </w:pPr>
            <w:r>
              <w:rPr>
                <w:rFonts w:hint="eastAsia"/>
                <w:kern w:val="0"/>
                <w:sz w:val="24"/>
                <w:szCs w:val="24"/>
              </w:rPr>
              <w:t>方案</w:t>
            </w:r>
            <w:r>
              <w:rPr>
                <w:kern w:val="0"/>
                <w:sz w:val="24"/>
                <w:szCs w:val="24"/>
              </w:rPr>
              <w:t>内容每出现</w:t>
            </w:r>
            <w:r>
              <w:rPr>
                <w:rFonts w:hint="eastAsia"/>
                <w:kern w:val="0"/>
                <w:sz w:val="24"/>
                <w:szCs w:val="24"/>
              </w:rPr>
              <w:t>1处瑕疵减2分，最低0分。</w:t>
            </w:r>
          </w:p>
        </w:tc>
        <w:tc>
          <w:tcPr>
            <w:tcW w:w="1143" w:type="dxa"/>
            <w:shd w:val="clear" w:color="auto" w:fill="auto"/>
            <w:vAlign w:val="center"/>
          </w:tcPr>
          <w:p>
            <w:pPr>
              <w:widowControl/>
              <w:adjustRightInd w:val="0"/>
              <w:snapToGrid w:val="0"/>
              <w:jc w:val="center"/>
              <w:rPr>
                <w:kern w:val="0"/>
                <w:sz w:val="24"/>
                <w:szCs w:val="24"/>
              </w:rPr>
            </w:pPr>
            <w:r>
              <w:rPr>
                <w:rFonts w:hint="eastAsia"/>
                <w:kern w:val="0"/>
                <w:sz w:val="24"/>
                <w:szCs w:val="24"/>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663" w:type="dxa"/>
            <w:shd w:val="clear" w:color="auto" w:fill="auto"/>
            <w:noWrap/>
            <w:vAlign w:val="center"/>
          </w:tcPr>
          <w:p>
            <w:pPr>
              <w:widowControl/>
              <w:adjustRightInd w:val="0"/>
              <w:snapToGrid w:val="0"/>
              <w:jc w:val="center"/>
              <w:rPr>
                <w:kern w:val="0"/>
                <w:sz w:val="24"/>
                <w:szCs w:val="24"/>
              </w:rPr>
            </w:pPr>
            <w:r>
              <w:rPr>
                <w:rFonts w:hint="eastAsia"/>
                <w:kern w:val="0"/>
                <w:sz w:val="24"/>
                <w:szCs w:val="24"/>
              </w:rPr>
              <w:t>8</w:t>
            </w:r>
          </w:p>
        </w:tc>
        <w:tc>
          <w:tcPr>
            <w:tcW w:w="1419" w:type="dxa"/>
            <w:shd w:val="clear" w:color="auto" w:fill="auto"/>
            <w:vAlign w:val="center"/>
          </w:tcPr>
          <w:p>
            <w:pPr>
              <w:widowControl/>
              <w:adjustRightInd w:val="0"/>
              <w:snapToGrid w:val="0"/>
              <w:jc w:val="center"/>
              <w:rPr>
                <w:sz w:val="24"/>
              </w:rPr>
            </w:pPr>
            <w:r>
              <w:rPr>
                <w:kern w:val="0"/>
                <w:sz w:val="24"/>
                <w:szCs w:val="24"/>
              </w:rPr>
              <w:t>服务质量保证</w:t>
            </w:r>
            <w:r>
              <w:rPr>
                <w:rFonts w:hint="eastAsia"/>
                <w:kern w:val="0"/>
                <w:sz w:val="24"/>
                <w:szCs w:val="24"/>
              </w:rPr>
              <w:t>方案</w:t>
            </w:r>
            <w:r>
              <w:rPr>
                <w:kern w:val="0"/>
                <w:sz w:val="24"/>
                <w:szCs w:val="24"/>
              </w:rPr>
              <w:t>评价</w:t>
            </w:r>
          </w:p>
        </w:tc>
        <w:tc>
          <w:tcPr>
            <w:tcW w:w="7311" w:type="dxa"/>
            <w:shd w:val="clear" w:color="auto" w:fill="auto"/>
            <w:vAlign w:val="center"/>
          </w:tcPr>
          <w:p>
            <w:pPr>
              <w:widowControl/>
              <w:adjustRightInd w:val="0"/>
              <w:snapToGrid w:val="0"/>
              <w:rPr>
                <w:kern w:val="0"/>
                <w:sz w:val="24"/>
                <w:szCs w:val="24"/>
              </w:rPr>
            </w:pPr>
            <w:r>
              <w:rPr>
                <w:rFonts w:hint="eastAsia"/>
                <w:kern w:val="0"/>
                <w:sz w:val="24"/>
                <w:szCs w:val="24"/>
              </w:rPr>
              <w:t>至少包含</w:t>
            </w:r>
            <w:r>
              <w:rPr>
                <w:kern w:val="0"/>
                <w:sz w:val="24"/>
                <w:szCs w:val="24"/>
              </w:rPr>
              <w:t>服务过程中保证服务质量的措施</w:t>
            </w:r>
            <w:r>
              <w:rPr>
                <w:rFonts w:hint="eastAsia"/>
                <w:kern w:val="0"/>
                <w:sz w:val="24"/>
                <w:szCs w:val="24"/>
              </w:rPr>
              <w:t>、</w:t>
            </w:r>
            <w:r>
              <w:rPr>
                <w:kern w:val="0"/>
                <w:sz w:val="24"/>
                <w:szCs w:val="24"/>
              </w:rPr>
              <w:t>对项目实施全过程中可能出现的风险进行全面识别与评估及针对性的应对策略、</w:t>
            </w:r>
            <w:r>
              <w:rPr>
                <w:rFonts w:hint="eastAsia"/>
                <w:kern w:val="0"/>
                <w:sz w:val="24"/>
                <w:szCs w:val="24"/>
              </w:rPr>
              <w:t>对出现服务质量问题时如何挽回、人员服务态度保障、人员业务专业化水平保障等方面内容</w:t>
            </w:r>
          </w:p>
          <w:p>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pPr>
              <w:widowControl/>
              <w:adjustRightInd w:val="0"/>
              <w:snapToGrid w:val="0"/>
              <w:rPr>
                <w:kern w:val="0"/>
                <w:sz w:val="24"/>
                <w:szCs w:val="24"/>
              </w:rPr>
            </w:pPr>
            <w:r>
              <w:rPr>
                <w:rFonts w:hint="eastAsia"/>
                <w:kern w:val="0"/>
                <w:sz w:val="24"/>
                <w:szCs w:val="24"/>
              </w:rPr>
              <w:t>方案</w:t>
            </w:r>
            <w:r>
              <w:rPr>
                <w:kern w:val="0"/>
                <w:sz w:val="24"/>
                <w:szCs w:val="24"/>
              </w:rPr>
              <w:t>内容每出现</w:t>
            </w:r>
            <w:r>
              <w:rPr>
                <w:rFonts w:hint="eastAsia"/>
                <w:kern w:val="0"/>
                <w:sz w:val="24"/>
                <w:szCs w:val="24"/>
              </w:rPr>
              <w:t>1处瑕疵减3分，最低0分。</w:t>
            </w:r>
          </w:p>
        </w:tc>
        <w:tc>
          <w:tcPr>
            <w:tcW w:w="1143" w:type="dxa"/>
            <w:shd w:val="clear" w:color="auto" w:fill="auto"/>
            <w:vAlign w:val="center"/>
          </w:tcPr>
          <w:p>
            <w:pPr>
              <w:widowControl/>
              <w:adjustRightInd w:val="0"/>
              <w:snapToGrid w:val="0"/>
              <w:jc w:val="center"/>
              <w:rPr>
                <w:kern w:val="0"/>
                <w:sz w:val="24"/>
                <w:szCs w:val="24"/>
              </w:rPr>
            </w:pPr>
            <w:r>
              <w:rPr>
                <w:rFonts w:hint="eastAsia"/>
                <w:kern w:val="0"/>
                <w:sz w:val="24"/>
                <w:szCs w:val="24"/>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9393" w:type="dxa"/>
            <w:gridSpan w:val="3"/>
            <w:shd w:val="clear" w:color="auto" w:fill="auto"/>
            <w:noWrap/>
            <w:vAlign w:val="center"/>
          </w:tcPr>
          <w:p>
            <w:pPr>
              <w:widowControl/>
              <w:adjustRightInd w:val="0"/>
              <w:snapToGrid w:val="0"/>
              <w:jc w:val="center"/>
              <w:rPr>
                <w:sz w:val="24"/>
              </w:rPr>
            </w:pPr>
            <w:r>
              <w:rPr>
                <w:sz w:val="24"/>
              </w:rPr>
              <w:t>合计</w:t>
            </w:r>
          </w:p>
        </w:tc>
        <w:tc>
          <w:tcPr>
            <w:tcW w:w="1143" w:type="dxa"/>
            <w:shd w:val="clear" w:color="auto" w:fill="auto"/>
            <w:vAlign w:val="center"/>
          </w:tcPr>
          <w:p>
            <w:pPr>
              <w:widowControl/>
              <w:adjustRightInd w:val="0"/>
              <w:snapToGrid w:val="0"/>
              <w:jc w:val="center"/>
              <w:rPr>
                <w:kern w:val="0"/>
                <w:sz w:val="24"/>
                <w:szCs w:val="24"/>
              </w:rPr>
            </w:pPr>
            <w:r>
              <w:rPr>
                <w:kern w:val="0"/>
                <w:sz w:val="24"/>
                <w:szCs w:val="24"/>
              </w:rPr>
              <w:t>100</w:t>
            </w:r>
          </w:p>
        </w:tc>
      </w:tr>
    </w:tbl>
    <w:p>
      <w:pPr>
        <w:spacing w:line="360" w:lineRule="auto"/>
        <w:ind w:firstLine="448" w:firstLineChars="200"/>
        <w:outlineLvl w:val="0"/>
        <w:rPr>
          <w:sz w:val="24"/>
        </w:rPr>
      </w:pPr>
      <w:r>
        <w:rPr>
          <w:rFonts w:hint="eastAsia"/>
          <w:kern w:val="0"/>
          <w:sz w:val="24"/>
          <w:szCs w:val="24"/>
        </w:rPr>
        <w:t>主观分中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p>
      <w:pPr>
        <w:widowControl/>
        <w:jc w:val="left"/>
        <w:rPr>
          <w:sz w:val="24"/>
        </w:rPr>
      </w:pPr>
      <w:r>
        <w:rPr>
          <w:sz w:val="24"/>
        </w:rPr>
        <w:br w:type="page"/>
      </w:r>
    </w:p>
    <w:p>
      <w:pPr>
        <w:spacing w:line="360" w:lineRule="auto"/>
        <w:ind w:firstLine="448" w:firstLineChars="200"/>
        <w:jc w:val="center"/>
        <w:outlineLvl w:val="0"/>
        <w:rPr>
          <w:b/>
          <w:sz w:val="24"/>
        </w:rPr>
      </w:pPr>
      <w:r>
        <w:rPr>
          <w:rFonts w:hint="eastAsia"/>
          <w:b/>
          <w:sz w:val="24"/>
        </w:rPr>
        <w:t>项目需求书</w:t>
      </w:r>
    </w:p>
    <w:p>
      <w:pPr>
        <w:spacing w:line="360" w:lineRule="auto"/>
        <w:ind w:firstLine="448" w:firstLineChars="200"/>
        <w:outlineLvl w:val="0"/>
        <w:rPr>
          <w:kern w:val="0"/>
          <w:sz w:val="24"/>
          <w:szCs w:val="24"/>
        </w:rPr>
      </w:pPr>
      <w:r>
        <w:rPr>
          <w:rFonts w:hint="eastAsia"/>
          <w:kern w:val="0"/>
          <w:sz w:val="24"/>
          <w:szCs w:val="24"/>
        </w:rPr>
        <w:t>一、服务内容及要求</w:t>
      </w:r>
    </w:p>
    <w:p>
      <w:pPr>
        <w:spacing w:line="360" w:lineRule="auto"/>
        <w:ind w:firstLine="448" w:firstLineChars="200"/>
        <w:outlineLvl w:val="0"/>
        <w:rPr>
          <w:kern w:val="0"/>
          <w:sz w:val="24"/>
          <w:szCs w:val="24"/>
        </w:rPr>
      </w:pPr>
      <w:r>
        <w:rPr>
          <w:rFonts w:hint="eastAsia"/>
          <w:kern w:val="0"/>
          <w:sz w:val="24"/>
          <w:szCs w:val="24"/>
        </w:rPr>
        <w:t>本次项目由投标人在服务年限内对国家税务总局天津市税务局提供存量住房计税基准价格测算，并根据实际业务需求进行服务拓展，需要提供以下技术服务：</w:t>
      </w:r>
    </w:p>
    <w:p>
      <w:pPr>
        <w:spacing w:line="360" w:lineRule="auto"/>
        <w:ind w:firstLine="448" w:firstLineChars="200"/>
        <w:outlineLvl w:val="0"/>
        <w:rPr>
          <w:kern w:val="0"/>
          <w:sz w:val="24"/>
          <w:szCs w:val="24"/>
        </w:rPr>
      </w:pPr>
      <w:r>
        <w:rPr>
          <w:rFonts w:hint="eastAsia"/>
          <w:kern w:val="0"/>
          <w:sz w:val="24"/>
          <w:szCs w:val="24"/>
        </w:rPr>
        <w:t>（一）提供存量住房的计税基准价格</w:t>
      </w:r>
    </w:p>
    <w:p>
      <w:pPr>
        <w:spacing w:line="360" w:lineRule="auto"/>
        <w:ind w:firstLine="448" w:firstLineChars="200"/>
        <w:outlineLvl w:val="0"/>
        <w:rPr>
          <w:kern w:val="0"/>
          <w:sz w:val="24"/>
          <w:szCs w:val="24"/>
        </w:rPr>
      </w:pPr>
      <w:r>
        <w:rPr>
          <w:rFonts w:hint="eastAsia"/>
          <w:kern w:val="0"/>
          <w:sz w:val="24"/>
          <w:szCs w:val="24"/>
        </w:rPr>
        <w:t>以2024年6月30日至2026年度我市存量住房实际交易数据为基础，以我市住房小区为单位，充分考虑小区所在区域位置以及单套住宅的建筑结构、建筑面积、楼层、朝向等因素，制定修正体系，批量提供全市范围内的存量住房计税基准价格。</w:t>
      </w:r>
    </w:p>
    <w:p>
      <w:pPr>
        <w:spacing w:line="360" w:lineRule="auto"/>
        <w:ind w:firstLine="448" w:firstLineChars="200"/>
        <w:outlineLvl w:val="0"/>
        <w:rPr>
          <w:kern w:val="0"/>
          <w:sz w:val="24"/>
          <w:szCs w:val="24"/>
        </w:rPr>
      </w:pPr>
      <w:r>
        <w:rPr>
          <w:rFonts w:hint="eastAsia"/>
          <w:kern w:val="0"/>
          <w:sz w:val="24"/>
          <w:szCs w:val="24"/>
        </w:rPr>
        <w:t>（二）提供动态调整计税基准价格保障服务</w:t>
      </w:r>
    </w:p>
    <w:p>
      <w:pPr>
        <w:spacing w:line="360" w:lineRule="auto"/>
        <w:ind w:firstLine="448" w:firstLineChars="200"/>
        <w:outlineLvl w:val="0"/>
        <w:rPr>
          <w:kern w:val="0"/>
          <w:sz w:val="24"/>
          <w:szCs w:val="24"/>
        </w:rPr>
      </w:pPr>
      <w:r>
        <w:rPr>
          <w:rFonts w:hint="eastAsia"/>
          <w:kern w:val="0"/>
          <w:sz w:val="24"/>
          <w:szCs w:val="24"/>
        </w:rPr>
        <w:t>投标人在服务年限内，要建立“动态监测、年度微调”机制，确保调整后基准价格贴合客观市场价格水平。在合同期内，每三个月向国家税务总局天津市税务局提供我市存量住房基准价格调整意见书，动态调整计税基准价格。调整意见书中应注明市场价格近3个月环比变动情况。</w:t>
      </w:r>
    </w:p>
    <w:p>
      <w:pPr>
        <w:spacing w:line="360" w:lineRule="auto"/>
        <w:ind w:firstLine="448" w:firstLineChars="200"/>
        <w:outlineLvl w:val="0"/>
        <w:rPr>
          <w:kern w:val="0"/>
          <w:sz w:val="24"/>
          <w:szCs w:val="24"/>
        </w:rPr>
      </w:pPr>
      <w:r>
        <w:rPr>
          <w:rFonts w:hint="eastAsia"/>
          <w:kern w:val="0"/>
          <w:sz w:val="24"/>
          <w:szCs w:val="24"/>
        </w:rPr>
        <w:t>（三）提供后续拓展服务</w:t>
      </w:r>
    </w:p>
    <w:p>
      <w:pPr>
        <w:spacing w:line="360" w:lineRule="auto"/>
        <w:ind w:firstLine="448" w:firstLineChars="200"/>
        <w:outlineLvl w:val="0"/>
        <w:rPr>
          <w:kern w:val="0"/>
          <w:sz w:val="24"/>
          <w:szCs w:val="24"/>
        </w:rPr>
      </w:pPr>
      <w:r>
        <w:rPr>
          <w:rFonts w:hint="eastAsia"/>
          <w:kern w:val="0"/>
          <w:sz w:val="24"/>
          <w:szCs w:val="24"/>
        </w:rPr>
        <w:t>对计税基准价格争议较为集中、明显偏离市场真实情况的，以及新增楼盘或者在征纳过程中发现价格数据缺失的，应采用个案评估的方式在5个工作日内提供评估报告，并在2周内提供计税基准价格调整意见书。</w:t>
      </w:r>
    </w:p>
    <w:p>
      <w:pPr>
        <w:spacing w:line="360" w:lineRule="auto"/>
        <w:ind w:firstLine="448" w:firstLineChars="200"/>
        <w:outlineLvl w:val="0"/>
        <w:rPr>
          <w:kern w:val="0"/>
          <w:sz w:val="24"/>
          <w:szCs w:val="24"/>
        </w:rPr>
      </w:pPr>
      <w:r>
        <w:rPr>
          <w:kern w:val="0"/>
          <w:sz w:val="24"/>
          <w:szCs w:val="24"/>
        </w:rPr>
        <w:t>二、人员要求</w:t>
      </w:r>
    </w:p>
    <w:p>
      <w:pPr>
        <w:spacing w:line="360" w:lineRule="auto"/>
        <w:ind w:firstLine="448" w:firstLineChars="200"/>
        <w:outlineLvl w:val="0"/>
        <w:rPr>
          <w:kern w:val="0"/>
          <w:sz w:val="24"/>
          <w:szCs w:val="24"/>
        </w:rPr>
      </w:pPr>
      <w:r>
        <w:rPr>
          <w:rFonts w:hint="eastAsia"/>
          <w:kern w:val="0"/>
          <w:sz w:val="24"/>
          <w:szCs w:val="24"/>
        </w:rPr>
        <w:t>投标人应设置项目经理1名，负责项目总体技术路线把关、最终成果质量审核，并参与关键环节的汇报与沟通。作为主要对接人，全权负责项目进度、资源配置、内外协调和日常沟通。</w:t>
      </w:r>
    </w:p>
    <w:p>
      <w:pPr>
        <w:spacing w:line="360" w:lineRule="auto"/>
        <w:ind w:firstLine="448" w:firstLineChars="200"/>
        <w:outlineLvl w:val="0"/>
        <w:rPr>
          <w:kern w:val="0"/>
          <w:sz w:val="24"/>
          <w:szCs w:val="24"/>
        </w:rPr>
      </w:pPr>
      <w:r>
        <w:rPr>
          <w:rFonts w:hint="eastAsia"/>
          <w:kern w:val="0"/>
          <w:sz w:val="24"/>
          <w:szCs w:val="24"/>
        </w:rPr>
        <w:t>★项目经理应具有房地产估价师注册证书。</w:t>
      </w:r>
    </w:p>
    <w:p>
      <w:pPr>
        <w:spacing w:line="360" w:lineRule="auto"/>
        <w:ind w:firstLine="448" w:firstLineChars="200"/>
        <w:outlineLvl w:val="0"/>
        <w:rPr>
          <w:kern w:val="0"/>
          <w:sz w:val="24"/>
          <w:szCs w:val="24"/>
        </w:rPr>
      </w:pPr>
      <w:r>
        <w:rPr>
          <w:rFonts w:hint="eastAsia"/>
          <w:kern w:val="0"/>
          <w:sz w:val="24"/>
          <w:szCs w:val="24"/>
        </w:rPr>
        <w:t>项目经理执业工作时间不少于10年。</w:t>
      </w:r>
    </w:p>
    <w:p>
      <w:pPr>
        <w:spacing w:line="360" w:lineRule="auto"/>
        <w:ind w:firstLine="448" w:firstLineChars="200"/>
        <w:outlineLvl w:val="0"/>
        <w:rPr>
          <w:kern w:val="0"/>
          <w:sz w:val="24"/>
          <w:szCs w:val="24"/>
        </w:rPr>
      </w:pPr>
      <w:r>
        <w:rPr>
          <w:rFonts w:hint="eastAsia"/>
          <w:kern w:val="0"/>
          <w:sz w:val="24"/>
          <w:szCs w:val="24"/>
        </w:rPr>
        <w:t>投标人应至少具备15名以上专职评估人员，负责按要求接收资料并提供服务，以确保评估项目的进度、质量并负责疑难问题、价格争议的处理和解释等工作。</w:t>
      </w:r>
    </w:p>
    <w:p>
      <w:pPr>
        <w:spacing w:line="360" w:lineRule="auto"/>
        <w:ind w:firstLine="448" w:firstLineChars="200"/>
        <w:outlineLvl w:val="0"/>
        <w:rPr>
          <w:kern w:val="0"/>
          <w:sz w:val="24"/>
          <w:szCs w:val="24"/>
        </w:rPr>
      </w:pPr>
      <w:r>
        <w:rPr>
          <w:rFonts w:hint="eastAsia"/>
          <w:kern w:val="0"/>
          <w:sz w:val="24"/>
          <w:szCs w:val="24"/>
        </w:rPr>
        <w:t>★评估人员应具有房地产估价师注册证书。</w:t>
      </w:r>
    </w:p>
    <w:p>
      <w:pPr>
        <w:spacing w:line="360" w:lineRule="auto"/>
        <w:ind w:firstLine="448" w:firstLineChars="200"/>
        <w:outlineLvl w:val="0"/>
        <w:rPr>
          <w:kern w:val="0"/>
          <w:sz w:val="24"/>
          <w:szCs w:val="24"/>
        </w:rPr>
      </w:pPr>
      <w:r>
        <w:rPr>
          <w:rFonts w:hint="eastAsia"/>
          <w:kern w:val="0"/>
          <w:sz w:val="24"/>
          <w:szCs w:val="24"/>
        </w:rPr>
        <w:t>评估人员执业工作时间不少于3年以上。</w:t>
      </w:r>
    </w:p>
    <w:p>
      <w:pPr>
        <w:spacing w:line="360" w:lineRule="auto"/>
        <w:ind w:firstLine="448" w:firstLineChars="200"/>
        <w:outlineLvl w:val="0"/>
        <w:rPr>
          <w:kern w:val="0"/>
          <w:sz w:val="24"/>
          <w:szCs w:val="24"/>
        </w:rPr>
      </w:pPr>
      <w:r>
        <w:rPr>
          <w:kern w:val="0"/>
          <w:sz w:val="24"/>
          <w:szCs w:val="24"/>
        </w:rPr>
        <w:t>三、</w:t>
      </w:r>
      <w:r>
        <w:rPr>
          <w:rFonts w:hint="eastAsia"/>
          <w:kern w:val="0"/>
          <w:sz w:val="24"/>
          <w:szCs w:val="24"/>
        </w:rPr>
        <w:t>管理实施要求</w:t>
      </w:r>
    </w:p>
    <w:p>
      <w:pPr>
        <w:spacing w:line="360" w:lineRule="auto"/>
        <w:ind w:firstLine="448" w:firstLineChars="200"/>
        <w:outlineLvl w:val="0"/>
        <w:rPr>
          <w:kern w:val="0"/>
          <w:sz w:val="24"/>
          <w:szCs w:val="24"/>
        </w:rPr>
      </w:pPr>
      <w:r>
        <w:rPr>
          <w:rFonts w:hint="eastAsia"/>
          <w:kern w:val="0"/>
          <w:sz w:val="24"/>
          <w:szCs w:val="24"/>
        </w:rPr>
        <w:t>1、工作质量要求</w:t>
      </w:r>
    </w:p>
    <w:p>
      <w:pPr>
        <w:spacing w:line="360" w:lineRule="auto"/>
        <w:ind w:firstLine="448" w:firstLineChars="200"/>
        <w:outlineLvl w:val="0"/>
        <w:rPr>
          <w:kern w:val="0"/>
          <w:sz w:val="24"/>
          <w:szCs w:val="24"/>
        </w:rPr>
      </w:pPr>
      <w:r>
        <w:rPr>
          <w:rFonts w:hint="eastAsia"/>
          <w:kern w:val="0"/>
          <w:sz w:val="24"/>
          <w:szCs w:val="24"/>
        </w:rPr>
        <w:t>接受委托的投标人应确保质量，按时完成评估工作。评估工作应当严格遵守国家的有关法律、法规、制度规定及有关执业规范要求。投标人对评估意见的真实性、完整性、可靠性负责。</w:t>
      </w:r>
    </w:p>
    <w:p>
      <w:pPr>
        <w:spacing w:line="360" w:lineRule="auto"/>
        <w:ind w:firstLine="448" w:firstLineChars="200"/>
        <w:outlineLvl w:val="0"/>
        <w:rPr>
          <w:kern w:val="0"/>
          <w:sz w:val="24"/>
          <w:szCs w:val="24"/>
        </w:rPr>
      </w:pPr>
      <w:r>
        <w:rPr>
          <w:rFonts w:hint="eastAsia"/>
          <w:kern w:val="0"/>
          <w:sz w:val="24"/>
          <w:szCs w:val="24"/>
        </w:rPr>
        <w:t>2、评估时间要求</w:t>
      </w:r>
    </w:p>
    <w:p>
      <w:pPr>
        <w:spacing w:line="360" w:lineRule="auto"/>
        <w:ind w:firstLine="448" w:firstLineChars="200"/>
        <w:outlineLvl w:val="0"/>
        <w:rPr>
          <w:kern w:val="0"/>
          <w:sz w:val="24"/>
          <w:szCs w:val="24"/>
        </w:rPr>
      </w:pPr>
      <w:r>
        <w:rPr>
          <w:rFonts w:hint="eastAsia"/>
          <w:kern w:val="0"/>
          <w:sz w:val="24"/>
          <w:szCs w:val="24"/>
        </w:rPr>
        <w:t>投标人应在签订合同的三个月内，批量提供全市范围内的存量住房计税基准价格；对争议评估项目，投标人需应自税务部门启动争议机制之日起5个工作日内提供争议不动产《房地产估价报告》。</w:t>
      </w:r>
    </w:p>
    <w:p>
      <w:pPr>
        <w:spacing w:line="360" w:lineRule="auto"/>
        <w:ind w:firstLine="448" w:firstLineChars="200"/>
        <w:outlineLvl w:val="0"/>
        <w:rPr>
          <w:kern w:val="0"/>
          <w:sz w:val="24"/>
          <w:szCs w:val="24"/>
        </w:rPr>
      </w:pPr>
      <w:r>
        <w:rPr>
          <w:rFonts w:hint="eastAsia"/>
          <w:kern w:val="0"/>
          <w:sz w:val="24"/>
          <w:szCs w:val="24"/>
        </w:rPr>
        <w:t>对严重影响评估进度的，由投标人提出要求延长评估时间的书面申请，经税务部门同意后给予调整评估时间。</w:t>
      </w:r>
    </w:p>
    <w:p>
      <w:pPr>
        <w:spacing w:line="360" w:lineRule="auto"/>
        <w:ind w:firstLine="448" w:firstLineChars="200"/>
        <w:outlineLvl w:val="0"/>
        <w:rPr>
          <w:kern w:val="0"/>
          <w:sz w:val="24"/>
          <w:szCs w:val="24"/>
        </w:rPr>
      </w:pPr>
      <w:r>
        <w:rPr>
          <w:rFonts w:hint="eastAsia"/>
          <w:kern w:val="0"/>
          <w:sz w:val="24"/>
          <w:szCs w:val="24"/>
        </w:rPr>
        <w:t>3、资料保管要求</w:t>
      </w:r>
    </w:p>
    <w:p>
      <w:pPr>
        <w:spacing w:line="360" w:lineRule="auto"/>
        <w:ind w:firstLine="448" w:firstLineChars="200"/>
        <w:outlineLvl w:val="0"/>
        <w:rPr>
          <w:kern w:val="0"/>
          <w:sz w:val="24"/>
          <w:szCs w:val="24"/>
        </w:rPr>
      </w:pPr>
      <w:r>
        <w:rPr>
          <w:rFonts w:hint="eastAsia"/>
          <w:kern w:val="0"/>
          <w:sz w:val="24"/>
          <w:szCs w:val="24"/>
        </w:rPr>
        <w:t>投标人及其人员对所接触的本项目相关数据及测算结果严格保密，不得泄露给任何第三方，不得用于履行本次采购项目以外的目的，不得以此牟利。对故意泄露数据造成严重后果的，依法追究投标人和人员的法律责任。</w:t>
      </w:r>
    </w:p>
    <w:p>
      <w:pPr>
        <w:spacing w:line="360" w:lineRule="auto"/>
        <w:ind w:firstLine="448" w:firstLineChars="200"/>
        <w:outlineLvl w:val="0"/>
        <w:rPr>
          <w:kern w:val="0"/>
          <w:sz w:val="24"/>
          <w:szCs w:val="24"/>
        </w:rPr>
      </w:pPr>
      <w:r>
        <w:rPr>
          <w:rFonts w:hint="eastAsia"/>
          <w:kern w:val="0"/>
          <w:sz w:val="24"/>
          <w:szCs w:val="24"/>
        </w:rPr>
        <w:t>4、违约责任要求</w:t>
      </w:r>
    </w:p>
    <w:p>
      <w:pPr>
        <w:spacing w:line="360" w:lineRule="auto"/>
        <w:ind w:firstLine="448" w:firstLineChars="200"/>
        <w:outlineLvl w:val="0"/>
        <w:rPr>
          <w:kern w:val="0"/>
          <w:sz w:val="24"/>
          <w:szCs w:val="24"/>
        </w:rPr>
      </w:pPr>
      <w:r>
        <w:rPr>
          <w:rFonts w:hint="eastAsia"/>
          <w:kern w:val="0"/>
          <w:sz w:val="24"/>
          <w:szCs w:val="24"/>
        </w:rPr>
        <w:t>评估质量违约</w:t>
      </w:r>
    </w:p>
    <w:p>
      <w:pPr>
        <w:spacing w:line="360" w:lineRule="auto"/>
        <w:ind w:firstLine="448" w:firstLineChars="200"/>
        <w:outlineLvl w:val="0"/>
        <w:rPr>
          <w:kern w:val="0"/>
          <w:sz w:val="24"/>
          <w:szCs w:val="24"/>
        </w:rPr>
      </w:pPr>
      <w:r>
        <w:rPr>
          <w:rFonts w:hint="eastAsia"/>
          <w:kern w:val="0"/>
          <w:sz w:val="24"/>
          <w:szCs w:val="24"/>
        </w:rPr>
        <w:t>为了确保项目评估质量，税务部门可按季抽取不定量的争议项目的评估报告进行复核，判断评估价格是否合理。对复审金额在1000万元（含1000万元，下同）以上，评估数据与复审数据的相差正负5％（含5%）以上或复审金额在1000万元以下，正负差额绝对值之和在50万元以上的评估项目，扣减合同费用总额的10%；对复审金额在1000万元以上，评估数据与复审数据相差正负10％（含10%）以上或复审金额在1000万元以下，正负差额绝对值之和在100万元以上的评估项目，扣减合同费用总额的20%。累计两次以上，税务部门有权追究违约责任。因评估结果差错所导致的少缴税款，由投标人承担连带责任。</w:t>
      </w:r>
    </w:p>
    <w:p>
      <w:pPr>
        <w:spacing w:line="360" w:lineRule="auto"/>
        <w:ind w:firstLine="448" w:firstLineChars="200"/>
        <w:outlineLvl w:val="0"/>
        <w:rPr>
          <w:kern w:val="0"/>
          <w:sz w:val="24"/>
          <w:szCs w:val="24"/>
        </w:rPr>
      </w:pPr>
      <w:r>
        <w:rPr>
          <w:rFonts w:hint="eastAsia"/>
          <w:kern w:val="0"/>
          <w:sz w:val="24"/>
          <w:szCs w:val="24"/>
        </w:rPr>
        <w:t>争议评估违约</w:t>
      </w:r>
    </w:p>
    <w:p>
      <w:pPr>
        <w:spacing w:line="360" w:lineRule="auto"/>
        <w:ind w:firstLine="448" w:firstLineChars="200"/>
        <w:outlineLvl w:val="0"/>
        <w:rPr>
          <w:kern w:val="0"/>
          <w:sz w:val="24"/>
          <w:szCs w:val="24"/>
        </w:rPr>
      </w:pPr>
      <w:r>
        <w:rPr>
          <w:rFonts w:hint="eastAsia"/>
          <w:kern w:val="0"/>
          <w:sz w:val="24"/>
          <w:szCs w:val="24"/>
        </w:rPr>
        <w:t>投标人未能在争议评估要求的时间内（含同意延长的时间）提交争议评估报告的，委托业务外包或请非单位正式职工参与争议评估工作的，税务部门扣减评估费用（未收费的，按争议评估服务收费标准）的50%。</w:t>
      </w:r>
    </w:p>
    <w:p>
      <w:pPr>
        <w:spacing w:line="360" w:lineRule="auto"/>
        <w:ind w:firstLine="448" w:firstLineChars="200"/>
        <w:outlineLvl w:val="0"/>
        <w:rPr>
          <w:kern w:val="0"/>
          <w:sz w:val="24"/>
          <w:szCs w:val="24"/>
        </w:rPr>
      </w:pPr>
      <w:r>
        <w:rPr>
          <w:rFonts w:hint="eastAsia"/>
          <w:kern w:val="0"/>
          <w:sz w:val="24"/>
          <w:szCs w:val="24"/>
        </w:rPr>
        <w:t>对税务部门分歧处理意见未予落实或对评估重大事项未按规定擅自处理的，税务部门扣减评估费用（未收费的，按争议评估服务收费标准）的100%。对于因评估结果差错所导致的少缴税款，由投标人承担连带责任。</w:t>
      </w:r>
    </w:p>
    <w:p>
      <w:pPr>
        <w:spacing w:line="360" w:lineRule="auto"/>
        <w:ind w:firstLine="448" w:firstLineChars="200"/>
        <w:outlineLvl w:val="0"/>
        <w:rPr>
          <w:kern w:val="0"/>
          <w:sz w:val="24"/>
          <w:szCs w:val="24"/>
        </w:rPr>
      </w:pPr>
      <w:r>
        <w:rPr>
          <w:rFonts w:hint="eastAsia"/>
          <w:kern w:val="0"/>
          <w:sz w:val="24"/>
          <w:szCs w:val="24"/>
        </w:rPr>
        <w:t>四、风险管控要求</w:t>
      </w:r>
    </w:p>
    <w:p>
      <w:pPr>
        <w:spacing w:line="360" w:lineRule="auto"/>
        <w:ind w:firstLine="448" w:firstLineChars="200"/>
        <w:outlineLvl w:val="0"/>
        <w:rPr>
          <w:kern w:val="0"/>
          <w:sz w:val="24"/>
          <w:szCs w:val="24"/>
        </w:rPr>
      </w:pPr>
      <w:r>
        <w:rPr>
          <w:rFonts w:hint="eastAsia"/>
          <w:kern w:val="0"/>
          <w:sz w:val="24"/>
          <w:szCs w:val="24"/>
        </w:rPr>
        <w:t>投标人应针对本项目建立健全风险管理制度，明确风险管理责任和流程；加强项目服务人员管理，制定针对性的风险应对措施，避免因人员流动影响项目执行；建立项目实施风险预警机制，及时发现和应对风险，确保项目实施全过程平稳运行。</w:t>
      </w:r>
    </w:p>
    <w:p>
      <w:pPr>
        <w:spacing w:line="360" w:lineRule="auto"/>
        <w:ind w:firstLine="448" w:firstLineChars="200"/>
        <w:outlineLvl w:val="0"/>
        <w:rPr>
          <w:kern w:val="0"/>
          <w:sz w:val="24"/>
          <w:szCs w:val="24"/>
        </w:rPr>
      </w:pPr>
      <w:r>
        <w:rPr>
          <w:rFonts w:hint="eastAsia"/>
          <w:kern w:val="0"/>
          <w:sz w:val="24"/>
          <w:szCs w:val="24"/>
        </w:rPr>
        <w:t>签署合同后立即识别可能存在的风险；对已识别的风险进行评估和分析，确定风险的严重程度和影响范围；对已评估的风险进行持续监控，及时发现新风险；针对已识别的风险制定应对措施，并尽快实施。</w:t>
      </w:r>
    </w:p>
    <w:p>
      <w:pPr>
        <w:spacing w:line="360" w:lineRule="auto"/>
        <w:ind w:firstLine="448" w:firstLineChars="200"/>
        <w:outlineLvl w:val="0"/>
        <w:rPr>
          <w:kern w:val="0"/>
          <w:sz w:val="24"/>
          <w:szCs w:val="24"/>
        </w:rPr>
      </w:pPr>
      <w:r>
        <w:rPr>
          <w:rFonts w:hint="eastAsia"/>
          <w:kern w:val="0"/>
          <w:sz w:val="24"/>
          <w:szCs w:val="24"/>
        </w:rPr>
        <w:t>制定风险管理计划，明确风险管理目标、范围和责任人；建立风险管理组织，确保风险管理工作的有效实施；制定风险管理流程，包括风险识别、评估、监控、应对和报告等环节。</w:t>
      </w:r>
    </w:p>
    <w:p>
      <w:pPr>
        <w:spacing w:line="360" w:lineRule="auto"/>
        <w:ind w:firstLine="448" w:firstLineChars="200"/>
        <w:outlineLvl w:val="0"/>
        <w:rPr>
          <w:kern w:val="0"/>
          <w:sz w:val="24"/>
          <w:szCs w:val="24"/>
        </w:rPr>
      </w:pPr>
      <w:r>
        <w:rPr>
          <w:rFonts w:hint="eastAsia"/>
          <w:kern w:val="0"/>
          <w:sz w:val="24"/>
          <w:szCs w:val="24"/>
        </w:rPr>
        <w:t>五、履约验收要求</w:t>
      </w:r>
    </w:p>
    <w:tbl>
      <w:tblPr>
        <w:tblStyle w:val="22"/>
        <w:tblW w:w="5000" w:type="pct"/>
        <w:tblInd w:w="30" w:type="dxa"/>
        <w:tblLayout w:type="autofit"/>
        <w:tblCellMar>
          <w:top w:w="15" w:type="dxa"/>
          <w:left w:w="15" w:type="dxa"/>
          <w:bottom w:w="15" w:type="dxa"/>
          <w:right w:w="15" w:type="dxa"/>
        </w:tblCellMar>
      </w:tblPr>
      <w:tblGrid>
        <w:gridCol w:w="1693"/>
        <w:gridCol w:w="6663"/>
      </w:tblGrid>
      <w:tr>
        <w:tblPrEx>
          <w:tblCellMar>
            <w:top w:w="15" w:type="dxa"/>
            <w:left w:w="15" w:type="dxa"/>
            <w:bottom w:w="15" w:type="dxa"/>
            <w:right w:w="15" w:type="dxa"/>
          </w:tblCellMar>
        </w:tblPrEx>
        <w:tc>
          <w:tcPr>
            <w:tcW w:w="1013" w:type="pct"/>
            <w:tcBorders>
              <w:top w:val="single" w:color="000000" w:sz="6" w:space="0"/>
              <w:left w:val="single" w:color="000000" w:sz="6" w:space="0"/>
              <w:bottom w:val="single" w:color="000000" w:sz="6" w:space="0"/>
              <w:right w:val="single" w:color="000000" w:sz="6" w:space="0"/>
            </w:tcBorders>
            <w:shd w:val="clear" w:color="auto" w:fill="D3D3D3"/>
            <w:tcMar>
              <w:top w:w="22" w:type="dxa"/>
              <w:left w:w="22" w:type="dxa"/>
              <w:bottom w:w="22" w:type="dxa"/>
              <w:right w:w="22" w:type="dxa"/>
            </w:tcMar>
            <w:vAlign w:val="center"/>
          </w:tcPr>
          <w:p>
            <w:pPr>
              <w:jc w:val="center"/>
              <w:rPr>
                <w:rFonts w:ascii="仿宋_GB2312" w:hAnsi="仿宋_GB2312" w:eastAsia="仿宋_GB2312" w:cs="仿宋_GB2312"/>
                <w:b/>
                <w:bCs/>
                <w:color w:val="000000"/>
                <w:szCs w:val="21"/>
              </w:rPr>
            </w:pPr>
            <w:r>
              <w:rPr>
                <w:rFonts w:ascii="仿宋_GB2312" w:hAnsi="仿宋_GB2312" w:eastAsia="仿宋_GB2312" w:cs="仿宋_GB2312"/>
                <w:b/>
                <w:bCs/>
                <w:color w:val="000000"/>
                <w:szCs w:val="21"/>
              </w:rPr>
              <w:t>验收名称</w:t>
            </w:r>
          </w:p>
        </w:tc>
        <w:tc>
          <w:tcPr>
            <w:tcW w:w="3987" w:type="pct"/>
            <w:tcBorders>
              <w:top w:val="single" w:color="000000" w:sz="6" w:space="0"/>
              <w:left w:val="single" w:color="000000" w:sz="6" w:space="0"/>
              <w:bottom w:val="single" w:color="000000" w:sz="6" w:space="0"/>
              <w:right w:val="single" w:color="000000" w:sz="6" w:space="0"/>
            </w:tcBorders>
            <w:shd w:val="clear" w:color="auto" w:fill="D3D3D3"/>
            <w:tcMar>
              <w:top w:w="22" w:type="dxa"/>
              <w:left w:w="22" w:type="dxa"/>
              <w:bottom w:w="22" w:type="dxa"/>
              <w:right w:w="22" w:type="dxa"/>
            </w:tcMar>
            <w:vAlign w:val="center"/>
          </w:tcPr>
          <w:p>
            <w:pPr>
              <w:jc w:val="center"/>
              <w:rPr>
                <w:rFonts w:ascii="仿宋_GB2312" w:hAnsi="仿宋_GB2312" w:eastAsia="仿宋_GB2312" w:cs="仿宋_GB2312"/>
                <w:b/>
                <w:bCs/>
                <w:color w:val="000000"/>
                <w:szCs w:val="21"/>
              </w:rPr>
            </w:pPr>
            <w:r>
              <w:rPr>
                <w:rFonts w:ascii="仿宋_GB2312" w:hAnsi="仿宋_GB2312" w:eastAsia="仿宋_GB2312" w:cs="仿宋_GB2312"/>
                <w:b/>
                <w:bCs/>
                <w:color w:val="000000"/>
                <w:szCs w:val="21"/>
              </w:rPr>
              <w:t>验收要求</w:t>
            </w:r>
          </w:p>
        </w:tc>
      </w:tr>
      <w:tr>
        <w:tblPrEx>
          <w:tblCellMar>
            <w:top w:w="15" w:type="dxa"/>
            <w:left w:w="15" w:type="dxa"/>
            <w:bottom w:w="15" w:type="dxa"/>
            <w:right w:w="15" w:type="dxa"/>
          </w:tblCellMar>
        </w:tblPrEx>
        <w:tc>
          <w:tcPr>
            <w:tcW w:w="101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rFonts w:ascii="仿宋_GB2312" w:hAnsi="仿宋_GB2312" w:eastAsia="仿宋_GB2312" w:cs="仿宋_GB2312"/>
                <w:color w:val="000000"/>
                <w:szCs w:val="21"/>
              </w:rPr>
            </w:pPr>
            <w:r>
              <w:rPr>
                <w:rFonts w:ascii="仿宋_GB2312" w:hAnsi="仿宋_GB2312" w:eastAsia="仿宋_GB2312" w:cs="仿宋_GB2312"/>
                <w:color w:val="000000"/>
                <w:szCs w:val="21"/>
              </w:rPr>
              <w:t>第1次验收</w:t>
            </w:r>
          </w:p>
        </w:tc>
        <w:tc>
          <w:tcPr>
            <w:tcW w:w="3987"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合同</w:t>
            </w:r>
            <w:r>
              <w:rPr>
                <w:rFonts w:ascii="仿宋_GB2312" w:hAnsi="仿宋_GB2312" w:eastAsia="仿宋_GB2312" w:cs="仿宋_GB2312"/>
                <w:color w:val="000000"/>
                <w:szCs w:val="21"/>
              </w:rPr>
              <w:t>签订后满三个月，全部服务成果符合合同约定，建立以我市范围内住房小区为单位，综合区域位置、单套住宅建筑结构、建筑面积、楼层、朝向等因素设计修正系数，构建数学模型测算交易住房的计税基准价格。</w:t>
            </w:r>
          </w:p>
        </w:tc>
      </w:tr>
      <w:tr>
        <w:tblPrEx>
          <w:tblCellMar>
            <w:top w:w="15" w:type="dxa"/>
            <w:left w:w="15" w:type="dxa"/>
            <w:bottom w:w="15" w:type="dxa"/>
            <w:right w:w="15" w:type="dxa"/>
          </w:tblCellMar>
        </w:tblPrEx>
        <w:tc>
          <w:tcPr>
            <w:tcW w:w="101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rFonts w:ascii="仿宋_GB2312" w:hAnsi="仿宋_GB2312" w:eastAsia="仿宋_GB2312" w:cs="仿宋_GB2312"/>
                <w:color w:val="000000"/>
                <w:szCs w:val="21"/>
              </w:rPr>
            </w:pPr>
            <w:r>
              <w:rPr>
                <w:rFonts w:ascii="仿宋_GB2312" w:hAnsi="仿宋_GB2312" w:eastAsia="仿宋_GB2312" w:cs="仿宋_GB2312"/>
                <w:color w:val="000000"/>
                <w:szCs w:val="21"/>
              </w:rPr>
              <w:t>第2次验收</w:t>
            </w:r>
          </w:p>
        </w:tc>
        <w:tc>
          <w:tcPr>
            <w:tcW w:w="3987"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rFonts w:ascii="仿宋_GB2312" w:hAnsi="仿宋_GB2312" w:eastAsia="仿宋_GB2312" w:cs="仿宋_GB2312"/>
                <w:color w:val="000000"/>
                <w:szCs w:val="21"/>
              </w:rPr>
            </w:pPr>
            <w:r>
              <w:rPr>
                <w:rFonts w:ascii="仿宋_GB2312" w:hAnsi="仿宋_GB2312" w:eastAsia="仿宋_GB2312" w:cs="仿宋_GB2312"/>
                <w:color w:val="000000"/>
                <w:szCs w:val="21"/>
              </w:rPr>
              <w:t>合同签订后12个月，建立“动态监测、年度微调”机制，确保调整后基准价格贴合客观市场价格水平。在合同期内，每三个月向国家税务总局天津市税务局提供我市存量住房基准价格调整意见书，为税务部门动态调整计税基准价格提供数据支撑。对计税基准价格争议较为集中、明显偏离市场真实情况的，以及新增楼盘或者在征纳过程中发现价格数据缺失的，及时提供个案评估，并在2周内及时提供计税基准价格调整意见书。</w:t>
            </w:r>
          </w:p>
        </w:tc>
      </w:tr>
      <w:tr>
        <w:tblPrEx>
          <w:tblCellMar>
            <w:top w:w="15" w:type="dxa"/>
            <w:left w:w="15" w:type="dxa"/>
            <w:bottom w:w="15" w:type="dxa"/>
            <w:right w:w="15" w:type="dxa"/>
          </w:tblCellMar>
        </w:tblPrEx>
        <w:tc>
          <w:tcPr>
            <w:tcW w:w="101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rFonts w:ascii="仿宋_GB2312" w:hAnsi="仿宋_GB2312" w:eastAsia="仿宋_GB2312" w:cs="仿宋_GB2312"/>
                <w:color w:val="000000"/>
                <w:szCs w:val="21"/>
              </w:rPr>
            </w:pPr>
            <w:r>
              <w:rPr>
                <w:rFonts w:ascii="仿宋_GB2312" w:hAnsi="仿宋_GB2312" w:eastAsia="仿宋_GB2312" w:cs="仿宋_GB2312"/>
                <w:color w:val="000000"/>
                <w:szCs w:val="21"/>
              </w:rPr>
              <w:t>第3次验收</w:t>
            </w:r>
          </w:p>
        </w:tc>
        <w:tc>
          <w:tcPr>
            <w:tcW w:w="3987"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rFonts w:ascii="仿宋_GB2312" w:hAnsi="仿宋_GB2312" w:eastAsia="仿宋_GB2312" w:cs="仿宋_GB2312"/>
                <w:color w:val="000000"/>
                <w:szCs w:val="21"/>
              </w:rPr>
            </w:pPr>
            <w:r>
              <w:rPr>
                <w:rFonts w:ascii="仿宋_GB2312" w:hAnsi="仿宋_GB2312" w:eastAsia="仿宋_GB2312" w:cs="仿宋_GB2312"/>
                <w:color w:val="000000"/>
                <w:szCs w:val="21"/>
              </w:rPr>
              <w:t>合同签订后24个月，建立“动态监测、年度微调”机制，确保调整后基准价格贴合客观市场价格水平。在合同期内，每三个月向国家税务总局天津市税务局提供我市存量住房基准价格调整意见书，为税务部门动态调整计税基准价格提供数据支撑。对计税基准价格争议较为集中、明显偏离市场真实情况的，以及新增楼盘或者在征纳过程中发现价格数据缺失的，及时提供个案评估，并在2周内及时提供计税基准价格调整意见书。</w:t>
            </w:r>
          </w:p>
        </w:tc>
      </w:tr>
      <w:tr>
        <w:tblPrEx>
          <w:tblCellMar>
            <w:top w:w="15" w:type="dxa"/>
            <w:left w:w="15" w:type="dxa"/>
            <w:bottom w:w="15" w:type="dxa"/>
            <w:right w:w="15" w:type="dxa"/>
          </w:tblCellMar>
        </w:tblPrEx>
        <w:tc>
          <w:tcPr>
            <w:tcW w:w="101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rFonts w:ascii="仿宋_GB2312" w:hAnsi="仿宋_GB2312" w:eastAsia="仿宋_GB2312" w:cs="仿宋_GB2312"/>
                <w:color w:val="000000"/>
                <w:szCs w:val="21"/>
              </w:rPr>
            </w:pPr>
            <w:r>
              <w:rPr>
                <w:rFonts w:ascii="仿宋_GB2312" w:hAnsi="仿宋_GB2312" w:eastAsia="仿宋_GB2312" w:cs="仿宋_GB2312"/>
                <w:color w:val="000000"/>
                <w:szCs w:val="21"/>
              </w:rPr>
              <w:t>第4次验收</w:t>
            </w:r>
          </w:p>
        </w:tc>
        <w:tc>
          <w:tcPr>
            <w:tcW w:w="3987"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rFonts w:ascii="仿宋_GB2312" w:hAnsi="仿宋_GB2312" w:eastAsia="仿宋_GB2312" w:cs="仿宋_GB2312"/>
                <w:color w:val="000000"/>
                <w:szCs w:val="21"/>
              </w:rPr>
            </w:pPr>
            <w:r>
              <w:rPr>
                <w:rFonts w:ascii="仿宋_GB2312" w:hAnsi="仿宋_GB2312" w:eastAsia="仿宋_GB2312" w:cs="仿宋_GB2312"/>
                <w:color w:val="000000"/>
                <w:szCs w:val="21"/>
              </w:rPr>
              <w:t>合同签订后36个月，建立“动态监测、年度微调”机制，确保调整后基准价格贴合客观市场价格水平。在合同期内，每三个月向国家税务总局天津市税务局提供我市存量住房基准价格调整意见书，为税务部门动态调整计税基准价格提供数据支撑。对计税基准价格争议较为集中、明显偏离市场真实情况的，以及新增楼盘或者在征纳过程中发现价格数据缺失的，及时提供个案评估，并在2周内及时提供计税基准价格调整意见书。</w:t>
            </w:r>
          </w:p>
        </w:tc>
      </w:tr>
    </w:tbl>
    <w:p>
      <w:pPr>
        <w:spacing w:line="360" w:lineRule="auto"/>
        <w:ind w:firstLine="448" w:firstLineChars="200"/>
        <w:outlineLvl w:val="0"/>
        <w:rPr>
          <w:kern w:val="0"/>
          <w:sz w:val="24"/>
          <w:szCs w:val="24"/>
        </w:rPr>
      </w:pPr>
      <w:r>
        <w:rPr>
          <w:rFonts w:hint="eastAsia"/>
          <w:kern w:val="0"/>
          <w:sz w:val="24"/>
          <w:szCs w:val="24"/>
        </w:rPr>
        <w:t>六、其他要求</w:t>
      </w:r>
    </w:p>
    <w:p>
      <w:pPr>
        <w:spacing w:line="360" w:lineRule="auto"/>
        <w:ind w:firstLine="448" w:firstLineChars="200"/>
        <w:outlineLvl w:val="0"/>
        <w:rPr>
          <w:kern w:val="0"/>
          <w:sz w:val="24"/>
          <w:szCs w:val="24"/>
        </w:rPr>
      </w:pPr>
      <w:r>
        <w:rPr>
          <w:rFonts w:hint="eastAsia"/>
          <w:kern w:val="0"/>
          <w:sz w:val="24"/>
          <w:szCs w:val="24"/>
        </w:rPr>
        <w:t>1、房地产争议评估服务收费标准</w:t>
      </w:r>
    </w:p>
    <w:p>
      <w:pPr>
        <w:spacing w:line="360" w:lineRule="auto"/>
        <w:ind w:firstLine="448" w:firstLineChars="200"/>
        <w:outlineLvl w:val="0"/>
        <w:rPr>
          <w:kern w:val="0"/>
          <w:sz w:val="24"/>
          <w:szCs w:val="24"/>
        </w:rPr>
      </w:pPr>
      <w:r>
        <w:rPr>
          <w:rFonts w:hint="eastAsia"/>
          <w:kern w:val="0"/>
          <w:sz w:val="24"/>
          <w:szCs w:val="24"/>
        </w:rPr>
        <w:t>针对计税价格争议个案，在合同期限内，计税指导价格调整后，为税务部门提供为期半年的单个案例免费市场价格评估服务。半年后，若区税务局委托中标单位提供评估服务，中标单位应按照以下标准收费。</w:t>
      </w:r>
    </w:p>
    <w:p>
      <w:pPr>
        <w:spacing w:line="360" w:lineRule="auto"/>
        <w:ind w:firstLine="448" w:firstLineChars="200"/>
        <w:outlineLvl w:val="0"/>
        <w:rPr>
          <w:kern w:val="0"/>
          <w:sz w:val="24"/>
          <w:szCs w:val="24"/>
        </w:rPr>
      </w:pPr>
      <w:r>
        <w:rPr>
          <w:rFonts w:hint="eastAsia"/>
          <w:kern w:val="0"/>
          <w:sz w:val="24"/>
          <w:szCs w:val="24"/>
        </w:rPr>
        <w:t>存量房争议评估费按照房地产评估价格(价值)总额采取累计比率计算。</w:t>
      </w:r>
    </w:p>
    <w:tbl>
      <w:tblPr>
        <w:tblStyle w:val="55"/>
        <w:tblW w:w="0" w:type="auto"/>
        <w:jc w:val="center"/>
        <w:tblCellSpacing w:w="0" w:type="dxa"/>
        <w:tblLayout w:type="autofit"/>
        <w:tblCellMar>
          <w:top w:w="15" w:type="dxa"/>
          <w:left w:w="15" w:type="dxa"/>
          <w:bottom w:w="15" w:type="dxa"/>
          <w:right w:w="15" w:type="dxa"/>
        </w:tblCellMar>
      </w:tblPr>
      <w:tblGrid>
        <w:gridCol w:w="4333"/>
        <w:gridCol w:w="1750"/>
      </w:tblGrid>
      <w:tr>
        <w:tblPrEx>
          <w:tblCellMar>
            <w:top w:w="15" w:type="dxa"/>
            <w:left w:w="15" w:type="dxa"/>
            <w:bottom w:w="15" w:type="dxa"/>
            <w:right w:w="15" w:type="dxa"/>
          </w:tblCellMar>
        </w:tblPrEx>
        <w:trPr>
          <w:tblCellSpacing w:w="0" w:type="dxa"/>
          <w:jc w:val="center"/>
        </w:trPr>
        <w:tc>
          <w:tcPr>
            <w:tcW w:w="0" w:type="auto"/>
            <w:tcBorders>
              <w:top w:val="single" w:color="000000" w:sz="8" w:space="0"/>
              <w:left w:val="single" w:color="000000" w:sz="8" w:space="0"/>
              <w:bottom w:val="single" w:color="000000" w:sz="8" w:space="0"/>
              <w:right w:val="single" w:color="000000" w:sz="8" w:space="0"/>
            </w:tcBorders>
            <w:tcMar>
              <w:top w:w="0" w:type="dxa"/>
              <w:left w:w="118" w:type="dxa"/>
              <w:bottom w:w="0" w:type="dxa"/>
              <w:right w:w="118" w:type="dxa"/>
            </w:tcMar>
            <w:vAlign w:val="center"/>
          </w:tcPr>
          <w:p>
            <w:pPr>
              <w:pStyle w:val="54"/>
              <w:adjustRightInd w:val="0"/>
              <w:snapToGrid w:val="0"/>
              <w:jc w:val="center"/>
              <w:rPr>
                <w:rFonts w:eastAsia="宋体"/>
                <w:color w:val="000000"/>
                <w:lang w:eastAsia="zh-CN"/>
              </w:rPr>
            </w:pPr>
            <w:r>
              <w:rPr>
                <w:rFonts w:eastAsia="宋体" w:cs="仿宋"/>
                <w:color w:val="000000"/>
                <w:szCs w:val="28"/>
                <w:lang w:eastAsia="zh-CN"/>
              </w:rPr>
              <w:t>房地产评估价格总额</w:t>
            </w:r>
          </w:p>
          <w:p>
            <w:pPr>
              <w:pStyle w:val="54"/>
              <w:adjustRightInd w:val="0"/>
              <w:snapToGrid w:val="0"/>
              <w:jc w:val="center"/>
              <w:rPr>
                <w:rFonts w:eastAsia="宋体"/>
                <w:color w:val="000000"/>
                <w:lang w:eastAsia="zh-CN"/>
              </w:rPr>
            </w:pPr>
            <w:r>
              <w:rPr>
                <w:rFonts w:eastAsia="宋体" w:cs="仿宋"/>
                <w:color w:val="000000"/>
                <w:szCs w:val="28"/>
                <w:lang w:eastAsia="zh-CN"/>
              </w:rPr>
              <w:t>（万元）</w:t>
            </w:r>
          </w:p>
        </w:tc>
        <w:tc>
          <w:tcPr>
            <w:tcW w:w="0" w:type="auto"/>
            <w:tcBorders>
              <w:top w:val="single" w:color="000000" w:sz="8" w:space="0"/>
              <w:bottom w:val="single" w:color="000000" w:sz="8" w:space="0"/>
              <w:right w:val="single" w:color="000000" w:sz="8" w:space="0"/>
            </w:tcBorders>
            <w:tcMar>
              <w:top w:w="0" w:type="dxa"/>
              <w:left w:w="108" w:type="dxa"/>
              <w:bottom w:w="0" w:type="dxa"/>
              <w:right w:w="118" w:type="dxa"/>
            </w:tcMar>
            <w:vAlign w:val="center"/>
          </w:tcPr>
          <w:p>
            <w:pPr>
              <w:pStyle w:val="54"/>
              <w:adjustRightInd w:val="0"/>
              <w:snapToGrid w:val="0"/>
              <w:jc w:val="center"/>
              <w:rPr>
                <w:rFonts w:eastAsia="宋体"/>
                <w:color w:val="000000"/>
              </w:rPr>
            </w:pPr>
            <w:r>
              <w:rPr>
                <w:rFonts w:eastAsia="宋体" w:cs="仿宋"/>
                <w:color w:val="000000"/>
                <w:szCs w:val="28"/>
              </w:rPr>
              <w:t>累计比率</w:t>
            </w:r>
          </w:p>
        </w:tc>
      </w:tr>
      <w:tr>
        <w:tblPrEx>
          <w:tblCellMar>
            <w:top w:w="15" w:type="dxa"/>
            <w:left w:w="15" w:type="dxa"/>
            <w:bottom w:w="15" w:type="dxa"/>
            <w:right w:w="15" w:type="dxa"/>
          </w:tblCellMar>
        </w:tblPrEx>
        <w:trPr>
          <w:tblCellSpacing w:w="0" w:type="dxa"/>
          <w:jc w:val="center"/>
        </w:trPr>
        <w:tc>
          <w:tcPr>
            <w:tcW w:w="0" w:type="auto"/>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pPr>
              <w:pStyle w:val="54"/>
              <w:adjustRightInd w:val="0"/>
              <w:snapToGrid w:val="0"/>
              <w:jc w:val="center"/>
              <w:rPr>
                <w:rFonts w:eastAsia="宋体"/>
                <w:color w:val="000000"/>
              </w:rPr>
            </w:pPr>
            <w:r>
              <w:rPr>
                <w:rFonts w:eastAsia="宋体" w:cs="仿宋"/>
                <w:color w:val="000000"/>
                <w:szCs w:val="28"/>
              </w:rPr>
              <w:t>100以下部分(含100)</w:t>
            </w:r>
          </w:p>
        </w:tc>
        <w:tc>
          <w:tcPr>
            <w:tcW w:w="0" w:type="auto"/>
            <w:tcBorders>
              <w:bottom w:val="single" w:color="000000" w:sz="8" w:space="0"/>
              <w:right w:val="single" w:color="000000" w:sz="8" w:space="0"/>
            </w:tcBorders>
            <w:tcMar>
              <w:top w:w="0" w:type="dxa"/>
              <w:left w:w="108" w:type="dxa"/>
              <w:bottom w:w="0" w:type="dxa"/>
              <w:right w:w="118" w:type="dxa"/>
            </w:tcMar>
            <w:vAlign w:val="center"/>
          </w:tcPr>
          <w:p>
            <w:pPr>
              <w:pStyle w:val="54"/>
              <w:adjustRightInd w:val="0"/>
              <w:snapToGrid w:val="0"/>
              <w:jc w:val="center"/>
              <w:rPr>
                <w:rFonts w:eastAsia="宋体"/>
                <w:color w:val="000000"/>
              </w:rPr>
            </w:pPr>
            <w:r>
              <w:rPr>
                <w:rFonts w:eastAsia="宋体" w:cs="仿宋"/>
                <w:color w:val="000000"/>
                <w:szCs w:val="28"/>
              </w:rPr>
              <w:t>0.3‰</w:t>
            </w:r>
          </w:p>
        </w:tc>
      </w:tr>
      <w:tr>
        <w:tblPrEx>
          <w:tblCellMar>
            <w:top w:w="15" w:type="dxa"/>
            <w:left w:w="15" w:type="dxa"/>
            <w:bottom w:w="15" w:type="dxa"/>
            <w:right w:w="15" w:type="dxa"/>
          </w:tblCellMar>
        </w:tblPrEx>
        <w:trPr>
          <w:tblCellSpacing w:w="0" w:type="dxa"/>
          <w:jc w:val="center"/>
        </w:trPr>
        <w:tc>
          <w:tcPr>
            <w:tcW w:w="0" w:type="auto"/>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pPr>
              <w:pStyle w:val="54"/>
              <w:adjustRightInd w:val="0"/>
              <w:snapToGrid w:val="0"/>
              <w:jc w:val="center"/>
              <w:rPr>
                <w:rFonts w:eastAsia="宋体"/>
                <w:color w:val="000000"/>
              </w:rPr>
            </w:pPr>
            <w:r>
              <w:rPr>
                <w:rFonts w:eastAsia="宋体" w:cs="仿宋"/>
                <w:color w:val="000000"/>
                <w:szCs w:val="28"/>
              </w:rPr>
              <w:t>100以上至1000(含1000)</w:t>
            </w:r>
          </w:p>
        </w:tc>
        <w:tc>
          <w:tcPr>
            <w:tcW w:w="0" w:type="auto"/>
            <w:tcBorders>
              <w:bottom w:val="single" w:color="000000" w:sz="8" w:space="0"/>
              <w:right w:val="single" w:color="000000" w:sz="8" w:space="0"/>
            </w:tcBorders>
            <w:tcMar>
              <w:top w:w="0" w:type="dxa"/>
              <w:left w:w="108" w:type="dxa"/>
              <w:bottom w:w="0" w:type="dxa"/>
              <w:right w:w="118" w:type="dxa"/>
            </w:tcMar>
            <w:vAlign w:val="center"/>
          </w:tcPr>
          <w:p>
            <w:pPr>
              <w:pStyle w:val="54"/>
              <w:adjustRightInd w:val="0"/>
              <w:snapToGrid w:val="0"/>
              <w:jc w:val="center"/>
              <w:rPr>
                <w:rFonts w:eastAsia="宋体"/>
                <w:color w:val="000000"/>
              </w:rPr>
            </w:pPr>
            <w:r>
              <w:rPr>
                <w:rFonts w:eastAsia="宋体" w:cs="仿宋"/>
                <w:color w:val="000000"/>
                <w:szCs w:val="28"/>
              </w:rPr>
              <w:t>0.25‰</w:t>
            </w:r>
          </w:p>
        </w:tc>
      </w:tr>
      <w:tr>
        <w:tblPrEx>
          <w:tblCellMar>
            <w:top w:w="15" w:type="dxa"/>
            <w:left w:w="15" w:type="dxa"/>
            <w:bottom w:w="15" w:type="dxa"/>
            <w:right w:w="15" w:type="dxa"/>
          </w:tblCellMar>
        </w:tblPrEx>
        <w:trPr>
          <w:tblCellSpacing w:w="0" w:type="dxa"/>
          <w:jc w:val="center"/>
        </w:trPr>
        <w:tc>
          <w:tcPr>
            <w:tcW w:w="0" w:type="auto"/>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pPr>
              <w:pStyle w:val="54"/>
              <w:adjustRightInd w:val="0"/>
              <w:snapToGrid w:val="0"/>
              <w:jc w:val="center"/>
              <w:rPr>
                <w:rFonts w:eastAsia="宋体"/>
                <w:color w:val="000000"/>
              </w:rPr>
            </w:pPr>
            <w:r>
              <w:rPr>
                <w:rFonts w:eastAsia="宋体" w:cs="仿宋"/>
                <w:color w:val="000000"/>
                <w:szCs w:val="28"/>
              </w:rPr>
              <w:t>1000以上至5000(含5000)</w:t>
            </w:r>
          </w:p>
        </w:tc>
        <w:tc>
          <w:tcPr>
            <w:tcW w:w="0" w:type="auto"/>
            <w:tcBorders>
              <w:bottom w:val="single" w:color="000000" w:sz="8" w:space="0"/>
              <w:right w:val="single" w:color="000000" w:sz="8" w:space="0"/>
            </w:tcBorders>
            <w:tcMar>
              <w:top w:w="0" w:type="dxa"/>
              <w:left w:w="108" w:type="dxa"/>
              <w:bottom w:w="0" w:type="dxa"/>
              <w:right w:w="118" w:type="dxa"/>
            </w:tcMar>
            <w:vAlign w:val="center"/>
          </w:tcPr>
          <w:p>
            <w:pPr>
              <w:pStyle w:val="54"/>
              <w:adjustRightInd w:val="0"/>
              <w:snapToGrid w:val="0"/>
              <w:jc w:val="center"/>
              <w:rPr>
                <w:rFonts w:eastAsia="宋体"/>
                <w:color w:val="000000"/>
              </w:rPr>
            </w:pPr>
            <w:r>
              <w:rPr>
                <w:rFonts w:eastAsia="宋体" w:cs="仿宋"/>
                <w:color w:val="000000"/>
                <w:szCs w:val="28"/>
              </w:rPr>
              <w:t>0.15‰</w:t>
            </w:r>
          </w:p>
        </w:tc>
      </w:tr>
      <w:tr>
        <w:tblPrEx>
          <w:tblCellMar>
            <w:top w:w="15" w:type="dxa"/>
            <w:left w:w="15" w:type="dxa"/>
            <w:bottom w:w="15" w:type="dxa"/>
            <w:right w:w="15" w:type="dxa"/>
          </w:tblCellMar>
        </w:tblPrEx>
        <w:trPr>
          <w:tblCellSpacing w:w="0" w:type="dxa"/>
          <w:jc w:val="center"/>
        </w:trPr>
        <w:tc>
          <w:tcPr>
            <w:tcW w:w="0" w:type="auto"/>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pPr>
              <w:pStyle w:val="54"/>
              <w:adjustRightInd w:val="0"/>
              <w:snapToGrid w:val="0"/>
              <w:jc w:val="center"/>
              <w:rPr>
                <w:rFonts w:eastAsia="宋体"/>
                <w:color w:val="000000"/>
              </w:rPr>
            </w:pPr>
            <w:r>
              <w:rPr>
                <w:rFonts w:eastAsia="宋体" w:cs="仿宋"/>
                <w:color w:val="000000"/>
                <w:szCs w:val="28"/>
              </w:rPr>
              <w:t>5000以上</w:t>
            </w:r>
          </w:p>
        </w:tc>
        <w:tc>
          <w:tcPr>
            <w:tcW w:w="0" w:type="auto"/>
            <w:tcBorders>
              <w:bottom w:val="single" w:color="000000" w:sz="8" w:space="0"/>
              <w:right w:val="single" w:color="000000" w:sz="8" w:space="0"/>
            </w:tcBorders>
            <w:tcMar>
              <w:top w:w="0" w:type="dxa"/>
              <w:left w:w="108" w:type="dxa"/>
              <w:bottom w:w="0" w:type="dxa"/>
              <w:right w:w="118" w:type="dxa"/>
            </w:tcMar>
            <w:vAlign w:val="center"/>
          </w:tcPr>
          <w:p>
            <w:pPr>
              <w:pStyle w:val="54"/>
              <w:adjustRightInd w:val="0"/>
              <w:snapToGrid w:val="0"/>
              <w:jc w:val="center"/>
              <w:rPr>
                <w:rFonts w:eastAsia="宋体"/>
                <w:color w:val="000000"/>
              </w:rPr>
            </w:pPr>
            <w:r>
              <w:rPr>
                <w:rFonts w:eastAsia="宋体" w:cs="仿宋"/>
                <w:color w:val="000000"/>
                <w:szCs w:val="28"/>
              </w:rPr>
              <w:t>0.1‰</w:t>
            </w:r>
          </w:p>
        </w:tc>
      </w:tr>
      <w:tr>
        <w:tblPrEx>
          <w:tblCellMar>
            <w:top w:w="15" w:type="dxa"/>
            <w:left w:w="15" w:type="dxa"/>
            <w:bottom w:w="15" w:type="dxa"/>
            <w:right w:w="15" w:type="dxa"/>
          </w:tblCellMar>
        </w:tblPrEx>
        <w:trPr>
          <w:tblCellSpacing w:w="0" w:type="dxa"/>
          <w:jc w:val="center"/>
        </w:trPr>
        <w:tc>
          <w:tcPr>
            <w:tcW w:w="0" w:type="auto"/>
            <w:gridSpan w:val="2"/>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pPr>
              <w:pStyle w:val="54"/>
              <w:adjustRightInd w:val="0"/>
              <w:snapToGrid w:val="0"/>
              <w:jc w:val="center"/>
              <w:rPr>
                <w:rFonts w:eastAsia="宋体"/>
                <w:color w:val="000000"/>
                <w:lang w:eastAsia="zh-CN"/>
              </w:rPr>
            </w:pPr>
            <w:r>
              <w:rPr>
                <w:rFonts w:eastAsia="宋体" w:cs="仿宋"/>
                <w:color w:val="000000"/>
                <w:szCs w:val="28"/>
                <w:lang w:eastAsia="zh-CN"/>
              </w:rPr>
              <w:t>说明：每宗最低收费标准为300元，最高收费标准10000元</w:t>
            </w:r>
          </w:p>
        </w:tc>
      </w:tr>
    </w:tbl>
    <w:p>
      <w:pPr>
        <w:spacing w:line="360" w:lineRule="auto"/>
        <w:ind w:firstLine="448" w:firstLineChars="200"/>
        <w:outlineLvl w:val="0"/>
        <w:rPr>
          <w:kern w:val="0"/>
          <w:sz w:val="24"/>
          <w:szCs w:val="24"/>
        </w:rPr>
      </w:pPr>
      <w:r>
        <w:rPr>
          <w:rFonts w:hint="eastAsia"/>
          <w:kern w:val="0"/>
          <w:sz w:val="24"/>
          <w:szCs w:val="24"/>
        </w:rPr>
        <w:t>2、保密要求</w:t>
      </w:r>
    </w:p>
    <w:p>
      <w:pPr>
        <w:spacing w:line="360" w:lineRule="auto"/>
        <w:ind w:firstLine="448" w:firstLineChars="200"/>
        <w:outlineLvl w:val="0"/>
        <w:rPr>
          <w:kern w:val="0"/>
          <w:sz w:val="24"/>
          <w:szCs w:val="24"/>
        </w:rPr>
      </w:pPr>
      <w:r>
        <w:rPr>
          <w:rFonts w:hint="eastAsia"/>
          <w:kern w:val="0"/>
          <w:sz w:val="24"/>
          <w:szCs w:val="24"/>
        </w:rPr>
        <w:t>投标人及其服务人员须与采购方签订保密协议，服务人员须遵循采购方的各项安全制度，所接触的本服务相关信息只允许本人在本项目中使用，保守采购方工作秘密，保守纳税人商业秘密，不得以任何形式向他人泄露。</w:t>
      </w:r>
    </w:p>
    <w:p>
      <w:pPr>
        <w:spacing w:line="360" w:lineRule="auto"/>
        <w:ind w:firstLine="448" w:firstLineChars="200"/>
        <w:outlineLvl w:val="0"/>
        <w:rPr>
          <w:kern w:val="0"/>
          <w:sz w:val="24"/>
          <w:szCs w:val="24"/>
        </w:rPr>
      </w:pPr>
      <w:r>
        <w:rPr>
          <w:rFonts w:hint="eastAsia"/>
          <w:kern w:val="0"/>
          <w:sz w:val="24"/>
          <w:szCs w:val="24"/>
        </w:rPr>
        <w:t>3、知识转移要求</w:t>
      </w:r>
    </w:p>
    <w:p>
      <w:pPr>
        <w:spacing w:line="360" w:lineRule="auto"/>
        <w:ind w:firstLine="448" w:firstLineChars="200"/>
        <w:outlineLvl w:val="0"/>
        <w:rPr>
          <w:kern w:val="0"/>
          <w:sz w:val="24"/>
          <w:szCs w:val="24"/>
        </w:rPr>
      </w:pPr>
      <w:r>
        <w:rPr>
          <w:rFonts w:hint="eastAsia"/>
          <w:kern w:val="0"/>
          <w:sz w:val="24"/>
          <w:szCs w:val="24"/>
        </w:rPr>
        <w:t>采购人对项目实施过程中所产生的所有成果（包括发明、发现、可运行系统、源代码及相关技术资料、文档等）享有所有权（永久使用权、复制权和修改权等）。除本项目工作所需外，未经采购人书面同意，投标人不得擅自使用、复制天津市税务局及下属区税务局的标志、数据信息、文档及其他资料。</w:t>
      </w:r>
    </w:p>
    <w:p>
      <w:pPr>
        <w:spacing w:line="360" w:lineRule="auto"/>
        <w:ind w:firstLine="448" w:firstLineChars="200"/>
        <w:outlineLvl w:val="0"/>
        <w:rPr>
          <w:kern w:val="0"/>
          <w:sz w:val="24"/>
          <w:szCs w:val="24"/>
        </w:rPr>
      </w:pPr>
      <w:r>
        <w:rPr>
          <w:rFonts w:hint="eastAsia"/>
          <w:kern w:val="0"/>
          <w:sz w:val="24"/>
          <w:szCs w:val="24"/>
        </w:rPr>
        <w:t>4、知识产权要求</w:t>
      </w:r>
    </w:p>
    <w:p>
      <w:pPr>
        <w:spacing w:line="360" w:lineRule="auto"/>
        <w:ind w:firstLine="448" w:firstLineChars="200"/>
        <w:outlineLvl w:val="0"/>
        <w:rPr>
          <w:kern w:val="0"/>
          <w:sz w:val="24"/>
          <w:szCs w:val="24"/>
        </w:rPr>
      </w:pPr>
      <w:r>
        <w:rPr>
          <w:rFonts w:hint="eastAsia"/>
          <w:kern w:val="0"/>
          <w:sz w:val="24"/>
          <w:szCs w:val="24"/>
        </w:rPr>
        <w:t>投标人应保证其所提供的产品及服务不侵犯第三方的知识产权，否则，由此给采购人造成的一切损失由投标人承担。</w:t>
      </w:r>
    </w:p>
    <w:p>
      <w:pPr>
        <w:spacing w:line="360" w:lineRule="auto"/>
        <w:ind w:firstLine="448" w:firstLineChars="200"/>
        <w:outlineLvl w:val="0"/>
        <w:rPr>
          <w:kern w:val="0"/>
          <w:sz w:val="24"/>
          <w:szCs w:val="24"/>
        </w:rPr>
      </w:pPr>
    </w:p>
    <w:p>
      <w:pPr>
        <w:spacing w:line="360" w:lineRule="auto"/>
        <w:jc w:val="center"/>
        <w:rPr>
          <w:sz w:val="24"/>
        </w:rPr>
      </w:pPr>
      <w:r>
        <w:rPr>
          <w:sz w:val="24"/>
          <w:u w:val="single"/>
        </w:rPr>
        <w:br w:type="page"/>
      </w:r>
    </w:p>
    <w:p>
      <w:pPr>
        <w:pStyle w:val="16"/>
        <w:rPr>
          <w:rFonts w:ascii="Times New Roman" w:hAnsi="Times New Roman"/>
        </w:rPr>
      </w:pPr>
      <w:r>
        <w:rPr>
          <w:rFonts w:ascii="Times New Roman" w:hAnsi="Times New Roman"/>
        </w:rPr>
        <w:t>第三部分  投标须知</w:t>
      </w:r>
    </w:p>
    <w:p>
      <w:pPr>
        <w:pStyle w:val="29"/>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A  说明</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 概述</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1.1 根据《中华人民共和国政府采购法》、《中华人民共和国政府采购法实施条例》等有关法律、法规和规章的规定，本采购项目已具备招标条件。</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1.2 本招标文件仅适用于投标邀请函中所叙述项目货物和服务的采购。</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1.3 参与招标投标活动的所有各方，对在参与招标投标过程中获悉的国家、商业和技术秘密以及其它依法应当保密的内容，均负有保密义务，违者应对由此造成的后果承担全部法律责任。</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 定义</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 xml:space="preserve">2.1 “采购人”和“招标人”系指本次招标活动的采购单位。“采购代理机构”系指组织本次招标活动的机构，即“天津市政府采购中心”。 </w:t>
      </w:r>
    </w:p>
    <w:p>
      <w:pPr>
        <w:pStyle w:val="29"/>
        <w:spacing w:line="360" w:lineRule="auto"/>
        <w:ind w:firstLine="448" w:firstLineChars="200"/>
        <w:jc w:val="both"/>
        <w:rPr>
          <w:rFonts w:ascii="Times New Roman" w:hAnsi="Times New Roman" w:eastAsia="宋体" w:cs="Times New Roman"/>
          <w:color w:val="FF0000"/>
        </w:rPr>
      </w:pPr>
      <w:r>
        <w:rPr>
          <w:rFonts w:ascii="Times New Roman" w:hAnsi="Times New Roman" w:eastAsia="宋体" w:cs="Times New Roman"/>
          <w:color w:val="auto"/>
        </w:rPr>
        <w:t>2.2 “投标人”和“供应商”系指</w:t>
      </w:r>
      <w:r>
        <w:rPr>
          <w:rFonts w:hint="eastAsia" w:ascii="Times New Roman" w:hAnsi="Times New Roman" w:eastAsia="宋体" w:cs="Times New Roman"/>
          <w:color w:val="auto"/>
        </w:rPr>
        <w:t>响应招标、参加投标竞争的法人、其他组织或者自然人。</w:t>
      </w:r>
    </w:p>
    <w:p>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2.3</w:t>
      </w:r>
      <w:r>
        <w:rPr>
          <w:rFonts w:hint="eastAsia" w:ascii="Times New Roman" w:hAnsi="Times New Roman" w:eastAsia="宋体" w:cs="Times New Roman"/>
          <w:color w:val="auto"/>
        </w:rPr>
        <w:t xml:space="preserve"> “货物”</w:t>
      </w:r>
      <w:r>
        <w:rPr>
          <w:rFonts w:ascii="Times New Roman" w:hAnsi="Times New Roman" w:eastAsia="宋体" w:cs="Times New Roman"/>
          <w:color w:val="auto"/>
        </w:rPr>
        <w:t>系指</w:t>
      </w:r>
      <w:r>
        <w:rPr>
          <w:rFonts w:hint="eastAsia" w:ascii="Times New Roman" w:hAnsi="Times New Roman" w:eastAsia="宋体" w:cs="Times New Roman"/>
          <w:color w:val="auto"/>
        </w:rPr>
        <w:t>各种形态和种类的物品，包括原材料、燃料、设备、产品等；“工程”</w:t>
      </w:r>
      <w:r>
        <w:rPr>
          <w:rFonts w:ascii="Times New Roman" w:hAnsi="Times New Roman" w:eastAsia="宋体" w:cs="Times New Roman"/>
          <w:color w:val="auto"/>
        </w:rPr>
        <w:t>系指</w:t>
      </w:r>
      <w:r>
        <w:rPr>
          <w:rFonts w:hint="eastAsia" w:ascii="Times New Roman" w:hAnsi="Times New Roman" w:eastAsia="宋体" w:cs="Times New Roman"/>
          <w:color w:val="auto"/>
        </w:rPr>
        <w:t>建设工程，包括建筑物和构筑物的新建、改建、扩建、装修、拆除、修缮等；“服务”</w:t>
      </w:r>
      <w:r>
        <w:rPr>
          <w:rFonts w:ascii="Times New Roman" w:hAnsi="Times New Roman" w:eastAsia="宋体" w:cs="Times New Roman"/>
          <w:color w:val="auto"/>
        </w:rPr>
        <w:t>系指</w:t>
      </w:r>
      <w:r>
        <w:rPr>
          <w:rFonts w:hint="eastAsia" w:ascii="Times New Roman" w:hAnsi="Times New Roman" w:eastAsia="宋体" w:cs="Times New Roman"/>
          <w:color w:val="auto"/>
        </w:rPr>
        <w:t>除货物和工程以外的其他政府采购对象。</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 解释权</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3.1 本次招投标的最终解释权归为采购人、采购代理机构。</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3.2 本文件未作须知明示，而又有相关法律、法规规定的，采购人、采购代理机构将对此解释为依据有关法律、法规的规定。</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4. 合格的投标人</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4.1 符合《中华人民共和国政府采购法》第二十二条供应商参加政府采购活动应当具备的条件及其他有关法律、法规关于供应商的有关规定，有能力提供</w:t>
      </w:r>
      <w:r>
        <w:rPr>
          <w:rFonts w:hint="eastAsia" w:ascii="Times New Roman" w:hAnsi="Times New Roman" w:eastAsia="宋体" w:cs="Times New Roman"/>
          <w:color w:val="auto"/>
        </w:rPr>
        <w:t>采购</w:t>
      </w:r>
      <w:r>
        <w:rPr>
          <w:rFonts w:ascii="Times New Roman" w:hAnsi="Times New Roman" w:eastAsia="宋体" w:cs="Times New Roman"/>
          <w:color w:val="auto"/>
        </w:rPr>
        <w:t>标的的供应商。</w:t>
      </w:r>
    </w:p>
    <w:p>
      <w:pPr>
        <w:pStyle w:val="29"/>
        <w:spacing w:line="360" w:lineRule="auto"/>
        <w:ind w:firstLine="448" w:firstLineChars="200"/>
        <w:jc w:val="both"/>
        <w:rPr>
          <w:rFonts w:ascii="Times New Roman" w:hAnsi="Times New Roman" w:cs="Times New Roman"/>
          <w:color w:val="auto"/>
        </w:rPr>
      </w:pPr>
      <w:r>
        <w:rPr>
          <w:rFonts w:ascii="Times New Roman" w:hAnsi="Times New Roman" w:eastAsia="宋体" w:cs="Times New Roman"/>
          <w:color w:val="auto"/>
        </w:rPr>
        <w:t xml:space="preserve">4.2 </w:t>
      </w:r>
      <w:r>
        <w:rPr>
          <w:rFonts w:ascii="Times New Roman" w:hAnsi="Times New Roman" w:cs="Times New Roman"/>
          <w:color w:val="auto"/>
        </w:rPr>
        <w:t>符合《投标邀请函》中关于供应商资格要求（实质性要求）的规定。</w:t>
      </w:r>
    </w:p>
    <w:p>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4.3 关于联合体投标</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若</w:t>
      </w:r>
      <w:r>
        <w:rPr>
          <w:rFonts w:ascii="Times New Roman" w:hAnsi="Times New Roman" w:eastAsia="宋体" w:cs="Times New Roman"/>
          <w:color w:val="auto"/>
        </w:rPr>
        <w:t>《投标邀请函》接受联合体投标的：</w:t>
      </w:r>
    </w:p>
    <w:p>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（1）两个以上的自然人、法人或者其他组织可以组成一个联合体，以一个供应商的身份共同参加政府采购。</w:t>
      </w:r>
    </w:p>
    <w:p>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（2）联合体各方均应当符合</w:t>
      </w:r>
      <w:r>
        <w:rPr>
          <w:rFonts w:hint="eastAsia" w:ascii="Times New Roman" w:hAnsi="Times New Roman" w:eastAsia="宋体" w:cs="Times New Roman"/>
          <w:color w:val="auto"/>
        </w:rPr>
        <w:t>《中华人民共和国政府采购法》</w:t>
      </w:r>
      <w:r>
        <w:rPr>
          <w:rFonts w:ascii="Times New Roman" w:hAnsi="Times New Roman" w:eastAsia="宋体" w:cs="Times New Roman"/>
          <w:color w:val="auto"/>
        </w:rPr>
        <w:t>第二十二条第一款规定的条件，根据采购项目的特殊要求规定投标人特定条件的，联合体各方中至少应当有一方符合《投标邀请函》规定的供应商资格条件（实质性</w:t>
      </w:r>
      <w:r>
        <w:rPr>
          <w:rFonts w:hint="eastAsia" w:ascii="Times New Roman" w:hAnsi="Times New Roman" w:eastAsia="宋体" w:cs="Times New Roman"/>
          <w:color w:val="auto"/>
        </w:rPr>
        <w:t>要求</w:t>
      </w:r>
      <w:r>
        <w:rPr>
          <w:rFonts w:ascii="Times New Roman" w:hAnsi="Times New Roman" w:eastAsia="宋体" w:cs="Times New Roman"/>
          <w:color w:val="auto"/>
        </w:rPr>
        <w:t>）。</w:t>
      </w:r>
    </w:p>
    <w:p>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（3）联合体各方之间应当签订共同投标协议并在投标文件内提交，明确约定联合体主体及联合体各方承担的工作和相应的责任。联合体各方签订共同投标协议后，不得再以自己名义单独在</w:t>
      </w:r>
      <w:r>
        <w:rPr>
          <w:rFonts w:hint="eastAsia" w:ascii="Times New Roman" w:hAnsi="Times New Roman" w:eastAsia="宋体" w:cs="Times New Roman"/>
          <w:color w:val="auto"/>
        </w:rPr>
        <w:t>同一合同项下</w:t>
      </w:r>
      <w:r>
        <w:rPr>
          <w:rFonts w:ascii="Times New Roman" w:hAnsi="Times New Roman" w:eastAsia="宋体" w:cs="Times New Roman"/>
          <w:color w:val="auto"/>
        </w:rPr>
        <w:t>投标，也不得组成新的联合体参加同一</w:t>
      </w:r>
      <w:r>
        <w:rPr>
          <w:rFonts w:hint="eastAsia" w:ascii="Times New Roman" w:hAnsi="Times New Roman" w:eastAsia="宋体" w:cs="Times New Roman"/>
          <w:color w:val="auto"/>
        </w:rPr>
        <w:t>合同</w:t>
      </w:r>
      <w:r>
        <w:rPr>
          <w:rFonts w:ascii="Times New Roman" w:hAnsi="Times New Roman" w:eastAsia="宋体" w:cs="Times New Roman"/>
          <w:color w:val="auto"/>
        </w:rPr>
        <w:t>项下的投标。</w:t>
      </w:r>
    </w:p>
    <w:p>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（4）</w:t>
      </w:r>
      <w:r>
        <w:rPr>
          <w:rFonts w:hint="eastAsia" w:ascii="Times New Roman" w:hAnsi="Times New Roman" w:eastAsia="宋体" w:cs="Times New Roman"/>
          <w:color w:val="auto"/>
        </w:rPr>
        <w:t>下载招标文件</w:t>
      </w:r>
      <w:r>
        <w:rPr>
          <w:rFonts w:ascii="Times New Roman" w:hAnsi="Times New Roman" w:eastAsia="宋体" w:cs="Times New Roman"/>
          <w:color w:val="auto"/>
        </w:rPr>
        <w:t>时，应以联合体协议中确定的主体方名义</w:t>
      </w:r>
      <w:r>
        <w:rPr>
          <w:rFonts w:hint="eastAsia" w:ascii="Times New Roman" w:hAnsi="Times New Roman" w:eastAsia="宋体" w:cs="Times New Roman"/>
          <w:color w:val="auto"/>
        </w:rPr>
        <w:t>下载</w:t>
      </w:r>
      <w:r>
        <w:rPr>
          <w:rFonts w:ascii="Times New Roman" w:hAnsi="Times New Roman" w:eastAsia="宋体" w:cs="Times New Roman"/>
          <w:color w:val="auto"/>
        </w:rPr>
        <w:t>。</w:t>
      </w:r>
    </w:p>
    <w:p>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（5）联合体投标的，应以主体方名义提交投标保证金（如有），对联合体各方均具有约束力。</w:t>
      </w:r>
    </w:p>
    <w:p>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6）由同一专业的单位组成的联合体，按照同一项资质等级较低的单位确定资质等级。业绩等有关打分内容根据共同投标协议约定的各方承担的工作和相应责任，确定一方打分，不累加打分；评审标准无明确或难以明确对应哪一方的打分内容按主体方打分。</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（7）联合体中任意一方为中小企业的，该方应提供《中小企业声明函》。</w:t>
      </w:r>
    </w:p>
    <w:p>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（8）联合体各方应当共同与采购人签订采购合同，就采购合同约定的事项对采购人承担连带责任。</w:t>
      </w:r>
    </w:p>
    <w:p>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4.4 关于关联企业</w:t>
      </w:r>
    </w:p>
    <w:p>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除联合体外，法定代表人或单位负责人为同一个人或者存在直接控股、管理关系的不同供应商，不得同时参加同一</w:t>
      </w:r>
      <w:r>
        <w:rPr>
          <w:rFonts w:hint="eastAsia" w:ascii="Times New Roman" w:hAnsi="Times New Roman" w:eastAsia="宋体" w:cs="Times New Roman"/>
          <w:color w:val="auto"/>
        </w:rPr>
        <w:t>合同</w:t>
      </w:r>
      <w:r>
        <w:rPr>
          <w:rFonts w:ascii="Times New Roman" w:hAnsi="Times New Roman" w:eastAsia="宋体" w:cs="Times New Roman"/>
          <w:color w:val="auto"/>
        </w:rPr>
        <w:t>项下的投标。如同时参加，则评审时将同时被拒绝。</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4.5 关于分公司投标</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分公司作为投标人参与本项目政府采购活动的，应提供具有法人资格的总公司的营业执照副本电子件及法人企业授权书，法人企业授权书须加盖总公司公章。总公司可就本项目或此类项目在一定范围或时间内出具法人企业授权书。已由总公司授权的，总公司取得的相关资质证书对分公司有效，法律法规或者行业另有规定的除外。</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4.6 关于提供前期服务的供应商</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为采购项目提供整体设计、规范编制或者项目管理、监理、检测等服务的供应商，不得再参加该采购项目的其他采购活动。</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4.7 关于中小微企业参与投标</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中小微企业是指符合《政府采购促进中小企业发展管理办法》（财库[2020]46号）规定的供应商。中小微企业参与投标应提供《中小企业声明函》。</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29"/>
        <w:spacing w:line="360" w:lineRule="auto"/>
        <w:ind w:firstLine="448" w:firstLineChars="200"/>
        <w:jc w:val="both"/>
        <w:rPr>
          <w:rFonts w:ascii="Times New Roman" w:hAnsi="Times New Roman" w:eastAsia="宋体" w:cs="Times New Roman"/>
          <w:color w:val="auto"/>
        </w:rPr>
      </w:pPr>
      <w:bookmarkStart w:id="4" w:name="OLE_LINK5"/>
      <w:bookmarkStart w:id="5" w:name="OLE_LINK6"/>
      <w:r>
        <w:rPr>
          <w:rFonts w:ascii="Times New Roman" w:hAnsi="Times New Roman" w:eastAsia="宋体" w:cs="Times New Roman"/>
          <w:color w:val="auto"/>
        </w:rPr>
        <w:t>根据《财政部 民政部 中国残疾人联合会关于促进残疾人就业政府采购政策的通知》（财库〔2017〕141号）的规定，残疾人福利性单位视同为小型、微型企业。</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 合格的货物和相关服务</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5.1 投标人对所提供的货物应当享有合法的所有权，没有侵犯任何第三方的知识产权、技术秘密等权利，而且不存在任何抵押、留置、查封等产权瑕疵。如有第三方向采购人提出侵犯其专利权、商标权或其它知识产权的主张，该责任应由投标人承担。</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5.2 投标人提供的货物服务应符合招标文件要求，质量应当完全符合现行的国家标准、行业标准或地方标准。除《招标项目需求》有特殊规定外，投标人提供的货物应当是全新的、未使用过的。</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5.3 投标人应当说明投标货物的来源地，如投标的货物非投标人生产或制造的，则交货时有义务提供其从合法途径获得该货物的相关证明。</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5.4 系统软件、通用软件必须是具有在中国境内的合法使用权或版权的正版软件，涉及</w:t>
      </w:r>
      <w:bookmarkStart w:id="8" w:name="_GoBack"/>
      <w:bookmarkEnd w:id="8"/>
      <w:r>
        <w:rPr>
          <w:rFonts w:hint="eastAsia" w:ascii="Times New Roman" w:hAnsi="Times New Roman" w:eastAsia="宋体" w:cs="Times New Roman"/>
          <w:color w:val="auto"/>
        </w:rPr>
        <w:t>第三方提出侵权或知识产权的起诉及支付版税等费用由投标人承担所有责任及费用。</w:t>
      </w:r>
    </w:p>
    <w:p>
      <w:pPr>
        <w:pStyle w:val="29"/>
        <w:spacing w:line="360" w:lineRule="auto"/>
        <w:ind w:firstLine="448" w:firstLineChars="200"/>
        <w:jc w:val="both"/>
        <w:rPr>
          <w:rFonts w:ascii="Times New Roman" w:hAnsi="Times New Roman" w:eastAsia="宋体" w:cs="Times New Roman"/>
          <w:color w:val="auto"/>
        </w:rPr>
      </w:pPr>
    </w:p>
    <w:bookmarkEnd w:id="4"/>
    <w:bookmarkEnd w:id="5"/>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6. 投标费用</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无论投标过程中的做法和结果如何，投标人自行承担所有与参加投标有关的费用。</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7. 信息发布</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本项目需要公开的有关信息，包括招标公告、更正公告、中标公告、终止公告等与招标活动有关的通知，采购人、采购代理机构均将通过“天津市政府采购网（http://tjgp.cz.tj.gov.cn）”和“天津市政府采购中心网（http://tjgpc.zwfwb.tj.gov.cn）”公开发布。投标人在参与本采购项目招投标活动期间，请及时关注上述媒体和天津市政府采购中心招投标系统“查看项目文件”的相关信息。因没有及时关注而未能如期获取相关信息，投标人自行承担由此可能产生的风险。</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8. 询问与质疑</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8.1 根据《政府采购质疑和投诉办法》（财政部令第94号）、《天津市财政局关于转发&lt;财政部关于进一步加强政府采购需求和履约验收管理的指导意见&gt;的通知》（津财采[2017]4号）的要求及委托代理协议的授权范围，针对采购文件的询问、质疑应当向采购人提出；针对采购过程、采购结果的询问、质疑应当向天津市政府采购中心提出。</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8.2 询问</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（1）询问可以采取电话、当面或书面等形式。</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（2）采购人应当自收到供应商询问之日起3个工作日内作出答复，但答复的内容不得涉及商业秘密或者依法应当保密的内容。</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8.3 质疑</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（1）提出质疑的供应商应当是参与所质疑项目采购活动的供应商。</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（2）供应商认为采购文件、采购过程和采购结果使自己的权益受到损害的，可以在知道或者应知其权益受到损害之日起七个工作日内，以书面原件形式针对同一采购程序环节一次性提出质疑，否则不予受理。</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针对采购结果的质疑，供应商可通过天津市政府采购中心招投标系统“质疑”模块在线提出。</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质疑函应当符合《政府采购质疑和投诉办法》（财政部令第94号）第十二条的规定，并按照统一格式提出（具体格式可参照天津市政府采购网（http://tjgp.cz.tj.gov.cn）“下载专区”中的“质疑函格式文本”）。质疑函应当明确阐述采购文件、采购过程、采购结果使自己的合法权益受到损害的法律依据、事实依据、相关证明材料及证据来源，以便于有关单位调查、答复和处理。</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4）供应商质疑应当有明确的请求和必要的证明材料。质疑内容不得含有虚假、恶意成份。依照谁主张谁举证的原则，提出质疑者必须同时提交相关确凿的证据材料和注明证据的确切来源，证据来源必须合法，采购人或天津市政府采购中心有权将质疑函转发质疑事项各关联方，请其作出解释说明。对捏造事实、滥用维权扰乱采购秩序的恶意质疑者，将上报天津市财政局政府采购处依法处理。</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8.4 针对询问或质疑的答复内容需要修改采购文件的，其修改内容应当以政府采购网发布的更正公告为准。</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9. 其他</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本《投标须知》的条款如与《投标邀请函》、《招标项目需求》就同一内容的表述不一致的，以《投标邀请函》、《招标项目需求》中规定的内容为准。</w:t>
      </w:r>
    </w:p>
    <w:p>
      <w:pPr>
        <w:pStyle w:val="29"/>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B  招标文件说明</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10. 招标文件的构成</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10.1招标文件由下述部分组成：</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（1）投标邀请函</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（2）招标项目需求</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（3）投标须知</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（4）</w:t>
      </w:r>
      <w:r>
        <w:rPr>
          <w:rFonts w:ascii="Times New Roman" w:hAnsi="Times New Roman" w:cs="Times New Roman"/>
          <w:color w:val="auto"/>
        </w:rPr>
        <w:t>合同条款</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（5）投标文件格式</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（6）</w:t>
      </w:r>
      <w:r>
        <w:rPr>
          <w:rFonts w:ascii="Times New Roman" w:hAnsi="Times New Roman" w:cs="Times New Roman"/>
          <w:color w:val="auto"/>
        </w:rPr>
        <w:t>本项目招标文件的更正公告内容（如有）</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10.2 除非有特殊要求，招标文件不单独提供招标项目使用地的自然环境、气候条件、公用设施等情况，投标人被视为熟悉上述与履行合同有关的一切情况。</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10.3 加注“★”号条款为不允许偏离的实质性要求，经评标委员会判定任意一条加注“★”号的条款出现偏离，视为无效投标。</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10.4 招标文件中涉及的参照品牌、型号仅起说明作用，并没有任何限制性，投标人在投标中可以选用其他替代品牌或型号，但这些替代要实质上优于或相当于招标要求。</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10.5 除招标文件另有规定外，招标文件中要求的每一项产品只允许一种产品投标，每一项产品的采购数量不允许变更。</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11. 招标文件的澄清和修改</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11.1 投标截止前，采购人、采购代理机构需要对招标文件进行补充或修改的，采购人、采购代理机构将会通过“天津市政府采购网”、“天津市政府采购中心网”以更正公告形式发布。</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11.2 更正公告一经在“天津市政府采购网”、“天津市政府采购中心网”发布，天津市政府采购中心招投标系统将自动发送通知至已</w:t>
      </w:r>
      <w:r>
        <w:rPr>
          <w:rFonts w:hint="eastAsia" w:ascii="Times New Roman" w:hAnsi="Times New Roman" w:eastAsia="宋体" w:cs="Times New Roman"/>
          <w:color w:val="auto"/>
        </w:rPr>
        <w:t>获取招标文件</w:t>
      </w:r>
      <w:r>
        <w:rPr>
          <w:rFonts w:ascii="Times New Roman" w:hAnsi="Times New Roman" w:eastAsia="宋体" w:cs="Times New Roman"/>
          <w:color w:val="auto"/>
        </w:rPr>
        <w:t>供应商的“查看项目文件”，视同已书面通知所有招标文件的收受人。请参与项目的供应商及时关注更正公告，由此导致的风险由投标人自行承担，采购人、采购代理机构不承担任何责任。</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11.3 更正公告的内容为招标文件的组成部分。当招标文件与更正公告就同一内容的表述不一致时，以最后发出的更正公告内容为准。</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11.4 招标文件的澄清、答复、修改或补充都应由采购代理机构以更正公告形式发布，除此以外的其他任何澄清、修改方式及澄清、修改内容均属无效，不得作为投标的依据，由此导致的风险由投标人自行承担，采购人、采购代理机构不承担任何责任。</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 xml:space="preserve">12. </w:t>
      </w:r>
      <w:r>
        <w:rPr>
          <w:rFonts w:ascii="Times New Roman" w:hAnsi="Times New Roman" w:cs="Times New Roman"/>
          <w:color w:val="auto"/>
        </w:rPr>
        <w:t>答疑会和现场考察</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12.1 采购人、采购代理机构召开答疑会的，所有投标人应按《投标邀请函》规定的时间、地点参加答疑会。投标人如不参加，其风险由投标人自行承担，采购人、采购代理机构不承担任何责任。</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12.2 采购人、采购代理机构组织现场考察的，所有投标人按《投标邀请函》规定的时间、地点参加现场考察活动。投标人如不参加，其风险由投标人自行承担，采购人、采购代理机构不承担任何责任。</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12.3 采购人、采购代理机构在答疑会或现场考察中口头介绍的情况，除经“天津市政府采购网”、“天津市政府采购中心网”以更正公告的形式发布外，不构成对招标文件的修改，不作为投标人编制投标文件的依据。</w:t>
      </w:r>
    </w:p>
    <w:p>
      <w:pPr>
        <w:pStyle w:val="29"/>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C  投标文件的编制</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13. 要求</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13.1 投标人应仔细阅读招标文件的所有内容，按招标文件要求编制投标文件，以使其投标对招标文件做出实质性响应。否则，其投标文件可能被拒绝，投标人须自行承担由此引起的风险和责任。</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13.2 投标人应根据招标项目需求和投标文件格式编制投标文件，保证其真实有效，并承担相应的法律责任。</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13.3 投标人应对投标文件所提供的全部资料的真实性承担法律责任，并无条件接受采购人、采购代理机构对其中任何资料进行核实（核对原件）的要求。采购人、采购代理机构核对发现有不一致或供应商无正当理由不按时提供原件的，按有关规定执行。</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14. 投标语言及计量单位</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14.1 投标人和采购代理机构就投标交换的文件和来往信件，应以中文书写，全部辅助材料及证明材料均应有中文文本，并以中文文本为准。外文资料必须提供中文译文，并保证与原文内容一致，否则投标人将承担相应法律责任。除签名、盖章、专用名称等特殊情形外，以中文以外的文字表述的投标文件，评标委员会有权拒绝其投标。</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14.2 除招标文件中另有规定，投标文件所使用的计量单位均应使用中华人民共和国法定计量单位。</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15. 投标文件格式</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15.1 投标人应按招标文件中提供的投标文件格式完整填写。因不按要求编制而引起系统无法检索、读取相关信息时，其后果由投标人自行承担。</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15.2 投标人可对招标文件</w:t>
      </w:r>
      <w:r>
        <w:rPr>
          <w:rFonts w:hint="eastAsia" w:ascii="Times New Roman" w:hAnsi="Times New Roman" w:eastAsia="宋体" w:cs="Times New Roman"/>
          <w:color w:val="auto"/>
        </w:rPr>
        <w:t>全部</w:t>
      </w:r>
      <w:r>
        <w:rPr>
          <w:rFonts w:ascii="Times New Roman" w:hAnsi="Times New Roman" w:eastAsia="宋体" w:cs="Times New Roman"/>
          <w:color w:val="auto"/>
        </w:rPr>
        <w:t>采购包进行投标，也可只对其中一包或几包进行投标；若无特殊说明，每一包的内容不得分项投标，原则上按照整包确定中标供应商。</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15.3 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15.</w:t>
      </w:r>
      <w:r>
        <w:rPr>
          <w:rFonts w:hint="eastAsia" w:ascii="Times New Roman" w:hAnsi="Times New Roman" w:eastAsia="宋体" w:cs="Times New Roman"/>
          <w:color w:val="auto"/>
        </w:rPr>
        <w:t>4</w:t>
      </w:r>
      <w:r>
        <w:rPr>
          <w:rFonts w:ascii="Times New Roman" w:hAnsi="Times New Roman" w:eastAsia="宋体" w:cs="Times New Roman"/>
          <w:color w:val="auto"/>
        </w:rPr>
        <w:t xml:space="preserve"> 如投标多个包的，要求按包分别独立制作投标文件。</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15.</w:t>
      </w:r>
      <w:r>
        <w:rPr>
          <w:rFonts w:hint="eastAsia" w:ascii="Times New Roman" w:hAnsi="Times New Roman" w:eastAsia="宋体" w:cs="Times New Roman"/>
          <w:color w:val="auto"/>
        </w:rPr>
        <w:t>5</w:t>
      </w:r>
      <w:r>
        <w:rPr>
          <w:rFonts w:ascii="Times New Roman" w:hAnsi="Times New Roman" w:eastAsia="宋体" w:cs="Times New Roman"/>
          <w:color w:val="auto"/>
        </w:rPr>
        <w:t xml:space="preserve"> 投标文件（包括封面和目录）的每一页，从封面开始按阿拉伯数字1、2、3…顺序编制页码。</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16. 投标报价</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16.1 投标书、开标一览表等各表中的报价，若无特殊说明应采用人民币填报。</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16.2 投标报价是</w:t>
      </w:r>
      <w:r>
        <w:rPr>
          <w:rFonts w:ascii="Times New Roman" w:hAnsi="Times New Roman" w:cs="Times New Roman"/>
          <w:color w:val="auto"/>
        </w:rPr>
        <w:t>为完成招标文件规定的一切工作所需的全部费用的最终优惠价格。</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16.3 除《招标项目需求》中说明并允许外，投标的每一个货物、服务的单项报价以及采购项目的投标总价均只允许有一个报价，任何有选择的报价，采购人、采购代理机构均将予以拒绝。</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17. 投标人资格证明文件</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投标人必须提交证明其有资格进行投标和有能力履行合同的文件，作为投标文件的一部分。</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（1）《投标邀请函》中规定的供应商资格要求（实质性要求）证明文件；</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（2）若国家及行业对投标项目有特殊资格要求的，还须提供特殊资格证明文件；</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w:t>
      </w:r>
      <w:r>
        <w:rPr>
          <w:rFonts w:hint="eastAsia" w:ascii="Times New Roman" w:hAnsi="Times New Roman" w:eastAsia="宋体" w:cs="Times New Roman"/>
          <w:color w:val="auto"/>
        </w:rPr>
        <w:t>3</w:t>
      </w:r>
      <w:r>
        <w:rPr>
          <w:rFonts w:ascii="Times New Roman" w:hAnsi="Times New Roman" w:eastAsia="宋体" w:cs="Times New Roman"/>
          <w:color w:val="auto"/>
        </w:rPr>
        <w:t>）涉及本须知中“4. 合格的投标人”相关要求的，按其要求执行。</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18. 技术响应文件</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18.1 投标人须提交证明其拟提供的服务符合招标文件规定的技术响应文件，作为投标文件的一部分。</w:t>
      </w:r>
    </w:p>
    <w:p>
      <w:pPr>
        <w:pStyle w:val="29"/>
        <w:spacing w:line="360" w:lineRule="auto"/>
        <w:ind w:firstLine="448" w:firstLineChars="200"/>
        <w:jc w:val="both"/>
        <w:rPr>
          <w:rFonts w:ascii="Times New Roman" w:hAnsi="Times New Roman" w:cs="Times New Roman"/>
          <w:color w:val="auto"/>
          <w:szCs w:val="21"/>
        </w:rPr>
      </w:pPr>
      <w:r>
        <w:rPr>
          <w:rFonts w:ascii="Times New Roman" w:hAnsi="Times New Roman" w:eastAsia="宋体" w:cs="Times New Roman"/>
          <w:color w:val="auto"/>
        </w:rPr>
        <w:t>18.2 上述技术响应文件可以是文字资料、图纸或数据，</w:t>
      </w:r>
      <w:r>
        <w:rPr>
          <w:rFonts w:ascii="Times New Roman" w:hAnsi="Times New Roman" w:cs="Times New Roman"/>
          <w:color w:val="auto"/>
          <w:szCs w:val="21"/>
        </w:rPr>
        <w:t>其内容应包括但不限于：</w:t>
      </w:r>
    </w:p>
    <w:p>
      <w:pPr>
        <w:pStyle w:val="29"/>
        <w:spacing w:line="360" w:lineRule="auto"/>
        <w:ind w:firstLine="448" w:firstLineChars="200"/>
        <w:jc w:val="both"/>
        <w:rPr>
          <w:rFonts w:ascii="Times New Roman" w:hAnsi="Times New Roman" w:cs="Times New Roman"/>
          <w:color w:val="auto"/>
          <w:szCs w:val="21"/>
        </w:rPr>
      </w:pPr>
      <w:r>
        <w:rPr>
          <w:rFonts w:hint="eastAsia" w:ascii="Times New Roman" w:hAnsi="Times New Roman" w:cs="Times New Roman"/>
          <w:color w:val="auto"/>
          <w:szCs w:val="21"/>
        </w:rPr>
        <w:t>（1）</w:t>
      </w:r>
      <w:r>
        <w:rPr>
          <w:rFonts w:ascii="Times New Roman" w:hAnsi="Times New Roman" w:cs="Times New Roman"/>
          <w:color w:val="auto"/>
          <w:szCs w:val="21"/>
        </w:rPr>
        <w:t>人力、物力等资源的投入以及服务内容、方式、手段、措施、质量保证及建议等。</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（2）货物主要技术性能的详细描述；</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（3）保证货物从采购人开始使用至招标文件规定的保修期内正常和连续运转期间所需要的所有备件和专用工具的详细清单，包括其现行价格和供货来源资料；</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（4）逐条对招标文件要求的技术规格进行评议，并按招标文件所附格式完整地填写《技术要求偏离应答表》，说明自己所投标的与招标文件要求的偏离情况。</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19. 投标保证金</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19.1 按照《招标项目需求》要求执行。</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19.2 符合《政府采购货物和服务招标投标管理办法》和</w:t>
      </w:r>
      <w:r>
        <w:rPr>
          <w:rFonts w:hint="eastAsia" w:ascii="Times New Roman" w:hAnsi="Times New Roman" w:eastAsia="宋体" w:cs="Times New Roman"/>
          <w:color w:val="auto"/>
        </w:rPr>
        <w:t>《中华人民共和国政府采购法实施条例》</w:t>
      </w:r>
      <w:r>
        <w:rPr>
          <w:rFonts w:ascii="Times New Roman" w:hAnsi="Times New Roman" w:eastAsia="宋体" w:cs="Times New Roman"/>
          <w:color w:val="auto"/>
        </w:rPr>
        <w:t>相关规定。</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20. 投标有效期</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20.1 投标有效期为</w:t>
      </w:r>
      <w:r>
        <w:rPr>
          <w:rFonts w:hint="eastAsia" w:ascii="Times New Roman" w:hAnsi="Times New Roman" w:eastAsia="宋体" w:cs="Times New Roman"/>
          <w:color w:val="auto"/>
        </w:rPr>
        <w:t>提交投标文件的截止之日</w:t>
      </w:r>
      <w:r>
        <w:rPr>
          <w:rFonts w:ascii="Times New Roman" w:hAnsi="Times New Roman" w:eastAsia="宋体" w:cs="Times New Roman"/>
          <w:color w:val="auto"/>
        </w:rPr>
        <w:t>起60天。投标书中规定的有效期短于招标文件规定的，其投标将被拒绝。</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20.2 特殊情况下，采购代理机构可于投标有效期满之前，向投标人提出延长投标有效期的要求。答复应以书面形式进行。投标人可以拒绝上述要求，但不被没收投标保证金。对于同意该要求的投标人，既不要求也不允许其修改投标文件，但将要求其延长投标保证金的有效期。</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21. 投标文件的签署及规定</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21.1 投标文件应按《招标项目需求》和《投标文件格式》如实编写，未尽事宜可自行补充。投标文件内容不完整、格式不符合导致投标文件被误读、漏读或者查找不到相关内容的，投标人自行承担由此产生的风险。</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21.2 投标人按照《投标邀请函》的要求提交网上应答并</w:t>
      </w:r>
      <w:r>
        <w:rPr>
          <w:rFonts w:hint="eastAsia" w:ascii="Times New Roman" w:hAnsi="Times New Roman" w:cs="Times New Roman" w:eastAsiaTheme="minorEastAsia"/>
          <w:color w:val="auto"/>
          <w:szCs w:val="32"/>
        </w:rPr>
        <w:t>上传</w:t>
      </w:r>
      <w:r>
        <w:rPr>
          <w:rFonts w:hint="eastAsia" w:ascii="Times New Roman" w:hAnsi="Times New Roman" w:eastAsia="宋体" w:cs="Times New Roman"/>
          <w:color w:val="auto"/>
        </w:rPr>
        <w:t>加盖投标人电子签章的电子投标文件（以通过天津公共资源电子签章客户端正确读取签章信息为准）。</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21.3</w:t>
      </w:r>
      <w:r>
        <w:rPr>
          <w:rFonts w:hint="eastAsia" w:ascii="Times New Roman" w:hAnsi="Times New Roman" w:eastAsia="宋体" w:cs="Times New Roman"/>
          <w:color w:val="auto"/>
        </w:rPr>
        <w:t xml:space="preserve"> 若上传加盖投标人电子签章的电子投标文件有修改，须于规定时间内重新提交电子投标文件。电子投标文件因模糊不清或表达不清所引起的后果由投标人自负。</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21.4文件中的电子件指扫描件、电子证照、照片等形式电子文件；要求第三方出具的盖章件原件（如联合协议、分包意向协议、制造商授权书等），投标文件中应使用原件的电子件。</w:t>
      </w:r>
    </w:p>
    <w:p>
      <w:pPr>
        <w:pStyle w:val="29"/>
        <w:spacing w:line="360" w:lineRule="auto"/>
        <w:ind w:firstLine="448" w:firstLineChars="200"/>
        <w:jc w:val="both"/>
        <w:rPr>
          <w:rFonts w:ascii="Times New Roman" w:hAnsi="Times New Roman" w:eastAsia="宋体" w:cs="Times New Roman"/>
          <w:color w:val="auto"/>
        </w:rPr>
      </w:pPr>
    </w:p>
    <w:p>
      <w:pPr>
        <w:pStyle w:val="29"/>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D  投标文件的网上应答和提交</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22. 投标人须按《投标邀请函》规定提交网上应答并上传加盖投标人电子签章的电子投标文件（以通过天津公共资源电子签章客户端正确读取签章信息为准）。具体方式：</w:t>
      </w:r>
      <w:r>
        <w:rPr>
          <w:rFonts w:ascii="Times New Roman" w:hAnsi="Times New Roman" w:eastAsia="宋体" w:cs="Times New Roman"/>
          <w:color w:val="auto"/>
        </w:rPr>
        <w:t>使用天津数字认证有限公司发出的CA数字证书（原天津市电子认证中心发出尚在有效期内的CA数字证书仍可使用）登录</w:t>
      </w:r>
      <w:r>
        <w:rPr>
          <w:rFonts w:hint="eastAsia" w:ascii="Times New Roman" w:hAnsi="Times New Roman" w:eastAsia="宋体" w:cs="Times New Roman"/>
          <w:color w:val="auto"/>
        </w:rPr>
        <w:t>天津市政府采购中心网（网址：http://tjgpc.zwfwb.tj.gov.cn）-“网上招投标”-“供应商登录”-“市级集采机构入口”提交网上应答并上传加盖投标人电子签章的电子投标文件（以通过天津公共资源电子签章客户端正确读取签章信息为准）。如有需要，投标人可于工作时间且在招标文件规定的截止时间前到天津市河东区红星路79号天津市政府采购中心窗口完成上述操作。</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23. 制作和上传电子投标文件要求</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23.1 投标人须下载天津市政府采购中心网-下载中心-《天津公共资源电子签章客户端安装包及使用说明》。</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23.2 投标人须按照招标文件的规定制作电子投标文件，对所需提供的一切纸质材料进行扫描后加入电子投标文件，按照《天津公共资源电子签章客户端安装包及使用说明》规定的要求制作加盖投标人电子签章的电子投标文件（以通过天津公共资源电子签章客户端正确读取签章信息为准），并于投标截止时间前上传至天津市政府采购中心招投标系统。</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特别提醒：</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由于投标人网络接入速率不可控等网络传输风险，建议投标人在网上应答上传加盖电子签章的电子投标文件后，对上传文件进行下载，核对文件完整性，如是否缺页少页、图片是否显示完整、签章是否有效等，并按照《天津公共资源电子签章客户端安装包及使用说明》要求的文件检查方法进行检查，确保投标文件上传准确、有效。</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投标人应当按照天津公共资源电子签章客户端使用说明的要求使用电子签章客户端软件。不按本使用说明使用电子签章客户端软件，或使用word等其它软件进行签章工作，将会造成天津公共资源电子签章客户端无法读取签章信息，并导致投标无效。</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23.3 投标人须保证电子投标文件清晰，便于识别，如因上传、扫描、格式等原因导致评审时受到影响，由投标人自行承担相应责任。</w:t>
      </w:r>
    </w:p>
    <w:p>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24. 投标人须承诺接受电子投标的方式，并自行承担由此带来的废标、无效投标的风险。</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25. 未按招标文件的规定提交网上应答和上传加盖投标人电子签章的电子投标文件（以通过天津公共资源电子签章客户端正确读取签章信息为准）的投标将被拒绝。</w:t>
      </w:r>
    </w:p>
    <w:p>
      <w:pPr>
        <w:pStyle w:val="29"/>
        <w:spacing w:line="360" w:lineRule="auto"/>
        <w:ind w:firstLine="448" w:firstLineChars="200"/>
        <w:jc w:val="both"/>
        <w:rPr>
          <w:rFonts w:ascii="Times New Roman" w:hAnsi="Times New Roman" w:eastAsia="宋体" w:cs="Times New Roman"/>
          <w:color w:val="auto"/>
        </w:rPr>
      </w:pPr>
    </w:p>
    <w:p>
      <w:pPr>
        <w:pStyle w:val="29"/>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E  开标和评标</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26. 开标解密和资格审查</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26.1 投标人须于《投标邀请函》中规定的时间内使用天津数字认证有限公司发出的CA数字证书（原天津市电子认证中心发出尚在有效期内的CA数字证书仍可使用）登录天津市政府采购中心网（网址：http://tjgpc.zwfwb.tj.gov.cn）-”网上招投标”-“供应商登录”-“市级集采机构入口”完成开标解密。</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26.2 由于投标人原因，没有在规定时间内进行网上开标解密，视为无效投标。</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26.3 开标解密后，对开标结果进行网上公示，投标人报价为空、为零的将被视为无效投标。</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26.4 开标解密后，投标代表人应保持电话畅通并具备相应的网络环境，随时准备接受评委的网上询标。</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26.5 投标人须于规定时间内通过天津市政府采购中心招投标系统“询标解答”对评委的网上询标予以解答。如投标代表人被要求到评审现场答疑时，须携带身份证等有效证件原件，以备查验。</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26.6 投标截止时间后，投标人不足3家的，不得开标。</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26.7 开标解密后，采购人或采购代理机构应当依法对投标人的资格进行审查。资格审查合格的投标人不足3家的，不得评标。</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27. 评标委员会</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27.1 评标委员会成员由采购人代表和评审专家组成，成员人数应当为5人以上单数，其中评审专家不得少于成员总数的三分之二。</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27.2 评标委员会负责审查投标文件是否符合招标文件的要求，并进行审查、询标、评估和比较。评标委员会认为必要时，可向投标人进行询标。</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27.3 出现符合专业条件的供应商或者对招标文件作实质性响应的供应商不足三家，或投标人的报价均超过了采购预算，采购人不能支付的情况时，或出现影响采购公正的违法、违规行为时，评标委员会有权宣布废标。</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27.4 评标委员会负责完成全部评标工作，向采购人提出经评标委员会签字的书面评标报告。</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28. 对投标文件的审查和响应性的确定</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28.1 符合性检查。评标委员会依据法律法规和招标文件的规定，对投标文件的内容是否完整、有无计算错误、要求的保证金是否已提供、文件签署是否正确、实质性要求等进行审查，确定每份投标文件是否实质上响应了招标文件的要求。</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28.2 投标截止时间后，除评标委员会要求提供外，不接受投标人及与投标人有关的任何一方递交的材料。</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28.</w:t>
      </w:r>
      <w:r>
        <w:rPr>
          <w:rFonts w:hint="eastAsia" w:ascii="Times New Roman" w:hAnsi="Times New Roman" w:eastAsia="宋体" w:cs="Times New Roman"/>
          <w:color w:val="auto"/>
        </w:rPr>
        <w:t>3</w:t>
      </w:r>
      <w:r>
        <w:rPr>
          <w:rFonts w:ascii="Times New Roman" w:hAnsi="Times New Roman" w:eastAsia="宋体" w:cs="Times New Roman"/>
          <w:color w:val="auto"/>
        </w:rPr>
        <w:t xml:space="preserve"> 实质上没有响应招标文件要求的投标文件，将被拒绝。投标人不得通过修改或撤回不符合要求的</w:t>
      </w:r>
      <w:r>
        <w:rPr>
          <w:rFonts w:hint="eastAsia" w:ascii="Times New Roman" w:hAnsi="Times New Roman" w:eastAsia="宋体" w:cs="Times New Roman"/>
          <w:color w:val="auto"/>
        </w:rPr>
        <w:t>内容</w:t>
      </w:r>
      <w:r>
        <w:rPr>
          <w:rFonts w:ascii="Times New Roman" w:hAnsi="Times New Roman" w:eastAsia="宋体" w:cs="Times New Roman"/>
          <w:color w:val="auto"/>
        </w:rPr>
        <w:t>而使其投标成为响应性的投标。如出现下列情况之一的，其投标将被拒绝或中标无效：</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（1）投标文件未按招标文件的要求加盖电子签章的；</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（2）投标有效期短于招标文件要求的；</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（3）投标文件中提供虚假材料的；</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（4）不能满足招标文件中任何一条实质性要求或加注“★”号条款经评委会认定出现偏离的或经评标委员会认定未实质性响应招标文件要求的或投标内容不符合相关强制性规定的；</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（5）未按时进行网上解密或电子投标文件损坏、无效的；</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（6）投标报价超出采购预算或最高限价；</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（7）存在串通情形的；</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（8）单位负责人或法定代表人为同一人，或者存在控股、管理关系的不同供应商，参加同一合同项下投标的，相关投标均无效；</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（9）其他法定投标无效的情形。</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28.4 评标委员会对确定为实质上响应的投标进行审核，</w:t>
      </w:r>
      <w:r>
        <w:rPr>
          <w:rFonts w:ascii="Times New Roman" w:hAnsi="Times New Roman" w:eastAsia="宋体" w:cs="Times New Roman"/>
          <w:color w:val="auto"/>
        </w:rPr>
        <w:t>投标文件报价出现前后不一致的</w:t>
      </w:r>
      <w:r>
        <w:rPr>
          <w:rFonts w:hint="eastAsia" w:ascii="Times New Roman" w:hAnsi="Times New Roman" w:eastAsia="宋体" w:cs="Times New Roman"/>
          <w:color w:val="auto"/>
        </w:rPr>
        <w:t>，修改错误的原则如下：</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（1）投标文件中开标一览表（报价表）内容与投标文件中相应内容不一致的，以开标一览表（报价表）为准；</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（2）大写金额和小写金额不一致的，以大写金额为准；</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（3）单价金额小数点或者百分比有明显错位的，以开标一览表的总价为准，并修改单价；</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（4）总价金额与按单价汇总金额不一致的，以单价金额计算结果为准。</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（5）同时出现两种以上不一致的，按照前款规定的顺序修正。修正后的报价经投标人确认后产生约束力，投标人不确认的，其投标无效。</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28.</w:t>
      </w:r>
      <w:r>
        <w:rPr>
          <w:rFonts w:hint="eastAsia" w:ascii="Times New Roman" w:hAnsi="Times New Roman" w:eastAsia="宋体" w:cs="Times New Roman"/>
          <w:color w:val="auto"/>
        </w:rPr>
        <w:t>5</w:t>
      </w:r>
      <w:r>
        <w:rPr>
          <w:rFonts w:ascii="Times New Roman" w:hAnsi="Times New Roman" w:eastAsia="宋体" w:cs="Times New Roman"/>
          <w:color w:val="auto"/>
        </w:rPr>
        <w:t xml:space="preserve"> 评标委员会将要求投标人按上述修改错误的方法调整投标报价，投标人同意后，调整后的报价对投标人起约束作用。如果投标人不接受修改后的报价，其投标将被拒绝。</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29. 投标文件的澄清</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29.1 澄清有关问题。为了有助于对投标文件进行审查、评估和比较，评标委员会有权要求投标人对投标文件中含义不明确、同类问题表述不一致或者有明显文字和计算错误的内容作出必要的澄清、说明或者纠正。投标人有义务按照评标委员会通知的时间、地点指派投标代表人就相关问题进行澄清。</w:t>
      </w:r>
    </w:p>
    <w:p>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29.2 投标人澄清、说明、答复或者补充的</w:t>
      </w:r>
      <w:r>
        <w:rPr>
          <w:rFonts w:hint="eastAsia" w:ascii="Times New Roman" w:hAnsi="Times New Roman" w:eastAsia="宋体" w:cs="Times New Roman"/>
          <w:color w:val="auto"/>
        </w:rPr>
        <w:t>电子</w:t>
      </w:r>
      <w:r>
        <w:rPr>
          <w:rFonts w:ascii="Times New Roman" w:hAnsi="Times New Roman" w:eastAsia="宋体" w:cs="Times New Roman"/>
          <w:color w:val="auto"/>
        </w:rPr>
        <w:t>文件</w:t>
      </w:r>
      <w:r>
        <w:rPr>
          <w:rFonts w:hint="eastAsia" w:ascii="Times New Roman" w:hAnsi="Times New Roman" w:eastAsia="宋体" w:cs="Times New Roman"/>
          <w:color w:val="auto"/>
        </w:rPr>
        <w:t>，</w:t>
      </w:r>
      <w:r>
        <w:rPr>
          <w:rFonts w:ascii="Times New Roman" w:hAnsi="Times New Roman" w:eastAsia="宋体" w:cs="Times New Roman"/>
          <w:color w:val="auto"/>
        </w:rPr>
        <w:t>加盖电子签章后上传至天津市政府采购中心招投标系统。</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29.3 投标人的澄清、说明、答复或者补充应在规定的时间内完成，并不得超出投标文件的范围或对投标内容进行实质性的修改。</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29.4 澄清文件将作为投标文件的一部分，与投标文件具有同等的法律效力。</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30. 投标的评估和比较</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评标委员会将根据招标文件确定的评标原则和评标方法对确定为实质上响应招标文件要求的投标进行评估和比较。</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31. 评标原则和评标方法</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31.1 评标原则</w:t>
      </w:r>
    </w:p>
    <w:p>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（1）评标委员会应当按照客观、公正、审慎的原则，根据招标文件规定的评审程序、评审方法和评审标准进行独立评审。</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w:t>
      </w:r>
      <w:r>
        <w:rPr>
          <w:rFonts w:ascii="Times New Roman" w:hAnsi="Times New Roman" w:cs="Times New Roman"/>
          <w:color w:val="auto"/>
        </w:rPr>
        <w:t>评标委员会发现招标文件存在歧义、重大缺陷导致评标工作无法进行，或者招标文件内容违反国家有关强制性规定的，应当停止评标工作，与采购人或者采购代理机构沟通并作书面记录。采购人或者采购代理机构确认后，应当修改招标文件，重新组织采购活动。</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（3）对招标文件中描述有歧义或前后不一致的地方，</w:t>
      </w:r>
      <w:r>
        <w:rPr>
          <w:rFonts w:hint="eastAsia" w:ascii="Times New Roman" w:hAnsi="Times New Roman" w:eastAsia="宋体" w:cs="Times New Roman"/>
          <w:color w:val="auto"/>
        </w:rPr>
        <w:t>但不影响项目评审的，</w:t>
      </w:r>
      <w:r>
        <w:rPr>
          <w:rFonts w:ascii="Times New Roman" w:hAnsi="Times New Roman" w:eastAsia="宋体" w:cs="Times New Roman"/>
          <w:color w:val="auto"/>
        </w:rPr>
        <w:t>评标委员会有权进行评判，但对同一条款的评判应适用于每个投标人。</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4）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（5）根据《关于推动解决政府采购异常低价问题的通知》（财库〔2026〕2号）的要求，评标委员会启动异常低价投标审查程序，</w:t>
      </w:r>
      <w:r>
        <w:rPr>
          <w:rFonts w:ascii="Times New Roman" w:hAnsi="Times New Roman" w:eastAsia="宋体" w:cs="Times New Roman"/>
          <w:color w:val="auto"/>
        </w:rPr>
        <w:t>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w:t>
      </w:r>
      <w:r>
        <w:rPr>
          <w:rFonts w:hint="eastAsia" w:ascii="Times New Roman" w:hAnsi="Times New Roman" w:eastAsia="宋体" w:cs="Times New Roman"/>
          <w:color w:val="auto"/>
        </w:rPr>
        <w:t>评标</w:t>
      </w:r>
      <w:r>
        <w:rPr>
          <w:rFonts w:ascii="Times New Roman" w:hAnsi="Times New Roman" w:eastAsia="宋体" w:cs="Times New Roman"/>
          <w:color w:val="auto"/>
        </w:rPr>
        <w:t>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w:t>
      </w:r>
      <w:r>
        <w:rPr>
          <w:rFonts w:hint="eastAsia" w:ascii="Times New Roman" w:hAnsi="Times New Roman" w:eastAsia="宋体" w:cs="Times New Roman"/>
          <w:color w:val="auto"/>
        </w:rPr>
        <w:t>标</w:t>
      </w:r>
      <w:r>
        <w:rPr>
          <w:rFonts w:ascii="Times New Roman" w:hAnsi="Times New Roman" w:eastAsia="宋体" w:cs="Times New Roman"/>
          <w:color w:val="auto"/>
        </w:rPr>
        <w:t>委员会应当将其作为无效投标处理。</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31.2 评标方法</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采用“综合评分法”的评标方法，具体评审因素详见《招标项目需求》。评标采用百分制，各评委独立分别对实质上响应招标文件的投标进行逐项打分，对评标委员会各成员每一因素的打分汇总后取算术平均分，该平均分为供应商的得分。</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根据《中华人民共和国政府采购法实施条例》和《关于进一步规范政府采购评审工作有关问题的通知》（财库〔2012〕69号）的规定，评标委员会成员要依法独立评审，并对评审意见承担个人责任。评标委员会成员对需要共同认定的事项存在争议的，按照少数服从多数的原则做出结论。持不同意见的评标委员会成员应当在评审报告上签署不同意见并说明理由，否则视为同意。</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w:t>
      </w:r>
      <w:r>
        <w:rPr>
          <w:rFonts w:hint="eastAsia" w:ascii="Times New Roman" w:hAnsi="Times New Roman" w:eastAsia="宋体"/>
          <w:color w:val="auto"/>
        </w:rPr>
        <w:t>按照《关于调整优化节能产品、环境标志产品政府采购执行机制的通知》（财库〔2019〕9号）文件要求，对</w:t>
      </w:r>
      <w:r>
        <w:rPr>
          <w:rFonts w:ascii="Times New Roman" w:hAnsi="Times New Roman" w:cs="Times New Roman"/>
          <w:color w:val="auto"/>
        </w:rPr>
        <w:t>政府采购节能、环境标志品目清单</w:t>
      </w:r>
      <w:r>
        <w:rPr>
          <w:rFonts w:hint="eastAsia" w:ascii="Times New Roman" w:hAnsi="Times New Roman" w:cs="Times New Roman"/>
          <w:color w:val="auto"/>
        </w:rPr>
        <w:t>内的产品实施</w:t>
      </w:r>
      <w:r>
        <w:rPr>
          <w:rFonts w:hint="eastAsia" w:ascii="Times New Roman" w:hAnsi="Times New Roman" w:eastAsia="宋体"/>
          <w:color w:val="auto"/>
        </w:rPr>
        <w:t>优先采购和强制采购的评标方法。</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w:t>
      </w:r>
      <w:r>
        <w:rPr>
          <w:rFonts w:hint="eastAsia" w:ascii="Times New Roman" w:hAnsi="Times New Roman" w:eastAsia="宋体" w:cs="Times New Roman"/>
          <w:color w:val="auto"/>
        </w:rPr>
        <w:t>4</w:t>
      </w:r>
      <w:r>
        <w:rPr>
          <w:rFonts w:ascii="Times New Roman" w:hAnsi="Times New Roman" w:eastAsia="宋体" w:cs="Times New Roman"/>
          <w:color w:val="auto"/>
        </w:rPr>
        <w:t>）评标委员会审查产品资质或检测报告等相关文件符合性时，应综合考虑行业特点、交易习惯、采购需求最本质原义等情况，而不应以投标文件中产品名称与招标文件产品名称是否一致作为审查的标准。</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w:t>
      </w:r>
      <w:r>
        <w:rPr>
          <w:rFonts w:hint="eastAsia" w:ascii="Times New Roman" w:hAnsi="Times New Roman" w:eastAsia="宋体" w:cs="Times New Roman"/>
          <w:color w:val="auto"/>
        </w:rPr>
        <w:t>5</w:t>
      </w:r>
      <w:r>
        <w:rPr>
          <w:rFonts w:ascii="Times New Roman" w:hAnsi="Times New Roman" w:eastAsia="宋体" w:cs="Times New Roman"/>
          <w:color w:val="auto"/>
        </w:rPr>
        <w:t>）中标候选供应商产生办法：按得分由高到低顺序确定中标候选供应商；得分相同的，按投标报价由低到高顺序确定中标候选供应商；得分且投标报价相同的，按技术指标优劣顺序确定中标候选供应商，采购人</w:t>
      </w:r>
      <w:r>
        <w:rPr>
          <w:rFonts w:hint="eastAsia" w:ascii="Times New Roman" w:hAnsi="Times New Roman" w:eastAsia="宋体" w:cs="Times New Roman"/>
          <w:color w:val="auto"/>
        </w:rPr>
        <w:t>或评标委员会经采购人授权后</w:t>
      </w:r>
      <w:r>
        <w:rPr>
          <w:rFonts w:ascii="Times New Roman" w:hAnsi="Times New Roman" w:eastAsia="宋体" w:cs="Times New Roman"/>
          <w:color w:val="auto"/>
        </w:rPr>
        <w:t>按中标候选供应商顺序确定中标供应商。</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w:t>
      </w:r>
      <w:r>
        <w:rPr>
          <w:rFonts w:hint="eastAsia" w:ascii="Times New Roman" w:hAnsi="Times New Roman" w:eastAsia="宋体" w:cs="Times New Roman"/>
          <w:color w:val="auto"/>
        </w:rPr>
        <w:t>6</w:t>
      </w:r>
      <w:r>
        <w:rPr>
          <w:rFonts w:ascii="Times New Roman" w:hAnsi="Times New Roman" w:eastAsia="宋体" w:cs="Times New Roman"/>
          <w:color w:val="auto"/>
        </w:rPr>
        <w:t>）根据《政府采购货物和服务招标投标管理办法》（</w:t>
      </w:r>
      <w:r>
        <w:rPr>
          <w:rFonts w:hint="eastAsia" w:ascii="Times New Roman" w:hAnsi="Times New Roman" w:eastAsia="宋体" w:cs="Times New Roman"/>
          <w:color w:val="auto"/>
        </w:rPr>
        <w:t>财政部</w:t>
      </w:r>
      <w:r>
        <w:rPr>
          <w:rFonts w:ascii="Times New Roman" w:hAnsi="Times New Roman" w:eastAsia="宋体" w:cs="Times New Roman"/>
          <w:color w:val="auto"/>
        </w:rPr>
        <w:t>令第</w:t>
      </w:r>
      <w:r>
        <w:rPr>
          <w:rFonts w:hint="eastAsia" w:ascii="Times New Roman" w:hAnsi="Times New Roman" w:eastAsia="宋体" w:cs="Times New Roman"/>
          <w:color w:val="auto"/>
        </w:rPr>
        <w:t>87</w:t>
      </w:r>
      <w:r>
        <w:rPr>
          <w:rFonts w:ascii="Times New Roman" w:hAnsi="Times New Roman" w:eastAsia="宋体" w:cs="Times New Roman"/>
          <w:color w:val="auto"/>
        </w:rPr>
        <w:t>号）第43条规定，如评审现场经财政部门批准本项目转为其他采购方式的，按相应采购方式程序执行。</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32. 其他注意事项</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32.1 在开标、投标期间，投标人不得向评标委员会成员或采购代理机构询问评标情况、施加任何影响，不得进行旨在影响评标结果的活动。</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32.2 为保证定标的公正性，在评标过程中，评标委员会成员不得与投标人私下交换意见。在开、评标期间及招标工作结束后，凡与评标情况有接触的任何人不得透露审查、澄清、评价和比较等投标的有关资料以及授标建议等评标情况。</w:t>
      </w:r>
    </w:p>
    <w:p>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32. 3 本项目不接受赠品、回扣或者与采购无关的其他商品、服务。</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32.4 （本条仅适用于货物类项目）不同投标人所投全部产品均为同一品牌或不同投标人所投任一核心产品为同一品牌时（</w:t>
      </w:r>
      <w:r>
        <w:rPr>
          <w:rFonts w:hint="eastAsia" w:ascii="Times New Roman" w:hAnsi="Times New Roman" w:eastAsia="宋体" w:cs="Times New Roman"/>
          <w:color w:val="auto"/>
        </w:rPr>
        <w:t>加注“▲”号的产品为核心产品如未明确核心产品，则视为全部产品均为核心产品</w:t>
      </w:r>
      <w:r>
        <w:rPr>
          <w:rFonts w:ascii="Times New Roman" w:hAnsi="Times New Roman" w:eastAsia="宋体" w:cs="Times New Roman"/>
          <w:color w:val="auto"/>
        </w:rPr>
        <w:t>），按以下原则处理：</w:t>
      </w:r>
    </w:p>
    <w:p>
      <w:pPr>
        <w:spacing w:line="360" w:lineRule="auto"/>
        <w:ind w:firstLine="448" w:firstLineChars="200"/>
        <w:jc w:val="left"/>
        <w:rPr>
          <w:sz w:val="24"/>
          <w:szCs w:val="24"/>
        </w:rPr>
      </w:pPr>
      <w:r>
        <w:rPr>
          <w:sz w:val="24"/>
          <w:szCs w:val="24"/>
        </w:rPr>
        <w:t>（1）采用最低评标价法的采购项目，提供相同品牌产品的不同投标人参加同一合同项下投标的，以其中通过资格审查、符合性审查且报价最低的参加评标；报价相同的，由采购人自行选取一个投标人参加评标，其他投标无效。</w:t>
      </w:r>
    </w:p>
    <w:p>
      <w:pPr>
        <w:pStyle w:val="29"/>
        <w:spacing w:line="360" w:lineRule="auto"/>
        <w:ind w:firstLine="448" w:firstLineChars="200"/>
        <w:rPr>
          <w:rFonts w:ascii="Times New Roman" w:hAnsi="Times New Roman" w:cs="Times New Roman"/>
        </w:rPr>
      </w:pPr>
      <w:r>
        <w:rPr>
          <w:rFonts w:ascii="Times New Roman" w:hAnsi="Times New Roman" w:cs="Times New Roman"/>
        </w:rPr>
        <w:t>（2）采用综合评分法的采购项目，提供相同品牌产品且通过资格审查、符合性审查的不同投标人参加同一合同项下投标的，按一家投标人计算，评审后得分最高的同品牌投标人获得中标人推荐资格；评审得分相同的，由采购人自行选取一个投标人获得中标人推荐资格，其他同品牌投标人不作为中标候选人。</w:t>
      </w:r>
    </w:p>
    <w:p>
      <w:pPr>
        <w:pStyle w:val="29"/>
        <w:spacing w:line="360" w:lineRule="auto"/>
        <w:ind w:firstLine="448" w:firstLineChars="200"/>
        <w:rPr>
          <w:rFonts w:ascii="Times New Roman" w:hAnsi="Times New Roman" w:eastAsia="宋体" w:cs="Times New Roman"/>
          <w:color w:val="auto"/>
        </w:rPr>
      </w:pPr>
    </w:p>
    <w:p>
      <w:pPr>
        <w:pStyle w:val="29"/>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F  授予合同</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33. 中标供应商的产生</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33.1 采购人可以事先授权评标委员会直接确定中标供应商。</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33.2 采购人也可以按照</w:t>
      </w:r>
      <w:r>
        <w:rPr>
          <w:rFonts w:hint="eastAsia" w:ascii="Times New Roman" w:hAnsi="Times New Roman" w:eastAsia="宋体" w:cs="Times New Roman"/>
          <w:color w:val="auto"/>
        </w:rPr>
        <w:t>《中华人民共和国政府采购法》</w:t>
      </w:r>
      <w:r>
        <w:rPr>
          <w:rFonts w:ascii="Times New Roman" w:hAnsi="Times New Roman" w:eastAsia="宋体" w:cs="Times New Roman"/>
          <w:color w:val="auto"/>
        </w:rPr>
        <w:t>及其实施条例等法律法规的规定和招标文件的要求确认中标供应商。</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34. 中标通知</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34.1 中标公告发布同时，采购代理机构将通过天津市政府采购中心招投标系统以电子形式向中标供应商发出《中标通知书》（请使用天津数字认证有限公司发出的CA数字证书（原天津市电子认证中心发出尚在有效期内的CA数字证书仍可使用）登录天津市政府采购中心网（网址：http://tjgpc.zwfwb.tj.gov.cn）-“网上招投标”-“供应商登录”-“市级集采机构入口”，并从“供应商系统”的“查看项目文件”中获取）。《中标通知书》一经发出即发生法律效力。</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35. 投标人可使用天津数字认证有限公司发出的CA数字证书（原天津市电子认证中心发出尚在有效期内的CA数字证书仍可使用）登录天津市政府采购中心网（网址：http://tjgpc.zwfwb.tj.gov.cn）-“网上招投标”-“供应商登录”-“市级集采机构入口”，并从“供应商系统”的“项目资审情况”中获取未通过资格审查的原因或从“供应商系统”的“查看排序和得分”中获取未中标人本人的评审得分与排序。</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36. 签订合同</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36.1 采购人与中标供应商应当在中标通知书发出之日起三十日内，按照招标文件确定的事项签订政府采购合同。合同文本请使用天津数字认证有限公司发出的CA数字证书（原天津市电子认证中心发出尚在有效期内的CA数字证书仍可使用）登录天津市政府采购中心网（网址：http://tjgpc.zwfwb.tj.gov.cn）-“网上招投标”-“供应商登录”-“市级集采机构入口”，并从“供应商系统”的“合同”中获取。</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36.2 招标文件、中标供应商的投标文件及其澄清文件等，均为签订合同的依据，且为合同的组成部分。</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37. 履约保证金</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37.1 若《招标项目需求》规定须提交履约保证金的，中标供应商须按照规定要求提交履约保证金。</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37.2 中标供应商未能按合同规定履行其义务，采购人有权没收其履约保证金。</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38. 中标供应商拒绝与采购人签订合同的，采购人可以按照评审报告推荐的中标候选人名单排序，确定下一候选人为中标供应商，也可以重新开展政府采购活动。</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39. 合同分包</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39.1 未经采购人同意，中标供应商不得分包合同。</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39.2 政府采购合同分包履行的，中标供应商就采购项目和分包项目向采购人负责，分包供应商就分包项目承担责任。</w:t>
      </w:r>
    </w:p>
    <w:p>
      <w:pPr>
        <w:pStyle w:val="29"/>
        <w:spacing w:line="360" w:lineRule="auto"/>
        <w:ind w:firstLine="448" w:firstLineChars="200"/>
        <w:jc w:val="both"/>
        <w:rPr>
          <w:rFonts w:ascii="Times New Roman" w:hAnsi="Times New Roman" w:eastAsia="宋体" w:cs="Times New Roman"/>
          <w:color w:val="auto"/>
        </w:rPr>
      </w:pPr>
    </w:p>
    <w:p>
      <w:pPr>
        <w:widowControl/>
        <w:jc w:val="left"/>
        <w:rPr>
          <w:b/>
          <w:bCs/>
          <w:kern w:val="28"/>
          <w:sz w:val="32"/>
          <w:szCs w:val="32"/>
          <w:lang w:val="zh-CN"/>
        </w:rPr>
      </w:pPr>
      <w:r>
        <w:br w:type="page"/>
      </w:r>
    </w:p>
    <w:p>
      <w:pPr>
        <w:pStyle w:val="16"/>
        <w:rPr>
          <w:rFonts w:ascii="Times New Roman" w:hAnsi="Times New Roman"/>
        </w:rPr>
      </w:pPr>
      <w:r>
        <w:rPr>
          <w:rFonts w:ascii="Times New Roman" w:hAnsi="Times New Roman"/>
        </w:rPr>
        <w:t>第四部分  合同条款</w:t>
      </w:r>
    </w:p>
    <w:p>
      <w:pPr>
        <w:tabs>
          <w:tab w:val="left" w:pos="412"/>
          <w:tab w:val="left" w:pos="618"/>
        </w:tabs>
        <w:spacing w:line="520" w:lineRule="exact"/>
        <w:jc w:val="center"/>
        <w:rPr>
          <w:b/>
          <w:sz w:val="30"/>
          <w:szCs w:val="30"/>
        </w:rPr>
      </w:pPr>
      <w:r>
        <w:rPr>
          <w:b/>
          <w:sz w:val="30"/>
          <w:szCs w:val="30"/>
        </w:rPr>
        <w:t>合同一般条款</w:t>
      </w:r>
    </w:p>
    <w:p>
      <w:pPr>
        <w:tabs>
          <w:tab w:val="left" w:pos="0"/>
          <w:tab w:val="left" w:pos="315"/>
        </w:tabs>
        <w:spacing w:line="520" w:lineRule="exact"/>
        <w:ind w:firstLine="480"/>
        <w:rPr>
          <w:sz w:val="24"/>
          <w:szCs w:val="24"/>
        </w:rPr>
      </w:pPr>
      <w:r>
        <w:rPr>
          <w:sz w:val="24"/>
          <w:szCs w:val="24"/>
        </w:rPr>
        <w:t xml:space="preserve">需方：  </w:t>
      </w:r>
    </w:p>
    <w:p>
      <w:pPr>
        <w:tabs>
          <w:tab w:val="left" w:pos="0"/>
          <w:tab w:val="left" w:pos="315"/>
        </w:tabs>
        <w:spacing w:line="520" w:lineRule="exact"/>
        <w:ind w:firstLine="480"/>
        <w:rPr>
          <w:sz w:val="24"/>
          <w:szCs w:val="24"/>
        </w:rPr>
      </w:pPr>
      <w:r>
        <w:rPr>
          <w:sz w:val="24"/>
          <w:szCs w:val="24"/>
        </w:rPr>
        <w:t xml:space="preserve">供方： </w:t>
      </w:r>
    </w:p>
    <w:p>
      <w:pPr>
        <w:tabs>
          <w:tab w:val="left" w:pos="0"/>
          <w:tab w:val="left" w:pos="315"/>
        </w:tabs>
        <w:spacing w:line="520" w:lineRule="exact"/>
        <w:ind w:firstLine="480"/>
        <w:rPr>
          <w:sz w:val="24"/>
          <w:szCs w:val="24"/>
        </w:rPr>
      </w:pPr>
      <w:r>
        <w:rPr>
          <w:sz w:val="24"/>
          <w:szCs w:val="24"/>
        </w:rPr>
        <w:t>供、需双方根据   项目（项目编号：TGPC-201 - ）的政府采购结果和</w:t>
      </w:r>
      <w:r>
        <w:rPr>
          <w:rFonts w:hint="eastAsia"/>
          <w:sz w:val="24"/>
          <w:szCs w:val="24"/>
        </w:rPr>
        <w:t>招标</w:t>
      </w:r>
      <w:r>
        <w:rPr>
          <w:sz w:val="24"/>
          <w:szCs w:val="24"/>
        </w:rPr>
        <w:t>文件的要求，并经双方协商一致，达成  合同：</w:t>
      </w:r>
    </w:p>
    <w:p>
      <w:pPr>
        <w:pStyle w:val="34"/>
        <w:numPr>
          <w:ilvl w:val="0"/>
          <w:numId w:val="2"/>
        </w:numPr>
        <w:spacing w:line="480" w:lineRule="exact"/>
        <w:ind w:firstLineChars="0"/>
        <w:rPr>
          <w:sz w:val="24"/>
          <w:szCs w:val="24"/>
        </w:rPr>
      </w:pPr>
      <w:r>
        <w:rPr>
          <w:rFonts w:hint="eastAsia"/>
          <w:sz w:val="24"/>
          <w:szCs w:val="24"/>
        </w:rPr>
        <w:t>本合同为中小企业预留合同</w:t>
      </w:r>
    </w:p>
    <w:p>
      <w:pPr>
        <w:pStyle w:val="34"/>
        <w:numPr>
          <w:ilvl w:val="0"/>
          <w:numId w:val="2"/>
        </w:numPr>
        <w:spacing w:line="480" w:lineRule="exact"/>
        <w:ind w:firstLineChars="0"/>
        <w:rPr>
          <w:sz w:val="24"/>
          <w:szCs w:val="24"/>
        </w:rPr>
      </w:pPr>
      <w:r>
        <w:rPr>
          <w:rFonts w:hint="eastAsia"/>
          <w:sz w:val="24"/>
          <w:szCs w:val="24"/>
        </w:rPr>
        <w:t>本合同非中小企业预留合同</w:t>
      </w:r>
    </w:p>
    <w:p>
      <w:pPr>
        <w:tabs>
          <w:tab w:val="left" w:pos="0"/>
          <w:tab w:val="left" w:pos="315"/>
        </w:tabs>
        <w:spacing w:line="520" w:lineRule="exact"/>
        <w:ind w:firstLine="480"/>
        <w:rPr>
          <w:sz w:val="24"/>
          <w:szCs w:val="24"/>
        </w:rPr>
      </w:pPr>
      <w:r>
        <w:rPr>
          <w:sz w:val="24"/>
          <w:szCs w:val="24"/>
        </w:rPr>
        <w:t>鉴于政府采购使用的合同文本的特殊性，本合同一般条款仅作为确立法律关系框架作用，具体合同的权利义务等内容以双方签订的专业合同为准，该合同作为本政府采购合同附件，与本合同具有同等法律效力，如附件合同没有而合同一般条款有的且涉及政府采购性质的内容，以合同一般条款内容为准。</w:t>
      </w:r>
    </w:p>
    <w:p>
      <w:pPr>
        <w:tabs>
          <w:tab w:val="left" w:pos="1133"/>
        </w:tabs>
        <w:spacing w:line="520" w:lineRule="exact"/>
        <w:ind w:firstLine="448" w:firstLineChars="200"/>
        <w:rPr>
          <w:sz w:val="24"/>
          <w:szCs w:val="24"/>
        </w:rPr>
      </w:pPr>
      <w:r>
        <w:rPr>
          <w:sz w:val="24"/>
          <w:szCs w:val="24"/>
        </w:rPr>
        <w:t>一、采购内容：  （详见附件）</w:t>
      </w:r>
    </w:p>
    <w:p>
      <w:pPr>
        <w:tabs>
          <w:tab w:val="left" w:pos="1133"/>
        </w:tabs>
        <w:spacing w:line="520" w:lineRule="exact"/>
        <w:ind w:firstLine="448" w:firstLineChars="200"/>
        <w:rPr>
          <w:sz w:val="24"/>
          <w:szCs w:val="24"/>
        </w:rPr>
      </w:pPr>
      <w:r>
        <w:rPr>
          <w:sz w:val="24"/>
          <w:szCs w:val="24"/>
        </w:rPr>
        <w:t xml:space="preserve">    合同总价款：人民币  元</w:t>
      </w:r>
    </w:p>
    <w:p>
      <w:pPr>
        <w:tabs>
          <w:tab w:val="left" w:pos="1133"/>
        </w:tabs>
        <w:spacing w:line="520" w:lineRule="exact"/>
        <w:ind w:firstLine="448" w:firstLineChars="200"/>
        <w:rPr>
          <w:sz w:val="24"/>
          <w:szCs w:val="24"/>
        </w:rPr>
      </w:pPr>
      <w:r>
        <w:rPr>
          <w:sz w:val="24"/>
          <w:szCs w:val="24"/>
        </w:rPr>
        <w:t xml:space="preserve">    大写：人民币  元整</w:t>
      </w:r>
    </w:p>
    <w:p>
      <w:pPr>
        <w:tabs>
          <w:tab w:val="left" w:pos="360"/>
        </w:tabs>
        <w:spacing w:line="520" w:lineRule="exact"/>
        <w:ind w:firstLine="448" w:firstLineChars="200"/>
        <w:rPr>
          <w:sz w:val="24"/>
          <w:szCs w:val="24"/>
        </w:rPr>
      </w:pPr>
      <w:r>
        <w:rPr>
          <w:sz w:val="24"/>
          <w:szCs w:val="24"/>
        </w:rPr>
        <w:t>二、质量要求及对质量负责条件和期限：见附件。</w:t>
      </w:r>
    </w:p>
    <w:p>
      <w:pPr>
        <w:tabs>
          <w:tab w:val="left" w:pos="360"/>
        </w:tabs>
        <w:spacing w:line="520" w:lineRule="exact"/>
        <w:ind w:firstLine="448" w:firstLineChars="200"/>
        <w:rPr>
          <w:sz w:val="24"/>
          <w:szCs w:val="24"/>
        </w:rPr>
      </w:pPr>
      <w:r>
        <w:rPr>
          <w:sz w:val="24"/>
          <w:szCs w:val="24"/>
        </w:rPr>
        <w:t>三、供方所提供的服务必须具有合法手续及相关文件。如涉及知识产权则必须是自己拥有或合法使用的。</w:t>
      </w:r>
    </w:p>
    <w:p>
      <w:pPr>
        <w:tabs>
          <w:tab w:val="left" w:pos="360"/>
        </w:tabs>
        <w:spacing w:line="520" w:lineRule="exact"/>
        <w:ind w:firstLine="448" w:firstLineChars="200"/>
        <w:rPr>
          <w:sz w:val="24"/>
          <w:szCs w:val="24"/>
        </w:rPr>
      </w:pPr>
      <w:r>
        <w:rPr>
          <w:sz w:val="24"/>
          <w:szCs w:val="24"/>
        </w:rPr>
        <w:t>四、</w:t>
      </w:r>
      <w:r>
        <w:rPr>
          <w:rFonts w:hint="eastAsia"/>
          <w:sz w:val="24"/>
          <w:szCs w:val="24"/>
        </w:rPr>
        <w:t>服务</w:t>
      </w:r>
      <w:r>
        <w:rPr>
          <w:sz w:val="24"/>
          <w:szCs w:val="24"/>
        </w:rPr>
        <w:t>时间、地点、方式：见附件。</w:t>
      </w:r>
    </w:p>
    <w:p>
      <w:pPr>
        <w:tabs>
          <w:tab w:val="left" w:pos="360"/>
        </w:tabs>
        <w:spacing w:line="520" w:lineRule="exact"/>
        <w:ind w:firstLine="448" w:firstLineChars="200"/>
        <w:rPr>
          <w:sz w:val="24"/>
          <w:szCs w:val="24"/>
        </w:rPr>
      </w:pPr>
      <w:r>
        <w:rPr>
          <w:sz w:val="24"/>
          <w:szCs w:val="24"/>
        </w:rPr>
        <w:t>五、供方应随</w:t>
      </w:r>
      <w:r>
        <w:rPr>
          <w:rFonts w:hint="eastAsia"/>
          <w:sz w:val="24"/>
          <w:szCs w:val="24"/>
        </w:rPr>
        <w:t>服务</w:t>
      </w:r>
      <w:r>
        <w:rPr>
          <w:sz w:val="24"/>
          <w:szCs w:val="24"/>
        </w:rPr>
        <w:t>向需方交付的相关资料。如果所提交文件是外文的，供方有义务为需方提供中文或译成中文文件。</w:t>
      </w:r>
    </w:p>
    <w:p>
      <w:pPr>
        <w:tabs>
          <w:tab w:val="left" w:pos="360"/>
          <w:tab w:val="left" w:pos="721"/>
        </w:tabs>
        <w:spacing w:line="520" w:lineRule="exact"/>
        <w:rPr>
          <w:sz w:val="24"/>
          <w:szCs w:val="24"/>
        </w:rPr>
      </w:pPr>
      <w:r>
        <w:rPr>
          <w:sz w:val="24"/>
          <w:szCs w:val="24"/>
        </w:rPr>
        <w:t xml:space="preserve">    六、验收工作由需方负责对合同进行验收。</w:t>
      </w:r>
    </w:p>
    <w:p>
      <w:pPr>
        <w:tabs>
          <w:tab w:val="left" w:pos="360"/>
        </w:tabs>
        <w:spacing w:line="520" w:lineRule="exact"/>
        <w:rPr>
          <w:sz w:val="24"/>
          <w:szCs w:val="24"/>
        </w:rPr>
      </w:pPr>
      <w:r>
        <w:rPr>
          <w:sz w:val="24"/>
          <w:szCs w:val="24"/>
        </w:rPr>
        <w:t xml:space="preserve">    七、货款支付方式：见附件。</w:t>
      </w:r>
    </w:p>
    <w:p>
      <w:pPr>
        <w:tabs>
          <w:tab w:val="left" w:pos="0"/>
          <w:tab w:val="left" w:pos="721"/>
        </w:tabs>
        <w:spacing w:line="520" w:lineRule="exact"/>
        <w:ind w:firstLine="448" w:firstLineChars="200"/>
        <w:rPr>
          <w:sz w:val="24"/>
          <w:szCs w:val="24"/>
        </w:rPr>
      </w:pPr>
      <w:r>
        <w:rPr>
          <w:sz w:val="24"/>
          <w:szCs w:val="24"/>
        </w:rPr>
        <w:t>供方开户银行（汉字全称）：</w:t>
      </w:r>
      <w:r>
        <w:rPr>
          <w:sz w:val="24"/>
          <w:szCs w:val="24"/>
          <w:u w:val="single"/>
        </w:rPr>
        <w:t xml:space="preserve">                                        </w:t>
      </w:r>
      <w:r>
        <w:rPr>
          <w:sz w:val="24"/>
          <w:szCs w:val="24"/>
        </w:rPr>
        <w:t>，</w:t>
      </w:r>
    </w:p>
    <w:p>
      <w:pPr>
        <w:tabs>
          <w:tab w:val="left" w:pos="0"/>
          <w:tab w:val="left" w:pos="721"/>
        </w:tabs>
        <w:spacing w:line="520" w:lineRule="exact"/>
        <w:ind w:firstLine="479" w:firstLineChars="214"/>
        <w:rPr>
          <w:sz w:val="24"/>
          <w:szCs w:val="24"/>
        </w:rPr>
      </w:pPr>
      <w:r>
        <w:rPr>
          <w:sz w:val="24"/>
          <w:szCs w:val="24"/>
        </w:rPr>
        <w:t>行号（数字代码）：</w:t>
      </w:r>
      <w:r>
        <w:rPr>
          <w:sz w:val="24"/>
          <w:szCs w:val="24"/>
          <w:u w:val="single"/>
        </w:rPr>
        <w:t xml:space="preserve">                                                </w:t>
      </w:r>
      <w:r>
        <w:rPr>
          <w:sz w:val="24"/>
          <w:szCs w:val="24"/>
        </w:rPr>
        <w:t>，</w:t>
      </w:r>
    </w:p>
    <w:p>
      <w:pPr>
        <w:tabs>
          <w:tab w:val="left" w:pos="0"/>
          <w:tab w:val="left" w:pos="721"/>
        </w:tabs>
        <w:spacing w:line="520" w:lineRule="exact"/>
        <w:ind w:firstLine="479" w:firstLineChars="214"/>
        <w:rPr>
          <w:sz w:val="24"/>
          <w:szCs w:val="24"/>
        </w:rPr>
      </w:pPr>
      <w:r>
        <w:rPr>
          <w:rFonts w:hint="eastAsia"/>
          <w:sz w:val="24"/>
          <w:szCs w:val="24"/>
        </w:rPr>
        <w:t xml:space="preserve">账 </w:t>
      </w:r>
      <w:r>
        <w:rPr>
          <w:sz w:val="24"/>
          <w:szCs w:val="24"/>
        </w:rPr>
        <w:t xml:space="preserve">       号：</w:t>
      </w:r>
      <w:r>
        <w:rPr>
          <w:sz w:val="24"/>
          <w:szCs w:val="24"/>
          <w:u w:val="single"/>
        </w:rPr>
        <w:t xml:space="preserve">                                                   </w:t>
      </w:r>
      <w:r>
        <w:rPr>
          <w:szCs w:val="24"/>
        </w:rPr>
        <w:t>。</w:t>
      </w:r>
    </w:p>
    <w:p>
      <w:pPr>
        <w:pStyle w:val="12"/>
        <w:spacing w:line="520" w:lineRule="exact"/>
        <w:ind w:left="-97" w:leftChars="-50" w:firstLine="448" w:firstLineChars="200"/>
        <w:rPr>
          <w:sz w:val="24"/>
          <w:szCs w:val="24"/>
        </w:rPr>
      </w:pPr>
      <w:r>
        <w:rPr>
          <w:rFonts w:hint="eastAsia"/>
          <w:sz w:val="24"/>
          <w:szCs w:val="24"/>
        </w:rPr>
        <w:t>八</w:t>
      </w:r>
      <w:r>
        <w:rPr>
          <w:sz w:val="24"/>
          <w:szCs w:val="24"/>
        </w:rPr>
        <w:t>、有关涉及本合同供方向天津市政府采购中心所提交的投标文件及有关澄清资料和服务承诺均视为本合同不可分割的部分，对供方具有约束力。</w:t>
      </w:r>
    </w:p>
    <w:p>
      <w:pPr>
        <w:tabs>
          <w:tab w:val="left" w:pos="0"/>
          <w:tab w:val="left" w:pos="315"/>
        </w:tabs>
        <w:spacing w:line="520" w:lineRule="exact"/>
        <w:ind w:firstLine="448" w:firstLineChars="200"/>
        <w:rPr>
          <w:sz w:val="24"/>
          <w:szCs w:val="24"/>
        </w:rPr>
      </w:pPr>
      <w:r>
        <w:rPr>
          <w:rFonts w:hint="eastAsia"/>
          <w:sz w:val="24"/>
          <w:szCs w:val="24"/>
        </w:rPr>
        <w:t>九</w:t>
      </w:r>
      <w:r>
        <w:rPr>
          <w:sz w:val="24"/>
          <w:szCs w:val="24"/>
        </w:rPr>
        <w:t>、本合同一式   份，需方留存   份，供方留存   份，均具同等效力，签字盖章后生效。</w:t>
      </w:r>
    </w:p>
    <w:tbl>
      <w:tblPr>
        <w:tblStyle w:val="22"/>
        <w:tblW w:w="0" w:type="auto"/>
        <w:tblInd w:w="0" w:type="dxa"/>
        <w:tblLayout w:type="autofit"/>
        <w:tblCellMar>
          <w:top w:w="0" w:type="dxa"/>
          <w:left w:w="108" w:type="dxa"/>
          <w:bottom w:w="0" w:type="dxa"/>
          <w:right w:w="108" w:type="dxa"/>
        </w:tblCellMar>
      </w:tblPr>
      <w:tblGrid>
        <w:gridCol w:w="4261"/>
        <w:gridCol w:w="4261"/>
      </w:tblGrid>
      <w:tr>
        <w:tblPrEx>
          <w:tblCellMar>
            <w:top w:w="0" w:type="dxa"/>
            <w:left w:w="108" w:type="dxa"/>
            <w:bottom w:w="0" w:type="dxa"/>
            <w:right w:w="108" w:type="dxa"/>
          </w:tblCellMar>
        </w:tblPrEx>
        <w:tc>
          <w:tcPr>
            <w:tcW w:w="4261" w:type="dxa"/>
          </w:tcPr>
          <w:p>
            <w:pPr>
              <w:tabs>
                <w:tab w:val="left" w:pos="0"/>
                <w:tab w:val="left" w:pos="315"/>
              </w:tabs>
              <w:spacing w:line="520" w:lineRule="exact"/>
              <w:rPr>
                <w:sz w:val="24"/>
                <w:szCs w:val="24"/>
              </w:rPr>
            </w:pPr>
            <w:r>
              <w:rPr>
                <w:sz w:val="24"/>
                <w:szCs w:val="24"/>
              </w:rPr>
              <w:t xml:space="preserve">供方（公章）： </w:t>
            </w:r>
          </w:p>
        </w:tc>
        <w:tc>
          <w:tcPr>
            <w:tcW w:w="4261" w:type="dxa"/>
          </w:tcPr>
          <w:p>
            <w:pPr>
              <w:tabs>
                <w:tab w:val="left" w:pos="0"/>
                <w:tab w:val="left" w:pos="315"/>
              </w:tabs>
              <w:spacing w:line="520" w:lineRule="exact"/>
              <w:rPr>
                <w:sz w:val="24"/>
                <w:szCs w:val="24"/>
              </w:rPr>
            </w:pPr>
            <w:r>
              <w:rPr>
                <w:sz w:val="24"/>
                <w:szCs w:val="24"/>
              </w:rPr>
              <w:t xml:space="preserve">需方（公章）： </w:t>
            </w:r>
          </w:p>
        </w:tc>
      </w:tr>
      <w:tr>
        <w:tblPrEx>
          <w:tblCellMar>
            <w:top w:w="0" w:type="dxa"/>
            <w:left w:w="108" w:type="dxa"/>
            <w:bottom w:w="0" w:type="dxa"/>
            <w:right w:w="108" w:type="dxa"/>
          </w:tblCellMar>
        </w:tblPrEx>
        <w:tc>
          <w:tcPr>
            <w:tcW w:w="4261" w:type="dxa"/>
          </w:tcPr>
          <w:p>
            <w:pPr>
              <w:tabs>
                <w:tab w:val="left" w:pos="0"/>
                <w:tab w:val="left" w:pos="315"/>
              </w:tabs>
              <w:spacing w:line="520" w:lineRule="exact"/>
              <w:rPr>
                <w:sz w:val="24"/>
                <w:szCs w:val="24"/>
              </w:rPr>
            </w:pPr>
            <w:r>
              <w:rPr>
                <w:sz w:val="24"/>
                <w:szCs w:val="24"/>
              </w:rPr>
              <w:t xml:space="preserve">地址：  </w:t>
            </w:r>
          </w:p>
        </w:tc>
        <w:tc>
          <w:tcPr>
            <w:tcW w:w="4261" w:type="dxa"/>
          </w:tcPr>
          <w:p>
            <w:pPr>
              <w:tabs>
                <w:tab w:val="left" w:pos="0"/>
                <w:tab w:val="left" w:pos="315"/>
              </w:tabs>
              <w:spacing w:line="520" w:lineRule="exact"/>
              <w:rPr>
                <w:sz w:val="24"/>
                <w:szCs w:val="24"/>
              </w:rPr>
            </w:pPr>
            <w:r>
              <w:rPr>
                <w:sz w:val="24"/>
                <w:szCs w:val="24"/>
              </w:rPr>
              <w:t xml:space="preserve">地址： </w:t>
            </w:r>
          </w:p>
        </w:tc>
      </w:tr>
      <w:tr>
        <w:tblPrEx>
          <w:tblCellMar>
            <w:top w:w="0" w:type="dxa"/>
            <w:left w:w="108" w:type="dxa"/>
            <w:bottom w:w="0" w:type="dxa"/>
            <w:right w:w="108" w:type="dxa"/>
          </w:tblCellMar>
        </w:tblPrEx>
        <w:tc>
          <w:tcPr>
            <w:tcW w:w="4261" w:type="dxa"/>
          </w:tcPr>
          <w:p>
            <w:pPr>
              <w:tabs>
                <w:tab w:val="left" w:pos="360"/>
              </w:tabs>
              <w:spacing w:line="520" w:lineRule="exact"/>
              <w:rPr>
                <w:sz w:val="24"/>
                <w:szCs w:val="24"/>
              </w:rPr>
            </w:pPr>
            <w:r>
              <w:rPr>
                <w:sz w:val="24"/>
                <w:szCs w:val="24"/>
              </w:rPr>
              <w:t xml:space="preserve">法定代表人： </w:t>
            </w:r>
          </w:p>
        </w:tc>
        <w:tc>
          <w:tcPr>
            <w:tcW w:w="4261" w:type="dxa"/>
          </w:tcPr>
          <w:p>
            <w:pPr>
              <w:tabs>
                <w:tab w:val="left" w:pos="360"/>
              </w:tabs>
              <w:spacing w:line="520" w:lineRule="exact"/>
              <w:rPr>
                <w:sz w:val="24"/>
                <w:szCs w:val="24"/>
              </w:rPr>
            </w:pPr>
            <w:r>
              <w:rPr>
                <w:sz w:val="24"/>
                <w:szCs w:val="24"/>
              </w:rPr>
              <w:t xml:space="preserve">法定代表人： </w:t>
            </w:r>
          </w:p>
        </w:tc>
      </w:tr>
      <w:tr>
        <w:tblPrEx>
          <w:tblCellMar>
            <w:top w:w="0" w:type="dxa"/>
            <w:left w:w="108" w:type="dxa"/>
            <w:bottom w:w="0" w:type="dxa"/>
            <w:right w:w="108" w:type="dxa"/>
          </w:tblCellMar>
        </w:tblPrEx>
        <w:tc>
          <w:tcPr>
            <w:tcW w:w="4261" w:type="dxa"/>
          </w:tcPr>
          <w:p>
            <w:pPr>
              <w:tabs>
                <w:tab w:val="left" w:pos="360"/>
              </w:tabs>
              <w:spacing w:line="520" w:lineRule="exact"/>
              <w:rPr>
                <w:sz w:val="24"/>
                <w:szCs w:val="24"/>
              </w:rPr>
            </w:pPr>
            <w:r>
              <w:rPr>
                <w:sz w:val="24"/>
                <w:szCs w:val="24"/>
              </w:rPr>
              <w:t xml:space="preserve">委托代理人： </w:t>
            </w:r>
          </w:p>
        </w:tc>
        <w:tc>
          <w:tcPr>
            <w:tcW w:w="4261" w:type="dxa"/>
          </w:tcPr>
          <w:p>
            <w:pPr>
              <w:tabs>
                <w:tab w:val="left" w:pos="360"/>
              </w:tabs>
              <w:spacing w:line="520" w:lineRule="exact"/>
              <w:rPr>
                <w:sz w:val="24"/>
                <w:szCs w:val="24"/>
              </w:rPr>
            </w:pPr>
            <w:r>
              <w:rPr>
                <w:sz w:val="24"/>
                <w:szCs w:val="24"/>
              </w:rPr>
              <w:t xml:space="preserve">委托代理人： </w:t>
            </w:r>
          </w:p>
        </w:tc>
      </w:tr>
      <w:tr>
        <w:tblPrEx>
          <w:tblCellMar>
            <w:top w:w="0" w:type="dxa"/>
            <w:left w:w="108" w:type="dxa"/>
            <w:bottom w:w="0" w:type="dxa"/>
            <w:right w:w="108" w:type="dxa"/>
          </w:tblCellMar>
        </w:tblPrEx>
        <w:tc>
          <w:tcPr>
            <w:tcW w:w="4261" w:type="dxa"/>
          </w:tcPr>
          <w:p>
            <w:pPr>
              <w:tabs>
                <w:tab w:val="left" w:pos="360"/>
              </w:tabs>
              <w:spacing w:line="520" w:lineRule="exact"/>
              <w:rPr>
                <w:sz w:val="24"/>
                <w:szCs w:val="24"/>
              </w:rPr>
            </w:pPr>
            <w:r>
              <w:rPr>
                <w:sz w:val="24"/>
                <w:szCs w:val="24"/>
              </w:rPr>
              <w:t>电话：</w:t>
            </w:r>
          </w:p>
        </w:tc>
        <w:tc>
          <w:tcPr>
            <w:tcW w:w="4261" w:type="dxa"/>
          </w:tcPr>
          <w:p>
            <w:pPr>
              <w:tabs>
                <w:tab w:val="left" w:pos="360"/>
              </w:tabs>
              <w:spacing w:line="520" w:lineRule="exact"/>
              <w:rPr>
                <w:sz w:val="24"/>
                <w:szCs w:val="24"/>
              </w:rPr>
            </w:pPr>
            <w:r>
              <w:rPr>
                <w:sz w:val="24"/>
                <w:szCs w:val="24"/>
              </w:rPr>
              <w:t>电话：</w:t>
            </w:r>
          </w:p>
        </w:tc>
      </w:tr>
    </w:tbl>
    <w:p>
      <w:pPr>
        <w:rPr>
          <w:sz w:val="24"/>
          <w:szCs w:val="24"/>
        </w:rPr>
      </w:pPr>
    </w:p>
    <w:p>
      <w:pPr>
        <w:rPr>
          <w:szCs w:val="24"/>
        </w:rPr>
      </w:pPr>
      <w:r>
        <w:rPr>
          <w:sz w:val="24"/>
          <w:szCs w:val="24"/>
        </w:rPr>
        <w:t>时间：20</w:t>
      </w:r>
      <w:r>
        <w:rPr>
          <w:rFonts w:hint="eastAsia"/>
          <w:sz w:val="24"/>
          <w:szCs w:val="24"/>
        </w:rPr>
        <w:t xml:space="preserve">  </w:t>
      </w:r>
      <w:r>
        <w:rPr>
          <w:sz w:val="24"/>
          <w:szCs w:val="24"/>
        </w:rPr>
        <w:t>年  月  日</w:t>
      </w:r>
    </w:p>
    <w:p>
      <w:pPr>
        <w:jc w:val="center"/>
        <w:rPr>
          <w:b/>
          <w:sz w:val="30"/>
          <w:szCs w:val="30"/>
        </w:rPr>
      </w:pPr>
      <w:r>
        <w:rPr>
          <w:b/>
          <w:sz w:val="30"/>
          <w:szCs w:val="30"/>
        </w:rPr>
        <w:br w:type="page"/>
      </w:r>
      <w:r>
        <w:rPr>
          <w:b/>
          <w:sz w:val="30"/>
          <w:szCs w:val="30"/>
        </w:rPr>
        <w:t>合同特殊条款</w:t>
      </w:r>
    </w:p>
    <w:p>
      <w:pPr>
        <w:tabs>
          <w:tab w:val="left" w:pos="360"/>
        </w:tabs>
        <w:spacing w:line="520" w:lineRule="exact"/>
        <w:ind w:firstLine="383" w:firstLineChars="171"/>
        <w:rPr>
          <w:color w:val="000000"/>
          <w:sz w:val="24"/>
          <w:szCs w:val="24"/>
        </w:rPr>
      </w:pPr>
    </w:p>
    <w:p>
      <w:pPr>
        <w:tabs>
          <w:tab w:val="left" w:pos="360"/>
        </w:tabs>
        <w:spacing w:line="520" w:lineRule="exact"/>
        <w:ind w:firstLine="383" w:firstLineChars="171"/>
        <w:rPr>
          <w:color w:val="000000"/>
          <w:sz w:val="24"/>
          <w:szCs w:val="24"/>
        </w:rPr>
      </w:pPr>
      <w:r>
        <w:rPr>
          <w:color w:val="000000"/>
          <w:sz w:val="24"/>
          <w:szCs w:val="24"/>
        </w:rPr>
        <w:t xml:space="preserve"> 合同特殊条款是合同一般条款的补充和修改。如果两者之间有抵触，应以特殊条款为准。</w:t>
      </w:r>
    </w:p>
    <w:p>
      <w:pPr>
        <w:tabs>
          <w:tab w:val="left" w:pos="360"/>
        </w:tabs>
        <w:spacing w:line="520" w:lineRule="exact"/>
        <w:ind w:firstLine="383" w:firstLineChars="171"/>
        <w:rPr>
          <w:color w:val="000000"/>
          <w:sz w:val="24"/>
          <w:szCs w:val="24"/>
        </w:rPr>
      </w:pPr>
      <w:r>
        <w:rPr>
          <w:color w:val="000000"/>
          <w:sz w:val="24"/>
          <w:szCs w:val="24"/>
        </w:rPr>
        <w:t xml:space="preserve"> 合同特殊条款由</w:t>
      </w:r>
      <w:r>
        <w:rPr>
          <w:rFonts w:hint="eastAsia"/>
          <w:color w:val="000000"/>
          <w:sz w:val="24"/>
          <w:szCs w:val="24"/>
        </w:rPr>
        <w:t>供方</w:t>
      </w:r>
      <w:r>
        <w:rPr>
          <w:color w:val="000000"/>
          <w:sz w:val="24"/>
          <w:szCs w:val="24"/>
        </w:rPr>
        <w:t>和需方根据项目的具体情况协商拟订。</w:t>
      </w:r>
    </w:p>
    <w:p>
      <w:pPr>
        <w:autoSpaceDE w:val="0"/>
        <w:autoSpaceDN w:val="0"/>
        <w:adjustRightInd w:val="0"/>
        <w:spacing w:line="360" w:lineRule="auto"/>
        <w:ind w:firstLine="448" w:firstLineChars="200"/>
        <w:rPr>
          <w:sz w:val="24"/>
        </w:rPr>
      </w:pPr>
    </w:p>
    <w:p>
      <w:pPr>
        <w:widowControl/>
        <w:jc w:val="left"/>
        <w:rPr>
          <w:sz w:val="24"/>
        </w:rPr>
      </w:pPr>
      <w:r>
        <w:rPr>
          <w:sz w:val="24"/>
        </w:rPr>
        <w:br w:type="page"/>
      </w:r>
    </w:p>
    <w:p>
      <w:pPr>
        <w:pStyle w:val="16"/>
        <w:rPr>
          <w:rFonts w:ascii="Times New Roman" w:hAnsi="Times New Roman"/>
        </w:rPr>
      </w:pPr>
      <w:r>
        <w:rPr>
          <w:rFonts w:ascii="Times New Roman" w:hAnsi="Times New Roman"/>
        </w:rPr>
        <w:t>第五部分  投标文件格式</w:t>
      </w:r>
    </w:p>
    <w:p>
      <w:pPr>
        <w:autoSpaceDN w:val="0"/>
        <w:spacing w:line="360" w:lineRule="auto"/>
        <w:jc w:val="center"/>
        <w:rPr>
          <w:b/>
          <w:bCs/>
          <w:sz w:val="24"/>
        </w:rPr>
      </w:pPr>
      <w:r>
        <w:rPr>
          <w:b/>
          <w:bCs/>
          <w:sz w:val="24"/>
        </w:rPr>
        <w:t>投标文件封面格式</w:t>
      </w:r>
    </w:p>
    <w:p>
      <w:pPr>
        <w:autoSpaceDE w:val="0"/>
        <w:autoSpaceDN w:val="0"/>
        <w:adjustRightInd w:val="0"/>
        <w:spacing w:line="520" w:lineRule="exact"/>
      </w:pPr>
    </w:p>
    <w:p>
      <w:pPr>
        <w:autoSpaceDE w:val="0"/>
        <w:autoSpaceDN w:val="0"/>
        <w:adjustRightInd w:val="0"/>
        <w:spacing w:line="520" w:lineRule="exact"/>
        <w:rPr>
          <w:b/>
          <w:kern w:val="0"/>
          <w:sz w:val="24"/>
        </w:rPr>
      </w:pPr>
      <w:r>
        <w:drawing>
          <wp:anchor distT="0" distB="0" distL="114300" distR="114300" simplePos="0" relativeHeight="251662336" behindDoc="0" locked="0" layoutInCell="1" allowOverlap="1">
            <wp:simplePos x="0" y="0"/>
            <wp:positionH relativeFrom="column">
              <wp:posOffset>26670</wp:posOffset>
            </wp:positionH>
            <wp:positionV relativeFrom="paragraph">
              <wp:posOffset>179705</wp:posOffset>
            </wp:positionV>
            <wp:extent cx="480060" cy="434340"/>
            <wp:effectExtent l="0" t="0" r="0" b="3810"/>
            <wp:wrapNone/>
            <wp:docPr id="4" name="图片 4"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480060" cy="434340"/>
                    </a:xfrm>
                    <a:prstGeom prst="rect">
                      <a:avLst/>
                    </a:prstGeom>
                    <a:noFill/>
                    <a:ln>
                      <a:noFill/>
                    </a:ln>
                  </pic:spPr>
                </pic:pic>
              </a:graphicData>
            </a:graphic>
          </wp:anchor>
        </w:drawing>
      </w:r>
    </w:p>
    <w:p>
      <w:pPr>
        <w:autoSpaceDE w:val="0"/>
        <w:autoSpaceDN w:val="0"/>
        <w:adjustRightInd w:val="0"/>
        <w:spacing w:line="520" w:lineRule="exact"/>
        <w:rPr>
          <w:b/>
          <w:kern w:val="0"/>
          <w:sz w:val="24"/>
        </w:rPr>
      </w:pPr>
    </w:p>
    <w:p>
      <w:pPr>
        <w:autoSpaceDE w:val="0"/>
        <w:autoSpaceDN w:val="0"/>
        <w:adjustRightInd w:val="0"/>
        <w:spacing w:line="520" w:lineRule="exact"/>
        <w:rPr>
          <w:b/>
          <w:kern w:val="0"/>
          <w:sz w:val="24"/>
        </w:rPr>
      </w:pPr>
    </w:p>
    <w:p>
      <w:pPr>
        <w:autoSpaceDE w:val="0"/>
        <w:autoSpaceDN w:val="0"/>
        <w:adjustRightInd w:val="0"/>
        <w:jc w:val="center"/>
        <w:rPr>
          <w:kern w:val="0"/>
          <w:sz w:val="144"/>
          <w:szCs w:val="144"/>
        </w:rPr>
      </w:pPr>
      <w:r>
        <w:rPr>
          <w:sz w:val="160"/>
          <w:szCs w:val="84"/>
        </w:rPr>
        <w:t>投</w:t>
      </w:r>
      <w:r>
        <w:rPr>
          <w:sz w:val="90"/>
          <w:szCs w:val="90"/>
        </w:rPr>
        <w:t xml:space="preserve"> </w:t>
      </w:r>
      <w:r>
        <w:rPr>
          <w:sz w:val="160"/>
          <w:szCs w:val="84"/>
        </w:rPr>
        <w:t>标</w:t>
      </w:r>
      <w:r>
        <w:rPr>
          <w:sz w:val="84"/>
          <w:szCs w:val="84"/>
        </w:rPr>
        <w:t xml:space="preserve"> </w:t>
      </w:r>
      <w:r>
        <w:rPr>
          <w:sz w:val="160"/>
          <w:szCs w:val="84"/>
        </w:rPr>
        <w:t>文</w:t>
      </w:r>
      <w:r>
        <w:rPr>
          <w:sz w:val="84"/>
          <w:szCs w:val="84"/>
        </w:rPr>
        <w:t xml:space="preserve"> </w:t>
      </w:r>
      <w:r>
        <w:rPr>
          <w:sz w:val="160"/>
          <w:szCs w:val="84"/>
        </w:rPr>
        <w:t>件</w:t>
      </w:r>
    </w:p>
    <w:p>
      <w:pPr>
        <w:autoSpaceDE w:val="0"/>
        <w:autoSpaceDN w:val="0"/>
        <w:adjustRightInd w:val="0"/>
        <w:spacing w:line="520" w:lineRule="exact"/>
        <w:rPr>
          <w:b/>
          <w:kern w:val="0"/>
          <w:sz w:val="36"/>
          <w:szCs w:val="36"/>
        </w:rPr>
      </w:pPr>
    </w:p>
    <w:p>
      <w:pPr>
        <w:autoSpaceDE w:val="0"/>
        <w:autoSpaceDN w:val="0"/>
        <w:adjustRightInd w:val="0"/>
        <w:spacing w:line="520" w:lineRule="exact"/>
        <w:jc w:val="center"/>
        <w:rPr>
          <w:b/>
          <w:color w:val="FF0000"/>
          <w:kern w:val="0"/>
          <w:sz w:val="24"/>
        </w:rPr>
      </w:pPr>
      <w:r>
        <w:rPr>
          <w:b/>
          <w:color w:val="FF0000"/>
          <w:kern w:val="0"/>
          <w:sz w:val="24"/>
        </w:rPr>
        <w:t>（加盖电子签章）</w:t>
      </w:r>
    </w:p>
    <w:p>
      <w:pPr>
        <w:spacing w:before="85" w:beforeLines="30" w:after="199" w:afterLines="70" w:line="540" w:lineRule="exact"/>
        <w:ind w:left="582" w:leftChars="300"/>
        <w:rPr>
          <w:b/>
          <w:sz w:val="34"/>
          <w:szCs w:val="34"/>
        </w:rPr>
      </w:pPr>
      <w:r>
        <w:rPr>
          <w:b/>
          <w:sz w:val="34"/>
          <w:szCs w:val="34"/>
        </w:rPr>
        <w:t>项目编号：</w:t>
      </w:r>
    </w:p>
    <w:p>
      <w:pPr>
        <w:spacing w:before="85" w:beforeLines="30" w:after="199" w:afterLines="70" w:line="540" w:lineRule="exact"/>
        <w:ind w:left="2027" w:leftChars="300" w:hanging="1445" w:hangingChars="446"/>
        <w:rPr>
          <w:b/>
          <w:sz w:val="34"/>
          <w:szCs w:val="34"/>
        </w:rPr>
      </w:pPr>
      <w:r>
        <w:rPr>
          <w:b/>
          <w:sz w:val="34"/>
          <w:szCs w:val="34"/>
        </w:rPr>
        <w:t>项目名称：</w:t>
      </w:r>
    </w:p>
    <w:p>
      <w:pPr>
        <w:spacing w:before="85" w:beforeLines="30" w:after="199" w:afterLines="70" w:line="540" w:lineRule="exact"/>
        <w:ind w:left="2027" w:leftChars="300" w:hanging="1445" w:hangingChars="446"/>
        <w:rPr>
          <w:b/>
          <w:sz w:val="34"/>
          <w:szCs w:val="34"/>
        </w:rPr>
      </w:pPr>
      <w:r>
        <w:rPr>
          <w:b/>
          <w:sz w:val="34"/>
          <w:szCs w:val="34"/>
        </w:rPr>
        <w:t>所投包号：</w:t>
      </w:r>
    </w:p>
    <w:p>
      <w:pPr>
        <w:spacing w:before="85" w:beforeLines="30" w:after="199" w:afterLines="70" w:line="540" w:lineRule="exact"/>
        <w:ind w:left="582" w:leftChars="300"/>
        <w:rPr>
          <w:b/>
          <w:sz w:val="34"/>
          <w:szCs w:val="34"/>
        </w:rPr>
      </w:pPr>
      <w:r>
        <w:rPr>
          <w:b/>
          <w:sz w:val="34"/>
          <w:szCs w:val="34"/>
        </w:rPr>
        <w:t>投标单位名称：</w:t>
      </w:r>
    </w:p>
    <w:p>
      <w:pPr>
        <w:spacing w:before="85" w:beforeLines="30" w:after="199" w:afterLines="70" w:line="540" w:lineRule="exact"/>
        <w:ind w:left="582" w:leftChars="300"/>
        <w:rPr>
          <w:b/>
          <w:sz w:val="34"/>
          <w:szCs w:val="34"/>
        </w:rPr>
      </w:pPr>
      <w:r>
        <w:rPr>
          <w:rFonts w:hint="eastAsia"/>
          <w:b/>
          <w:sz w:val="34"/>
          <w:szCs w:val="34"/>
        </w:rPr>
        <w:t>投标代表人姓名：</w:t>
      </w:r>
    </w:p>
    <w:p>
      <w:pPr>
        <w:spacing w:before="85" w:beforeLines="30" w:after="199" w:afterLines="70" w:line="540" w:lineRule="exact"/>
        <w:ind w:left="582" w:leftChars="300"/>
        <w:rPr>
          <w:b/>
          <w:sz w:val="34"/>
          <w:szCs w:val="34"/>
        </w:rPr>
      </w:pPr>
    </w:p>
    <w:p>
      <w:pPr>
        <w:spacing w:before="85" w:beforeLines="30" w:after="199" w:afterLines="70" w:line="540" w:lineRule="exact"/>
        <w:ind w:left="582" w:leftChars="300"/>
        <w:rPr>
          <w:b/>
          <w:sz w:val="34"/>
          <w:szCs w:val="34"/>
        </w:rPr>
      </w:pPr>
    </w:p>
    <w:p>
      <w:pPr>
        <w:spacing w:before="85" w:beforeLines="30" w:after="199" w:afterLines="70" w:line="540" w:lineRule="exact"/>
        <w:ind w:left="582" w:leftChars="300"/>
        <w:rPr>
          <w:b/>
          <w:sz w:val="34"/>
          <w:szCs w:val="34"/>
        </w:rPr>
      </w:pPr>
    </w:p>
    <w:p>
      <w:pPr>
        <w:spacing w:before="85" w:beforeLines="30" w:after="199" w:afterLines="70" w:line="540" w:lineRule="exact"/>
        <w:ind w:left="582" w:leftChars="300"/>
        <w:rPr>
          <w:b/>
          <w:bCs/>
          <w:sz w:val="24"/>
        </w:rPr>
      </w:pPr>
      <w:r>
        <w:rPr>
          <w:b/>
          <w:sz w:val="34"/>
          <w:szCs w:val="34"/>
        </w:rPr>
        <w:t>投标日期：   年   月   日</w:t>
      </w:r>
    </w:p>
    <w:p>
      <w:pPr>
        <w:widowControl/>
        <w:jc w:val="left"/>
        <w:rPr>
          <w:b/>
          <w:bCs/>
          <w:sz w:val="24"/>
        </w:rPr>
      </w:pPr>
      <w:r>
        <w:rPr>
          <w:b/>
          <w:bCs/>
          <w:sz w:val="24"/>
        </w:rPr>
        <w:br w:type="page"/>
      </w:r>
    </w:p>
    <w:p>
      <w:pPr>
        <w:autoSpaceDN w:val="0"/>
        <w:spacing w:line="360" w:lineRule="auto"/>
        <w:jc w:val="center"/>
        <w:rPr>
          <w:b/>
          <w:bCs/>
          <w:sz w:val="24"/>
        </w:rPr>
      </w:pPr>
      <w:r>
        <w:rPr>
          <w:b/>
          <w:bCs/>
          <w:sz w:val="24"/>
        </w:rPr>
        <w:t>投标文件总目录</w:t>
      </w:r>
    </w:p>
    <w:p>
      <w:pPr>
        <w:autoSpaceDN w:val="0"/>
        <w:spacing w:line="360" w:lineRule="auto"/>
        <w:jc w:val="center"/>
        <w:rPr>
          <w:b/>
          <w:bCs/>
          <w:sz w:val="24"/>
        </w:rPr>
      </w:pPr>
      <w:r>
        <w:rPr>
          <w:b/>
          <w:bCs/>
          <w:sz w:val="24"/>
        </w:rPr>
        <w:t>（</w:t>
      </w:r>
      <w:r>
        <w:rPr>
          <w:rFonts w:hint="eastAsia"/>
          <w:b/>
          <w:bCs/>
          <w:sz w:val="24"/>
        </w:rPr>
        <w:t>投标人</w:t>
      </w:r>
      <w:r>
        <w:rPr>
          <w:b/>
          <w:bCs/>
          <w:sz w:val="24"/>
        </w:rPr>
        <w:t>自行编制）</w:t>
      </w:r>
    </w:p>
    <w:p>
      <w:pPr>
        <w:widowControl/>
        <w:jc w:val="center"/>
        <w:rPr>
          <w:b/>
          <w:sz w:val="24"/>
        </w:rPr>
      </w:pPr>
    </w:p>
    <w:p>
      <w:pPr>
        <w:widowControl/>
        <w:jc w:val="left"/>
        <w:rPr>
          <w:b/>
          <w:sz w:val="24"/>
        </w:rPr>
      </w:pPr>
      <w:r>
        <w:rPr>
          <w:b/>
          <w:sz w:val="24"/>
        </w:rPr>
        <w:br w:type="page"/>
      </w:r>
    </w:p>
    <w:p>
      <w:pPr>
        <w:widowControl/>
        <w:jc w:val="center"/>
        <w:rPr>
          <w:b/>
          <w:sz w:val="24"/>
        </w:rPr>
      </w:pPr>
      <w:r>
        <w:rPr>
          <w:b/>
          <w:sz w:val="24"/>
        </w:rPr>
        <w:t>评分因素及评标标准页码检索</w:t>
      </w:r>
    </w:p>
    <w:p>
      <w:pPr>
        <w:widowControl/>
        <w:jc w:val="center"/>
        <w:rPr>
          <w:b/>
          <w:sz w:val="24"/>
        </w:rPr>
      </w:pPr>
      <w:r>
        <w:rPr>
          <w:b/>
          <w:bCs/>
          <w:sz w:val="24"/>
        </w:rPr>
        <w:t>（需投标人按招标文件“评分因素及评标标准”中每个评分项逐项列明页码）</w:t>
      </w:r>
    </w:p>
    <w:p>
      <w:pPr>
        <w:widowControl/>
        <w:jc w:val="left"/>
        <w:rPr>
          <w:sz w:val="24"/>
        </w:rPr>
      </w:pPr>
      <w:r>
        <w:rPr>
          <w:sz w:val="24"/>
        </w:rPr>
        <w:br w:type="page"/>
      </w:r>
    </w:p>
    <w:p>
      <w:pPr>
        <w:tabs>
          <w:tab w:val="left" w:pos="360"/>
        </w:tabs>
        <w:spacing w:after="285" w:afterLines="100" w:line="360" w:lineRule="auto"/>
        <w:rPr>
          <w:b/>
          <w:sz w:val="24"/>
        </w:rPr>
      </w:pPr>
      <w:r>
        <w:rPr>
          <w:b/>
          <w:sz w:val="24"/>
        </w:rPr>
        <w:t>附件1</w:t>
      </w:r>
    </w:p>
    <w:p>
      <w:pPr>
        <w:autoSpaceDN w:val="0"/>
        <w:spacing w:line="360" w:lineRule="auto"/>
        <w:jc w:val="center"/>
        <w:rPr>
          <w:b/>
          <w:bCs/>
          <w:sz w:val="24"/>
        </w:rPr>
      </w:pPr>
      <w:r>
        <w:rPr>
          <w:b/>
          <w:bCs/>
          <w:sz w:val="24"/>
        </w:rPr>
        <w:t>投标书</w:t>
      </w:r>
    </w:p>
    <w:p>
      <w:pPr>
        <w:spacing w:line="360" w:lineRule="auto"/>
        <w:rPr>
          <w:sz w:val="24"/>
        </w:rPr>
      </w:pPr>
      <w:r>
        <w:rPr>
          <w:sz w:val="24"/>
        </w:rPr>
        <w:t>致：天津市政府采购中心</w:t>
      </w:r>
    </w:p>
    <w:p>
      <w:pPr>
        <w:spacing w:line="360" w:lineRule="auto"/>
        <w:ind w:firstLine="448" w:firstLineChars="200"/>
        <w:rPr>
          <w:sz w:val="24"/>
        </w:rPr>
      </w:pPr>
      <w:r>
        <w:rPr>
          <w:sz w:val="24"/>
        </w:rPr>
        <w:t>根据贵方为天津市</w:t>
      </w:r>
      <w:r>
        <w:rPr>
          <w:sz w:val="24"/>
          <w:u w:val="single"/>
        </w:rPr>
        <w:t xml:space="preserve">                  </w:t>
      </w:r>
      <w:r>
        <w:rPr>
          <w:sz w:val="24"/>
        </w:rPr>
        <w:t>项目（项目编号：</w:t>
      </w:r>
      <w:r>
        <w:rPr>
          <w:sz w:val="24"/>
          <w:u w:val="single"/>
        </w:rPr>
        <w:t xml:space="preserve">             </w:t>
      </w:r>
      <w:r>
        <w:rPr>
          <w:sz w:val="24"/>
        </w:rPr>
        <w:t>）的投标邀请，签字代表</w:t>
      </w:r>
      <w:r>
        <w:rPr>
          <w:sz w:val="24"/>
          <w:u w:val="single"/>
        </w:rPr>
        <w:t xml:space="preserve">                           </w:t>
      </w:r>
      <w:r>
        <w:rPr>
          <w:sz w:val="24"/>
        </w:rPr>
        <w:t>（姓名</w:t>
      </w:r>
      <w:r>
        <w:rPr>
          <w:sz w:val="24"/>
          <w:lang w:val="en-GB"/>
        </w:rPr>
        <w:t>/</w:t>
      </w:r>
      <w:r>
        <w:rPr>
          <w:sz w:val="24"/>
        </w:rPr>
        <w:t>职务）经正式授权并代表我公司</w:t>
      </w:r>
      <w:r>
        <w:rPr>
          <w:sz w:val="24"/>
          <w:u w:val="single"/>
        </w:rPr>
        <w:t xml:space="preserve">                           </w:t>
      </w:r>
      <w:r>
        <w:rPr>
          <w:sz w:val="24"/>
        </w:rPr>
        <w:t>（投标单位名称、地址）提交</w:t>
      </w:r>
      <w:r>
        <w:rPr>
          <w:rFonts w:hint="eastAsia"/>
          <w:sz w:val="24"/>
        </w:rPr>
        <w:t>网上应答及上传加盖电子签章的投标文件</w:t>
      </w:r>
      <w:r>
        <w:rPr>
          <w:sz w:val="24"/>
        </w:rPr>
        <w:t>。</w:t>
      </w:r>
    </w:p>
    <w:p>
      <w:pPr>
        <w:spacing w:line="360" w:lineRule="auto"/>
        <w:ind w:firstLine="448" w:firstLineChars="200"/>
        <w:rPr>
          <w:sz w:val="24"/>
        </w:rPr>
      </w:pPr>
      <w:r>
        <w:rPr>
          <w:sz w:val="24"/>
        </w:rPr>
        <w:t>据此函，签字代表宣布同意如下：</w:t>
      </w:r>
    </w:p>
    <w:p>
      <w:pPr>
        <w:spacing w:line="360" w:lineRule="auto"/>
        <w:ind w:firstLine="448" w:firstLineChars="200"/>
        <w:rPr>
          <w:sz w:val="24"/>
        </w:rPr>
      </w:pPr>
      <w:r>
        <w:rPr>
          <w:sz w:val="24"/>
        </w:rPr>
        <w:t>1. 所附投标报价表中规定的应提供和交付的服务投标总价为：</w:t>
      </w:r>
    </w:p>
    <w:p>
      <w:pPr>
        <w:spacing w:line="360" w:lineRule="auto"/>
        <w:ind w:firstLine="448" w:firstLineChars="200"/>
        <w:rPr>
          <w:sz w:val="24"/>
        </w:rPr>
      </w:pPr>
      <w:r>
        <w:rPr>
          <w:sz w:val="24"/>
        </w:rPr>
        <w:t>第</w:t>
      </w:r>
      <w:r>
        <w:rPr>
          <w:rFonts w:hint="eastAsia"/>
          <w:sz w:val="24"/>
        </w:rPr>
        <w:t xml:space="preserve">   </w:t>
      </w:r>
      <w:r>
        <w:rPr>
          <w:sz w:val="24"/>
        </w:rPr>
        <w:t>包，</w:t>
      </w:r>
      <w:r>
        <w:rPr>
          <w:sz w:val="24"/>
          <w:u w:val="single"/>
        </w:rPr>
        <w:t xml:space="preserve">      </w:t>
      </w:r>
      <w:r>
        <w:rPr>
          <w:sz w:val="24"/>
        </w:rPr>
        <w:t>元（人民币），大写</w:t>
      </w:r>
      <w:r>
        <w:rPr>
          <w:sz w:val="24"/>
          <w:u w:val="single"/>
        </w:rPr>
        <w:t xml:space="preserve">                   </w:t>
      </w:r>
      <w:r>
        <w:rPr>
          <w:sz w:val="24"/>
        </w:rPr>
        <w:t>。</w:t>
      </w:r>
    </w:p>
    <w:p>
      <w:pPr>
        <w:spacing w:line="360" w:lineRule="auto"/>
        <w:ind w:firstLine="448" w:firstLineChars="200"/>
        <w:rPr>
          <w:sz w:val="24"/>
        </w:rPr>
      </w:pPr>
      <w:r>
        <w:rPr>
          <w:sz w:val="24"/>
        </w:rPr>
        <w:t>……</w:t>
      </w:r>
    </w:p>
    <w:p>
      <w:pPr>
        <w:spacing w:line="360" w:lineRule="auto"/>
        <w:ind w:firstLine="448" w:firstLineChars="200"/>
        <w:rPr>
          <w:sz w:val="24"/>
        </w:rPr>
      </w:pPr>
      <w:r>
        <w:rPr>
          <w:sz w:val="24"/>
        </w:rPr>
        <w:t>2. 我公司将按招标文件的规定履行合同责任和义务。</w:t>
      </w:r>
    </w:p>
    <w:p>
      <w:pPr>
        <w:spacing w:line="360" w:lineRule="auto"/>
        <w:ind w:firstLine="448" w:firstLineChars="200"/>
        <w:rPr>
          <w:sz w:val="24"/>
        </w:rPr>
      </w:pPr>
      <w:r>
        <w:rPr>
          <w:sz w:val="24"/>
        </w:rPr>
        <w:t>3. 我公司已详细审查全部招标文件，包括更正公告以及全部参考资料和所有附件。我们认为全部招标文件（包括更正公告以及全部参考资料和所有附件）公平公正，无倾向性和排他性，我们完全理解并同意放弃对这方面有不明及误解的权利。</w:t>
      </w:r>
    </w:p>
    <w:p>
      <w:pPr>
        <w:spacing w:line="360" w:lineRule="auto"/>
        <w:ind w:firstLine="448" w:firstLineChars="200"/>
        <w:rPr>
          <w:sz w:val="24"/>
        </w:rPr>
      </w:pPr>
      <w:r>
        <w:rPr>
          <w:sz w:val="24"/>
        </w:rPr>
        <w:t>4. 我公司的投标有效期为开标之日起60天。</w:t>
      </w:r>
    </w:p>
    <w:p>
      <w:pPr>
        <w:spacing w:line="360" w:lineRule="auto"/>
        <w:ind w:firstLine="448" w:firstLineChars="200"/>
        <w:rPr>
          <w:sz w:val="24"/>
        </w:rPr>
      </w:pPr>
      <w:r>
        <w:rPr>
          <w:sz w:val="24"/>
        </w:rPr>
        <w:t>5. 我公司同意按照招标方要求提供的与投标有关的一切数据或资料，并声明投标文件及所提供的一切资料均真实有效。由于我公司提供资料不实而造成的责任和后果由我公司自行承担。</w:t>
      </w:r>
    </w:p>
    <w:p>
      <w:pPr>
        <w:spacing w:line="360" w:lineRule="auto"/>
        <w:ind w:firstLine="448" w:firstLineChars="200"/>
        <w:rPr>
          <w:sz w:val="24"/>
        </w:rPr>
      </w:pPr>
      <w:r>
        <w:rPr>
          <w:sz w:val="24"/>
        </w:rPr>
        <w:t>6. 我公司保证所投产品来自合法的供货渠道，若中标，则有义务向采购人提供其需要的有效书面证明材料。如果提供非法渠道的商品，视为欺诈，并承担相关责任。</w:t>
      </w:r>
    </w:p>
    <w:p>
      <w:pPr>
        <w:spacing w:line="360" w:lineRule="auto"/>
        <w:ind w:firstLine="448" w:firstLineChars="200"/>
        <w:rPr>
          <w:sz w:val="24"/>
        </w:rPr>
      </w:pPr>
      <w:r>
        <w:rPr>
          <w:sz w:val="24"/>
        </w:rPr>
        <w:t>7. 我公司已熟知贵中心关于本项目电子招投标的要求和规定，我公司完全响应本次招投标通过网上应答进行的方式，我方承诺投标数据以应答截止时间贵中心网络服务器数据库的记录为准，一切因网络通信或我方操作失误造成的应答数据错误或缺失均与贵中心无关，我方愿承担因此出现的任何风险和责任。</w:t>
      </w:r>
    </w:p>
    <w:p>
      <w:pPr>
        <w:spacing w:line="360" w:lineRule="auto"/>
        <w:ind w:firstLine="448" w:firstLineChars="200"/>
        <w:rPr>
          <w:sz w:val="24"/>
        </w:rPr>
      </w:pPr>
      <w:r>
        <w:rPr>
          <w:sz w:val="24"/>
        </w:rPr>
        <w:t>8. 我公司承诺完全符合</w:t>
      </w:r>
      <w:r>
        <w:rPr>
          <w:rFonts w:hint="eastAsia"/>
          <w:sz w:val="24"/>
        </w:rPr>
        <w:t>《中华人民共和国政府采购法》</w:t>
      </w:r>
      <w:r>
        <w:rPr>
          <w:sz w:val="24"/>
        </w:rPr>
        <w:t>、</w:t>
      </w:r>
      <w:r>
        <w:rPr>
          <w:rFonts w:hint="eastAsia"/>
          <w:sz w:val="24"/>
        </w:rPr>
        <w:t>《中华人民共和国政府采购法实施条例》</w:t>
      </w:r>
      <w:r>
        <w:rPr>
          <w:sz w:val="24"/>
        </w:rPr>
        <w:t>等法律法规规定，并随时接受采购人、采购代理机构的检查验证。在整个招标过程中，我公司若有违规行为，我公司完全接受贵中心依照相关法律法规和招标文件的规定给予处罚。</w:t>
      </w:r>
    </w:p>
    <w:p>
      <w:pPr>
        <w:spacing w:line="360" w:lineRule="auto"/>
        <w:ind w:firstLine="448" w:firstLineChars="200"/>
        <w:rPr>
          <w:sz w:val="24"/>
        </w:rPr>
      </w:pPr>
      <w:r>
        <w:rPr>
          <w:rFonts w:hint="eastAsia"/>
          <w:sz w:val="24"/>
        </w:rPr>
        <w:t>9. 我公司承诺未列入“信用中国”网站（www.creditchina.gov.cn）失信被执行人、重大税收违法案件当事人名单，也未列入中国政府采购网（www.ccgp.gov.cn）政府采购严重违法失信行为记录名单，符合《中华人民共和国政府采购法》第二十二条规定的各项条件，具备履行合同所必需的设备和专业技术能力，</w:t>
      </w:r>
      <w:r>
        <w:rPr>
          <w:rFonts w:hint="eastAsia"/>
          <w:sz w:val="24"/>
          <w:szCs w:val="24"/>
        </w:rPr>
        <w:t>投标截止日前3年在经营活动中没有重大违法记录</w:t>
      </w:r>
      <w:r>
        <w:rPr>
          <w:rFonts w:hint="eastAsia"/>
          <w:sz w:val="24"/>
        </w:rPr>
        <w:t>。</w:t>
      </w:r>
    </w:p>
    <w:p>
      <w:pPr>
        <w:spacing w:line="360" w:lineRule="auto"/>
        <w:ind w:firstLine="448" w:firstLineChars="200"/>
        <w:rPr>
          <w:sz w:val="24"/>
        </w:rPr>
      </w:pPr>
      <w:r>
        <w:rPr>
          <w:rFonts w:hint="eastAsia"/>
          <w:sz w:val="24"/>
        </w:rPr>
        <w:t>10</w:t>
      </w:r>
      <w:r>
        <w:rPr>
          <w:sz w:val="24"/>
        </w:rPr>
        <w:t>. 我公司若中标，本承诺将成为合同不可分割的一部分，与合同具有同等的法律效力。</w:t>
      </w:r>
    </w:p>
    <w:p>
      <w:pPr>
        <w:spacing w:line="360" w:lineRule="auto"/>
        <w:ind w:firstLine="448" w:firstLineChars="200"/>
        <w:rPr>
          <w:sz w:val="24"/>
        </w:rPr>
      </w:pPr>
      <w:r>
        <w:rPr>
          <w:sz w:val="24"/>
        </w:rPr>
        <w:t>1</w:t>
      </w:r>
      <w:r>
        <w:rPr>
          <w:rFonts w:hint="eastAsia"/>
          <w:sz w:val="24"/>
        </w:rPr>
        <w:t>1</w:t>
      </w:r>
      <w:r>
        <w:rPr>
          <w:sz w:val="24"/>
        </w:rPr>
        <w:t>. 如违反上述承诺，我公司投标无效且接受相关部门依法作出的处罚，并承担通过相关媒体予以公布的任何风险和责任。</w:t>
      </w:r>
    </w:p>
    <w:p>
      <w:pPr>
        <w:spacing w:line="360" w:lineRule="auto"/>
        <w:ind w:firstLine="448" w:firstLineChars="200"/>
        <w:rPr>
          <w:sz w:val="24"/>
        </w:rPr>
      </w:pPr>
      <w:r>
        <w:rPr>
          <w:sz w:val="24"/>
        </w:rPr>
        <w:t xml:space="preserve">12. </w:t>
      </w:r>
      <w:r>
        <w:rPr>
          <w:rFonts w:hint="eastAsia"/>
          <w:sz w:val="24"/>
        </w:rPr>
        <w:t>我公司开票信息如下，</w:t>
      </w:r>
      <w:r>
        <w:rPr>
          <w:rFonts w:hint="eastAsia"/>
          <w:b/>
          <w:sz w:val="24"/>
        </w:rPr>
        <w:t>此信息与我公司在税务局注册的信息一致</w:t>
      </w:r>
      <w:r>
        <w:rPr>
          <w:rFonts w:hint="eastAsia"/>
          <w:sz w:val="24"/>
        </w:rPr>
        <w:t>：</w:t>
      </w:r>
    </w:p>
    <w:p>
      <w:pPr>
        <w:spacing w:line="360" w:lineRule="auto"/>
        <w:ind w:firstLine="448" w:firstLineChars="200"/>
        <w:rPr>
          <w:sz w:val="24"/>
        </w:rPr>
      </w:pPr>
      <w:r>
        <w:rPr>
          <w:rFonts w:hint="eastAsia"/>
          <w:sz w:val="24"/>
        </w:rPr>
        <w:t>纳税人识别号：</w:t>
      </w:r>
    </w:p>
    <w:p>
      <w:pPr>
        <w:spacing w:line="360" w:lineRule="auto"/>
        <w:ind w:firstLine="448" w:firstLineChars="200"/>
        <w:rPr>
          <w:sz w:val="24"/>
        </w:rPr>
      </w:pPr>
      <w:r>
        <w:rPr>
          <w:rFonts w:hint="eastAsia"/>
          <w:sz w:val="24"/>
        </w:rPr>
        <w:t>地址、电话：</w:t>
      </w:r>
    </w:p>
    <w:p>
      <w:pPr>
        <w:spacing w:line="360" w:lineRule="auto"/>
        <w:ind w:firstLine="448" w:firstLineChars="200"/>
        <w:rPr>
          <w:sz w:val="24"/>
        </w:rPr>
      </w:pPr>
      <w:r>
        <w:rPr>
          <w:rFonts w:hint="eastAsia"/>
          <w:sz w:val="24"/>
        </w:rPr>
        <w:t>开户行及账号：</w:t>
      </w:r>
    </w:p>
    <w:p>
      <w:pPr>
        <w:spacing w:line="360" w:lineRule="auto"/>
        <w:ind w:firstLine="448" w:firstLineChars="200"/>
        <w:rPr>
          <w:sz w:val="24"/>
        </w:rPr>
      </w:pPr>
      <w:r>
        <w:rPr>
          <w:rFonts w:hint="eastAsia"/>
          <w:sz w:val="24"/>
        </w:rPr>
        <w:t>开具发票类型：□增值税专用发票         □增值税普通发票</w:t>
      </w:r>
    </w:p>
    <w:p>
      <w:pPr>
        <w:spacing w:line="360" w:lineRule="auto"/>
        <w:ind w:firstLine="448" w:firstLineChars="200"/>
        <w:rPr>
          <w:sz w:val="24"/>
        </w:rPr>
      </w:pPr>
      <w:r>
        <w:rPr>
          <w:rFonts w:hint="eastAsia"/>
          <w:sz w:val="24"/>
        </w:rPr>
        <w:t>13. 我公司选择招标代理服务费</w:t>
      </w:r>
      <w:r>
        <w:rPr>
          <w:sz w:val="24"/>
        </w:rPr>
        <w:t>发票领取方式（请自行选择以下任一方式并在相应</w:t>
      </w:r>
      <w:r>
        <w:rPr>
          <w:rFonts w:hint="eastAsia"/>
          <w:sz w:val="24"/>
        </w:rPr>
        <w:t>□里划“√”</w:t>
      </w:r>
      <w:r>
        <w:rPr>
          <w:sz w:val="24"/>
        </w:rPr>
        <w:t>）：</w:t>
      </w:r>
    </w:p>
    <w:p>
      <w:pPr>
        <w:spacing w:line="360" w:lineRule="auto"/>
        <w:ind w:firstLine="448" w:firstLineChars="200"/>
        <w:rPr>
          <w:b/>
          <w:sz w:val="24"/>
        </w:rPr>
      </w:pPr>
      <w:r>
        <w:rPr>
          <w:rFonts w:hint="eastAsia"/>
          <w:b/>
          <w:sz w:val="24"/>
        </w:rPr>
        <w:t>□</w:t>
      </w:r>
      <w:r>
        <w:rPr>
          <w:b/>
          <w:sz w:val="24"/>
        </w:rPr>
        <w:t>上门自取</w:t>
      </w:r>
    </w:p>
    <w:p>
      <w:pPr>
        <w:spacing w:line="360" w:lineRule="auto"/>
        <w:ind w:firstLine="448" w:firstLineChars="200"/>
        <w:rPr>
          <w:sz w:val="24"/>
        </w:rPr>
      </w:pPr>
    </w:p>
    <w:p>
      <w:pPr>
        <w:spacing w:line="360" w:lineRule="auto"/>
        <w:ind w:firstLine="448" w:firstLineChars="200"/>
        <w:rPr>
          <w:b/>
          <w:sz w:val="24"/>
        </w:rPr>
      </w:pPr>
      <w:r>
        <w:rPr>
          <w:rFonts w:hint="eastAsia"/>
          <w:b/>
          <w:sz w:val="24"/>
        </w:rPr>
        <w:t>□</w:t>
      </w:r>
      <w:r>
        <w:rPr>
          <w:b/>
          <w:sz w:val="24"/>
        </w:rPr>
        <w:t>到付邮寄</w:t>
      </w:r>
    </w:p>
    <w:p>
      <w:pPr>
        <w:spacing w:line="360" w:lineRule="auto"/>
        <w:ind w:firstLine="448" w:firstLineChars="200"/>
        <w:rPr>
          <w:sz w:val="24"/>
        </w:rPr>
      </w:pPr>
      <w:r>
        <w:rPr>
          <w:sz w:val="24"/>
        </w:rPr>
        <w:t>邮寄地址</w:t>
      </w:r>
      <w:r>
        <w:rPr>
          <w:rFonts w:hint="eastAsia"/>
          <w:sz w:val="24"/>
        </w:rPr>
        <w:t>、邮编</w:t>
      </w:r>
      <w:r>
        <w:rPr>
          <w:sz w:val="24"/>
        </w:rPr>
        <w:t>：</w:t>
      </w:r>
    </w:p>
    <w:p>
      <w:pPr>
        <w:spacing w:line="360" w:lineRule="auto"/>
        <w:ind w:firstLine="448" w:firstLineChars="200"/>
        <w:rPr>
          <w:sz w:val="24"/>
        </w:rPr>
      </w:pPr>
      <w:r>
        <w:rPr>
          <w:sz w:val="24"/>
        </w:rPr>
        <w:t>邮寄联系人、手机号码：</w:t>
      </w:r>
    </w:p>
    <w:p>
      <w:pPr>
        <w:spacing w:line="360" w:lineRule="auto"/>
        <w:ind w:firstLine="3808" w:firstLineChars="1700"/>
        <w:rPr>
          <w:sz w:val="24"/>
        </w:rPr>
      </w:pPr>
    </w:p>
    <w:p>
      <w:pPr>
        <w:spacing w:line="360" w:lineRule="auto"/>
        <w:ind w:firstLine="3808" w:firstLineChars="1700"/>
        <w:rPr>
          <w:sz w:val="24"/>
        </w:rPr>
      </w:pPr>
      <w:r>
        <w:rPr>
          <w:sz w:val="24"/>
        </w:rPr>
        <w:t>投标人名称：</w:t>
      </w:r>
    </w:p>
    <w:p>
      <w:pPr>
        <w:spacing w:line="360" w:lineRule="auto"/>
        <w:ind w:firstLine="3808" w:firstLineChars="1700"/>
        <w:rPr>
          <w:sz w:val="24"/>
        </w:rPr>
      </w:pPr>
    </w:p>
    <w:p>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pPr>
        <w:spacing w:line="460" w:lineRule="exact"/>
        <w:rPr>
          <w:sz w:val="24"/>
        </w:rPr>
      </w:pPr>
    </w:p>
    <w:p>
      <w:pPr>
        <w:widowControl/>
        <w:jc w:val="left"/>
        <w:rPr>
          <w:sz w:val="24"/>
        </w:rPr>
      </w:pPr>
      <w:r>
        <w:rPr>
          <w:sz w:val="24"/>
        </w:rPr>
        <w:br w:type="page"/>
      </w:r>
    </w:p>
    <w:p>
      <w:pPr>
        <w:widowControl/>
        <w:jc w:val="left"/>
        <w:rPr>
          <w:b/>
          <w:sz w:val="24"/>
        </w:rPr>
      </w:pPr>
      <w:r>
        <w:rPr>
          <w:b/>
          <w:sz w:val="24"/>
        </w:rPr>
        <w:t>附件2</w:t>
      </w:r>
    </w:p>
    <w:p>
      <w:pPr>
        <w:autoSpaceDN w:val="0"/>
        <w:spacing w:line="360" w:lineRule="auto"/>
        <w:jc w:val="center"/>
        <w:rPr>
          <w:b/>
          <w:bCs/>
          <w:sz w:val="24"/>
        </w:rPr>
      </w:pPr>
    </w:p>
    <w:p>
      <w:pPr>
        <w:ind w:right="84"/>
        <w:jc w:val="center"/>
        <w:rPr>
          <w:b/>
          <w:sz w:val="24"/>
        </w:rPr>
      </w:pPr>
      <w:r>
        <w:rPr>
          <w:rFonts w:hint="eastAsia"/>
          <w:b/>
          <w:sz w:val="24"/>
        </w:rPr>
        <w:t>供应商资格声明函</w:t>
      </w:r>
    </w:p>
    <w:p>
      <w:pPr>
        <w:spacing w:line="360" w:lineRule="auto"/>
        <w:ind w:firstLine="420"/>
        <w:jc w:val="center"/>
        <w:rPr>
          <w:b/>
          <w:sz w:val="24"/>
        </w:rPr>
      </w:pPr>
    </w:p>
    <w:p>
      <w:pPr>
        <w:spacing w:line="360" w:lineRule="auto"/>
        <w:rPr>
          <w:sz w:val="24"/>
        </w:rPr>
      </w:pPr>
      <w:r>
        <w:rPr>
          <w:rFonts w:hint="eastAsia"/>
          <w:sz w:val="24"/>
        </w:rPr>
        <w:t>天津市政府采购中心：</w:t>
      </w:r>
    </w:p>
    <w:p>
      <w:pPr>
        <w:spacing w:line="360" w:lineRule="auto"/>
        <w:ind w:firstLine="448" w:firstLineChars="200"/>
        <w:rPr>
          <w:sz w:val="24"/>
        </w:rPr>
      </w:pPr>
      <w:r>
        <w:rPr>
          <w:rFonts w:hint="eastAsia"/>
          <w:sz w:val="24"/>
        </w:rPr>
        <w:t>我单位自愿参与本项目的政府采购活动，郑重承诺如下：</w:t>
      </w:r>
    </w:p>
    <w:p>
      <w:pPr>
        <w:spacing w:line="360" w:lineRule="auto"/>
        <w:ind w:firstLine="448" w:firstLineChars="200"/>
        <w:rPr>
          <w:sz w:val="24"/>
        </w:rPr>
      </w:pPr>
      <w:r>
        <w:rPr>
          <w:rFonts w:hint="eastAsia"/>
          <w:sz w:val="24"/>
        </w:rPr>
        <w:t>（一）我单位具有良好的商业信誉和健全的财务会计制度；</w:t>
      </w:r>
    </w:p>
    <w:p>
      <w:pPr>
        <w:spacing w:line="360" w:lineRule="auto"/>
        <w:ind w:firstLine="448" w:firstLineChars="200"/>
        <w:rPr>
          <w:sz w:val="24"/>
        </w:rPr>
      </w:pPr>
      <w:r>
        <w:rPr>
          <w:rFonts w:hint="eastAsia"/>
          <w:sz w:val="24"/>
        </w:rPr>
        <w:t>（二）我单位依法缴纳税收和社会保障资金；</w:t>
      </w:r>
    </w:p>
    <w:p>
      <w:pPr>
        <w:spacing w:line="360" w:lineRule="auto"/>
        <w:ind w:firstLine="448" w:firstLineChars="200"/>
        <w:rPr>
          <w:sz w:val="24"/>
        </w:rPr>
      </w:pPr>
      <w:r>
        <w:rPr>
          <w:rFonts w:hint="eastAsia"/>
          <w:sz w:val="24"/>
        </w:rPr>
        <w:t>（三）我单位具备履行合同所必需的设备和专业技术能力；</w:t>
      </w:r>
    </w:p>
    <w:p>
      <w:pPr>
        <w:spacing w:line="360" w:lineRule="auto"/>
        <w:ind w:firstLine="448" w:firstLineChars="200"/>
        <w:rPr>
          <w:sz w:val="24"/>
        </w:rPr>
      </w:pPr>
      <w:r>
        <w:rPr>
          <w:rFonts w:hint="eastAsia"/>
          <w:sz w:val="24"/>
        </w:rPr>
        <w:t>（四）参加政府采购活动前3年我单位在经营活动中没有重大违法记录；</w:t>
      </w:r>
    </w:p>
    <w:p>
      <w:pPr>
        <w:spacing w:line="360" w:lineRule="auto"/>
        <w:ind w:firstLine="448" w:firstLineChars="200"/>
        <w:rPr>
          <w:sz w:val="24"/>
        </w:rPr>
      </w:pPr>
      <w:r>
        <w:rPr>
          <w:rFonts w:hint="eastAsia"/>
          <w:sz w:val="24"/>
        </w:rPr>
        <w:t>（五）我单位不存在为采购项目提供整体设计、规范编制或者项目管理、监理、检测等服务后，再参加该采购项目的其他采购活动的情形。</w:t>
      </w:r>
    </w:p>
    <w:p>
      <w:pPr>
        <w:spacing w:line="360" w:lineRule="auto"/>
        <w:ind w:firstLine="448" w:firstLineChars="200"/>
        <w:rPr>
          <w:sz w:val="24"/>
        </w:rPr>
      </w:pPr>
      <w:r>
        <w:rPr>
          <w:rFonts w:hint="eastAsia"/>
          <w:sz w:val="24"/>
        </w:rPr>
        <w:t>（六）与我单位存在“单位负责人为同一人或者存在直接控股、管理关系”的其他单位信息如下：</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9"/>
        <w:gridCol w:w="3877"/>
        <w:gridCol w:w="28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1" w:type="pct"/>
            <w:vAlign w:val="center"/>
          </w:tcPr>
          <w:p>
            <w:pPr>
              <w:jc w:val="center"/>
              <w:rPr>
                <w:szCs w:val="21"/>
              </w:rPr>
            </w:pPr>
            <w:r>
              <w:rPr>
                <w:rFonts w:hint="eastAsia"/>
                <w:szCs w:val="21"/>
              </w:rPr>
              <w:t>序号</w:t>
            </w:r>
          </w:p>
        </w:tc>
        <w:tc>
          <w:tcPr>
            <w:tcW w:w="2273" w:type="pct"/>
            <w:vAlign w:val="center"/>
          </w:tcPr>
          <w:p>
            <w:pPr>
              <w:jc w:val="center"/>
              <w:rPr>
                <w:szCs w:val="21"/>
              </w:rPr>
            </w:pPr>
            <w:r>
              <w:rPr>
                <w:rFonts w:hint="eastAsia"/>
                <w:szCs w:val="21"/>
              </w:rPr>
              <w:t>单位名称</w:t>
            </w:r>
          </w:p>
        </w:tc>
        <w:tc>
          <w:tcPr>
            <w:tcW w:w="1667" w:type="pct"/>
            <w:vAlign w:val="center"/>
          </w:tcPr>
          <w:p>
            <w:pPr>
              <w:jc w:val="center"/>
              <w:rPr>
                <w:szCs w:val="21"/>
              </w:rPr>
            </w:pPr>
            <w:r>
              <w:rPr>
                <w:rFonts w:hint="eastAsia"/>
                <w:szCs w:val="21"/>
              </w:rPr>
              <w:t>相互关系类型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1" w:type="pct"/>
            <w:vAlign w:val="center"/>
          </w:tcPr>
          <w:p>
            <w:pPr>
              <w:jc w:val="center"/>
              <w:rPr>
                <w:szCs w:val="21"/>
              </w:rPr>
            </w:pPr>
            <w:r>
              <w:rPr>
                <w:rFonts w:hint="eastAsia"/>
                <w:szCs w:val="21"/>
              </w:rPr>
              <w:t>1</w:t>
            </w:r>
          </w:p>
        </w:tc>
        <w:tc>
          <w:tcPr>
            <w:tcW w:w="2273" w:type="pct"/>
            <w:vAlign w:val="center"/>
          </w:tcPr>
          <w:p>
            <w:pPr>
              <w:jc w:val="center"/>
              <w:rPr>
                <w:szCs w:val="21"/>
              </w:rPr>
            </w:pPr>
          </w:p>
        </w:tc>
        <w:tc>
          <w:tcPr>
            <w:tcW w:w="1667" w:type="pct"/>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1" w:type="pct"/>
            <w:vAlign w:val="center"/>
          </w:tcPr>
          <w:p>
            <w:pPr>
              <w:jc w:val="center"/>
              <w:rPr>
                <w:szCs w:val="21"/>
              </w:rPr>
            </w:pPr>
            <w:r>
              <w:rPr>
                <w:rFonts w:hint="eastAsia"/>
                <w:szCs w:val="21"/>
              </w:rPr>
              <w:t>2</w:t>
            </w:r>
          </w:p>
        </w:tc>
        <w:tc>
          <w:tcPr>
            <w:tcW w:w="2273" w:type="pct"/>
            <w:vAlign w:val="center"/>
          </w:tcPr>
          <w:p>
            <w:pPr>
              <w:jc w:val="center"/>
              <w:rPr>
                <w:szCs w:val="21"/>
              </w:rPr>
            </w:pPr>
          </w:p>
        </w:tc>
        <w:tc>
          <w:tcPr>
            <w:tcW w:w="1667" w:type="pct"/>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1" w:type="pct"/>
            <w:vAlign w:val="center"/>
          </w:tcPr>
          <w:p>
            <w:pPr>
              <w:jc w:val="center"/>
              <w:rPr>
                <w:szCs w:val="21"/>
              </w:rPr>
            </w:pPr>
            <w:r>
              <w:rPr>
                <w:rFonts w:hint="eastAsia"/>
                <w:szCs w:val="21"/>
              </w:rPr>
              <w:t>3</w:t>
            </w:r>
          </w:p>
        </w:tc>
        <w:tc>
          <w:tcPr>
            <w:tcW w:w="2273" w:type="pct"/>
            <w:vAlign w:val="center"/>
          </w:tcPr>
          <w:p>
            <w:pPr>
              <w:jc w:val="center"/>
              <w:rPr>
                <w:szCs w:val="21"/>
              </w:rPr>
            </w:pPr>
          </w:p>
        </w:tc>
        <w:tc>
          <w:tcPr>
            <w:tcW w:w="1667" w:type="pct"/>
            <w:vAlign w:val="center"/>
          </w:tcPr>
          <w:p>
            <w:pPr>
              <w:jc w:val="center"/>
              <w:rPr>
                <w:szCs w:val="21"/>
              </w:rPr>
            </w:pPr>
          </w:p>
        </w:tc>
      </w:tr>
    </w:tbl>
    <w:p>
      <w:pPr>
        <w:spacing w:line="360" w:lineRule="auto"/>
        <w:ind w:firstLine="448" w:firstLineChars="200"/>
        <w:rPr>
          <w:sz w:val="24"/>
        </w:rPr>
      </w:pPr>
      <w:r>
        <w:rPr>
          <w:rFonts w:hint="eastAsia"/>
          <w:sz w:val="24"/>
        </w:rPr>
        <w:t>上表未填写的，视为不存在第（六）条所列情形</w:t>
      </w:r>
    </w:p>
    <w:p>
      <w:pPr>
        <w:spacing w:line="360" w:lineRule="auto"/>
        <w:ind w:firstLine="448" w:firstLineChars="200"/>
        <w:rPr>
          <w:sz w:val="24"/>
        </w:rPr>
      </w:pPr>
    </w:p>
    <w:p>
      <w:pPr>
        <w:spacing w:line="360" w:lineRule="auto"/>
        <w:ind w:firstLine="448" w:firstLineChars="200"/>
        <w:rPr>
          <w:sz w:val="24"/>
        </w:rPr>
      </w:pPr>
      <w:r>
        <w:rPr>
          <w:rFonts w:hint="eastAsia"/>
          <w:sz w:val="24"/>
        </w:rPr>
        <w:t>上述声明真实有效，否则我单位承担全部责任和不利后果。</w:t>
      </w:r>
    </w:p>
    <w:p>
      <w:pPr>
        <w:spacing w:line="360" w:lineRule="auto"/>
        <w:ind w:firstLine="448" w:firstLineChars="200"/>
        <w:rPr>
          <w:sz w:val="24"/>
        </w:rPr>
      </w:pPr>
    </w:p>
    <w:p>
      <w:pPr>
        <w:spacing w:line="360" w:lineRule="auto"/>
        <w:ind w:firstLine="224" w:firstLineChars="100"/>
        <w:rPr>
          <w:sz w:val="24"/>
        </w:rPr>
      </w:pPr>
      <w:r>
        <w:rPr>
          <w:sz w:val="24"/>
        </w:rPr>
        <w:t>投标人名称：</w:t>
      </w:r>
    </w:p>
    <w:p>
      <w:pPr>
        <w:spacing w:line="360" w:lineRule="auto"/>
        <w:ind w:firstLine="224" w:firstLineChars="100"/>
        <w:rPr>
          <w:sz w:val="24"/>
        </w:rPr>
      </w:pPr>
    </w:p>
    <w:p>
      <w:pPr>
        <w:spacing w:line="360" w:lineRule="auto"/>
        <w:ind w:firstLine="224" w:firstLineChars="100"/>
        <w:rPr>
          <w:position w:val="-40"/>
          <w:sz w:val="24"/>
        </w:rPr>
      </w:pPr>
      <w:r>
        <w:rPr>
          <w:sz w:val="24"/>
        </w:rPr>
        <w:t xml:space="preserve">日期：  </w:t>
      </w:r>
    </w:p>
    <w:p>
      <w:pPr>
        <w:autoSpaceDN w:val="0"/>
        <w:spacing w:line="360" w:lineRule="auto"/>
        <w:jc w:val="center"/>
        <w:rPr>
          <w:b/>
          <w:bCs/>
          <w:sz w:val="24"/>
        </w:rPr>
      </w:pPr>
    </w:p>
    <w:p>
      <w:pPr>
        <w:widowControl/>
        <w:jc w:val="left"/>
        <w:rPr>
          <w:b/>
          <w:bCs/>
          <w:sz w:val="24"/>
        </w:rPr>
      </w:pPr>
      <w:r>
        <w:rPr>
          <w:b/>
          <w:bCs/>
          <w:sz w:val="24"/>
        </w:rPr>
        <w:br w:type="page"/>
      </w:r>
    </w:p>
    <w:p>
      <w:pPr>
        <w:spacing w:line="460" w:lineRule="exact"/>
        <w:rPr>
          <w:b/>
          <w:sz w:val="24"/>
        </w:rPr>
      </w:pPr>
      <w:r>
        <w:rPr>
          <w:rFonts w:hint="eastAsia"/>
          <w:b/>
          <w:bCs/>
          <w:sz w:val="24"/>
        </w:rPr>
        <w:t>附件2-1：招标文件第一部分供应商资格要求的证件</w:t>
      </w:r>
    </w:p>
    <w:p>
      <w:pPr>
        <w:widowControl/>
        <w:jc w:val="left"/>
        <w:rPr>
          <w:b/>
          <w:bCs/>
          <w:sz w:val="24"/>
        </w:rPr>
      </w:pPr>
      <w:r>
        <w:rPr>
          <w:b/>
          <w:bCs/>
          <w:sz w:val="24"/>
        </w:rPr>
        <w:br w:type="page"/>
      </w:r>
    </w:p>
    <w:p>
      <w:pPr>
        <w:autoSpaceDN w:val="0"/>
        <w:spacing w:line="360" w:lineRule="auto"/>
        <w:rPr>
          <w:b/>
          <w:bCs/>
          <w:sz w:val="24"/>
        </w:rPr>
      </w:pPr>
      <w:r>
        <w:rPr>
          <w:rFonts w:hint="eastAsia"/>
          <w:b/>
          <w:bCs/>
          <w:sz w:val="24"/>
        </w:rPr>
        <w:t>附件3</w:t>
      </w:r>
    </w:p>
    <w:p>
      <w:pPr>
        <w:autoSpaceDN w:val="0"/>
        <w:spacing w:line="360" w:lineRule="auto"/>
        <w:jc w:val="center"/>
        <w:rPr>
          <w:b/>
          <w:bCs/>
          <w:sz w:val="24"/>
        </w:rPr>
      </w:pPr>
    </w:p>
    <w:p>
      <w:pPr>
        <w:autoSpaceDN w:val="0"/>
        <w:spacing w:line="360" w:lineRule="auto"/>
        <w:jc w:val="center"/>
        <w:rPr>
          <w:b/>
          <w:bCs/>
          <w:sz w:val="24"/>
        </w:rPr>
      </w:pPr>
      <w:r>
        <w:rPr>
          <w:b/>
          <w:bCs/>
          <w:sz w:val="24"/>
        </w:rPr>
        <w:t>开标一览表</w:t>
      </w:r>
    </w:p>
    <w:p>
      <w:pPr>
        <w:ind w:right="84"/>
        <w:rPr>
          <w:sz w:val="24"/>
        </w:rPr>
      </w:pPr>
    </w:p>
    <w:p>
      <w:pPr>
        <w:spacing w:line="460" w:lineRule="exact"/>
        <w:rPr>
          <w:sz w:val="24"/>
        </w:rPr>
      </w:pPr>
      <w:r>
        <w:rPr>
          <w:sz w:val="24"/>
        </w:rPr>
        <w:t>项目名称：</w:t>
      </w:r>
      <w:r>
        <w:rPr>
          <w:sz w:val="24"/>
          <w:u w:val="single"/>
        </w:rPr>
        <w:t xml:space="preserve">                    </w:t>
      </w:r>
    </w:p>
    <w:p>
      <w:pPr>
        <w:spacing w:line="460" w:lineRule="exact"/>
        <w:rPr>
          <w:sz w:val="24"/>
        </w:rPr>
      </w:pPr>
      <w:r>
        <w:rPr>
          <w:sz w:val="24"/>
        </w:rPr>
        <w:t>项目编号：</w:t>
      </w:r>
      <w:r>
        <w:rPr>
          <w:sz w:val="24"/>
          <w:u w:val="single"/>
        </w:rPr>
        <w:t xml:space="preserve">                    </w:t>
      </w:r>
    </w:p>
    <w:p>
      <w:pPr>
        <w:spacing w:line="460" w:lineRule="exact"/>
        <w:rPr>
          <w:sz w:val="24"/>
          <w:u w:val="single"/>
        </w:rPr>
      </w:pPr>
      <w:r>
        <w:rPr>
          <w:sz w:val="24"/>
        </w:rPr>
        <w:t>包号：</w:t>
      </w:r>
      <w:r>
        <w:rPr>
          <w:sz w:val="24"/>
          <w:u w:val="single"/>
        </w:rPr>
        <w:t xml:space="preserve">                        </w:t>
      </w:r>
    </w:p>
    <w:p>
      <w:pPr>
        <w:spacing w:line="460" w:lineRule="exact"/>
        <w:rPr>
          <w:sz w:val="24"/>
        </w:rPr>
      </w:pPr>
      <w:r>
        <w:rPr>
          <w:sz w:val="24"/>
        </w:rPr>
        <w:t xml:space="preserve">                                                       单位：元</w:t>
      </w:r>
    </w:p>
    <w:tbl>
      <w:tblPr>
        <w:tblStyle w:val="2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5"/>
        <w:gridCol w:w="2180"/>
        <w:gridCol w:w="1375"/>
        <w:gridCol w:w="2050"/>
        <w:gridCol w:w="16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pct"/>
            <w:vAlign w:val="center"/>
          </w:tcPr>
          <w:p>
            <w:pPr>
              <w:spacing w:line="460" w:lineRule="exact"/>
              <w:jc w:val="center"/>
              <w:rPr>
                <w:sz w:val="24"/>
              </w:rPr>
            </w:pPr>
            <w:r>
              <w:rPr>
                <w:sz w:val="24"/>
              </w:rPr>
              <w:t>包号</w:t>
            </w:r>
          </w:p>
        </w:tc>
        <w:tc>
          <w:tcPr>
            <w:tcW w:w="1278" w:type="pct"/>
            <w:vAlign w:val="center"/>
          </w:tcPr>
          <w:p>
            <w:pPr>
              <w:spacing w:line="460" w:lineRule="exact"/>
              <w:jc w:val="center"/>
              <w:rPr>
                <w:sz w:val="24"/>
              </w:rPr>
            </w:pPr>
            <w:r>
              <w:rPr>
                <w:sz w:val="24"/>
              </w:rPr>
              <w:t>服务名称</w:t>
            </w:r>
          </w:p>
        </w:tc>
        <w:tc>
          <w:tcPr>
            <w:tcW w:w="806" w:type="pct"/>
            <w:vAlign w:val="center"/>
          </w:tcPr>
          <w:p>
            <w:pPr>
              <w:spacing w:line="460" w:lineRule="exact"/>
              <w:jc w:val="center"/>
              <w:rPr>
                <w:sz w:val="24"/>
              </w:rPr>
            </w:pPr>
            <w:r>
              <w:rPr>
                <w:sz w:val="24"/>
              </w:rPr>
              <w:t>数量</w:t>
            </w:r>
          </w:p>
        </w:tc>
        <w:tc>
          <w:tcPr>
            <w:tcW w:w="1202" w:type="pct"/>
            <w:vAlign w:val="center"/>
          </w:tcPr>
          <w:p>
            <w:pPr>
              <w:spacing w:line="460" w:lineRule="exact"/>
              <w:jc w:val="center"/>
              <w:rPr>
                <w:sz w:val="24"/>
              </w:rPr>
            </w:pPr>
            <w:r>
              <w:rPr>
                <w:sz w:val="24"/>
              </w:rPr>
              <w:t>投标总价</w:t>
            </w:r>
          </w:p>
        </w:tc>
        <w:tc>
          <w:tcPr>
            <w:tcW w:w="984" w:type="pct"/>
            <w:vAlign w:val="center"/>
          </w:tcPr>
          <w:p>
            <w:pPr>
              <w:spacing w:line="460" w:lineRule="exact"/>
              <w:jc w:val="center"/>
              <w:rPr>
                <w:sz w:val="24"/>
              </w:rPr>
            </w:pPr>
            <w:r>
              <w:rPr>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pct"/>
          </w:tcPr>
          <w:p>
            <w:pPr>
              <w:spacing w:line="460" w:lineRule="exact"/>
              <w:rPr>
                <w:sz w:val="24"/>
              </w:rPr>
            </w:pPr>
          </w:p>
        </w:tc>
        <w:tc>
          <w:tcPr>
            <w:tcW w:w="1278" w:type="pct"/>
          </w:tcPr>
          <w:p>
            <w:pPr>
              <w:spacing w:line="460" w:lineRule="exact"/>
              <w:rPr>
                <w:sz w:val="24"/>
              </w:rPr>
            </w:pPr>
          </w:p>
        </w:tc>
        <w:tc>
          <w:tcPr>
            <w:tcW w:w="806" w:type="pct"/>
          </w:tcPr>
          <w:p>
            <w:pPr>
              <w:spacing w:line="460" w:lineRule="exact"/>
              <w:rPr>
                <w:sz w:val="24"/>
              </w:rPr>
            </w:pPr>
          </w:p>
        </w:tc>
        <w:tc>
          <w:tcPr>
            <w:tcW w:w="1202" w:type="pct"/>
          </w:tcPr>
          <w:p>
            <w:pPr>
              <w:spacing w:line="460" w:lineRule="exact"/>
              <w:rPr>
                <w:sz w:val="24"/>
              </w:rPr>
            </w:pPr>
          </w:p>
        </w:tc>
        <w:tc>
          <w:tcPr>
            <w:tcW w:w="984" w:type="pct"/>
          </w:tcPr>
          <w:p>
            <w:pPr>
              <w:spacing w:line="46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pct"/>
          </w:tcPr>
          <w:p>
            <w:pPr>
              <w:spacing w:line="460" w:lineRule="exact"/>
              <w:rPr>
                <w:sz w:val="24"/>
              </w:rPr>
            </w:pPr>
          </w:p>
        </w:tc>
        <w:tc>
          <w:tcPr>
            <w:tcW w:w="1278" w:type="pct"/>
          </w:tcPr>
          <w:p>
            <w:pPr>
              <w:spacing w:line="460" w:lineRule="exact"/>
              <w:rPr>
                <w:sz w:val="24"/>
              </w:rPr>
            </w:pPr>
          </w:p>
        </w:tc>
        <w:tc>
          <w:tcPr>
            <w:tcW w:w="806" w:type="pct"/>
          </w:tcPr>
          <w:p>
            <w:pPr>
              <w:spacing w:line="460" w:lineRule="exact"/>
              <w:rPr>
                <w:sz w:val="24"/>
              </w:rPr>
            </w:pPr>
          </w:p>
        </w:tc>
        <w:tc>
          <w:tcPr>
            <w:tcW w:w="1202" w:type="pct"/>
          </w:tcPr>
          <w:p>
            <w:pPr>
              <w:spacing w:line="460" w:lineRule="exact"/>
              <w:rPr>
                <w:sz w:val="24"/>
              </w:rPr>
            </w:pPr>
          </w:p>
        </w:tc>
        <w:tc>
          <w:tcPr>
            <w:tcW w:w="984" w:type="pct"/>
          </w:tcPr>
          <w:p>
            <w:pPr>
              <w:spacing w:line="46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pct"/>
          </w:tcPr>
          <w:p>
            <w:pPr>
              <w:spacing w:line="460" w:lineRule="exact"/>
              <w:rPr>
                <w:sz w:val="24"/>
              </w:rPr>
            </w:pPr>
          </w:p>
        </w:tc>
        <w:tc>
          <w:tcPr>
            <w:tcW w:w="1278" w:type="pct"/>
          </w:tcPr>
          <w:p>
            <w:pPr>
              <w:spacing w:line="460" w:lineRule="exact"/>
              <w:rPr>
                <w:sz w:val="24"/>
              </w:rPr>
            </w:pPr>
          </w:p>
        </w:tc>
        <w:tc>
          <w:tcPr>
            <w:tcW w:w="806" w:type="pct"/>
          </w:tcPr>
          <w:p>
            <w:pPr>
              <w:spacing w:line="460" w:lineRule="exact"/>
              <w:rPr>
                <w:sz w:val="24"/>
              </w:rPr>
            </w:pPr>
          </w:p>
        </w:tc>
        <w:tc>
          <w:tcPr>
            <w:tcW w:w="1202" w:type="pct"/>
          </w:tcPr>
          <w:p>
            <w:pPr>
              <w:spacing w:line="460" w:lineRule="exact"/>
              <w:rPr>
                <w:sz w:val="24"/>
              </w:rPr>
            </w:pPr>
          </w:p>
        </w:tc>
        <w:tc>
          <w:tcPr>
            <w:tcW w:w="984" w:type="pct"/>
          </w:tcPr>
          <w:p>
            <w:pPr>
              <w:spacing w:line="46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pct"/>
          </w:tcPr>
          <w:p>
            <w:pPr>
              <w:spacing w:line="460" w:lineRule="exact"/>
              <w:rPr>
                <w:sz w:val="24"/>
              </w:rPr>
            </w:pPr>
          </w:p>
        </w:tc>
        <w:tc>
          <w:tcPr>
            <w:tcW w:w="1278" w:type="pct"/>
          </w:tcPr>
          <w:p>
            <w:pPr>
              <w:spacing w:line="460" w:lineRule="exact"/>
              <w:rPr>
                <w:sz w:val="24"/>
              </w:rPr>
            </w:pPr>
          </w:p>
        </w:tc>
        <w:tc>
          <w:tcPr>
            <w:tcW w:w="806" w:type="pct"/>
          </w:tcPr>
          <w:p>
            <w:pPr>
              <w:spacing w:line="460" w:lineRule="exact"/>
              <w:rPr>
                <w:sz w:val="24"/>
              </w:rPr>
            </w:pPr>
          </w:p>
        </w:tc>
        <w:tc>
          <w:tcPr>
            <w:tcW w:w="1202" w:type="pct"/>
          </w:tcPr>
          <w:p>
            <w:pPr>
              <w:spacing w:line="460" w:lineRule="exact"/>
              <w:rPr>
                <w:sz w:val="24"/>
              </w:rPr>
            </w:pPr>
          </w:p>
        </w:tc>
        <w:tc>
          <w:tcPr>
            <w:tcW w:w="984" w:type="pct"/>
          </w:tcPr>
          <w:p>
            <w:pPr>
              <w:spacing w:line="46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pct"/>
          </w:tcPr>
          <w:p>
            <w:pPr>
              <w:spacing w:line="460" w:lineRule="exact"/>
              <w:rPr>
                <w:sz w:val="24"/>
              </w:rPr>
            </w:pPr>
          </w:p>
        </w:tc>
        <w:tc>
          <w:tcPr>
            <w:tcW w:w="1278" w:type="pct"/>
          </w:tcPr>
          <w:p>
            <w:pPr>
              <w:spacing w:line="460" w:lineRule="exact"/>
              <w:rPr>
                <w:sz w:val="24"/>
              </w:rPr>
            </w:pPr>
          </w:p>
        </w:tc>
        <w:tc>
          <w:tcPr>
            <w:tcW w:w="806" w:type="pct"/>
          </w:tcPr>
          <w:p>
            <w:pPr>
              <w:spacing w:line="460" w:lineRule="exact"/>
              <w:rPr>
                <w:sz w:val="24"/>
              </w:rPr>
            </w:pPr>
          </w:p>
        </w:tc>
        <w:tc>
          <w:tcPr>
            <w:tcW w:w="1202" w:type="pct"/>
          </w:tcPr>
          <w:p>
            <w:pPr>
              <w:spacing w:line="460" w:lineRule="exact"/>
              <w:rPr>
                <w:sz w:val="24"/>
              </w:rPr>
            </w:pPr>
          </w:p>
        </w:tc>
        <w:tc>
          <w:tcPr>
            <w:tcW w:w="984" w:type="pct"/>
          </w:tcPr>
          <w:p>
            <w:pPr>
              <w:spacing w:line="46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pct"/>
          </w:tcPr>
          <w:p>
            <w:pPr>
              <w:spacing w:line="460" w:lineRule="exact"/>
              <w:rPr>
                <w:sz w:val="24"/>
              </w:rPr>
            </w:pPr>
          </w:p>
        </w:tc>
        <w:tc>
          <w:tcPr>
            <w:tcW w:w="1278" w:type="pct"/>
          </w:tcPr>
          <w:p>
            <w:pPr>
              <w:spacing w:line="460" w:lineRule="exact"/>
              <w:rPr>
                <w:sz w:val="24"/>
              </w:rPr>
            </w:pPr>
          </w:p>
        </w:tc>
        <w:tc>
          <w:tcPr>
            <w:tcW w:w="806" w:type="pct"/>
          </w:tcPr>
          <w:p>
            <w:pPr>
              <w:spacing w:line="460" w:lineRule="exact"/>
              <w:rPr>
                <w:sz w:val="24"/>
              </w:rPr>
            </w:pPr>
          </w:p>
        </w:tc>
        <w:tc>
          <w:tcPr>
            <w:tcW w:w="1202" w:type="pct"/>
          </w:tcPr>
          <w:p>
            <w:pPr>
              <w:spacing w:line="460" w:lineRule="exact"/>
              <w:rPr>
                <w:sz w:val="24"/>
              </w:rPr>
            </w:pPr>
          </w:p>
        </w:tc>
        <w:tc>
          <w:tcPr>
            <w:tcW w:w="984" w:type="pct"/>
          </w:tcPr>
          <w:p>
            <w:pPr>
              <w:spacing w:line="46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pct"/>
          </w:tcPr>
          <w:p>
            <w:pPr>
              <w:spacing w:line="460" w:lineRule="exact"/>
              <w:rPr>
                <w:sz w:val="24"/>
              </w:rPr>
            </w:pPr>
          </w:p>
        </w:tc>
        <w:tc>
          <w:tcPr>
            <w:tcW w:w="1278" w:type="pct"/>
          </w:tcPr>
          <w:p>
            <w:pPr>
              <w:spacing w:line="460" w:lineRule="exact"/>
              <w:rPr>
                <w:sz w:val="24"/>
              </w:rPr>
            </w:pPr>
          </w:p>
        </w:tc>
        <w:tc>
          <w:tcPr>
            <w:tcW w:w="806" w:type="pct"/>
          </w:tcPr>
          <w:p>
            <w:pPr>
              <w:spacing w:line="460" w:lineRule="exact"/>
              <w:rPr>
                <w:sz w:val="24"/>
              </w:rPr>
            </w:pPr>
          </w:p>
        </w:tc>
        <w:tc>
          <w:tcPr>
            <w:tcW w:w="1202" w:type="pct"/>
          </w:tcPr>
          <w:p>
            <w:pPr>
              <w:spacing w:line="460" w:lineRule="exact"/>
              <w:rPr>
                <w:sz w:val="24"/>
              </w:rPr>
            </w:pPr>
          </w:p>
        </w:tc>
        <w:tc>
          <w:tcPr>
            <w:tcW w:w="984" w:type="pct"/>
          </w:tcPr>
          <w:p>
            <w:pPr>
              <w:spacing w:line="46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pct"/>
          </w:tcPr>
          <w:p>
            <w:pPr>
              <w:spacing w:line="460" w:lineRule="exact"/>
              <w:rPr>
                <w:sz w:val="24"/>
              </w:rPr>
            </w:pPr>
          </w:p>
        </w:tc>
        <w:tc>
          <w:tcPr>
            <w:tcW w:w="1278" w:type="pct"/>
          </w:tcPr>
          <w:p>
            <w:pPr>
              <w:spacing w:line="460" w:lineRule="exact"/>
              <w:rPr>
                <w:sz w:val="24"/>
              </w:rPr>
            </w:pPr>
          </w:p>
        </w:tc>
        <w:tc>
          <w:tcPr>
            <w:tcW w:w="806" w:type="pct"/>
          </w:tcPr>
          <w:p>
            <w:pPr>
              <w:spacing w:line="460" w:lineRule="exact"/>
              <w:rPr>
                <w:sz w:val="24"/>
              </w:rPr>
            </w:pPr>
          </w:p>
        </w:tc>
        <w:tc>
          <w:tcPr>
            <w:tcW w:w="1202" w:type="pct"/>
          </w:tcPr>
          <w:p>
            <w:pPr>
              <w:spacing w:line="460" w:lineRule="exact"/>
              <w:rPr>
                <w:sz w:val="24"/>
              </w:rPr>
            </w:pPr>
          </w:p>
        </w:tc>
        <w:tc>
          <w:tcPr>
            <w:tcW w:w="984" w:type="pct"/>
          </w:tcPr>
          <w:p>
            <w:pPr>
              <w:spacing w:line="46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pct"/>
          </w:tcPr>
          <w:p>
            <w:pPr>
              <w:spacing w:line="460" w:lineRule="exact"/>
              <w:rPr>
                <w:sz w:val="24"/>
              </w:rPr>
            </w:pPr>
          </w:p>
        </w:tc>
        <w:tc>
          <w:tcPr>
            <w:tcW w:w="1278" w:type="pct"/>
          </w:tcPr>
          <w:p>
            <w:pPr>
              <w:spacing w:line="460" w:lineRule="exact"/>
              <w:rPr>
                <w:sz w:val="24"/>
              </w:rPr>
            </w:pPr>
          </w:p>
        </w:tc>
        <w:tc>
          <w:tcPr>
            <w:tcW w:w="806" w:type="pct"/>
          </w:tcPr>
          <w:p>
            <w:pPr>
              <w:spacing w:line="460" w:lineRule="exact"/>
              <w:rPr>
                <w:sz w:val="24"/>
              </w:rPr>
            </w:pPr>
          </w:p>
        </w:tc>
        <w:tc>
          <w:tcPr>
            <w:tcW w:w="1202" w:type="pct"/>
          </w:tcPr>
          <w:p>
            <w:pPr>
              <w:spacing w:line="460" w:lineRule="exact"/>
              <w:rPr>
                <w:sz w:val="24"/>
              </w:rPr>
            </w:pPr>
          </w:p>
        </w:tc>
        <w:tc>
          <w:tcPr>
            <w:tcW w:w="984" w:type="pct"/>
          </w:tcPr>
          <w:p>
            <w:pPr>
              <w:spacing w:line="46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pct"/>
          </w:tcPr>
          <w:p>
            <w:pPr>
              <w:spacing w:line="460" w:lineRule="exact"/>
              <w:rPr>
                <w:sz w:val="24"/>
              </w:rPr>
            </w:pPr>
          </w:p>
        </w:tc>
        <w:tc>
          <w:tcPr>
            <w:tcW w:w="1278" w:type="pct"/>
          </w:tcPr>
          <w:p>
            <w:pPr>
              <w:spacing w:line="460" w:lineRule="exact"/>
              <w:rPr>
                <w:sz w:val="24"/>
              </w:rPr>
            </w:pPr>
          </w:p>
        </w:tc>
        <w:tc>
          <w:tcPr>
            <w:tcW w:w="806" w:type="pct"/>
          </w:tcPr>
          <w:p>
            <w:pPr>
              <w:spacing w:line="460" w:lineRule="exact"/>
              <w:rPr>
                <w:sz w:val="24"/>
              </w:rPr>
            </w:pPr>
          </w:p>
        </w:tc>
        <w:tc>
          <w:tcPr>
            <w:tcW w:w="1202" w:type="pct"/>
          </w:tcPr>
          <w:p>
            <w:pPr>
              <w:spacing w:line="460" w:lineRule="exact"/>
              <w:rPr>
                <w:sz w:val="24"/>
              </w:rPr>
            </w:pPr>
          </w:p>
        </w:tc>
        <w:tc>
          <w:tcPr>
            <w:tcW w:w="984" w:type="pct"/>
          </w:tcPr>
          <w:p>
            <w:pPr>
              <w:spacing w:line="46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pct"/>
          </w:tcPr>
          <w:p>
            <w:pPr>
              <w:spacing w:line="460" w:lineRule="exact"/>
              <w:rPr>
                <w:sz w:val="24"/>
              </w:rPr>
            </w:pPr>
          </w:p>
        </w:tc>
        <w:tc>
          <w:tcPr>
            <w:tcW w:w="1278" w:type="pct"/>
          </w:tcPr>
          <w:p>
            <w:pPr>
              <w:spacing w:line="460" w:lineRule="exact"/>
              <w:rPr>
                <w:sz w:val="24"/>
              </w:rPr>
            </w:pPr>
          </w:p>
        </w:tc>
        <w:tc>
          <w:tcPr>
            <w:tcW w:w="806" w:type="pct"/>
          </w:tcPr>
          <w:p>
            <w:pPr>
              <w:spacing w:line="460" w:lineRule="exact"/>
              <w:rPr>
                <w:sz w:val="24"/>
              </w:rPr>
            </w:pPr>
          </w:p>
        </w:tc>
        <w:tc>
          <w:tcPr>
            <w:tcW w:w="1202" w:type="pct"/>
          </w:tcPr>
          <w:p>
            <w:pPr>
              <w:spacing w:line="460" w:lineRule="exact"/>
              <w:rPr>
                <w:sz w:val="24"/>
              </w:rPr>
            </w:pPr>
          </w:p>
        </w:tc>
        <w:tc>
          <w:tcPr>
            <w:tcW w:w="984" w:type="pct"/>
          </w:tcPr>
          <w:p>
            <w:pPr>
              <w:spacing w:line="46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pct"/>
          </w:tcPr>
          <w:p>
            <w:pPr>
              <w:spacing w:line="460" w:lineRule="exact"/>
              <w:rPr>
                <w:sz w:val="24"/>
              </w:rPr>
            </w:pPr>
          </w:p>
        </w:tc>
        <w:tc>
          <w:tcPr>
            <w:tcW w:w="1278" w:type="pct"/>
          </w:tcPr>
          <w:p>
            <w:pPr>
              <w:spacing w:line="460" w:lineRule="exact"/>
              <w:rPr>
                <w:sz w:val="24"/>
              </w:rPr>
            </w:pPr>
          </w:p>
        </w:tc>
        <w:tc>
          <w:tcPr>
            <w:tcW w:w="806" w:type="pct"/>
          </w:tcPr>
          <w:p>
            <w:pPr>
              <w:spacing w:line="460" w:lineRule="exact"/>
              <w:rPr>
                <w:sz w:val="24"/>
              </w:rPr>
            </w:pPr>
          </w:p>
        </w:tc>
        <w:tc>
          <w:tcPr>
            <w:tcW w:w="1202" w:type="pct"/>
          </w:tcPr>
          <w:p>
            <w:pPr>
              <w:spacing w:line="460" w:lineRule="exact"/>
              <w:rPr>
                <w:sz w:val="24"/>
              </w:rPr>
            </w:pPr>
          </w:p>
        </w:tc>
        <w:tc>
          <w:tcPr>
            <w:tcW w:w="984" w:type="pct"/>
          </w:tcPr>
          <w:p>
            <w:pPr>
              <w:spacing w:line="460" w:lineRule="exact"/>
              <w:rPr>
                <w:sz w:val="24"/>
              </w:rPr>
            </w:pPr>
          </w:p>
        </w:tc>
      </w:tr>
    </w:tbl>
    <w:p>
      <w:pPr>
        <w:spacing w:line="360" w:lineRule="auto"/>
        <w:ind w:right="84" w:firstLine="420"/>
        <w:rPr>
          <w:sz w:val="24"/>
        </w:rPr>
      </w:pPr>
    </w:p>
    <w:p>
      <w:pPr>
        <w:spacing w:line="360" w:lineRule="auto"/>
        <w:ind w:right="84" w:firstLine="420"/>
        <w:rPr>
          <w:sz w:val="24"/>
        </w:rPr>
      </w:pPr>
    </w:p>
    <w:p>
      <w:pPr>
        <w:spacing w:line="360" w:lineRule="auto"/>
        <w:ind w:firstLine="3808" w:firstLineChars="1700"/>
        <w:rPr>
          <w:sz w:val="24"/>
        </w:rPr>
      </w:pPr>
      <w:r>
        <w:rPr>
          <w:sz w:val="24"/>
        </w:rPr>
        <w:t>投标人名称：</w:t>
      </w:r>
    </w:p>
    <w:p>
      <w:pPr>
        <w:spacing w:line="360" w:lineRule="auto"/>
        <w:ind w:firstLine="3808" w:firstLineChars="1700"/>
        <w:rPr>
          <w:sz w:val="24"/>
        </w:rPr>
      </w:pPr>
    </w:p>
    <w:p>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pPr>
        <w:spacing w:line="360" w:lineRule="auto"/>
        <w:ind w:right="84" w:firstLine="420"/>
        <w:rPr>
          <w:sz w:val="24"/>
        </w:rPr>
      </w:pPr>
    </w:p>
    <w:p>
      <w:pPr>
        <w:widowControl/>
        <w:jc w:val="left"/>
        <w:rPr>
          <w:sz w:val="24"/>
        </w:rPr>
      </w:pPr>
      <w:r>
        <w:rPr>
          <w:sz w:val="24"/>
        </w:rPr>
        <w:br w:type="page"/>
      </w:r>
    </w:p>
    <w:p>
      <w:pPr>
        <w:tabs>
          <w:tab w:val="left" w:pos="360"/>
        </w:tabs>
        <w:spacing w:line="360" w:lineRule="auto"/>
        <w:rPr>
          <w:b/>
          <w:sz w:val="24"/>
        </w:rPr>
      </w:pPr>
      <w:r>
        <w:rPr>
          <w:b/>
          <w:sz w:val="24"/>
        </w:rPr>
        <w:t>附件</w:t>
      </w:r>
      <w:r>
        <w:rPr>
          <w:rFonts w:hint="eastAsia"/>
          <w:b/>
          <w:sz w:val="24"/>
        </w:rPr>
        <w:t>4</w:t>
      </w:r>
    </w:p>
    <w:p>
      <w:pPr>
        <w:autoSpaceDN w:val="0"/>
        <w:spacing w:line="360" w:lineRule="auto"/>
        <w:jc w:val="center"/>
        <w:rPr>
          <w:b/>
          <w:bCs/>
          <w:sz w:val="24"/>
        </w:rPr>
      </w:pPr>
      <w:r>
        <w:rPr>
          <w:b/>
          <w:bCs/>
          <w:sz w:val="24"/>
        </w:rPr>
        <w:t>开标分项一览表</w:t>
      </w:r>
    </w:p>
    <w:p>
      <w:pPr>
        <w:ind w:right="84"/>
        <w:rPr>
          <w:sz w:val="24"/>
        </w:rPr>
      </w:pPr>
    </w:p>
    <w:p>
      <w:pPr>
        <w:spacing w:line="460" w:lineRule="exact"/>
        <w:ind w:left="192"/>
        <w:rPr>
          <w:sz w:val="24"/>
        </w:rPr>
      </w:pPr>
      <w:r>
        <w:rPr>
          <w:sz w:val="24"/>
        </w:rPr>
        <w:t>项目名称：</w:t>
      </w:r>
      <w:r>
        <w:rPr>
          <w:sz w:val="24"/>
          <w:u w:val="single"/>
        </w:rPr>
        <w:t xml:space="preserve">                    </w:t>
      </w:r>
    </w:p>
    <w:p>
      <w:pPr>
        <w:spacing w:line="460" w:lineRule="exact"/>
        <w:ind w:left="192"/>
        <w:rPr>
          <w:sz w:val="24"/>
        </w:rPr>
      </w:pPr>
      <w:r>
        <w:rPr>
          <w:sz w:val="24"/>
        </w:rPr>
        <w:t>项目编号：</w:t>
      </w:r>
      <w:r>
        <w:rPr>
          <w:sz w:val="24"/>
          <w:u w:val="single"/>
        </w:rPr>
        <w:t xml:space="preserve">                    </w:t>
      </w:r>
    </w:p>
    <w:p>
      <w:pPr>
        <w:spacing w:line="460" w:lineRule="exact"/>
        <w:ind w:left="192"/>
        <w:rPr>
          <w:sz w:val="24"/>
        </w:rPr>
      </w:pPr>
      <w:r>
        <w:rPr>
          <w:sz w:val="24"/>
        </w:rPr>
        <w:t>包    号：</w:t>
      </w:r>
      <w:r>
        <w:rPr>
          <w:sz w:val="24"/>
          <w:u w:val="single"/>
        </w:rPr>
        <w:t xml:space="preserve">                    </w:t>
      </w:r>
    </w:p>
    <w:p>
      <w:pPr>
        <w:spacing w:line="460" w:lineRule="exact"/>
        <w:ind w:firstLine="6496" w:firstLineChars="2900"/>
        <w:rPr>
          <w:sz w:val="24"/>
        </w:rPr>
      </w:pPr>
      <w:r>
        <w:rPr>
          <w:sz w:val="24"/>
        </w:rPr>
        <w:t>单位：元</w:t>
      </w:r>
    </w:p>
    <w:tbl>
      <w:tblPr>
        <w:tblStyle w:val="22"/>
        <w:tblW w:w="90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8"/>
        <w:gridCol w:w="2349"/>
        <w:gridCol w:w="1701"/>
        <w:gridCol w:w="2238"/>
        <w:gridCol w:w="18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878" w:type="dxa"/>
            <w:vAlign w:val="center"/>
          </w:tcPr>
          <w:p>
            <w:pPr>
              <w:widowControl/>
              <w:jc w:val="center"/>
              <w:rPr>
                <w:b/>
                <w:bCs/>
                <w:kern w:val="0"/>
                <w:sz w:val="24"/>
                <w:szCs w:val="24"/>
              </w:rPr>
            </w:pPr>
            <w:r>
              <w:rPr>
                <w:b/>
                <w:bCs/>
                <w:kern w:val="0"/>
                <w:sz w:val="24"/>
                <w:szCs w:val="24"/>
              </w:rPr>
              <w:t>项号</w:t>
            </w:r>
          </w:p>
        </w:tc>
        <w:tc>
          <w:tcPr>
            <w:tcW w:w="2349" w:type="dxa"/>
            <w:vAlign w:val="center"/>
          </w:tcPr>
          <w:p>
            <w:pPr>
              <w:widowControl/>
              <w:jc w:val="center"/>
              <w:rPr>
                <w:b/>
                <w:bCs/>
                <w:kern w:val="0"/>
                <w:sz w:val="24"/>
                <w:szCs w:val="24"/>
              </w:rPr>
            </w:pPr>
            <w:r>
              <w:rPr>
                <w:b/>
                <w:bCs/>
                <w:kern w:val="0"/>
                <w:sz w:val="24"/>
                <w:szCs w:val="24"/>
              </w:rPr>
              <w:t>服务名称</w:t>
            </w:r>
          </w:p>
        </w:tc>
        <w:tc>
          <w:tcPr>
            <w:tcW w:w="1701" w:type="dxa"/>
            <w:vAlign w:val="center"/>
          </w:tcPr>
          <w:p>
            <w:pPr>
              <w:widowControl/>
              <w:jc w:val="center"/>
              <w:rPr>
                <w:b/>
                <w:bCs/>
                <w:kern w:val="0"/>
                <w:sz w:val="24"/>
                <w:szCs w:val="24"/>
              </w:rPr>
            </w:pPr>
            <w:r>
              <w:rPr>
                <w:b/>
                <w:bCs/>
                <w:kern w:val="0"/>
                <w:sz w:val="24"/>
                <w:szCs w:val="24"/>
              </w:rPr>
              <w:t>总价</w:t>
            </w:r>
          </w:p>
        </w:tc>
        <w:tc>
          <w:tcPr>
            <w:tcW w:w="2238" w:type="dxa"/>
            <w:vAlign w:val="center"/>
          </w:tcPr>
          <w:p>
            <w:pPr>
              <w:widowControl/>
              <w:jc w:val="center"/>
              <w:rPr>
                <w:b/>
                <w:bCs/>
                <w:kern w:val="0"/>
                <w:sz w:val="24"/>
                <w:szCs w:val="24"/>
              </w:rPr>
            </w:pPr>
            <w:r>
              <w:rPr>
                <w:b/>
                <w:bCs/>
                <w:kern w:val="0"/>
                <w:sz w:val="24"/>
                <w:szCs w:val="24"/>
              </w:rPr>
              <w:t>数量</w:t>
            </w:r>
          </w:p>
        </w:tc>
        <w:tc>
          <w:tcPr>
            <w:tcW w:w="1848" w:type="dxa"/>
            <w:vAlign w:val="center"/>
          </w:tcPr>
          <w:p>
            <w:pPr>
              <w:widowControl/>
              <w:jc w:val="center"/>
              <w:rPr>
                <w:b/>
                <w:bCs/>
                <w:kern w:val="0"/>
                <w:sz w:val="24"/>
                <w:szCs w:val="24"/>
              </w:rPr>
            </w:pPr>
            <w:r>
              <w:rPr>
                <w:b/>
                <w:bCs/>
                <w:kern w:val="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878" w:type="dxa"/>
            <w:vAlign w:val="center"/>
          </w:tcPr>
          <w:p>
            <w:pPr>
              <w:widowControl/>
              <w:jc w:val="center"/>
              <w:rPr>
                <w:kern w:val="0"/>
                <w:sz w:val="24"/>
                <w:szCs w:val="24"/>
              </w:rPr>
            </w:pPr>
            <w:r>
              <w:rPr>
                <w:kern w:val="0"/>
                <w:sz w:val="24"/>
                <w:szCs w:val="24"/>
              </w:rPr>
              <w:t>1</w:t>
            </w:r>
          </w:p>
        </w:tc>
        <w:tc>
          <w:tcPr>
            <w:tcW w:w="2349" w:type="dxa"/>
            <w:vAlign w:val="center"/>
          </w:tcPr>
          <w:p>
            <w:pPr>
              <w:widowControl/>
              <w:jc w:val="center"/>
              <w:rPr>
                <w:kern w:val="0"/>
                <w:sz w:val="24"/>
                <w:szCs w:val="24"/>
              </w:rPr>
            </w:pPr>
          </w:p>
        </w:tc>
        <w:tc>
          <w:tcPr>
            <w:tcW w:w="1701" w:type="dxa"/>
            <w:vAlign w:val="center"/>
          </w:tcPr>
          <w:p>
            <w:pPr>
              <w:widowControl/>
              <w:jc w:val="center"/>
              <w:rPr>
                <w:kern w:val="0"/>
                <w:sz w:val="24"/>
                <w:szCs w:val="24"/>
              </w:rPr>
            </w:pPr>
          </w:p>
        </w:tc>
        <w:tc>
          <w:tcPr>
            <w:tcW w:w="2238" w:type="dxa"/>
            <w:vAlign w:val="center"/>
          </w:tcPr>
          <w:p>
            <w:pPr>
              <w:widowControl/>
              <w:jc w:val="center"/>
              <w:rPr>
                <w:sz w:val="24"/>
                <w:szCs w:val="24"/>
              </w:rPr>
            </w:pPr>
            <w:r>
              <w:rPr>
                <w:sz w:val="24"/>
                <w:szCs w:val="24"/>
              </w:rPr>
              <w:t>1项</w:t>
            </w:r>
          </w:p>
        </w:tc>
        <w:tc>
          <w:tcPr>
            <w:tcW w:w="1848" w:type="dxa"/>
            <w:vAlign w:val="center"/>
          </w:tcPr>
          <w:p>
            <w:pPr>
              <w:widowControl/>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9014" w:type="dxa"/>
            <w:gridSpan w:val="5"/>
            <w:vAlign w:val="center"/>
          </w:tcPr>
          <w:p>
            <w:pPr>
              <w:widowControl/>
              <w:jc w:val="left"/>
              <w:rPr>
                <w:kern w:val="0"/>
                <w:sz w:val="24"/>
                <w:szCs w:val="24"/>
              </w:rPr>
            </w:pPr>
            <w:r>
              <w:rPr>
                <w:kern w:val="0"/>
                <w:sz w:val="24"/>
                <w:szCs w:val="24"/>
              </w:rPr>
              <w:t>其中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27" w:type="dxa"/>
            <w:gridSpan w:val="2"/>
            <w:vAlign w:val="center"/>
          </w:tcPr>
          <w:p>
            <w:pPr>
              <w:widowControl/>
              <w:jc w:val="left"/>
              <w:rPr>
                <w:b/>
                <w:sz w:val="24"/>
                <w:szCs w:val="24"/>
              </w:rPr>
            </w:pPr>
            <w:r>
              <w:rPr>
                <w:b/>
                <w:sz w:val="24"/>
                <w:szCs w:val="24"/>
              </w:rPr>
              <w:t>分项名称</w:t>
            </w:r>
          </w:p>
        </w:tc>
        <w:tc>
          <w:tcPr>
            <w:tcW w:w="1701" w:type="dxa"/>
            <w:vAlign w:val="center"/>
          </w:tcPr>
          <w:p>
            <w:pPr>
              <w:widowControl/>
              <w:jc w:val="center"/>
              <w:rPr>
                <w:b/>
                <w:kern w:val="0"/>
                <w:sz w:val="24"/>
                <w:szCs w:val="24"/>
              </w:rPr>
            </w:pPr>
            <w:r>
              <w:rPr>
                <w:b/>
                <w:kern w:val="0"/>
                <w:sz w:val="24"/>
                <w:szCs w:val="24"/>
              </w:rPr>
              <w:t>价格</w:t>
            </w:r>
          </w:p>
        </w:tc>
        <w:tc>
          <w:tcPr>
            <w:tcW w:w="2238" w:type="dxa"/>
            <w:vAlign w:val="center"/>
          </w:tcPr>
          <w:p>
            <w:pPr>
              <w:widowControl/>
              <w:jc w:val="center"/>
              <w:rPr>
                <w:b/>
                <w:kern w:val="0"/>
                <w:sz w:val="24"/>
                <w:szCs w:val="24"/>
              </w:rPr>
            </w:pPr>
            <w:r>
              <w:rPr>
                <w:b/>
                <w:kern w:val="0"/>
                <w:sz w:val="24"/>
                <w:szCs w:val="24"/>
              </w:rPr>
              <w:t>数量</w:t>
            </w:r>
          </w:p>
        </w:tc>
        <w:tc>
          <w:tcPr>
            <w:tcW w:w="1848" w:type="dxa"/>
            <w:vAlign w:val="center"/>
          </w:tcPr>
          <w:p>
            <w:pPr>
              <w:widowControl/>
              <w:jc w:val="center"/>
              <w:rPr>
                <w:b/>
                <w:bCs/>
                <w:kern w:val="0"/>
                <w:sz w:val="24"/>
                <w:szCs w:val="24"/>
              </w:rPr>
            </w:pPr>
            <w:r>
              <w:rPr>
                <w:b/>
                <w:bCs/>
                <w:kern w:val="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65" w:hRule="atLeast"/>
          <w:jc w:val="center"/>
        </w:trPr>
        <w:tc>
          <w:tcPr>
            <w:tcW w:w="3227" w:type="dxa"/>
            <w:gridSpan w:val="2"/>
            <w:vAlign w:val="center"/>
          </w:tcPr>
          <w:p>
            <w:pPr>
              <w:widowControl/>
              <w:jc w:val="left"/>
              <w:rPr>
                <w:kern w:val="0"/>
                <w:sz w:val="24"/>
                <w:szCs w:val="24"/>
              </w:rPr>
            </w:pPr>
          </w:p>
        </w:tc>
        <w:tc>
          <w:tcPr>
            <w:tcW w:w="1701" w:type="dxa"/>
            <w:vAlign w:val="center"/>
          </w:tcPr>
          <w:p>
            <w:pPr>
              <w:widowControl/>
              <w:jc w:val="center"/>
              <w:rPr>
                <w:kern w:val="0"/>
                <w:sz w:val="24"/>
                <w:szCs w:val="24"/>
              </w:rPr>
            </w:pPr>
          </w:p>
        </w:tc>
        <w:tc>
          <w:tcPr>
            <w:tcW w:w="2238" w:type="dxa"/>
            <w:vAlign w:val="center"/>
          </w:tcPr>
          <w:p>
            <w:pPr>
              <w:widowControl/>
              <w:jc w:val="center"/>
              <w:rPr>
                <w:kern w:val="0"/>
                <w:sz w:val="24"/>
                <w:szCs w:val="24"/>
              </w:rPr>
            </w:pPr>
          </w:p>
        </w:tc>
        <w:tc>
          <w:tcPr>
            <w:tcW w:w="1848" w:type="dxa"/>
            <w:vAlign w:val="center"/>
          </w:tcPr>
          <w:p>
            <w:pPr>
              <w:widowControl/>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27" w:type="dxa"/>
            <w:gridSpan w:val="2"/>
            <w:vAlign w:val="center"/>
          </w:tcPr>
          <w:p>
            <w:pPr>
              <w:widowControl/>
              <w:jc w:val="left"/>
              <w:rPr>
                <w:kern w:val="0"/>
                <w:sz w:val="24"/>
                <w:szCs w:val="24"/>
              </w:rPr>
            </w:pPr>
          </w:p>
        </w:tc>
        <w:tc>
          <w:tcPr>
            <w:tcW w:w="1701" w:type="dxa"/>
            <w:vAlign w:val="center"/>
          </w:tcPr>
          <w:p>
            <w:pPr>
              <w:widowControl/>
              <w:jc w:val="center"/>
              <w:rPr>
                <w:kern w:val="0"/>
                <w:sz w:val="24"/>
                <w:szCs w:val="24"/>
              </w:rPr>
            </w:pPr>
          </w:p>
        </w:tc>
        <w:tc>
          <w:tcPr>
            <w:tcW w:w="2238" w:type="dxa"/>
            <w:vAlign w:val="center"/>
          </w:tcPr>
          <w:p>
            <w:pPr>
              <w:widowControl/>
              <w:jc w:val="center"/>
              <w:rPr>
                <w:kern w:val="0"/>
                <w:sz w:val="24"/>
                <w:szCs w:val="24"/>
              </w:rPr>
            </w:pPr>
          </w:p>
        </w:tc>
        <w:tc>
          <w:tcPr>
            <w:tcW w:w="1848" w:type="dxa"/>
            <w:vAlign w:val="center"/>
          </w:tcPr>
          <w:p>
            <w:pPr>
              <w:widowControl/>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27" w:type="dxa"/>
            <w:gridSpan w:val="2"/>
            <w:vAlign w:val="center"/>
          </w:tcPr>
          <w:p>
            <w:pPr>
              <w:widowControl/>
              <w:jc w:val="left"/>
              <w:rPr>
                <w:kern w:val="0"/>
                <w:sz w:val="24"/>
                <w:szCs w:val="24"/>
              </w:rPr>
            </w:pPr>
          </w:p>
        </w:tc>
        <w:tc>
          <w:tcPr>
            <w:tcW w:w="1701" w:type="dxa"/>
            <w:vAlign w:val="center"/>
          </w:tcPr>
          <w:p>
            <w:pPr>
              <w:widowControl/>
              <w:jc w:val="center"/>
              <w:rPr>
                <w:kern w:val="0"/>
                <w:sz w:val="24"/>
                <w:szCs w:val="24"/>
              </w:rPr>
            </w:pPr>
          </w:p>
        </w:tc>
        <w:tc>
          <w:tcPr>
            <w:tcW w:w="2238" w:type="dxa"/>
            <w:vAlign w:val="center"/>
          </w:tcPr>
          <w:p>
            <w:pPr>
              <w:widowControl/>
              <w:jc w:val="center"/>
              <w:rPr>
                <w:kern w:val="0"/>
                <w:sz w:val="24"/>
                <w:szCs w:val="24"/>
              </w:rPr>
            </w:pPr>
          </w:p>
        </w:tc>
        <w:tc>
          <w:tcPr>
            <w:tcW w:w="1848" w:type="dxa"/>
            <w:vAlign w:val="center"/>
          </w:tcPr>
          <w:p>
            <w:pPr>
              <w:widowControl/>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27" w:type="dxa"/>
            <w:gridSpan w:val="2"/>
            <w:vAlign w:val="center"/>
          </w:tcPr>
          <w:p>
            <w:pPr>
              <w:widowControl/>
              <w:jc w:val="left"/>
              <w:rPr>
                <w:kern w:val="0"/>
                <w:sz w:val="24"/>
                <w:szCs w:val="24"/>
              </w:rPr>
            </w:pPr>
          </w:p>
        </w:tc>
        <w:tc>
          <w:tcPr>
            <w:tcW w:w="1701" w:type="dxa"/>
            <w:vAlign w:val="center"/>
          </w:tcPr>
          <w:p>
            <w:pPr>
              <w:widowControl/>
              <w:jc w:val="center"/>
              <w:rPr>
                <w:kern w:val="0"/>
                <w:sz w:val="24"/>
                <w:szCs w:val="24"/>
              </w:rPr>
            </w:pPr>
          </w:p>
        </w:tc>
        <w:tc>
          <w:tcPr>
            <w:tcW w:w="2238" w:type="dxa"/>
            <w:vAlign w:val="center"/>
          </w:tcPr>
          <w:p>
            <w:pPr>
              <w:widowControl/>
              <w:jc w:val="center"/>
              <w:rPr>
                <w:kern w:val="0"/>
                <w:sz w:val="24"/>
                <w:szCs w:val="24"/>
              </w:rPr>
            </w:pPr>
          </w:p>
        </w:tc>
        <w:tc>
          <w:tcPr>
            <w:tcW w:w="1848" w:type="dxa"/>
            <w:vAlign w:val="center"/>
          </w:tcPr>
          <w:p>
            <w:pPr>
              <w:widowControl/>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27" w:type="dxa"/>
            <w:gridSpan w:val="2"/>
            <w:vAlign w:val="center"/>
          </w:tcPr>
          <w:p>
            <w:pPr>
              <w:widowControl/>
              <w:jc w:val="left"/>
              <w:rPr>
                <w:sz w:val="24"/>
              </w:rPr>
            </w:pPr>
          </w:p>
        </w:tc>
        <w:tc>
          <w:tcPr>
            <w:tcW w:w="1701" w:type="dxa"/>
            <w:vAlign w:val="center"/>
          </w:tcPr>
          <w:p>
            <w:pPr>
              <w:widowControl/>
              <w:jc w:val="center"/>
              <w:rPr>
                <w:kern w:val="0"/>
                <w:sz w:val="24"/>
                <w:szCs w:val="24"/>
              </w:rPr>
            </w:pPr>
          </w:p>
        </w:tc>
        <w:tc>
          <w:tcPr>
            <w:tcW w:w="2238" w:type="dxa"/>
            <w:vAlign w:val="center"/>
          </w:tcPr>
          <w:p>
            <w:pPr>
              <w:widowControl/>
              <w:jc w:val="center"/>
              <w:rPr>
                <w:kern w:val="0"/>
                <w:sz w:val="24"/>
                <w:szCs w:val="24"/>
              </w:rPr>
            </w:pPr>
          </w:p>
        </w:tc>
        <w:tc>
          <w:tcPr>
            <w:tcW w:w="1848" w:type="dxa"/>
            <w:vAlign w:val="center"/>
          </w:tcPr>
          <w:p>
            <w:pPr>
              <w:widowControl/>
              <w:jc w:val="center"/>
              <w:rPr>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27" w:type="dxa"/>
            <w:gridSpan w:val="2"/>
            <w:vAlign w:val="center"/>
          </w:tcPr>
          <w:p>
            <w:pPr>
              <w:widowControl/>
              <w:jc w:val="left"/>
              <w:rPr>
                <w:sz w:val="24"/>
              </w:rPr>
            </w:pPr>
          </w:p>
        </w:tc>
        <w:tc>
          <w:tcPr>
            <w:tcW w:w="1701" w:type="dxa"/>
            <w:vAlign w:val="center"/>
          </w:tcPr>
          <w:p>
            <w:pPr>
              <w:widowControl/>
              <w:jc w:val="center"/>
              <w:rPr>
                <w:kern w:val="0"/>
                <w:sz w:val="24"/>
                <w:szCs w:val="24"/>
              </w:rPr>
            </w:pPr>
          </w:p>
        </w:tc>
        <w:tc>
          <w:tcPr>
            <w:tcW w:w="2238" w:type="dxa"/>
            <w:vAlign w:val="center"/>
          </w:tcPr>
          <w:p>
            <w:pPr>
              <w:widowControl/>
              <w:jc w:val="center"/>
              <w:rPr>
                <w:kern w:val="0"/>
                <w:sz w:val="24"/>
                <w:szCs w:val="24"/>
              </w:rPr>
            </w:pPr>
          </w:p>
        </w:tc>
        <w:tc>
          <w:tcPr>
            <w:tcW w:w="1848" w:type="dxa"/>
            <w:vAlign w:val="center"/>
          </w:tcPr>
          <w:p>
            <w:pPr>
              <w:widowControl/>
              <w:jc w:val="center"/>
              <w:rPr>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27" w:type="dxa"/>
            <w:gridSpan w:val="2"/>
            <w:vAlign w:val="center"/>
          </w:tcPr>
          <w:p>
            <w:pPr>
              <w:widowControl/>
              <w:jc w:val="center"/>
              <w:rPr>
                <w:sz w:val="24"/>
              </w:rPr>
            </w:pPr>
          </w:p>
        </w:tc>
        <w:tc>
          <w:tcPr>
            <w:tcW w:w="1701" w:type="dxa"/>
            <w:vAlign w:val="center"/>
          </w:tcPr>
          <w:p>
            <w:pPr>
              <w:widowControl/>
              <w:jc w:val="center"/>
              <w:rPr>
                <w:kern w:val="0"/>
                <w:sz w:val="24"/>
                <w:szCs w:val="24"/>
              </w:rPr>
            </w:pPr>
          </w:p>
        </w:tc>
        <w:tc>
          <w:tcPr>
            <w:tcW w:w="2238" w:type="dxa"/>
            <w:vAlign w:val="center"/>
          </w:tcPr>
          <w:p>
            <w:pPr>
              <w:widowControl/>
              <w:jc w:val="center"/>
              <w:rPr>
                <w:kern w:val="0"/>
                <w:sz w:val="24"/>
                <w:szCs w:val="24"/>
              </w:rPr>
            </w:pPr>
          </w:p>
        </w:tc>
        <w:tc>
          <w:tcPr>
            <w:tcW w:w="1848" w:type="dxa"/>
            <w:vAlign w:val="center"/>
          </w:tcPr>
          <w:p>
            <w:pPr>
              <w:widowControl/>
              <w:jc w:val="center"/>
              <w:rPr>
                <w:kern w:val="0"/>
                <w:sz w:val="24"/>
                <w:szCs w:val="24"/>
              </w:rPr>
            </w:pPr>
          </w:p>
        </w:tc>
      </w:tr>
    </w:tbl>
    <w:p>
      <w:pPr>
        <w:ind w:left="180"/>
        <w:rPr>
          <w:sz w:val="22"/>
          <w:szCs w:val="24"/>
        </w:rPr>
      </w:pPr>
      <w:r>
        <w:rPr>
          <w:sz w:val="22"/>
          <w:szCs w:val="24"/>
        </w:rPr>
        <w:t>注：1. 本表第一行填写本项目投标总价，须与附件</w:t>
      </w:r>
      <w:r>
        <w:rPr>
          <w:rFonts w:hint="eastAsia"/>
          <w:sz w:val="22"/>
          <w:szCs w:val="24"/>
        </w:rPr>
        <w:t>3</w:t>
      </w:r>
      <w:r>
        <w:rPr>
          <w:sz w:val="22"/>
          <w:szCs w:val="24"/>
        </w:rPr>
        <w:t>中投标总价保持一致。</w:t>
      </w:r>
    </w:p>
    <w:p>
      <w:pPr>
        <w:ind w:left="180" w:firstLine="408" w:firstLineChars="200"/>
      </w:pPr>
      <w:r>
        <w:rPr>
          <w:sz w:val="22"/>
          <w:szCs w:val="24"/>
        </w:rPr>
        <w:t>2. 下面应填写分项价格及分项名称（分项名称可根据实际情况增减、修改），分项价格汇总应等于总价。</w:t>
      </w:r>
    </w:p>
    <w:p>
      <w:pPr>
        <w:spacing w:line="360" w:lineRule="auto"/>
        <w:ind w:firstLine="3808" w:firstLineChars="1700"/>
        <w:rPr>
          <w:sz w:val="24"/>
        </w:rPr>
      </w:pPr>
      <w:r>
        <w:rPr>
          <w:sz w:val="24"/>
        </w:rPr>
        <w:t>投标人名称：</w:t>
      </w:r>
    </w:p>
    <w:p>
      <w:pPr>
        <w:spacing w:line="360" w:lineRule="auto"/>
        <w:ind w:firstLine="3808" w:firstLineChars="1700"/>
        <w:rPr>
          <w:sz w:val="24"/>
        </w:rPr>
      </w:pPr>
    </w:p>
    <w:p>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pPr>
        <w:widowControl/>
        <w:jc w:val="left"/>
        <w:rPr>
          <w:sz w:val="24"/>
        </w:rPr>
      </w:pPr>
      <w:r>
        <w:rPr>
          <w:sz w:val="24"/>
        </w:rPr>
        <w:br w:type="page"/>
      </w:r>
    </w:p>
    <w:p>
      <w:pPr>
        <w:tabs>
          <w:tab w:val="left" w:pos="360"/>
        </w:tabs>
        <w:spacing w:line="360" w:lineRule="auto"/>
        <w:rPr>
          <w:b/>
          <w:sz w:val="24"/>
        </w:rPr>
      </w:pPr>
      <w:r>
        <w:rPr>
          <w:b/>
          <w:sz w:val="24"/>
        </w:rPr>
        <w:t>附件</w:t>
      </w:r>
      <w:r>
        <w:rPr>
          <w:rFonts w:hint="eastAsia"/>
          <w:b/>
          <w:sz w:val="24"/>
        </w:rPr>
        <w:t>5</w:t>
      </w:r>
    </w:p>
    <w:p>
      <w:pPr>
        <w:autoSpaceDN w:val="0"/>
        <w:spacing w:line="360" w:lineRule="auto"/>
        <w:jc w:val="center"/>
        <w:rPr>
          <w:b/>
          <w:bCs/>
          <w:sz w:val="24"/>
        </w:rPr>
      </w:pPr>
      <w:r>
        <w:rPr>
          <w:b/>
          <w:bCs/>
          <w:sz w:val="24"/>
        </w:rPr>
        <w:t>商务要求点对点应答表</w:t>
      </w:r>
    </w:p>
    <w:p>
      <w:pPr>
        <w:spacing w:line="460" w:lineRule="exact"/>
        <w:rPr>
          <w:sz w:val="24"/>
        </w:rPr>
      </w:pPr>
    </w:p>
    <w:p>
      <w:pPr>
        <w:spacing w:line="460" w:lineRule="exact"/>
        <w:rPr>
          <w:sz w:val="24"/>
        </w:rPr>
      </w:pPr>
      <w:r>
        <w:rPr>
          <w:sz w:val="24"/>
        </w:rPr>
        <w:t>项目名称：</w:t>
      </w:r>
      <w:r>
        <w:rPr>
          <w:sz w:val="24"/>
          <w:u w:val="single"/>
        </w:rPr>
        <w:t xml:space="preserve">                    </w:t>
      </w:r>
    </w:p>
    <w:p>
      <w:pPr>
        <w:spacing w:line="460" w:lineRule="exact"/>
        <w:rPr>
          <w:sz w:val="24"/>
        </w:rPr>
      </w:pPr>
      <w:r>
        <w:rPr>
          <w:sz w:val="24"/>
        </w:rPr>
        <w:t>项目编号：</w:t>
      </w:r>
      <w:r>
        <w:rPr>
          <w:sz w:val="24"/>
          <w:u w:val="single"/>
        </w:rPr>
        <w:t xml:space="preserve">                    </w:t>
      </w:r>
    </w:p>
    <w:p>
      <w:pPr>
        <w:spacing w:line="460" w:lineRule="exact"/>
        <w:rPr>
          <w:sz w:val="24"/>
          <w:u w:val="single"/>
        </w:rPr>
      </w:pPr>
      <w:r>
        <w:rPr>
          <w:sz w:val="24"/>
        </w:rPr>
        <w:t>包号：</w:t>
      </w:r>
      <w:r>
        <w:rPr>
          <w:sz w:val="24"/>
          <w:u w:val="single"/>
        </w:rPr>
        <w:t xml:space="preserve">                        </w:t>
      </w:r>
    </w:p>
    <w:p>
      <w:pPr>
        <w:spacing w:line="460" w:lineRule="exact"/>
        <w:rPr>
          <w:sz w:val="24"/>
          <w:u w:val="single"/>
        </w:rPr>
      </w:pPr>
    </w:p>
    <w:tbl>
      <w:tblPr>
        <w:tblStyle w:val="22"/>
        <w:tblW w:w="513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5"/>
        <w:gridCol w:w="2231"/>
        <w:gridCol w:w="2551"/>
        <w:gridCol w:w="1135"/>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974" w:type="pct"/>
            <w:shd w:val="clear" w:color="auto" w:fill="auto"/>
            <w:vAlign w:val="center"/>
          </w:tcPr>
          <w:p>
            <w:pPr>
              <w:widowControl/>
              <w:jc w:val="center"/>
              <w:rPr>
                <w:color w:val="000000"/>
                <w:kern w:val="0"/>
                <w:szCs w:val="21"/>
              </w:rPr>
            </w:pPr>
            <w:r>
              <w:rPr>
                <w:color w:val="000000"/>
                <w:kern w:val="0"/>
                <w:szCs w:val="21"/>
              </w:rPr>
              <w:t>序号</w:t>
            </w:r>
          </w:p>
        </w:tc>
        <w:tc>
          <w:tcPr>
            <w:tcW w:w="1274" w:type="pct"/>
            <w:shd w:val="clear" w:color="auto" w:fill="auto"/>
            <w:vAlign w:val="center"/>
          </w:tcPr>
          <w:p>
            <w:pPr>
              <w:widowControl/>
              <w:jc w:val="center"/>
              <w:rPr>
                <w:color w:val="000000"/>
                <w:kern w:val="0"/>
                <w:szCs w:val="21"/>
              </w:rPr>
            </w:pPr>
            <w:r>
              <w:rPr>
                <w:color w:val="000000"/>
                <w:kern w:val="0"/>
                <w:szCs w:val="21"/>
              </w:rPr>
              <w:t>招标要求</w:t>
            </w:r>
          </w:p>
        </w:tc>
        <w:tc>
          <w:tcPr>
            <w:tcW w:w="1457" w:type="pct"/>
            <w:shd w:val="clear" w:color="auto" w:fill="auto"/>
            <w:vAlign w:val="center"/>
          </w:tcPr>
          <w:p>
            <w:pPr>
              <w:widowControl/>
              <w:jc w:val="center"/>
              <w:rPr>
                <w:color w:val="000000"/>
                <w:kern w:val="0"/>
                <w:szCs w:val="21"/>
              </w:rPr>
            </w:pPr>
            <w:r>
              <w:rPr>
                <w:color w:val="000000"/>
                <w:kern w:val="0"/>
                <w:szCs w:val="21"/>
              </w:rPr>
              <w:t>投标应答</w:t>
            </w:r>
          </w:p>
        </w:tc>
        <w:tc>
          <w:tcPr>
            <w:tcW w:w="648" w:type="pct"/>
            <w:shd w:val="clear" w:color="auto" w:fill="auto"/>
            <w:vAlign w:val="center"/>
          </w:tcPr>
          <w:p>
            <w:pPr>
              <w:widowControl/>
              <w:jc w:val="center"/>
              <w:rPr>
                <w:color w:val="000000"/>
                <w:kern w:val="0"/>
                <w:szCs w:val="21"/>
              </w:rPr>
            </w:pPr>
            <w:r>
              <w:rPr>
                <w:color w:val="000000"/>
                <w:kern w:val="0"/>
                <w:szCs w:val="21"/>
              </w:rPr>
              <w:t>偏离说明</w:t>
            </w:r>
          </w:p>
        </w:tc>
        <w:tc>
          <w:tcPr>
            <w:tcW w:w="647" w:type="pct"/>
            <w:shd w:val="clear" w:color="auto" w:fill="auto"/>
            <w:vAlign w:val="center"/>
          </w:tcPr>
          <w:p>
            <w:pPr>
              <w:widowControl/>
              <w:jc w:val="center"/>
              <w:rPr>
                <w:color w:val="000000"/>
                <w:kern w:val="0"/>
                <w:szCs w:val="21"/>
              </w:rPr>
            </w:pPr>
            <w:r>
              <w:rPr>
                <w:color w:val="000000"/>
                <w:kern w:val="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vAlign w:val="center"/>
          </w:tcPr>
          <w:p>
            <w:pPr>
              <w:widowControl/>
              <w:jc w:val="left"/>
              <w:rPr>
                <w:color w:val="000000"/>
                <w:kern w:val="0"/>
                <w:szCs w:val="21"/>
              </w:rPr>
            </w:pPr>
            <w:r>
              <w:rPr>
                <w:color w:val="000000"/>
                <w:kern w:val="0"/>
                <w:szCs w:val="21"/>
              </w:rPr>
              <w:t>（一）报价要求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 w:hRule="atLeast"/>
        </w:trPr>
        <w:tc>
          <w:tcPr>
            <w:tcW w:w="974" w:type="pct"/>
            <w:shd w:val="clear" w:color="auto" w:fill="auto"/>
            <w:vAlign w:val="center"/>
          </w:tcPr>
          <w:p>
            <w:pPr>
              <w:widowControl/>
              <w:jc w:val="left"/>
              <w:rPr>
                <w:color w:val="000000"/>
                <w:kern w:val="0"/>
                <w:szCs w:val="21"/>
              </w:rPr>
            </w:pPr>
            <w:r>
              <w:rPr>
                <w:color w:val="000000"/>
                <w:kern w:val="0"/>
                <w:szCs w:val="21"/>
              </w:rPr>
              <w:t>　</w:t>
            </w:r>
          </w:p>
        </w:tc>
        <w:tc>
          <w:tcPr>
            <w:tcW w:w="1274" w:type="pct"/>
            <w:shd w:val="clear" w:color="auto" w:fill="auto"/>
            <w:vAlign w:val="center"/>
          </w:tcPr>
          <w:p>
            <w:pPr>
              <w:widowControl/>
              <w:jc w:val="left"/>
              <w:rPr>
                <w:color w:val="000000"/>
                <w:kern w:val="0"/>
                <w:szCs w:val="21"/>
              </w:rPr>
            </w:pPr>
            <w:r>
              <w:rPr>
                <w:color w:val="000000"/>
                <w:kern w:val="0"/>
                <w:szCs w:val="21"/>
              </w:rPr>
              <w:t>　</w:t>
            </w:r>
          </w:p>
        </w:tc>
        <w:tc>
          <w:tcPr>
            <w:tcW w:w="1457" w:type="pct"/>
            <w:shd w:val="clear" w:color="auto" w:fill="auto"/>
            <w:vAlign w:val="center"/>
          </w:tcPr>
          <w:p>
            <w:pPr>
              <w:widowControl/>
              <w:jc w:val="left"/>
              <w:rPr>
                <w:color w:val="000000"/>
                <w:kern w:val="0"/>
                <w:szCs w:val="21"/>
              </w:rPr>
            </w:pPr>
            <w:r>
              <w:rPr>
                <w:color w:val="000000"/>
                <w:kern w:val="0"/>
                <w:szCs w:val="21"/>
              </w:rPr>
              <w:t>　</w:t>
            </w:r>
          </w:p>
        </w:tc>
        <w:tc>
          <w:tcPr>
            <w:tcW w:w="648" w:type="pct"/>
            <w:shd w:val="clear" w:color="auto" w:fill="auto"/>
            <w:vAlign w:val="center"/>
          </w:tcPr>
          <w:p>
            <w:pPr>
              <w:widowControl/>
              <w:jc w:val="left"/>
              <w:rPr>
                <w:color w:val="000000"/>
                <w:kern w:val="0"/>
                <w:szCs w:val="21"/>
              </w:rPr>
            </w:pPr>
            <w:r>
              <w:rPr>
                <w:color w:val="000000"/>
                <w:kern w:val="0"/>
                <w:szCs w:val="21"/>
              </w:rPr>
              <w:t>　</w:t>
            </w:r>
          </w:p>
        </w:tc>
        <w:tc>
          <w:tcPr>
            <w:tcW w:w="647" w:type="pct"/>
            <w:shd w:val="clear" w:color="auto" w:fill="auto"/>
            <w:vAlign w:val="center"/>
          </w:tcPr>
          <w:p>
            <w:pPr>
              <w:widowControl/>
              <w:jc w:val="left"/>
              <w:rPr>
                <w:color w:val="000000"/>
                <w:kern w:val="0"/>
                <w:szCs w:val="21"/>
              </w:rPr>
            </w:pPr>
            <w:r>
              <w:rPr>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vAlign w:val="center"/>
          </w:tcPr>
          <w:p>
            <w:pPr>
              <w:widowControl/>
              <w:jc w:val="left"/>
              <w:rPr>
                <w:color w:val="000000"/>
                <w:kern w:val="0"/>
                <w:szCs w:val="21"/>
              </w:rPr>
            </w:pPr>
            <w:r>
              <w:rPr>
                <w:color w:val="000000"/>
                <w:kern w:val="0"/>
                <w:szCs w:val="21"/>
              </w:rPr>
              <w:t>（</w:t>
            </w:r>
            <w:r>
              <w:rPr>
                <w:rFonts w:hint="eastAsia"/>
                <w:color w:val="000000"/>
                <w:kern w:val="0"/>
                <w:szCs w:val="21"/>
              </w:rPr>
              <w:t>二</w:t>
            </w:r>
            <w:r>
              <w:rPr>
                <w:color w:val="000000"/>
                <w:kern w:val="0"/>
                <w:szCs w:val="21"/>
              </w:rPr>
              <w:t>）时间、地点要求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 w:type="pct"/>
            <w:shd w:val="clear" w:color="auto" w:fill="auto"/>
            <w:vAlign w:val="center"/>
          </w:tcPr>
          <w:p>
            <w:pPr>
              <w:widowControl/>
              <w:jc w:val="left"/>
              <w:rPr>
                <w:color w:val="000000"/>
                <w:kern w:val="0"/>
                <w:szCs w:val="21"/>
              </w:rPr>
            </w:pPr>
            <w:r>
              <w:rPr>
                <w:color w:val="000000"/>
                <w:kern w:val="0"/>
                <w:szCs w:val="21"/>
              </w:rPr>
              <w:t>　</w:t>
            </w:r>
          </w:p>
        </w:tc>
        <w:tc>
          <w:tcPr>
            <w:tcW w:w="1274" w:type="pct"/>
            <w:shd w:val="clear" w:color="auto" w:fill="auto"/>
            <w:vAlign w:val="center"/>
          </w:tcPr>
          <w:p>
            <w:pPr>
              <w:widowControl/>
              <w:jc w:val="left"/>
              <w:rPr>
                <w:color w:val="000000"/>
                <w:kern w:val="0"/>
                <w:szCs w:val="21"/>
              </w:rPr>
            </w:pPr>
            <w:r>
              <w:rPr>
                <w:color w:val="000000"/>
                <w:kern w:val="0"/>
                <w:szCs w:val="21"/>
              </w:rPr>
              <w:t>　</w:t>
            </w:r>
          </w:p>
        </w:tc>
        <w:tc>
          <w:tcPr>
            <w:tcW w:w="1457" w:type="pct"/>
            <w:shd w:val="clear" w:color="auto" w:fill="auto"/>
            <w:vAlign w:val="center"/>
          </w:tcPr>
          <w:p>
            <w:pPr>
              <w:widowControl/>
              <w:jc w:val="left"/>
              <w:rPr>
                <w:color w:val="000000"/>
                <w:kern w:val="0"/>
                <w:szCs w:val="21"/>
              </w:rPr>
            </w:pPr>
            <w:r>
              <w:rPr>
                <w:color w:val="000000"/>
                <w:kern w:val="0"/>
                <w:szCs w:val="21"/>
              </w:rPr>
              <w:t>　</w:t>
            </w:r>
          </w:p>
        </w:tc>
        <w:tc>
          <w:tcPr>
            <w:tcW w:w="648" w:type="pct"/>
            <w:shd w:val="clear" w:color="auto" w:fill="auto"/>
            <w:vAlign w:val="center"/>
          </w:tcPr>
          <w:p>
            <w:pPr>
              <w:widowControl/>
              <w:jc w:val="left"/>
              <w:rPr>
                <w:color w:val="000000"/>
                <w:kern w:val="0"/>
                <w:szCs w:val="21"/>
              </w:rPr>
            </w:pPr>
            <w:r>
              <w:rPr>
                <w:color w:val="000000"/>
                <w:kern w:val="0"/>
                <w:szCs w:val="21"/>
              </w:rPr>
              <w:t>　</w:t>
            </w:r>
          </w:p>
        </w:tc>
        <w:tc>
          <w:tcPr>
            <w:tcW w:w="647" w:type="pct"/>
            <w:shd w:val="clear" w:color="auto" w:fill="auto"/>
            <w:vAlign w:val="center"/>
          </w:tcPr>
          <w:p>
            <w:pPr>
              <w:widowControl/>
              <w:jc w:val="left"/>
              <w:rPr>
                <w:color w:val="000000"/>
                <w:kern w:val="0"/>
                <w:szCs w:val="21"/>
              </w:rPr>
            </w:pPr>
            <w:r>
              <w:rPr>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vAlign w:val="center"/>
          </w:tcPr>
          <w:p>
            <w:pPr>
              <w:widowControl/>
              <w:jc w:val="left"/>
              <w:rPr>
                <w:color w:val="000000"/>
                <w:kern w:val="0"/>
                <w:szCs w:val="21"/>
              </w:rPr>
            </w:pPr>
            <w:r>
              <w:rPr>
                <w:color w:val="000000"/>
                <w:kern w:val="0"/>
                <w:szCs w:val="21"/>
              </w:rPr>
              <w:t>（</w:t>
            </w:r>
            <w:r>
              <w:rPr>
                <w:rFonts w:hint="eastAsia"/>
                <w:color w:val="000000"/>
                <w:kern w:val="0"/>
                <w:szCs w:val="21"/>
              </w:rPr>
              <w:t>三</w:t>
            </w:r>
            <w:r>
              <w:rPr>
                <w:color w:val="000000"/>
                <w:kern w:val="0"/>
                <w:szCs w:val="21"/>
              </w:rPr>
              <w:t>）付款方式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 w:type="pct"/>
            <w:shd w:val="clear" w:color="auto" w:fill="auto"/>
            <w:vAlign w:val="center"/>
          </w:tcPr>
          <w:p>
            <w:pPr>
              <w:widowControl/>
              <w:jc w:val="left"/>
              <w:rPr>
                <w:color w:val="000000"/>
                <w:kern w:val="0"/>
                <w:szCs w:val="21"/>
              </w:rPr>
            </w:pPr>
            <w:r>
              <w:rPr>
                <w:color w:val="000000"/>
                <w:kern w:val="0"/>
                <w:szCs w:val="21"/>
              </w:rPr>
              <w:t>　</w:t>
            </w:r>
          </w:p>
        </w:tc>
        <w:tc>
          <w:tcPr>
            <w:tcW w:w="1274" w:type="pct"/>
            <w:shd w:val="clear" w:color="auto" w:fill="auto"/>
            <w:vAlign w:val="center"/>
          </w:tcPr>
          <w:p>
            <w:pPr>
              <w:widowControl/>
              <w:jc w:val="left"/>
              <w:rPr>
                <w:color w:val="000000"/>
                <w:kern w:val="0"/>
                <w:szCs w:val="21"/>
              </w:rPr>
            </w:pPr>
            <w:r>
              <w:rPr>
                <w:color w:val="000000"/>
                <w:kern w:val="0"/>
                <w:szCs w:val="21"/>
              </w:rPr>
              <w:t>　</w:t>
            </w:r>
          </w:p>
        </w:tc>
        <w:tc>
          <w:tcPr>
            <w:tcW w:w="1457" w:type="pct"/>
            <w:shd w:val="clear" w:color="auto" w:fill="auto"/>
            <w:vAlign w:val="center"/>
          </w:tcPr>
          <w:p>
            <w:pPr>
              <w:widowControl/>
              <w:jc w:val="left"/>
              <w:rPr>
                <w:color w:val="000000"/>
                <w:kern w:val="0"/>
                <w:szCs w:val="21"/>
              </w:rPr>
            </w:pPr>
            <w:r>
              <w:rPr>
                <w:color w:val="000000"/>
                <w:kern w:val="0"/>
                <w:szCs w:val="21"/>
              </w:rPr>
              <w:t>　</w:t>
            </w:r>
          </w:p>
        </w:tc>
        <w:tc>
          <w:tcPr>
            <w:tcW w:w="648" w:type="pct"/>
            <w:shd w:val="clear" w:color="auto" w:fill="auto"/>
            <w:vAlign w:val="center"/>
          </w:tcPr>
          <w:p>
            <w:pPr>
              <w:widowControl/>
              <w:jc w:val="left"/>
              <w:rPr>
                <w:color w:val="000000"/>
                <w:kern w:val="0"/>
                <w:szCs w:val="21"/>
              </w:rPr>
            </w:pPr>
            <w:r>
              <w:rPr>
                <w:color w:val="000000"/>
                <w:kern w:val="0"/>
                <w:szCs w:val="21"/>
              </w:rPr>
              <w:t>　</w:t>
            </w:r>
          </w:p>
        </w:tc>
        <w:tc>
          <w:tcPr>
            <w:tcW w:w="647" w:type="pct"/>
            <w:shd w:val="clear" w:color="auto" w:fill="auto"/>
            <w:vAlign w:val="center"/>
          </w:tcPr>
          <w:p>
            <w:pPr>
              <w:widowControl/>
              <w:jc w:val="left"/>
              <w:rPr>
                <w:color w:val="000000"/>
                <w:kern w:val="0"/>
                <w:szCs w:val="21"/>
              </w:rPr>
            </w:pPr>
            <w:r>
              <w:rPr>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vAlign w:val="center"/>
          </w:tcPr>
          <w:p>
            <w:pPr>
              <w:widowControl/>
              <w:jc w:val="left"/>
              <w:rPr>
                <w:color w:val="000000"/>
                <w:kern w:val="0"/>
                <w:szCs w:val="21"/>
              </w:rPr>
            </w:pPr>
            <w:r>
              <w:rPr>
                <w:color w:val="000000"/>
                <w:kern w:val="0"/>
                <w:szCs w:val="21"/>
              </w:rPr>
              <w:t>（</w:t>
            </w:r>
            <w:r>
              <w:rPr>
                <w:rFonts w:hint="eastAsia"/>
                <w:color w:val="000000"/>
                <w:kern w:val="0"/>
                <w:szCs w:val="21"/>
              </w:rPr>
              <w:t>四</w:t>
            </w:r>
            <w:r>
              <w:rPr>
                <w:color w:val="000000"/>
                <w:kern w:val="0"/>
                <w:szCs w:val="21"/>
              </w:rPr>
              <w:t>）投标保证金和履约保证金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 w:type="pct"/>
            <w:shd w:val="clear" w:color="auto" w:fill="auto"/>
            <w:vAlign w:val="center"/>
          </w:tcPr>
          <w:p>
            <w:pPr>
              <w:widowControl/>
              <w:jc w:val="left"/>
              <w:rPr>
                <w:color w:val="000000"/>
                <w:kern w:val="0"/>
                <w:szCs w:val="21"/>
              </w:rPr>
            </w:pPr>
            <w:r>
              <w:rPr>
                <w:color w:val="000000"/>
                <w:kern w:val="0"/>
                <w:szCs w:val="21"/>
              </w:rPr>
              <w:t>　</w:t>
            </w:r>
          </w:p>
        </w:tc>
        <w:tc>
          <w:tcPr>
            <w:tcW w:w="1274" w:type="pct"/>
            <w:shd w:val="clear" w:color="auto" w:fill="auto"/>
            <w:vAlign w:val="center"/>
          </w:tcPr>
          <w:p>
            <w:pPr>
              <w:widowControl/>
              <w:jc w:val="left"/>
              <w:rPr>
                <w:color w:val="000000"/>
                <w:kern w:val="0"/>
                <w:szCs w:val="21"/>
              </w:rPr>
            </w:pPr>
            <w:r>
              <w:rPr>
                <w:color w:val="000000"/>
                <w:kern w:val="0"/>
                <w:szCs w:val="21"/>
              </w:rPr>
              <w:t>　</w:t>
            </w:r>
          </w:p>
        </w:tc>
        <w:tc>
          <w:tcPr>
            <w:tcW w:w="1457" w:type="pct"/>
            <w:shd w:val="clear" w:color="auto" w:fill="auto"/>
            <w:vAlign w:val="center"/>
          </w:tcPr>
          <w:p>
            <w:pPr>
              <w:widowControl/>
              <w:jc w:val="left"/>
              <w:rPr>
                <w:color w:val="000000"/>
                <w:kern w:val="0"/>
                <w:szCs w:val="21"/>
              </w:rPr>
            </w:pPr>
            <w:r>
              <w:rPr>
                <w:color w:val="000000"/>
                <w:kern w:val="0"/>
                <w:szCs w:val="21"/>
              </w:rPr>
              <w:t>　</w:t>
            </w:r>
          </w:p>
        </w:tc>
        <w:tc>
          <w:tcPr>
            <w:tcW w:w="648" w:type="pct"/>
            <w:shd w:val="clear" w:color="auto" w:fill="auto"/>
            <w:vAlign w:val="center"/>
          </w:tcPr>
          <w:p>
            <w:pPr>
              <w:widowControl/>
              <w:jc w:val="left"/>
              <w:rPr>
                <w:color w:val="000000"/>
                <w:kern w:val="0"/>
                <w:szCs w:val="21"/>
              </w:rPr>
            </w:pPr>
            <w:r>
              <w:rPr>
                <w:color w:val="000000"/>
                <w:kern w:val="0"/>
                <w:szCs w:val="21"/>
              </w:rPr>
              <w:t>　</w:t>
            </w:r>
          </w:p>
        </w:tc>
        <w:tc>
          <w:tcPr>
            <w:tcW w:w="647" w:type="pct"/>
            <w:shd w:val="clear" w:color="auto" w:fill="auto"/>
            <w:vAlign w:val="center"/>
          </w:tcPr>
          <w:p>
            <w:pPr>
              <w:widowControl/>
              <w:jc w:val="left"/>
              <w:rPr>
                <w:color w:val="000000"/>
                <w:kern w:val="0"/>
                <w:szCs w:val="21"/>
              </w:rPr>
            </w:pPr>
            <w:r>
              <w:rPr>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vAlign w:val="center"/>
          </w:tcPr>
          <w:p>
            <w:pPr>
              <w:widowControl/>
              <w:jc w:val="left"/>
              <w:rPr>
                <w:color w:val="000000"/>
                <w:kern w:val="0"/>
                <w:szCs w:val="21"/>
              </w:rPr>
            </w:pPr>
            <w:r>
              <w:rPr>
                <w:rFonts w:hint="eastAsia"/>
                <w:color w:val="000000"/>
                <w:kern w:val="0"/>
                <w:szCs w:val="21"/>
              </w:rPr>
              <w:t>（五）验收方法及标准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 w:type="pct"/>
            <w:shd w:val="clear" w:color="auto" w:fill="auto"/>
            <w:vAlign w:val="center"/>
          </w:tcPr>
          <w:p>
            <w:pPr>
              <w:widowControl/>
              <w:jc w:val="left"/>
              <w:rPr>
                <w:color w:val="000000"/>
                <w:kern w:val="0"/>
                <w:szCs w:val="21"/>
              </w:rPr>
            </w:pPr>
          </w:p>
        </w:tc>
        <w:tc>
          <w:tcPr>
            <w:tcW w:w="1274" w:type="pct"/>
            <w:shd w:val="clear" w:color="auto" w:fill="auto"/>
            <w:vAlign w:val="center"/>
          </w:tcPr>
          <w:p>
            <w:pPr>
              <w:widowControl/>
              <w:jc w:val="left"/>
              <w:rPr>
                <w:color w:val="000000"/>
                <w:kern w:val="0"/>
                <w:szCs w:val="21"/>
              </w:rPr>
            </w:pPr>
          </w:p>
        </w:tc>
        <w:tc>
          <w:tcPr>
            <w:tcW w:w="1457" w:type="pct"/>
            <w:shd w:val="clear" w:color="auto" w:fill="auto"/>
            <w:vAlign w:val="center"/>
          </w:tcPr>
          <w:p>
            <w:pPr>
              <w:widowControl/>
              <w:jc w:val="left"/>
              <w:rPr>
                <w:color w:val="000000"/>
                <w:kern w:val="0"/>
                <w:szCs w:val="21"/>
              </w:rPr>
            </w:pPr>
          </w:p>
        </w:tc>
        <w:tc>
          <w:tcPr>
            <w:tcW w:w="648" w:type="pct"/>
            <w:shd w:val="clear" w:color="auto" w:fill="auto"/>
            <w:vAlign w:val="center"/>
          </w:tcPr>
          <w:p>
            <w:pPr>
              <w:widowControl/>
              <w:jc w:val="left"/>
              <w:rPr>
                <w:color w:val="000000"/>
                <w:kern w:val="0"/>
                <w:szCs w:val="21"/>
              </w:rPr>
            </w:pPr>
          </w:p>
        </w:tc>
        <w:tc>
          <w:tcPr>
            <w:tcW w:w="647" w:type="pct"/>
            <w:shd w:val="clear" w:color="auto" w:fill="auto"/>
            <w:vAlign w:val="center"/>
          </w:tcPr>
          <w:p>
            <w:pPr>
              <w:widowControl/>
              <w:jc w:val="left"/>
              <w:rPr>
                <w:color w:val="000000"/>
                <w:kern w:val="0"/>
                <w:szCs w:val="21"/>
              </w:rPr>
            </w:pPr>
          </w:p>
        </w:tc>
      </w:tr>
    </w:tbl>
    <w:p>
      <w:pPr>
        <w:spacing w:line="360" w:lineRule="auto"/>
        <w:ind w:firstLine="448" w:firstLineChars="200"/>
        <w:rPr>
          <w:sz w:val="24"/>
        </w:rPr>
      </w:pPr>
      <w:r>
        <w:rPr>
          <w:sz w:val="24"/>
        </w:rPr>
        <w:t>注：</w:t>
      </w:r>
    </w:p>
    <w:p>
      <w:pPr>
        <w:spacing w:line="360" w:lineRule="auto"/>
        <w:ind w:firstLine="448" w:firstLineChars="200"/>
        <w:rPr>
          <w:sz w:val="24"/>
        </w:rPr>
      </w:pPr>
      <w:r>
        <w:rPr>
          <w:rFonts w:hint="eastAsia"/>
          <w:sz w:val="24"/>
        </w:rPr>
        <w:t>1. 此表应按招标文件商务要求中的全部内容逐项进行应答，未应答的，视为不满足招标文件要求。</w:t>
      </w:r>
    </w:p>
    <w:p>
      <w:pPr>
        <w:spacing w:line="360" w:lineRule="auto"/>
        <w:ind w:firstLine="448" w:firstLineChars="200"/>
        <w:rPr>
          <w:sz w:val="24"/>
        </w:rPr>
      </w:pPr>
      <w:r>
        <w:rPr>
          <w:rFonts w:hint="eastAsia"/>
          <w:sz w:val="24"/>
        </w:rPr>
        <w:t>2</w:t>
      </w:r>
      <w:r>
        <w:rPr>
          <w:sz w:val="24"/>
        </w:rPr>
        <w:t>. 不如实填写偏离情况的投标文件将视为虚假材料。</w:t>
      </w:r>
    </w:p>
    <w:p>
      <w:pPr>
        <w:spacing w:line="360" w:lineRule="auto"/>
        <w:ind w:firstLine="448" w:firstLineChars="200"/>
        <w:rPr>
          <w:sz w:val="24"/>
        </w:rPr>
      </w:pPr>
      <w:r>
        <w:rPr>
          <w:rFonts w:hint="eastAsia"/>
          <w:sz w:val="24"/>
        </w:rPr>
        <w:t>3</w:t>
      </w:r>
      <w:r>
        <w:rPr>
          <w:sz w:val="24"/>
        </w:rPr>
        <w:t>. “招标要求”指招标文件中规定的具体要求，“投标应答”指投标文件的具体内容。“偏离说明”指招标要求与投标应答之间的不同之处。</w:t>
      </w:r>
    </w:p>
    <w:p>
      <w:pPr>
        <w:spacing w:line="360" w:lineRule="auto"/>
        <w:rPr>
          <w:sz w:val="24"/>
        </w:rPr>
      </w:pPr>
    </w:p>
    <w:p>
      <w:pPr>
        <w:spacing w:line="360" w:lineRule="auto"/>
        <w:ind w:firstLine="3808" w:firstLineChars="1700"/>
        <w:rPr>
          <w:sz w:val="24"/>
        </w:rPr>
      </w:pPr>
      <w:r>
        <w:rPr>
          <w:sz w:val="24"/>
        </w:rPr>
        <w:t>投标人名称：</w:t>
      </w:r>
    </w:p>
    <w:p>
      <w:pPr>
        <w:spacing w:line="360" w:lineRule="auto"/>
        <w:ind w:firstLine="3808" w:firstLineChars="1700"/>
        <w:rPr>
          <w:sz w:val="24"/>
        </w:rPr>
      </w:pPr>
    </w:p>
    <w:p>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pPr>
        <w:tabs>
          <w:tab w:val="left" w:pos="360"/>
        </w:tabs>
        <w:spacing w:line="360" w:lineRule="auto"/>
        <w:rPr>
          <w:b/>
          <w:sz w:val="24"/>
        </w:rPr>
      </w:pPr>
      <w:r>
        <w:rPr>
          <w:sz w:val="24"/>
        </w:rPr>
        <w:br w:type="page"/>
      </w:r>
      <w:r>
        <w:rPr>
          <w:b/>
          <w:sz w:val="24"/>
        </w:rPr>
        <w:t>附件</w:t>
      </w:r>
      <w:r>
        <w:rPr>
          <w:rFonts w:hint="eastAsia"/>
          <w:b/>
          <w:sz w:val="24"/>
        </w:rPr>
        <w:t>6</w:t>
      </w:r>
    </w:p>
    <w:p>
      <w:pPr>
        <w:spacing w:line="360" w:lineRule="auto"/>
        <w:jc w:val="center"/>
        <w:rPr>
          <w:b/>
          <w:bCs/>
          <w:sz w:val="24"/>
          <w:szCs w:val="24"/>
        </w:rPr>
      </w:pPr>
      <w:r>
        <w:rPr>
          <w:rFonts w:ascii="宋体" w:hAnsi="宋体"/>
          <w:b/>
          <w:bCs/>
          <w:sz w:val="24"/>
          <w:szCs w:val="24"/>
        </w:rPr>
        <w:t>技术要求偏离应答表</w:t>
      </w:r>
    </w:p>
    <w:p>
      <w:pPr>
        <w:spacing w:line="460" w:lineRule="exact"/>
        <w:rPr>
          <w:sz w:val="24"/>
        </w:rPr>
      </w:pPr>
      <w:r>
        <w:rPr>
          <w:sz w:val="24"/>
        </w:rPr>
        <w:t>项目名称：</w:t>
      </w:r>
      <w:r>
        <w:rPr>
          <w:sz w:val="24"/>
          <w:u w:val="single"/>
        </w:rPr>
        <w:t xml:space="preserve">                    </w:t>
      </w:r>
    </w:p>
    <w:p>
      <w:pPr>
        <w:spacing w:line="460" w:lineRule="exact"/>
        <w:rPr>
          <w:sz w:val="24"/>
        </w:rPr>
      </w:pPr>
      <w:r>
        <w:rPr>
          <w:sz w:val="24"/>
        </w:rPr>
        <w:t>项目编号：</w:t>
      </w:r>
      <w:r>
        <w:rPr>
          <w:sz w:val="24"/>
          <w:u w:val="single"/>
        </w:rPr>
        <w:t xml:space="preserve">                    </w:t>
      </w:r>
    </w:p>
    <w:p>
      <w:pPr>
        <w:spacing w:line="460" w:lineRule="exact"/>
        <w:rPr>
          <w:sz w:val="24"/>
          <w:u w:val="single"/>
        </w:rPr>
      </w:pPr>
      <w:r>
        <w:rPr>
          <w:sz w:val="24"/>
        </w:rPr>
        <w:t>包号：</w:t>
      </w:r>
      <w:r>
        <w:rPr>
          <w:sz w:val="24"/>
          <w:u w:val="single"/>
        </w:rPr>
        <w:t xml:space="preserve">                        </w:t>
      </w:r>
    </w:p>
    <w:p>
      <w:pPr>
        <w:spacing w:line="460" w:lineRule="exact"/>
        <w:rPr>
          <w:sz w:val="24"/>
          <w:szCs w:val="24"/>
          <w:u w:val="single"/>
        </w:rPr>
      </w:pPr>
    </w:p>
    <w:p>
      <w:pPr>
        <w:spacing w:line="360" w:lineRule="auto"/>
        <w:ind w:firstLine="448" w:firstLineChars="200"/>
        <w:rPr>
          <w:sz w:val="24"/>
          <w:szCs w:val="24"/>
          <w:u w:val="single"/>
        </w:rPr>
      </w:pPr>
      <w:r>
        <w:rPr>
          <w:rFonts w:hint="eastAsia" w:ascii="宋体" w:hAnsi="宋体"/>
          <w:b/>
          <w:sz w:val="24"/>
          <w:szCs w:val="24"/>
        </w:rPr>
        <w:t>我单位郑重承诺：所提供的服务、人员及设备符合相关强制性规定。验收时采购人有权要求我单位出具所提供的服务、人员及设备符合上述规定的证明文件。除下表列出的偏离外，与招标文件技术要求完全一致，并承担相应的法律责任。</w:t>
      </w:r>
    </w:p>
    <w:tbl>
      <w:tblPr>
        <w:tblStyle w:val="22"/>
        <w:tblW w:w="98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3"/>
        <w:gridCol w:w="2743"/>
        <w:gridCol w:w="2835"/>
        <w:gridCol w:w="2071"/>
        <w:gridCol w:w="13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r>
              <w:rPr>
                <w:rFonts w:ascii="宋体" w:hAnsi="宋体"/>
                <w:kern w:val="0"/>
                <w:sz w:val="24"/>
                <w:szCs w:val="24"/>
              </w:rPr>
              <w:t>序号</w:t>
            </w:r>
          </w:p>
        </w:tc>
        <w:tc>
          <w:tcPr>
            <w:tcW w:w="2743"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r>
              <w:rPr>
                <w:rFonts w:hint="eastAsia" w:ascii="宋体" w:hAnsi="宋体"/>
                <w:kern w:val="0"/>
                <w:sz w:val="24"/>
                <w:szCs w:val="24"/>
              </w:rPr>
              <w:t>招标文件</w:t>
            </w:r>
            <w:r>
              <w:rPr>
                <w:rFonts w:ascii="宋体" w:hAnsi="宋体"/>
                <w:kern w:val="0"/>
                <w:sz w:val="24"/>
                <w:szCs w:val="24"/>
              </w:rPr>
              <w:t>要求</w:t>
            </w:r>
          </w:p>
        </w:tc>
        <w:tc>
          <w:tcPr>
            <w:tcW w:w="2835"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r>
              <w:rPr>
                <w:rFonts w:hint="eastAsia" w:ascii="宋体" w:hAnsi="宋体"/>
                <w:kern w:val="0"/>
                <w:sz w:val="24"/>
                <w:szCs w:val="24"/>
              </w:rPr>
              <w:t>投标</w:t>
            </w:r>
            <w:r>
              <w:rPr>
                <w:rFonts w:ascii="宋体" w:hAnsi="宋体"/>
                <w:kern w:val="0"/>
                <w:sz w:val="24"/>
                <w:szCs w:val="24"/>
              </w:rPr>
              <w:t>应答</w:t>
            </w:r>
          </w:p>
        </w:tc>
        <w:tc>
          <w:tcPr>
            <w:tcW w:w="2071"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r>
              <w:rPr>
                <w:rFonts w:ascii="宋体" w:hAnsi="宋体"/>
                <w:kern w:val="0"/>
                <w:sz w:val="24"/>
                <w:szCs w:val="24"/>
              </w:rPr>
              <w:t>偏离说明</w:t>
            </w:r>
          </w:p>
        </w:tc>
        <w:tc>
          <w:tcPr>
            <w:tcW w:w="1315"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r>
              <w:rPr>
                <w:rFonts w:ascii="宋体" w:hAnsi="宋体"/>
                <w:kern w:val="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r>
              <w:rPr>
                <w:rFonts w:hint="eastAsia" w:ascii="宋体" w:hAnsi="宋体"/>
                <w:sz w:val="24"/>
                <w:szCs w:val="24"/>
              </w:rPr>
              <w:t>此表仅体现与招标文件技术要求存在偏离的部分，无偏离的部分，无需填写。</w:t>
            </w:r>
          </w:p>
        </w:tc>
        <w:tc>
          <w:tcPr>
            <w:tcW w:w="2835"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r>
              <w:rPr>
                <w:rFonts w:hint="eastAsia" w:ascii="宋体" w:hAnsi="宋体"/>
                <w:sz w:val="24"/>
                <w:szCs w:val="24"/>
              </w:rPr>
              <w:t>此表仅体现与招标文件技术要求存在偏离的部分，无偏离的部分，无需填写。</w:t>
            </w:r>
          </w:p>
        </w:tc>
        <w:tc>
          <w:tcPr>
            <w:tcW w:w="2071"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r>
              <w:rPr>
                <w:rFonts w:hint="eastAsia" w:ascii="宋体" w:hAnsi="宋体"/>
                <w:sz w:val="24"/>
                <w:szCs w:val="24"/>
              </w:rPr>
              <w:t>此表仅体现与招标文件技术要求存在偏离的部分，无偏离的部分，无需填写。</w:t>
            </w:r>
          </w:p>
        </w:tc>
        <w:tc>
          <w:tcPr>
            <w:tcW w:w="1315"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2835"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2071"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2835"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2071"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2835"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2071"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2835"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2071"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r>
    </w:tbl>
    <w:p>
      <w:pPr>
        <w:spacing w:line="360" w:lineRule="auto"/>
        <w:ind w:firstLine="448" w:firstLineChars="200"/>
        <w:rPr>
          <w:sz w:val="24"/>
          <w:szCs w:val="24"/>
        </w:rPr>
      </w:pPr>
      <w:r>
        <w:rPr>
          <w:rFonts w:ascii="宋体" w:hAnsi="宋体"/>
          <w:sz w:val="24"/>
          <w:szCs w:val="24"/>
        </w:rPr>
        <w:t>注：</w:t>
      </w:r>
    </w:p>
    <w:p>
      <w:pPr>
        <w:spacing w:line="360" w:lineRule="auto"/>
        <w:ind w:firstLine="448" w:firstLineChars="200"/>
        <w:rPr>
          <w:sz w:val="24"/>
          <w:szCs w:val="24"/>
        </w:rPr>
      </w:pPr>
      <w:r>
        <w:rPr>
          <w:rFonts w:hint="eastAsia"/>
          <w:sz w:val="24"/>
          <w:szCs w:val="24"/>
        </w:rPr>
        <w:t xml:space="preserve">1. </w:t>
      </w:r>
      <w:r>
        <w:rPr>
          <w:rFonts w:hint="eastAsia" w:ascii="宋体" w:hAnsi="宋体"/>
          <w:sz w:val="24"/>
          <w:szCs w:val="24"/>
        </w:rPr>
        <w:t>此表仅体现与招标文件技术要求存在偏离的部分，无偏离的部分，无需填写。</w:t>
      </w:r>
    </w:p>
    <w:p>
      <w:pPr>
        <w:spacing w:line="360" w:lineRule="auto"/>
        <w:ind w:firstLine="448" w:firstLineChars="200"/>
        <w:rPr>
          <w:rFonts w:ascii="宋体" w:hAnsi="宋体"/>
          <w:sz w:val="24"/>
          <w:szCs w:val="24"/>
        </w:rPr>
      </w:pPr>
      <w:r>
        <w:rPr>
          <w:rFonts w:hint="eastAsia"/>
          <w:sz w:val="24"/>
          <w:szCs w:val="24"/>
        </w:rPr>
        <w:t>2</w:t>
      </w:r>
      <w:r>
        <w:rPr>
          <w:sz w:val="24"/>
          <w:szCs w:val="24"/>
        </w:rPr>
        <w:t xml:space="preserve">. </w:t>
      </w:r>
      <w:r>
        <w:rPr>
          <w:rFonts w:ascii="宋体" w:hAnsi="宋体"/>
          <w:sz w:val="24"/>
          <w:szCs w:val="24"/>
        </w:rPr>
        <w:t>不如实填写偏离情况的</w:t>
      </w:r>
      <w:r>
        <w:rPr>
          <w:rFonts w:hint="eastAsia" w:ascii="宋体" w:hAnsi="宋体"/>
          <w:sz w:val="24"/>
          <w:szCs w:val="24"/>
        </w:rPr>
        <w:t>投标</w:t>
      </w:r>
      <w:r>
        <w:rPr>
          <w:rFonts w:ascii="宋体" w:hAnsi="宋体"/>
          <w:sz w:val="24"/>
          <w:szCs w:val="24"/>
        </w:rPr>
        <w:t>文件将视为虚假材料。</w:t>
      </w:r>
    </w:p>
    <w:p>
      <w:pPr>
        <w:spacing w:line="360" w:lineRule="auto"/>
        <w:ind w:firstLine="448" w:firstLineChars="200"/>
        <w:rPr>
          <w:sz w:val="24"/>
        </w:rPr>
      </w:pPr>
      <w:r>
        <w:rPr>
          <w:rFonts w:hint="eastAsia"/>
          <w:sz w:val="24"/>
          <w:szCs w:val="24"/>
        </w:rPr>
        <w:t>3</w:t>
      </w:r>
      <w:r>
        <w:rPr>
          <w:sz w:val="24"/>
          <w:szCs w:val="24"/>
        </w:rPr>
        <w:t xml:space="preserve">. </w:t>
      </w:r>
      <w:r>
        <w:rPr>
          <w:rFonts w:hint="eastAsia"/>
          <w:sz w:val="24"/>
          <w:szCs w:val="24"/>
        </w:rPr>
        <w:t>“</w:t>
      </w:r>
      <w:r>
        <w:rPr>
          <w:rFonts w:hint="eastAsia" w:ascii="宋体" w:hAnsi="宋体"/>
          <w:sz w:val="24"/>
          <w:szCs w:val="24"/>
        </w:rPr>
        <w:t>招标</w:t>
      </w:r>
      <w:r>
        <w:rPr>
          <w:rFonts w:ascii="宋体" w:hAnsi="宋体"/>
          <w:sz w:val="24"/>
          <w:szCs w:val="24"/>
        </w:rPr>
        <w:t>文件要求</w:t>
      </w:r>
      <w:r>
        <w:rPr>
          <w:rFonts w:hint="eastAsia"/>
          <w:sz w:val="24"/>
          <w:szCs w:val="24"/>
        </w:rPr>
        <w:t>”</w:t>
      </w:r>
      <w:r>
        <w:rPr>
          <w:rFonts w:ascii="宋体" w:hAnsi="宋体"/>
          <w:sz w:val="24"/>
          <w:szCs w:val="24"/>
        </w:rPr>
        <w:t>指</w:t>
      </w:r>
      <w:r>
        <w:rPr>
          <w:rFonts w:hint="eastAsia" w:ascii="宋体" w:hAnsi="宋体"/>
          <w:sz w:val="24"/>
          <w:szCs w:val="24"/>
        </w:rPr>
        <w:t>招标</w:t>
      </w:r>
      <w:r>
        <w:rPr>
          <w:rFonts w:ascii="宋体" w:hAnsi="宋体"/>
          <w:sz w:val="24"/>
          <w:szCs w:val="24"/>
        </w:rPr>
        <w:t>文件中规定的具体要求，“</w:t>
      </w:r>
      <w:r>
        <w:rPr>
          <w:rFonts w:hint="eastAsia" w:ascii="宋体" w:hAnsi="宋体"/>
          <w:sz w:val="24"/>
          <w:szCs w:val="24"/>
        </w:rPr>
        <w:t>投标</w:t>
      </w:r>
      <w:r>
        <w:rPr>
          <w:rFonts w:ascii="宋体" w:hAnsi="宋体"/>
          <w:sz w:val="24"/>
          <w:szCs w:val="24"/>
        </w:rPr>
        <w:t>应答”指投标</w:t>
      </w:r>
      <w:r>
        <w:rPr>
          <w:rFonts w:hint="eastAsia" w:ascii="宋体" w:hAnsi="宋体"/>
          <w:sz w:val="24"/>
          <w:szCs w:val="24"/>
        </w:rPr>
        <w:t>文件</w:t>
      </w:r>
      <w:r>
        <w:rPr>
          <w:rFonts w:ascii="宋体" w:hAnsi="宋体"/>
          <w:sz w:val="24"/>
          <w:szCs w:val="24"/>
        </w:rPr>
        <w:t>的</w:t>
      </w:r>
      <w:r>
        <w:rPr>
          <w:rFonts w:hint="eastAsia" w:ascii="宋体" w:hAnsi="宋体"/>
          <w:sz w:val="24"/>
          <w:szCs w:val="24"/>
        </w:rPr>
        <w:t>具体内容</w:t>
      </w:r>
      <w:r>
        <w:rPr>
          <w:rFonts w:ascii="宋体" w:hAnsi="宋体"/>
          <w:sz w:val="24"/>
          <w:szCs w:val="24"/>
        </w:rPr>
        <w:t>。“偏离说明”指</w:t>
      </w:r>
      <w:r>
        <w:rPr>
          <w:rFonts w:hint="eastAsia" w:ascii="宋体" w:hAnsi="宋体"/>
          <w:sz w:val="24"/>
          <w:szCs w:val="24"/>
        </w:rPr>
        <w:t>招标</w:t>
      </w:r>
      <w:r>
        <w:rPr>
          <w:rFonts w:ascii="宋体" w:hAnsi="宋体"/>
          <w:sz w:val="24"/>
          <w:szCs w:val="24"/>
        </w:rPr>
        <w:t>文件中规定的具体要求与</w:t>
      </w:r>
      <w:r>
        <w:rPr>
          <w:rFonts w:hint="eastAsia" w:ascii="宋体" w:hAnsi="宋体"/>
          <w:sz w:val="24"/>
          <w:szCs w:val="24"/>
        </w:rPr>
        <w:t>投标</w:t>
      </w:r>
      <w:r>
        <w:rPr>
          <w:rFonts w:ascii="宋体" w:hAnsi="宋体"/>
          <w:sz w:val="24"/>
          <w:szCs w:val="24"/>
        </w:rPr>
        <w:t>文件的具体内容的不同之处。</w:t>
      </w:r>
    </w:p>
    <w:p>
      <w:pPr>
        <w:spacing w:line="360" w:lineRule="auto"/>
        <w:rPr>
          <w:sz w:val="24"/>
        </w:rPr>
      </w:pPr>
    </w:p>
    <w:p>
      <w:pPr>
        <w:spacing w:line="360" w:lineRule="auto"/>
        <w:ind w:firstLine="3808" w:firstLineChars="1700"/>
        <w:rPr>
          <w:sz w:val="24"/>
        </w:rPr>
      </w:pPr>
      <w:r>
        <w:rPr>
          <w:sz w:val="24"/>
        </w:rPr>
        <w:t>投标人名称：</w:t>
      </w:r>
    </w:p>
    <w:p>
      <w:pPr>
        <w:spacing w:line="360" w:lineRule="auto"/>
        <w:ind w:firstLine="3808" w:firstLineChars="1700"/>
        <w:rPr>
          <w:sz w:val="24"/>
        </w:rPr>
      </w:pPr>
    </w:p>
    <w:p>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pPr>
        <w:tabs>
          <w:tab w:val="left" w:pos="360"/>
        </w:tabs>
        <w:spacing w:line="360" w:lineRule="auto"/>
        <w:rPr>
          <w:b/>
          <w:sz w:val="24"/>
        </w:rPr>
      </w:pPr>
      <w:r>
        <w:rPr>
          <w:sz w:val="24"/>
        </w:rPr>
        <w:br w:type="page"/>
      </w:r>
      <w:r>
        <w:rPr>
          <w:b/>
          <w:sz w:val="24"/>
        </w:rPr>
        <w:t>附件</w:t>
      </w:r>
      <w:r>
        <w:rPr>
          <w:rFonts w:hint="eastAsia"/>
          <w:b/>
          <w:sz w:val="24"/>
        </w:rPr>
        <w:t>7</w:t>
      </w:r>
    </w:p>
    <w:p>
      <w:pPr>
        <w:autoSpaceDN w:val="0"/>
        <w:spacing w:line="360" w:lineRule="auto"/>
        <w:jc w:val="center"/>
        <w:rPr>
          <w:b/>
          <w:bCs/>
          <w:sz w:val="24"/>
        </w:rPr>
      </w:pPr>
      <w:r>
        <w:rPr>
          <w:b/>
          <w:sz w:val="24"/>
        </w:rPr>
        <w:t>主要相关项目业绩一览表</w:t>
      </w:r>
    </w:p>
    <w:p>
      <w:pPr>
        <w:spacing w:line="460" w:lineRule="exact"/>
        <w:ind w:left="192"/>
        <w:rPr>
          <w:sz w:val="24"/>
        </w:rPr>
      </w:pPr>
    </w:p>
    <w:p>
      <w:pPr>
        <w:spacing w:line="460" w:lineRule="exact"/>
        <w:rPr>
          <w:sz w:val="24"/>
        </w:rPr>
      </w:pPr>
      <w:r>
        <w:rPr>
          <w:sz w:val="24"/>
        </w:rPr>
        <w:t>项目名称：</w:t>
      </w:r>
      <w:r>
        <w:rPr>
          <w:sz w:val="24"/>
          <w:u w:val="single"/>
        </w:rPr>
        <w:t xml:space="preserve">                    </w:t>
      </w:r>
    </w:p>
    <w:p>
      <w:pPr>
        <w:spacing w:line="460" w:lineRule="exact"/>
        <w:rPr>
          <w:sz w:val="24"/>
        </w:rPr>
      </w:pPr>
      <w:r>
        <w:rPr>
          <w:sz w:val="24"/>
        </w:rPr>
        <w:t>项目编号：</w:t>
      </w:r>
      <w:r>
        <w:rPr>
          <w:sz w:val="24"/>
          <w:u w:val="single"/>
        </w:rPr>
        <w:t xml:space="preserve">                    </w:t>
      </w:r>
    </w:p>
    <w:p>
      <w:pPr>
        <w:spacing w:line="460" w:lineRule="exact"/>
        <w:rPr>
          <w:sz w:val="24"/>
          <w:u w:val="single"/>
        </w:rPr>
      </w:pPr>
      <w:r>
        <w:rPr>
          <w:sz w:val="24"/>
        </w:rPr>
        <w:t>包号：</w:t>
      </w:r>
      <w:r>
        <w:rPr>
          <w:sz w:val="24"/>
          <w:u w:val="single"/>
        </w:rPr>
        <w:t xml:space="preserve">                        </w:t>
      </w:r>
    </w:p>
    <w:p>
      <w:pPr>
        <w:spacing w:line="460" w:lineRule="exact"/>
        <w:ind w:left="192"/>
        <w:rPr>
          <w:sz w:val="24"/>
        </w:rPr>
      </w:pPr>
    </w:p>
    <w:tbl>
      <w:tblPr>
        <w:tblStyle w:val="22"/>
        <w:tblW w:w="80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4"/>
        <w:gridCol w:w="1615"/>
        <w:gridCol w:w="1239"/>
        <w:gridCol w:w="2628"/>
        <w:gridCol w:w="17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r>
              <w:rPr>
                <w:sz w:val="24"/>
              </w:rPr>
              <w:t>序号</w:t>
            </w:r>
          </w:p>
        </w:tc>
        <w:tc>
          <w:tcPr>
            <w:tcW w:w="161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r>
              <w:rPr>
                <w:sz w:val="24"/>
              </w:rPr>
              <w:t>用户单位名称</w:t>
            </w:r>
          </w:p>
        </w:tc>
        <w:tc>
          <w:tcPr>
            <w:tcW w:w="1239"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r>
              <w:rPr>
                <w:sz w:val="24"/>
              </w:rPr>
              <w:t>项目内容</w:t>
            </w:r>
          </w:p>
        </w:tc>
        <w:tc>
          <w:tcPr>
            <w:tcW w:w="2628"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r>
              <w:rPr>
                <w:sz w:val="24"/>
              </w:rPr>
              <w:t>用户联系人及联系方式</w:t>
            </w:r>
          </w:p>
        </w:tc>
        <w:tc>
          <w:tcPr>
            <w:tcW w:w="173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r>
              <w:rPr>
                <w:sz w:val="24"/>
              </w:rPr>
              <w:t>项目起止时间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r>
    </w:tbl>
    <w:p>
      <w:pPr>
        <w:spacing w:line="560" w:lineRule="exact"/>
        <w:rPr>
          <w:sz w:val="24"/>
        </w:rPr>
      </w:pPr>
      <w:r>
        <w:rPr>
          <w:sz w:val="24"/>
        </w:rPr>
        <w:t>备注：若招标文件第二部分评分因素及评标标准中要求提供业绩的，投标人所列业绩应按其要求将证明材料按顺序附后。</w:t>
      </w:r>
    </w:p>
    <w:p>
      <w:pPr>
        <w:spacing w:line="560" w:lineRule="exact"/>
        <w:rPr>
          <w:sz w:val="24"/>
        </w:rPr>
      </w:pPr>
    </w:p>
    <w:p>
      <w:pPr>
        <w:spacing w:line="360" w:lineRule="auto"/>
        <w:ind w:firstLine="3808" w:firstLineChars="1700"/>
        <w:rPr>
          <w:sz w:val="24"/>
        </w:rPr>
      </w:pPr>
      <w:r>
        <w:rPr>
          <w:sz w:val="24"/>
        </w:rPr>
        <w:t>投标人名称：</w:t>
      </w:r>
    </w:p>
    <w:p>
      <w:pPr>
        <w:spacing w:line="360" w:lineRule="auto"/>
        <w:ind w:firstLine="3808" w:firstLineChars="1700"/>
        <w:rPr>
          <w:sz w:val="24"/>
        </w:rPr>
      </w:pPr>
    </w:p>
    <w:p>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pPr>
        <w:spacing w:line="460" w:lineRule="exact"/>
        <w:rPr>
          <w:sz w:val="24"/>
        </w:rPr>
      </w:pPr>
    </w:p>
    <w:p>
      <w:pPr>
        <w:widowControl/>
        <w:jc w:val="left"/>
        <w:rPr>
          <w:sz w:val="24"/>
        </w:rPr>
      </w:pPr>
      <w:r>
        <w:rPr>
          <w:sz w:val="24"/>
        </w:rPr>
        <w:br w:type="page"/>
      </w:r>
    </w:p>
    <w:p>
      <w:pPr>
        <w:tabs>
          <w:tab w:val="left" w:pos="360"/>
        </w:tabs>
        <w:spacing w:line="360" w:lineRule="auto"/>
        <w:rPr>
          <w:b/>
          <w:sz w:val="24"/>
        </w:rPr>
      </w:pPr>
      <w:r>
        <w:rPr>
          <w:b/>
          <w:sz w:val="24"/>
        </w:rPr>
        <w:t>附件</w:t>
      </w:r>
      <w:r>
        <w:rPr>
          <w:rFonts w:hint="eastAsia"/>
          <w:b/>
          <w:sz w:val="24"/>
        </w:rPr>
        <w:t>8</w:t>
      </w:r>
    </w:p>
    <w:p>
      <w:pPr>
        <w:autoSpaceDN w:val="0"/>
        <w:spacing w:line="360" w:lineRule="auto"/>
        <w:jc w:val="center"/>
        <w:rPr>
          <w:b/>
          <w:bCs/>
          <w:sz w:val="24"/>
        </w:rPr>
      </w:pPr>
      <w:r>
        <w:rPr>
          <w:rFonts w:hint="eastAsia"/>
          <w:b/>
          <w:bCs/>
          <w:sz w:val="24"/>
        </w:rPr>
        <w:t>投标</w:t>
      </w:r>
      <w:r>
        <w:rPr>
          <w:b/>
          <w:bCs/>
          <w:sz w:val="24"/>
        </w:rPr>
        <w:t>代表人授权书</w:t>
      </w:r>
    </w:p>
    <w:p>
      <w:pPr>
        <w:spacing w:line="360" w:lineRule="auto"/>
        <w:rPr>
          <w:sz w:val="24"/>
          <w:szCs w:val="21"/>
        </w:rPr>
      </w:pPr>
    </w:p>
    <w:p>
      <w:pPr>
        <w:spacing w:line="360" w:lineRule="auto"/>
        <w:rPr>
          <w:sz w:val="24"/>
          <w:szCs w:val="21"/>
        </w:rPr>
      </w:pPr>
      <w:r>
        <w:rPr>
          <w:sz w:val="24"/>
          <w:szCs w:val="21"/>
        </w:rPr>
        <w:t>致：天津市政府采购中心</w:t>
      </w:r>
    </w:p>
    <w:p>
      <w:pPr>
        <w:spacing w:line="360" w:lineRule="auto"/>
        <w:ind w:firstLine="448" w:firstLineChars="200"/>
        <w:rPr>
          <w:sz w:val="24"/>
          <w:szCs w:val="21"/>
        </w:rPr>
      </w:pPr>
      <w:r>
        <w:rPr>
          <w:rFonts w:hint="eastAsia"/>
          <w:sz w:val="24"/>
          <w:szCs w:val="21"/>
        </w:rPr>
        <w:t>我单位</w:t>
      </w:r>
      <w:r>
        <w:rPr>
          <w:sz w:val="24"/>
          <w:szCs w:val="21"/>
        </w:rPr>
        <w:t>授权委托本月</w:t>
      </w:r>
      <w:r>
        <w:rPr>
          <w:rFonts w:hint="eastAsia"/>
          <w:sz w:val="24"/>
          <w:szCs w:val="21"/>
        </w:rPr>
        <w:t>/上月（本月尚未缴纳社保的，则填写上月）由我单位缴纳社会保险的</w:t>
      </w:r>
      <w:r>
        <w:rPr>
          <w:sz w:val="24"/>
          <w:szCs w:val="21"/>
        </w:rPr>
        <w:t>在职职工_______________（姓名）（身份证号码：____________________、联系电话：_______________）作为投标代表人以我方的名义参加贵中心组织的______________________项目（项目编号：_______________）的投标活动，并代表我方全权办理针对上述项目的投标、开标、投标文件澄清、签约等一切具体事务和签署相关文件。</w:t>
      </w:r>
    </w:p>
    <w:p>
      <w:pPr>
        <w:spacing w:line="360" w:lineRule="auto"/>
        <w:ind w:firstLine="448" w:firstLineChars="200"/>
        <w:rPr>
          <w:sz w:val="24"/>
          <w:szCs w:val="21"/>
        </w:rPr>
      </w:pPr>
      <w:r>
        <w:rPr>
          <w:sz w:val="24"/>
          <w:szCs w:val="21"/>
        </w:rPr>
        <w:t>我方对</w:t>
      </w:r>
      <w:r>
        <w:rPr>
          <w:rFonts w:hint="eastAsia"/>
          <w:sz w:val="24"/>
          <w:szCs w:val="21"/>
        </w:rPr>
        <w:t>投标代表人</w:t>
      </w:r>
      <w:r>
        <w:rPr>
          <w:sz w:val="24"/>
          <w:szCs w:val="21"/>
        </w:rPr>
        <w:t>的签名事项负全部责任。</w:t>
      </w:r>
    </w:p>
    <w:p>
      <w:pPr>
        <w:spacing w:line="360" w:lineRule="auto"/>
        <w:ind w:firstLine="448" w:firstLineChars="200"/>
        <w:rPr>
          <w:sz w:val="24"/>
          <w:szCs w:val="21"/>
        </w:rPr>
      </w:pPr>
      <w:r>
        <w:rPr>
          <w:sz w:val="24"/>
          <w:szCs w:val="21"/>
        </w:rPr>
        <w:t>本授权书至投标有效期结束前始终有效。</w:t>
      </w:r>
    </w:p>
    <w:p>
      <w:pPr>
        <w:spacing w:line="360" w:lineRule="auto"/>
        <w:ind w:firstLine="448" w:firstLineChars="200"/>
        <w:rPr>
          <w:sz w:val="24"/>
          <w:szCs w:val="21"/>
        </w:rPr>
      </w:pPr>
      <w:r>
        <w:rPr>
          <w:sz w:val="24"/>
          <w:szCs w:val="21"/>
        </w:rPr>
        <w:t>投标代表人无转委托权，特此委托。</w:t>
      </w:r>
    </w:p>
    <w:p>
      <w:pPr>
        <w:spacing w:line="360" w:lineRule="auto"/>
        <w:ind w:firstLine="448" w:firstLineChars="200"/>
        <w:rPr>
          <w:sz w:val="24"/>
        </w:rPr>
      </w:pPr>
    </w:p>
    <w:p>
      <w:pPr>
        <w:spacing w:line="360" w:lineRule="auto"/>
        <w:ind w:firstLine="448" w:firstLineChars="200"/>
        <w:rPr>
          <w:sz w:val="24"/>
        </w:rPr>
      </w:pPr>
    </w:p>
    <w:p>
      <w:pPr>
        <w:spacing w:line="480" w:lineRule="auto"/>
        <w:jc w:val="center"/>
        <w:rPr>
          <w:sz w:val="24"/>
        </w:rPr>
      </w:pPr>
      <w:r>
        <w:rPr>
          <w:sz w:val="24"/>
        </w:rPr>
        <w:t xml:space="preserve">     年   月   日 </w:t>
      </w:r>
    </w:p>
    <w:p>
      <w:pPr>
        <w:spacing w:line="360" w:lineRule="auto"/>
        <w:ind w:firstLine="4704" w:firstLineChars="2100"/>
        <w:rPr>
          <w:sz w:val="24"/>
        </w:rPr>
      </w:pP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4"/>
        <w:gridCol w:w="42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64" w:type="dxa"/>
          </w:tcPr>
          <w:p>
            <w:pPr>
              <w:spacing w:line="360" w:lineRule="auto"/>
              <w:jc w:val="left"/>
              <w:rPr>
                <w:sz w:val="24"/>
              </w:rPr>
            </w:pPr>
            <w:r>
              <w:rPr>
                <w:sz w:val="24"/>
              </w:rPr>
              <w:t>投标代表人身份证正面</w:t>
            </w: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tc>
        <w:tc>
          <w:tcPr>
            <w:tcW w:w="4264" w:type="dxa"/>
          </w:tcPr>
          <w:p>
            <w:pPr>
              <w:spacing w:line="360" w:lineRule="auto"/>
              <w:jc w:val="left"/>
              <w:rPr>
                <w:sz w:val="24"/>
              </w:rPr>
            </w:pPr>
            <w:r>
              <w:rPr>
                <w:sz w:val="24"/>
              </w:rPr>
              <w:t>投标代表人身份证背面</w:t>
            </w:r>
          </w:p>
        </w:tc>
      </w:tr>
    </w:tbl>
    <w:p>
      <w:pPr>
        <w:widowControl/>
        <w:jc w:val="left"/>
        <w:rPr>
          <w:sz w:val="24"/>
        </w:rPr>
      </w:pPr>
      <w:r>
        <w:rPr>
          <w:sz w:val="24"/>
        </w:rPr>
        <w:br w:type="page"/>
      </w:r>
    </w:p>
    <w:p>
      <w:pPr>
        <w:autoSpaceDN w:val="0"/>
        <w:spacing w:line="360" w:lineRule="auto"/>
        <w:jc w:val="left"/>
        <w:rPr>
          <w:b/>
          <w:bCs/>
          <w:sz w:val="24"/>
        </w:rPr>
      </w:pPr>
      <w:r>
        <w:rPr>
          <w:b/>
          <w:bCs/>
          <w:sz w:val="24"/>
        </w:rPr>
        <w:t>附件</w:t>
      </w:r>
      <w:r>
        <w:rPr>
          <w:rFonts w:hint="eastAsia"/>
          <w:b/>
          <w:bCs/>
          <w:sz w:val="24"/>
        </w:rPr>
        <w:t>9-1</w:t>
      </w:r>
    </w:p>
    <w:p>
      <w:pPr>
        <w:autoSpaceDE w:val="0"/>
        <w:autoSpaceDN w:val="0"/>
        <w:spacing w:line="480" w:lineRule="auto"/>
        <w:jc w:val="center"/>
        <w:rPr>
          <w:sz w:val="24"/>
          <w:szCs w:val="24"/>
        </w:rPr>
      </w:pPr>
      <w:r>
        <w:rPr>
          <w:b/>
          <w:sz w:val="24"/>
          <w:szCs w:val="24"/>
        </w:rPr>
        <w:t>中小企业声明函（服务）</w:t>
      </w:r>
    </w:p>
    <w:p>
      <w:pPr>
        <w:widowControl/>
        <w:spacing w:line="500" w:lineRule="exact"/>
        <w:ind w:firstLine="448" w:firstLineChars="200"/>
        <w:jc w:val="left"/>
        <w:rPr>
          <w:sz w:val="24"/>
          <w:szCs w:val="24"/>
        </w:rPr>
      </w:pPr>
      <w:r>
        <w:rPr>
          <w:sz w:val="24"/>
          <w:szCs w:val="24"/>
        </w:rPr>
        <w:t>本公司（联合体）郑重声明，根据《政府采购促进中小企业发展管理办法》（财库﹝2020﹞46号）的规定，本公司（联合体）参加</w:t>
      </w:r>
      <w:r>
        <w:rPr>
          <w:sz w:val="24"/>
          <w:szCs w:val="24"/>
          <w:u w:val="single"/>
        </w:rPr>
        <w:t xml:space="preserve">           </w:t>
      </w:r>
      <w:r>
        <w:rPr>
          <w:b/>
          <w:sz w:val="24"/>
          <w:szCs w:val="24"/>
          <w:u w:val="single"/>
        </w:rPr>
        <w:t>（请填写项目名称）</w:t>
      </w:r>
      <w:r>
        <w:rPr>
          <w:sz w:val="24"/>
          <w:szCs w:val="24"/>
        </w:rPr>
        <w:t>采购活动，服务全部由符合政策要求的中小企业承接。相关企业（含联合体中的中小企业、签订分包意向协议的中小企业）的具体情况如下：</w:t>
      </w:r>
    </w:p>
    <w:p>
      <w:pPr>
        <w:autoSpaceDE w:val="0"/>
        <w:autoSpaceDN w:val="0"/>
        <w:spacing w:line="500" w:lineRule="exact"/>
        <w:ind w:firstLine="448" w:firstLineChars="200"/>
        <w:jc w:val="left"/>
        <w:rPr>
          <w:sz w:val="24"/>
          <w:szCs w:val="24"/>
        </w:rPr>
      </w:pPr>
      <w:r>
        <w:rPr>
          <w:sz w:val="24"/>
          <w:szCs w:val="24"/>
        </w:rPr>
        <w:t>1.</w:t>
      </w:r>
      <w:r>
        <w:rPr>
          <w:sz w:val="24"/>
          <w:szCs w:val="24"/>
          <w:u w:val="single"/>
        </w:rPr>
        <w:t xml:space="preserve">            （</w:t>
      </w:r>
      <w:r>
        <w:rPr>
          <w:b/>
          <w:sz w:val="24"/>
          <w:szCs w:val="24"/>
        </w:rPr>
        <w:t>请填写标的名称</w:t>
      </w:r>
      <w:r>
        <w:rPr>
          <w:sz w:val="24"/>
          <w:szCs w:val="24"/>
        </w:rPr>
        <w:t>），属于</w:t>
      </w:r>
      <w:r>
        <w:rPr>
          <w:sz w:val="24"/>
          <w:szCs w:val="24"/>
          <w:u w:val="single"/>
        </w:rPr>
        <w:t xml:space="preserve">           </w:t>
      </w:r>
      <w:r>
        <w:rPr>
          <w:b/>
          <w:sz w:val="24"/>
          <w:szCs w:val="24"/>
        </w:rPr>
        <w:t>（请填写本项目采购文件中明确的所属行业）</w:t>
      </w:r>
      <w:r>
        <w:rPr>
          <w:sz w:val="24"/>
          <w:szCs w:val="24"/>
        </w:rPr>
        <w:t>行业；承接企业为</w:t>
      </w:r>
      <w:r>
        <w:rPr>
          <w:sz w:val="24"/>
          <w:szCs w:val="24"/>
          <w:u w:val="single"/>
        </w:rPr>
        <w:t xml:space="preserve">         （</w:t>
      </w:r>
      <w:r>
        <w:rPr>
          <w:b/>
          <w:sz w:val="24"/>
          <w:szCs w:val="24"/>
        </w:rPr>
        <w:t>请填写承接该标的企业名称</w:t>
      </w:r>
      <w:r>
        <w:rPr>
          <w:sz w:val="24"/>
          <w:szCs w:val="24"/>
        </w:rPr>
        <w:t>），从业人员</w:t>
      </w:r>
      <w:r>
        <w:rPr>
          <w:sz w:val="24"/>
          <w:szCs w:val="24"/>
          <w:u w:val="single"/>
        </w:rPr>
        <w:t xml:space="preserve">       </w:t>
      </w:r>
      <w:r>
        <w:rPr>
          <w:sz w:val="24"/>
          <w:szCs w:val="24"/>
        </w:rPr>
        <w:t>人，营业收入为</w:t>
      </w:r>
      <w:r>
        <w:rPr>
          <w:sz w:val="24"/>
          <w:szCs w:val="24"/>
          <w:u w:val="single"/>
        </w:rPr>
        <w:t xml:space="preserve">       </w:t>
      </w:r>
      <w:r>
        <w:rPr>
          <w:sz w:val="24"/>
          <w:szCs w:val="24"/>
        </w:rPr>
        <w:t>万元，资产总额为</w:t>
      </w:r>
      <w:r>
        <w:rPr>
          <w:sz w:val="24"/>
          <w:szCs w:val="24"/>
          <w:u w:val="single"/>
        </w:rPr>
        <w:t xml:space="preserve">        </w:t>
      </w:r>
      <w:r>
        <w:rPr>
          <w:sz w:val="24"/>
          <w:szCs w:val="24"/>
        </w:rPr>
        <w:t>万元，属于</w:t>
      </w:r>
      <w:r>
        <w:rPr>
          <w:sz w:val="24"/>
          <w:szCs w:val="24"/>
          <w:u w:val="single"/>
        </w:rPr>
        <w:t xml:space="preserve">        （</w:t>
      </w:r>
      <w:r>
        <w:rPr>
          <w:b/>
          <w:sz w:val="24"/>
          <w:szCs w:val="24"/>
        </w:rPr>
        <w:t>请根据中小企业划分标准填写中型企业/小型企业/微型企业</w:t>
      </w:r>
      <w:r>
        <w:rPr>
          <w:sz w:val="24"/>
          <w:szCs w:val="24"/>
        </w:rPr>
        <w:t>）；</w:t>
      </w:r>
    </w:p>
    <w:p>
      <w:pPr>
        <w:autoSpaceDE w:val="0"/>
        <w:autoSpaceDN w:val="0"/>
        <w:spacing w:line="500" w:lineRule="exact"/>
        <w:ind w:firstLine="448" w:firstLineChars="200"/>
        <w:jc w:val="left"/>
        <w:rPr>
          <w:sz w:val="24"/>
          <w:szCs w:val="24"/>
        </w:rPr>
      </w:pPr>
      <w:r>
        <w:rPr>
          <w:sz w:val="24"/>
          <w:szCs w:val="24"/>
        </w:rPr>
        <w:t>2.</w:t>
      </w:r>
      <w:r>
        <w:rPr>
          <w:sz w:val="24"/>
          <w:szCs w:val="24"/>
          <w:u w:val="single"/>
        </w:rPr>
        <w:t xml:space="preserve">            （</w:t>
      </w:r>
      <w:r>
        <w:rPr>
          <w:b/>
          <w:sz w:val="24"/>
          <w:szCs w:val="24"/>
        </w:rPr>
        <w:t>请填写标的名称</w:t>
      </w:r>
      <w:r>
        <w:rPr>
          <w:sz w:val="24"/>
          <w:szCs w:val="24"/>
        </w:rPr>
        <w:t>），属于</w:t>
      </w:r>
      <w:r>
        <w:rPr>
          <w:sz w:val="24"/>
          <w:szCs w:val="24"/>
          <w:u w:val="single"/>
        </w:rPr>
        <w:t xml:space="preserve">           </w:t>
      </w:r>
      <w:r>
        <w:rPr>
          <w:b/>
          <w:sz w:val="24"/>
          <w:szCs w:val="24"/>
        </w:rPr>
        <w:t>（请填写本项目采购文件中明确的所属行业）</w:t>
      </w:r>
      <w:r>
        <w:rPr>
          <w:sz w:val="24"/>
          <w:szCs w:val="24"/>
        </w:rPr>
        <w:t>行业；承接企业为</w:t>
      </w:r>
      <w:r>
        <w:rPr>
          <w:sz w:val="24"/>
          <w:szCs w:val="24"/>
          <w:u w:val="single"/>
        </w:rPr>
        <w:t xml:space="preserve">         （</w:t>
      </w:r>
      <w:r>
        <w:rPr>
          <w:b/>
          <w:sz w:val="24"/>
          <w:szCs w:val="24"/>
        </w:rPr>
        <w:t>请填写承接该标的企业名称</w:t>
      </w:r>
      <w:r>
        <w:rPr>
          <w:sz w:val="24"/>
          <w:szCs w:val="24"/>
        </w:rPr>
        <w:t>），从业人员</w:t>
      </w:r>
      <w:r>
        <w:rPr>
          <w:sz w:val="24"/>
          <w:szCs w:val="24"/>
          <w:u w:val="single"/>
        </w:rPr>
        <w:t xml:space="preserve">       </w:t>
      </w:r>
      <w:r>
        <w:rPr>
          <w:sz w:val="24"/>
          <w:szCs w:val="24"/>
        </w:rPr>
        <w:t>人，营业收入为</w:t>
      </w:r>
      <w:r>
        <w:rPr>
          <w:sz w:val="24"/>
          <w:szCs w:val="24"/>
          <w:u w:val="single"/>
        </w:rPr>
        <w:t xml:space="preserve">       </w:t>
      </w:r>
      <w:r>
        <w:rPr>
          <w:sz w:val="24"/>
          <w:szCs w:val="24"/>
        </w:rPr>
        <w:t>万元，资产总额为</w:t>
      </w:r>
      <w:r>
        <w:rPr>
          <w:sz w:val="24"/>
          <w:szCs w:val="24"/>
          <w:u w:val="single"/>
        </w:rPr>
        <w:t xml:space="preserve">        </w:t>
      </w:r>
      <w:r>
        <w:rPr>
          <w:sz w:val="24"/>
          <w:szCs w:val="24"/>
        </w:rPr>
        <w:t>万元，属于</w:t>
      </w:r>
      <w:r>
        <w:rPr>
          <w:sz w:val="24"/>
          <w:szCs w:val="24"/>
          <w:u w:val="single"/>
        </w:rPr>
        <w:t xml:space="preserve">        （</w:t>
      </w:r>
      <w:r>
        <w:rPr>
          <w:b/>
          <w:sz w:val="24"/>
          <w:szCs w:val="24"/>
        </w:rPr>
        <w:t>请根据中小企业划分标准填写中型企业/小型企业/微型企业</w:t>
      </w:r>
      <w:r>
        <w:rPr>
          <w:sz w:val="24"/>
          <w:szCs w:val="24"/>
        </w:rPr>
        <w:t>）；</w:t>
      </w:r>
    </w:p>
    <w:p>
      <w:pPr>
        <w:autoSpaceDE w:val="0"/>
        <w:autoSpaceDN w:val="0"/>
        <w:spacing w:line="500" w:lineRule="exact"/>
        <w:ind w:left="641"/>
        <w:jc w:val="left"/>
        <w:rPr>
          <w:sz w:val="24"/>
          <w:szCs w:val="24"/>
        </w:rPr>
      </w:pPr>
      <w:r>
        <w:rPr>
          <w:sz w:val="24"/>
          <w:szCs w:val="24"/>
        </w:rPr>
        <w:t>……</w:t>
      </w:r>
    </w:p>
    <w:p>
      <w:pPr>
        <w:autoSpaceDE w:val="0"/>
        <w:autoSpaceDN w:val="0"/>
        <w:spacing w:line="500" w:lineRule="exact"/>
        <w:ind w:firstLine="448" w:firstLineChars="200"/>
        <w:jc w:val="left"/>
        <w:rPr>
          <w:sz w:val="24"/>
          <w:szCs w:val="24"/>
        </w:rPr>
      </w:pPr>
      <w:r>
        <w:rPr>
          <w:sz w:val="24"/>
          <w:szCs w:val="24"/>
        </w:rPr>
        <w:t>以上企业，不属于大型企业的分支机构，不存在控股股东为大型企业的情形，也不存在与大型企业的负责人为同一人的情形。</w:t>
      </w:r>
    </w:p>
    <w:p>
      <w:pPr>
        <w:autoSpaceDE w:val="0"/>
        <w:autoSpaceDN w:val="0"/>
        <w:spacing w:line="500" w:lineRule="exact"/>
        <w:ind w:firstLine="448" w:firstLineChars="200"/>
        <w:jc w:val="left"/>
        <w:rPr>
          <w:sz w:val="24"/>
          <w:szCs w:val="24"/>
        </w:rPr>
      </w:pPr>
      <w:r>
        <w:rPr>
          <w:sz w:val="24"/>
          <w:szCs w:val="24"/>
        </w:rPr>
        <w:t>本企业对上述声明内容的真实性负责。如有虚假，将依法承担相应责任。</w:t>
      </w:r>
    </w:p>
    <w:p>
      <w:pPr>
        <w:autoSpaceDE w:val="0"/>
        <w:autoSpaceDN w:val="0"/>
        <w:spacing w:line="500" w:lineRule="exact"/>
        <w:ind w:left="3840"/>
        <w:jc w:val="left"/>
        <w:rPr>
          <w:sz w:val="24"/>
          <w:szCs w:val="24"/>
        </w:rPr>
      </w:pPr>
      <w:r>
        <w:rPr>
          <w:sz w:val="24"/>
          <w:szCs w:val="24"/>
        </w:rPr>
        <w:t>投标人名称：</w:t>
      </w:r>
    </w:p>
    <w:p>
      <w:pPr>
        <w:autoSpaceDE w:val="0"/>
        <w:autoSpaceDN w:val="0"/>
        <w:spacing w:line="500" w:lineRule="exact"/>
        <w:ind w:left="3840"/>
        <w:jc w:val="left"/>
        <w:rPr>
          <w:sz w:val="32"/>
        </w:rPr>
      </w:pPr>
      <w:r>
        <w:rPr>
          <w:sz w:val="24"/>
          <w:szCs w:val="24"/>
        </w:rPr>
        <w:t>日期：</w:t>
      </w:r>
    </w:p>
    <w:p>
      <w:pPr>
        <w:spacing w:line="360" w:lineRule="auto"/>
        <w:ind w:right="84" w:firstLine="224" w:firstLineChars="100"/>
        <w:rPr>
          <w:b/>
          <w:sz w:val="24"/>
          <w:szCs w:val="24"/>
        </w:rPr>
      </w:pPr>
      <w:r>
        <w:rPr>
          <w:b/>
          <w:sz w:val="24"/>
          <w:szCs w:val="24"/>
        </w:rPr>
        <w:t>注：</w:t>
      </w:r>
    </w:p>
    <w:p>
      <w:pPr>
        <w:spacing w:line="360" w:lineRule="auto"/>
        <w:ind w:firstLine="448" w:firstLineChars="200"/>
        <w:rPr>
          <w:b/>
          <w:sz w:val="24"/>
          <w:szCs w:val="24"/>
        </w:rPr>
      </w:pPr>
      <w:r>
        <w:rPr>
          <w:b/>
          <w:sz w:val="24"/>
          <w:szCs w:val="24"/>
        </w:rPr>
        <w:t>1.标的名称须按照采购文件中明确的标的名称进行填写；所属行业须按照采购文件中明确的所属行业进行填写。</w:t>
      </w:r>
    </w:p>
    <w:p>
      <w:pPr>
        <w:spacing w:line="360" w:lineRule="auto"/>
        <w:ind w:firstLine="448" w:firstLineChars="200"/>
        <w:rPr>
          <w:b/>
          <w:sz w:val="24"/>
          <w:szCs w:val="24"/>
        </w:rPr>
      </w:pPr>
      <w:r>
        <w:rPr>
          <w:b/>
          <w:sz w:val="24"/>
          <w:szCs w:val="24"/>
        </w:rPr>
        <w:t>2.从业人员、营业收入、资产总额填报上一年度数据，无上一年度数据的新成立企业可不填报。</w:t>
      </w:r>
    </w:p>
    <w:p>
      <w:pPr>
        <w:spacing w:line="360" w:lineRule="auto"/>
        <w:ind w:firstLine="448" w:firstLineChars="200"/>
        <w:rPr>
          <w:b/>
          <w:sz w:val="24"/>
          <w:szCs w:val="21"/>
        </w:rPr>
      </w:pPr>
      <w:r>
        <w:rPr>
          <w:b/>
          <w:sz w:val="24"/>
          <w:szCs w:val="21"/>
        </w:rPr>
        <w:t>3.中标（成交）供应商享受中小企业扶持政策的，将随中标（成交）结果同时公告其《中小企业声明函》，接受社会监督。</w:t>
      </w:r>
    </w:p>
    <w:p>
      <w:pPr>
        <w:widowControl/>
        <w:jc w:val="left"/>
        <w:rPr>
          <w:sz w:val="24"/>
        </w:rPr>
      </w:pPr>
      <w:r>
        <w:rPr>
          <w:sz w:val="24"/>
        </w:rPr>
        <w:br w:type="page"/>
      </w:r>
    </w:p>
    <w:p>
      <w:pPr>
        <w:autoSpaceDN w:val="0"/>
        <w:spacing w:line="360" w:lineRule="auto"/>
        <w:rPr>
          <w:b/>
          <w:bCs/>
          <w:sz w:val="24"/>
        </w:rPr>
      </w:pPr>
      <w:bookmarkStart w:id="6" w:name="OLE_LINK14"/>
      <w:bookmarkStart w:id="7" w:name="OLE_LINK13"/>
      <w:r>
        <w:rPr>
          <w:rFonts w:hint="eastAsia"/>
          <w:b/>
          <w:bCs/>
          <w:sz w:val="24"/>
        </w:rPr>
        <w:t>附件9-2</w:t>
      </w:r>
    </w:p>
    <w:bookmarkEnd w:id="6"/>
    <w:bookmarkEnd w:id="7"/>
    <w:p>
      <w:pPr>
        <w:autoSpaceDN w:val="0"/>
        <w:spacing w:line="360" w:lineRule="auto"/>
        <w:jc w:val="left"/>
        <w:rPr>
          <w:b/>
          <w:bCs/>
          <w:sz w:val="24"/>
        </w:rPr>
      </w:pPr>
      <w:r>
        <w:rPr>
          <w:rFonts w:hint="eastAsia"/>
          <w:b/>
          <w:kern w:val="0"/>
          <w:sz w:val="24"/>
          <w:szCs w:val="21"/>
        </w:rPr>
        <w:t>若不是残疾人福利性单位，投标文件中可不提供此声明函</w:t>
      </w:r>
    </w:p>
    <w:p>
      <w:pPr>
        <w:autoSpaceDN w:val="0"/>
        <w:spacing w:line="360" w:lineRule="auto"/>
        <w:jc w:val="center"/>
        <w:rPr>
          <w:b/>
          <w:bCs/>
          <w:sz w:val="24"/>
        </w:rPr>
      </w:pPr>
    </w:p>
    <w:p>
      <w:pPr>
        <w:snapToGrid w:val="0"/>
        <w:spacing w:line="360" w:lineRule="auto"/>
        <w:jc w:val="center"/>
        <w:rPr>
          <w:b/>
          <w:bCs/>
          <w:sz w:val="24"/>
        </w:rPr>
      </w:pPr>
      <w:r>
        <w:rPr>
          <w:rFonts w:hint="eastAsia"/>
          <w:b/>
          <w:bCs/>
          <w:sz w:val="24"/>
        </w:rPr>
        <w:t>残疾人福利性单位声明函</w:t>
      </w:r>
    </w:p>
    <w:p>
      <w:pPr>
        <w:snapToGrid w:val="0"/>
        <w:spacing w:line="360" w:lineRule="auto"/>
        <w:ind w:firstLine="448" w:firstLineChars="200"/>
        <w:jc w:val="left"/>
        <w:rPr>
          <w:b/>
          <w:bCs/>
          <w:sz w:val="24"/>
        </w:rPr>
      </w:pPr>
    </w:p>
    <w:p>
      <w:pPr>
        <w:snapToGrid w:val="0"/>
        <w:spacing w:line="360" w:lineRule="auto"/>
        <w:ind w:firstLine="448" w:firstLineChars="200"/>
        <w:jc w:val="left"/>
        <w:rPr>
          <w:bCs/>
          <w:sz w:val="24"/>
        </w:rPr>
      </w:pPr>
      <w:r>
        <w:rPr>
          <w:rFonts w:hint="eastAsia"/>
          <w:bCs/>
          <w:sz w:val="24"/>
        </w:rPr>
        <w:t>本单位郑重声明，根据《财政部 民政部 中国残疾人联合会关于促进残疾人就业政府采购政策的通知》（财库〔2017〕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snapToGrid w:val="0"/>
        <w:spacing w:line="360" w:lineRule="auto"/>
        <w:ind w:firstLine="448" w:firstLineChars="200"/>
        <w:jc w:val="left"/>
        <w:rPr>
          <w:bCs/>
          <w:sz w:val="24"/>
        </w:rPr>
      </w:pPr>
      <w:r>
        <w:rPr>
          <w:rFonts w:hint="eastAsia"/>
          <w:bCs/>
          <w:sz w:val="24"/>
        </w:rPr>
        <w:t>本单位对上述声明的真实性负责。如有虚假，将依法承担相应责任。</w:t>
      </w:r>
    </w:p>
    <w:p>
      <w:pPr>
        <w:snapToGrid w:val="0"/>
        <w:spacing w:line="360" w:lineRule="auto"/>
        <w:ind w:firstLine="448" w:firstLineChars="200"/>
        <w:jc w:val="left"/>
        <w:rPr>
          <w:bCs/>
          <w:sz w:val="24"/>
        </w:rPr>
      </w:pPr>
    </w:p>
    <w:p>
      <w:pPr>
        <w:snapToGrid w:val="0"/>
        <w:spacing w:line="360" w:lineRule="auto"/>
        <w:ind w:firstLine="448" w:firstLineChars="200"/>
        <w:jc w:val="left"/>
        <w:rPr>
          <w:bCs/>
          <w:sz w:val="24"/>
        </w:rPr>
      </w:pPr>
    </w:p>
    <w:p>
      <w:pPr>
        <w:snapToGrid w:val="0"/>
        <w:spacing w:line="360" w:lineRule="auto"/>
        <w:ind w:firstLine="448" w:firstLineChars="200"/>
        <w:jc w:val="left"/>
        <w:rPr>
          <w:bCs/>
          <w:sz w:val="24"/>
        </w:rPr>
      </w:pPr>
      <w:r>
        <w:rPr>
          <w:rFonts w:hint="eastAsia"/>
          <w:bCs/>
          <w:sz w:val="24"/>
        </w:rPr>
        <w:t xml:space="preserve">               </w:t>
      </w:r>
      <w:r>
        <w:rPr>
          <w:sz w:val="24"/>
          <w:szCs w:val="24"/>
        </w:rPr>
        <w:t>投标人名称：</w:t>
      </w:r>
    </w:p>
    <w:p>
      <w:pPr>
        <w:snapToGrid w:val="0"/>
        <w:spacing w:line="360" w:lineRule="auto"/>
        <w:ind w:firstLine="448" w:firstLineChars="200"/>
        <w:jc w:val="left"/>
        <w:rPr>
          <w:bCs/>
          <w:sz w:val="24"/>
        </w:rPr>
      </w:pPr>
    </w:p>
    <w:p>
      <w:pPr>
        <w:snapToGrid w:val="0"/>
        <w:spacing w:line="360" w:lineRule="auto"/>
        <w:ind w:firstLine="448" w:firstLineChars="200"/>
        <w:jc w:val="left"/>
        <w:rPr>
          <w:sz w:val="24"/>
          <w:szCs w:val="21"/>
        </w:rPr>
      </w:pPr>
      <w:r>
        <w:rPr>
          <w:rFonts w:hint="eastAsia"/>
          <w:bCs/>
          <w:sz w:val="24"/>
        </w:rPr>
        <w:t xml:space="preserve">               日  期：</w:t>
      </w:r>
    </w:p>
    <w:p>
      <w:pPr>
        <w:snapToGrid w:val="0"/>
        <w:spacing w:line="360" w:lineRule="auto"/>
        <w:ind w:firstLine="448" w:firstLineChars="200"/>
        <w:jc w:val="left"/>
        <w:rPr>
          <w:sz w:val="24"/>
          <w:szCs w:val="21"/>
        </w:rPr>
      </w:pPr>
    </w:p>
    <w:p>
      <w:pPr>
        <w:snapToGrid w:val="0"/>
        <w:spacing w:line="360" w:lineRule="auto"/>
        <w:ind w:firstLine="448" w:firstLineChars="200"/>
        <w:rPr>
          <w:sz w:val="24"/>
          <w:szCs w:val="21"/>
        </w:rPr>
      </w:pPr>
      <w:r>
        <w:rPr>
          <w:sz w:val="24"/>
          <w:szCs w:val="21"/>
        </w:rPr>
        <w:t>注：</w:t>
      </w:r>
    </w:p>
    <w:p>
      <w:pPr>
        <w:snapToGrid w:val="0"/>
        <w:spacing w:line="360" w:lineRule="auto"/>
        <w:ind w:firstLine="448" w:firstLineChars="200"/>
        <w:rPr>
          <w:b/>
          <w:sz w:val="24"/>
          <w:szCs w:val="21"/>
        </w:rPr>
      </w:pPr>
      <w:r>
        <w:rPr>
          <w:b/>
          <w:sz w:val="24"/>
          <w:szCs w:val="21"/>
        </w:rPr>
        <w:t>中标供应商为残疾人福利性单位的，将随中标结果同时公告其《残疾人福利性单位声明函》，接受社会监督。</w:t>
      </w:r>
    </w:p>
    <w:p>
      <w:pPr>
        <w:snapToGrid w:val="0"/>
        <w:spacing w:line="360" w:lineRule="auto"/>
        <w:ind w:firstLine="448" w:firstLineChars="200"/>
        <w:rPr>
          <w:b/>
          <w:sz w:val="24"/>
          <w:szCs w:val="21"/>
        </w:rPr>
      </w:pPr>
      <w:r>
        <w:rPr>
          <w:b/>
          <w:kern w:val="0"/>
          <w:sz w:val="24"/>
          <w:szCs w:val="21"/>
        </w:rPr>
        <w:t>若不是残疾人福利性单位，投标文件中可不提供此声明函。</w:t>
      </w:r>
    </w:p>
    <w:p>
      <w:pPr>
        <w:snapToGrid w:val="0"/>
        <w:spacing w:line="360" w:lineRule="auto"/>
        <w:ind w:firstLine="448" w:firstLineChars="200"/>
        <w:rPr>
          <w:color w:val="FF0000"/>
          <w:sz w:val="24"/>
          <w:szCs w:val="21"/>
        </w:rPr>
      </w:pPr>
    </w:p>
    <w:p>
      <w:pPr>
        <w:snapToGrid w:val="0"/>
        <w:spacing w:line="360" w:lineRule="auto"/>
        <w:ind w:firstLine="448" w:firstLineChars="200"/>
        <w:jc w:val="left"/>
        <w:rPr>
          <w:sz w:val="24"/>
          <w:szCs w:val="21"/>
        </w:rPr>
      </w:pPr>
    </w:p>
    <w:p>
      <w:pPr>
        <w:spacing w:line="360" w:lineRule="auto"/>
        <w:ind w:right="84" w:firstLine="224" w:firstLineChars="100"/>
        <w:rPr>
          <w:position w:val="-40"/>
          <w:sz w:val="24"/>
        </w:rPr>
      </w:pPr>
    </w:p>
    <w:p>
      <w:pPr>
        <w:tabs>
          <w:tab w:val="left" w:pos="360"/>
        </w:tabs>
        <w:spacing w:line="360" w:lineRule="auto"/>
        <w:rPr>
          <w:b/>
          <w:sz w:val="24"/>
        </w:rPr>
      </w:pPr>
      <w:r>
        <w:rPr>
          <w:sz w:val="24"/>
        </w:rPr>
        <w:br w:type="page"/>
      </w:r>
      <w:r>
        <w:rPr>
          <w:b/>
          <w:sz w:val="24"/>
        </w:rPr>
        <w:t>附件</w:t>
      </w:r>
      <w:r>
        <w:rPr>
          <w:rFonts w:hint="eastAsia"/>
          <w:b/>
          <w:sz w:val="24"/>
        </w:rPr>
        <w:t>10</w:t>
      </w:r>
    </w:p>
    <w:p>
      <w:pPr>
        <w:autoSpaceDN w:val="0"/>
        <w:spacing w:line="360" w:lineRule="auto"/>
        <w:jc w:val="center"/>
        <w:rPr>
          <w:b/>
          <w:bCs/>
          <w:sz w:val="24"/>
        </w:rPr>
      </w:pPr>
      <w:r>
        <w:rPr>
          <w:b/>
          <w:bCs/>
          <w:sz w:val="24"/>
        </w:rPr>
        <w:t>政府采购政策情况表</w:t>
      </w:r>
    </w:p>
    <w:p>
      <w:pPr>
        <w:spacing w:line="460" w:lineRule="exact"/>
        <w:jc w:val="center"/>
        <w:rPr>
          <w:sz w:val="24"/>
        </w:rPr>
      </w:pPr>
    </w:p>
    <w:p>
      <w:pPr>
        <w:spacing w:line="460" w:lineRule="exact"/>
        <w:rPr>
          <w:sz w:val="24"/>
        </w:rPr>
      </w:pPr>
      <w:r>
        <w:rPr>
          <w:sz w:val="24"/>
        </w:rPr>
        <w:t>项目名称：</w:t>
      </w:r>
      <w:r>
        <w:rPr>
          <w:sz w:val="24"/>
          <w:u w:val="single"/>
        </w:rPr>
        <w:t xml:space="preserve">                    </w:t>
      </w:r>
    </w:p>
    <w:p>
      <w:pPr>
        <w:spacing w:line="460" w:lineRule="exact"/>
        <w:rPr>
          <w:sz w:val="24"/>
        </w:rPr>
      </w:pPr>
      <w:r>
        <w:rPr>
          <w:sz w:val="24"/>
        </w:rPr>
        <w:t>项目编号：</w:t>
      </w:r>
      <w:r>
        <w:rPr>
          <w:sz w:val="24"/>
          <w:u w:val="single"/>
        </w:rPr>
        <w:t xml:space="preserve">                    </w:t>
      </w:r>
    </w:p>
    <w:p>
      <w:pPr>
        <w:spacing w:line="460" w:lineRule="exact"/>
        <w:rPr>
          <w:sz w:val="24"/>
          <w:u w:val="single"/>
        </w:rPr>
      </w:pPr>
      <w:r>
        <w:rPr>
          <w:sz w:val="24"/>
        </w:rPr>
        <w:t>包号：</w:t>
      </w:r>
      <w:r>
        <w:rPr>
          <w:sz w:val="24"/>
          <w:u w:val="single"/>
        </w:rPr>
        <w:t xml:space="preserve">                        </w:t>
      </w:r>
    </w:p>
    <w:p>
      <w:pPr>
        <w:spacing w:line="460" w:lineRule="exact"/>
        <w:ind w:firstLine="6944" w:firstLineChars="3100"/>
        <w:rPr>
          <w:sz w:val="24"/>
        </w:rPr>
      </w:pPr>
    </w:p>
    <w:p>
      <w:pPr>
        <w:spacing w:line="460" w:lineRule="exact"/>
        <w:rPr>
          <w:sz w:val="24"/>
        </w:rPr>
      </w:pPr>
      <w:r>
        <w:rPr>
          <w:sz w:val="24"/>
        </w:rPr>
        <w:t>填报要求：</w:t>
      </w:r>
    </w:p>
    <w:p>
      <w:pPr>
        <w:spacing w:line="460" w:lineRule="exact"/>
        <w:rPr>
          <w:sz w:val="24"/>
        </w:rPr>
      </w:pPr>
      <w:r>
        <w:rPr>
          <w:sz w:val="24"/>
        </w:rPr>
        <w:t>1.本表的产品名称、品牌型号、金额应与《开标分项一览表》一致。</w:t>
      </w:r>
    </w:p>
    <w:p>
      <w:pPr>
        <w:spacing w:line="460" w:lineRule="exact"/>
        <w:rPr>
          <w:sz w:val="24"/>
        </w:rPr>
      </w:pPr>
      <w:r>
        <w:rPr>
          <w:sz w:val="24"/>
        </w:rPr>
        <w:t>2.“制造商企业类型”栏填写内容为“微型”、“小型”、“监狱企业”或“残疾人福利性单位”。</w:t>
      </w:r>
    </w:p>
    <w:p>
      <w:pPr>
        <w:spacing w:line="460" w:lineRule="exact"/>
        <w:rPr>
          <w:sz w:val="24"/>
        </w:rPr>
      </w:pPr>
      <w:r>
        <w:rPr>
          <w:sz w:val="24"/>
        </w:rPr>
        <w:t>3. 环境标志产品是指财政部、生态环境部发布现行的《环境标志产品政府采购品目清单》中的产品；节能产品是指财政部和国家发展改革委员会公布现行的《节能产品政府采购品目清单》中的产品。提供相关产品认证证书。</w:t>
      </w:r>
    </w:p>
    <w:p>
      <w:pPr>
        <w:spacing w:line="460" w:lineRule="exact"/>
        <w:rPr>
          <w:sz w:val="24"/>
        </w:rPr>
      </w:pPr>
      <w:r>
        <w:rPr>
          <w:sz w:val="24"/>
        </w:rPr>
        <w:t>4. 请投标人正确填写本表，所填内容将作为评审的依据。其内容或数据应与对应的证明资料相符，如果填写不完整或有误，不再享受上述政策优惠。</w:t>
      </w:r>
    </w:p>
    <w:p>
      <w:pPr>
        <w:spacing w:line="460" w:lineRule="exact"/>
        <w:ind w:firstLine="6720" w:firstLineChars="3000"/>
        <w:rPr>
          <w:sz w:val="24"/>
        </w:rPr>
      </w:pPr>
      <w:r>
        <w:rPr>
          <w:sz w:val="24"/>
        </w:rPr>
        <w:t>单位：元</w:t>
      </w:r>
    </w:p>
    <w:tbl>
      <w:tblPr>
        <w:tblStyle w:val="22"/>
        <w:tblW w:w="493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6"/>
        <w:gridCol w:w="1492"/>
        <w:gridCol w:w="1565"/>
        <w:gridCol w:w="1352"/>
        <w:gridCol w:w="1622"/>
        <w:gridCol w:w="14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556" w:type="pct"/>
            <w:vMerge w:val="restart"/>
            <w:shd w:val="clear" w:color="auto" w:fill="auto"/>
            <w:vAlign w:val="center"/>
          </w:tcPr>
          <w:p>
            <w:pPr>
              <w:pStyle w:val="42"/>
              <w:tabs>
                <w:tab w:val="left" w:pos="1260"/>
              </w:tabs>
              <w:adjustRightInd w:val="0"/>
              <w:snapToGrid w:val="0"/>
              <w:jc w:val="center"/>
              <w:rPr>
                <w:szCs w:val="21"/>
                <w:lang w:val="en-GB"/>
              </w:rPr>
            </w:pPr>
            <w:r>
              <w:rPr>
                <w:szCs w:val="21"/>
                <w:lang w:val="en-GB"/>
              </w:rPr>
              <w:t>环境标志产品</w:t>
            </w:r>
          </w:p>
        </w:tc>
        <w:tc>
          <w:tcPr>
            <w:tcW w:w="886" w:type="pct"/>
            <w:shd w:val="clear" w:color="auto" w:fill="auto"/>
            <w:vAlign w:val="center"/>
          </w:tcPr>
          <w:p>
            <w:pPr>
              <w:pStyle w:val="42"/>
              <w:tabs>
                <w:tab w:val="left" w:pos="1260"/>
              </w:tabs>
              <w:adjustRightInd w:val="0"/>
              <w:snapToGrid w:val="0"/>
              <w:jc w:val="center"/>
              <w:rPr>
                <w:szCs w:val="21"/>
                <w:lang w:val="en-GB"/>
              </w:rPr>
            </w:pPr>
            <w:r>
              <w:rPr>
                <w:szCs w:val="21"/>
                <w:lang w:val="en-GB"/>
              </w:rPr>
              <w:t>产品名称</w:t>
            </w:r>
          </w:p>
        </w:tc>
        <w:tc>
          <w:tcPr>
            <w:tcW w:w="929" w:type="pct"/>
            <w:shd w:val="clear" w:color="auto" w:fill="auto"/>
            <w:vAlign w:val="center"/>
          </w:tcPr>
          <w:p>
            <w:pPr>
              <w:pStyle w:val="42"/>
              <w:tabs>
                <w:tab w:val="left" w:pos="1260"/>
              </w:tabs>
              <w:adjustRightInd w:val="0"/>
              <w:snapToGrid w:val="0"/>
              <w:jc w:val="center"/>
              <w:rPr>
                <w:szCs w:val="21"/>
                <w:lang w:val="en-GB"/>
              </w:rPr>
            </w:pPr>
            <w:r>
              <w:rPr>
                <w:szCs w:val="21"/>
                <w:lang w:val="en-GB"/>
              </w:rPr>
              <w:t>品牌型号</w:t>
            </w:r>
          </w:p>
        </w:tc>
        <w:tc>
          <w:tcPr>
            <w:tcW w:w="803" w:type="pct"/>
            <w:shd w:val="clear" w:color="auto" w:fill="auto"/>
            <w:vAlign w:val="center"/>
          </w:tcPr>
          <w:p>
            <w:pPr>
              <w:pStyle w:val="42"/>
              <w:tabs>
                <w:tab w:val="left" w:pos="1260"/>
              </w:tabs>
              <w:adjustRightInd w:val="0"/>
              <w:snapToGrid w:val="0"/>
              <w:jc w:val="center"/>
              <w:rPr>
                <w:szCs w:val="21"/>
                <w:lang w:val="en-GB"/>
              </w:rPr>
            </w:pPr>
            <w:r>
              <w:rPr>
                <w:szCs w:val="21"/>
                <w:lang w:val="en-GB"/>
              </w:rPr>
              <w:t>制造商</w:t>
            </w:r>
          </w:p>
        </w:tc>
        <w:tc>
          <w:tcPr>
            <w:tcW w:w="963" w:type="pct"/>
            <w:shd w:val="clear" w:color="auto" w:fill="auto"/>
            <w:vAlign w:val="center"/>
          </w:tcPr>
          <w:p>
            <w:pPr>
              <w:pStyle w:val="42"/>
              <w:tabs>
                <w:tab w:val="left" w:pos="1260"/>
              </w:tabs>
              <w:adjustRightInd w:val="0"/>
              <w:snapToGrid w:val="0"/>
              <w:jc w:val="center"/>
              <w:rPr>
                <w:szCs w:val="21"/>
                <w:lang w:val="en-GB"/>
              </w:rPr>
            </w:pPr>
            <w:r>
              <w:rPr>
                <w:szCs w:val="21"/>
                <w:lang w:val="en-GB"/>
              </w:rPr>
              <w:t>环境标志认证证书编号</w:t>
            </w:r>
          </w:p>
        </w:tc>
        <w:tc>
          <w:tcPr>
            <w:tcW w:w="863" w:type="pct"/>
            <w:shd w:val="clear" w:color="auto" w:fill="auto"/>
            <w:vAlign w:val="center"/>
          </w:tcPr>
          <w:p>
            <w:pPr>
              <w:pStyle w:val="42"/>
              <w:tabs>
                <w:tab w:val="left" w:pos="1260"/>
              </w:tabs>
              <w:adjustRightInd w:val="0"/>
              <w:snapToGrid w:val="0"/>
              <w:jc w:val="center"/>
              <w:rPr>
                <w:szCs w:val="21"/>
                <w:lang w:val="en-GB"/>
              </w:rPr>
            </w:pPr>
            <w:r>
              <w:rPr>
                <w:szCs w:val="21"/>
                <w:lang w:val="en-GB"/>
              </w:rPr>
              <w:t>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56" w:type="pct"/>
            <w:vMerge w:val="continue"/>
            <w:shd w:val="clear" w:color="auto" w:fill="auto"/>
            <w:vAlign w:val="center"/>
          </w:tcPr>
          <w:p>
            <w:pPr>
              <w:pStyle w:val="42"/>
              <w:tabs>
                <w:tab w:val="left" w:pos="1260"/>
              </w:tabs>
              <w:adjustRightInd w:val="0"/>
              <w:snapToGrid w:val="0"/>
              <w:jc w:val="center"/>
              <w:rPr>
                <w:szCs w:val="21"/>
                <w:lang w:val="en-GB"/>
              </w:rPr>
            </w:pPr>
          </w:p>
        </w:tc>
        <w:tc>
          <w:tcPr>
            <w:tcW w:w="886" w:type="pct"/>
            <w:shd w:val="clear" w:color="auto" w:fill="auto"/>
            <w:vAlign w:val="center"/>
          </w:tcPr>
          <w:p>
            <w:pPr>
              <w:pStyle w:val="42"/>
              <w:tabs>
                <w:tab w:val="left" w:pos="1260"/>
              </w:tabs>
              <w:adjustRightInd w:val="0"/>
              <w:snapToGrid w:val="0"/>
              <w:jc w:val="center"/>
              <w:rPr>
                <w:szCs w:val="21"/>
                <w:lang w:val="en-GB"/>
              </w:rPr>
            </w:pPr>
          </w:p>
        </w:tc>
        <w:tc>
          <w:tcPr>
            <w:tcW w:w="929" w:type="pct"/>
            <w:shd w:val="clear" w:color="auto" w:fill="auto"/>
            <w:vAlign w:val="center"/>
          </w:tcPr>
          <w:p>
            <w:pPr>
              <w:pStyle w:val="42"/>
              <w:tabs>
                <w:tab w:val="left" w:pos="1260"/>
              </w:tabs>
              <w:adjustRightInd w:val="0"/>
              <w:snapToGrid w:val="0"/>
              <w:jc w:val="center"/>
              <w:rPr>
                <w:szCs w:val="21"/>
                <w:lang w:val="en-GB"/>
              </w:rPr>
            </w:pPr>
          </w:p>
        </w:tc>
        <w:tc>
          <w:tcPr>
            <w:tcW w:w="803" w:type="pct"/>
            <w:shd w:val="clear" w:color="auto" w:fill="auto"/>
            <w:vAlign w:val="center"/>
          </w:tcPr>
          <w:p>
            <w:pPr>
              <w:pStyle w:val="42"/>
              <w:tabs>
                <w:tab w:val="left" w:pos="1260"/>
              </w:tabs>
              <w:adjustRightInd w:val="0"/>
              <w:snapToGrid w:val="0"/>
              <w:jc w:val="center"/>
              <w:rPr>
                <w:szCs w:val="21"/>
                <w:lang w:val="en-GB"/>
              </w:rPr>
            </w:pPr>
          </w:p>
        </w:tc>
        <w:tc>
          <w:tcPr>
            <w:tcW w:w="963" w:type="pct"/>
            <w:shd w:val="clear" w:color="auto" w:fill="auto"/>
            <w:vAlign w:val="center"/>
          </w:tcPr>
          <w:p>
            <w:pPr>
              <w:pStyle w:val="42"/>
              <w:tabs>
                <w:tab w:val="left" w:pos="1260"/>
              </w:tabs>
              <w:adjustRightInd w:val="0"/>
              <w:snapToGrid w:val="0"/>
              <w:jc w:val="center"/>
              <w:rPr>
                <w:szCs w:val="21"/>
                <w:lang w:val="en-GB"/>
              </w:rPr>
            </w:pPr>
          </w:p>
        </w:tc>
        <w:tc>
          <w:tcPr>
            <w:tcW w:w="863" w:type="pct"/>
            <w:shd w:val="clear" w:color="auto" w:fill="auto"/>
            <w:vAlign w:val="center"/>
          </w:tcPr>
          <w:p>
            <w:pPr>
              <w:pStyle w:val="42"/>
              <w:tabs>
                <w:tab w:val="left" w:pos="1260"/>
              </w:tabs>
              <w:adjustRightInd w:val="0"/>
              <w:snapToGrid w:val="0"/>
              <w:jc w:val="center"/>
              <w:rPr>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56" w:type="pct"/>
            <w:vMerge w:val="continue"/>
            <w:shd w:val="clear" w:color="auto" w:fill="auto"/>
            <w:vAlign w:val="center"/>
          </w:tcPr>
          <w:p>
            <w:pPr>
              <w:pStyle w:val="42"/>
              <w:tabs>
                <w:tab w:val="left" w:pos="1260"/>
              </w:tabs>
              <w:adjustRightInd w:val="0"/>
              <w:snapToGrid w:val="0"/>
              <w:jc w:val="center"/>
              <w:rPr>
                <w:szCs w:val="21"/>
                <w:lang w:val="en-GB"/>
              </w:rPr>
            </w:pPr>
          </w:p>
        </w:tc>
        <w:tc>
          <w:tcPr>
            <w:tcW w:w="886" w:type="pct"/>
            <w:shd w:val="clear" w:color="auto" w:fill="auto"/>
            <w:vAlign w:val="center"/>
          </w:tcPr>
          <w:p>
            <w:pPr>
              <w:pStyle w:val="42"/>
              <w:tabs>
                <w:tab w:val="left" w:pos="1260"/>
              </w:tabs>
              <w:adjustRightInd w:val="0"/>
              <w:snapToGrid w:val="0"/>
              <w:jc w:val="center"/>
              <w:rPr>
                <w:szCs w:val="21"/>
                <w:lang w:val="en-GB"/>
              </w:rPr>
            </w:pPr>
          </w:p>
        </w:tc>
        <w:tc>
          <w:tcPr>
            <w:tcW w:w="929" w:type="pct"/>
            <w:shd w:val="clear" w:color="auto" w:fill="auto"/>
            <w:vAlign w:val="center"/>
          </w:tcPr>
          <w:p>
            <w:pPr>
              <w:pStyle w:val="42"/>
              <w:tabs>
                <w:tab w:val="left" w:pos="1260"/>
              </w:tabs>
              <w:adjustRightInd w:val="0"/>
              <w:snapToGrid w:val="0"/>
              <w:jc w:val="center"/>
              <w:rPr>
                <w:szCs w:val="21"/>
                <w:lang w:val="en-GB"/>
              </w:rPr>
            </w:pPr>
          </w:p>
        </w:tc>
        <w:tc>
          <w:tcPr>
            <w:tcW w:w="803" w:type="pct"/>
            <w:shd w:val="clear" w:color="auto" w:fill="auto"/>
            <w:vAlign w:val="center"/>
          </w:tcPr>
          <w:p>
            <w:pPr>
              <w:pStyle w:val="42"/>
              <w:tabs>
                <w:tab w:val="left" w:pos="1260"/>
              </w:tabs>
              <w:adjustRightInd w:val="0"/>
              <w:snapToGrid w:val="0"/>
              <w:jc w:val="center"/>
              <w:rPr>
                <w:szCs w:val="21"/>
                <w:lang w:val="en-GB"/>
              </w:rPr>
            </w:pPr>
          </w:p>
        </w:tc>
        <w:tc>
          <w:tcPr>
            <w:tcW w:w="963" w:type="pct"/>
            <w:shd w:val="clear" w:color="auto" w:fill="auto"/>
            <w:vAlign w:val="center"/>
          </w:tcPr>
          <w:p>
            <w:pPr>
              <w:pStyle w:val="42"/>
              <w:tabs>
                <w:tab w:val="left" w:pos="1260"/>
              </w:tabs>
              <w:adjustRightInd w:val="0"/>
              <w:snapToGrid w:val="0"/>
              <w:jc w:val="center"/>
              <w:rPr>
                <w:szCs w:val="21"/>
                <w:lang w:val="en-GB"/>
              </w:rPr>
            </w:pPr>
          </w:p>
        </w:tc>
        <w:tc>
          <w:tcPr>
            <w:tcW w:w="863" w:type="pct"/>
            <w:shd w:val="clear" w:color="auto" w:fill="auto"/>
            <w:vAlign w:val="center"/>
          </w:tcPr>
          <w:p>
            <w:pPr>
              <w:pStyle w:val="42"/>
              <w:tabs>
                <w:tab w:val="left" w:pos="1260"/>
              </w:tabs>
              <w:adjustRightInd w:val="0"/>
              <w:snapToGrid w:val="0"/>
              <w:jc w:val="center"/>
              <w:rPr>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56" w:type="pct"/>
            <w:vMerge w:val="continue"/>
            <w:shd w:val="clear" w:color="auto" w:fill="auto"/>
            <w:vAlign w:val="center"/>
          </w:tcPr>
          <w:p>
            <w:pPr>
              <w:pStyle w:val="42"/>
              <w:tabs>
                <w:tab w:val="left" w:pos="1260"/>
              </w:tabs>
              <w:adjustRightInd w:val="0"/>
              <w:snapToGrid w:val="0"/>
              <w:jc w:val="center"/>
              <w:rPr>
                <w:szCs w:val="21"/>
                <w:lang w:val="en-GB"/>
              </w:rPr>
            </w:pPr>
          </w:p>
        </w:tc>
        <w:tc>
          <w:tcPr>
            <w:tcW w:w="3581" w:type="pct"/>
            <w:gridSpan w:val="4"/>
            <w:shd w:val="clear" w:color="auto" w:fill="auto"/>
            <w:vAlign w:val="center"/>
          </w:tcPr>
          <w:p>
            <w:pPr>
              <w:pStyle w:val="42"/>
              <w:tabs>
                <w:tab w:val="left" w:pos="1260"/>
              </w:tabs>
              <w:adjustRightInd w:val="0"/>
              <w:snapToGrid w:val="0"/>
              <w:jc w:val="center"/>
              <w:rPr>
                <w:szCs w:val="21"/>
                <w:lang w:val="en-GB"/>
              </w:rPr>
            </w:pPr>
            <w:r>
              <w:rPr>
                <w:szCs w:val="21"/>
                <w:lang w:val="en-GB"/>
              </w:rPr>
              <w:t>环境标志产品金额合计</w:t>
            </w:r>
          </w:p>
        </w:tc>
        <w:tc>
          <w:tcPr>
            <w:tcW w:w="863" w:type="pct"/>
            <w:shd w:val="clear" w:color="auto" w:fill="auto"/>
            <w:vAlign w:val="center"/>
          </w:tcPr>
          <w:p>
            <w:pPr>
              <w:pStyle w:val="42"/>
              <w:tabs>
                <w:tab w:val="left" w:pos="1260"/>
              </w:tabs>
              <w:adjustRightInd w:val="0"/>
              <w:snapToGrid w:val="0"/>
              <w:jc w:val="center"/>
              <w:rPr>
                <w:b/>
                <w:szCs w:val="21"/>
                <w:lang w:val="en-GB"/>
              </w:rPr>
            </w:pPr>
            <w:r>
              <w:rPr>
                <w:b/>
                <w:szCs w:val="21"/>
                <w:u w:val="single"/>
                <w:lang w:val="en-GB"/>
              </w:rPr>
              <w:t xml:space="preserve">     </w:t>
            </w:r>
            <w:r>
              <w:rPr>
                <w:b/>
                <w:szCs w:val="21"/>
                <w:lang w:val="en-GB"/>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56" w:type="pct"/>
            <w:vMerge w:val="continue"/>
            <w:shd w:val="clear" w:color="auto" w:fill="auto"/>
            <w:vAlign w:val="center"/>
          </w:tcPr>
          <w:p>
            <w:pPr>
              <w:pStyle w:val="42"/>
              <w:tabs>
                <w:tab w:val="left" w:pos="1260"/>
              </w:tabs>
              <w:adjustRightInd w:val="0"/>
              <w:snapToGrid w:val="0"/>
              <w:jc w:val="center"/>
              <w:rPr>
                <w:szCs w:val="21"/>
                <w:lang w:val="en-GB"/>
              </w:rPr>
            </w:pPr>
          </w:p>
        </w:tc>
        <w:tc>
          <w:tcPr>
            <w:tcW w:w="3581" w:type="pct"/>
            <w:gridSpan w:val="4"/>
            <w:shd w:val="clear" w:color="auto" w:fill="auto"/>
            <w:vAlign w:val="center"/>
          </w:tcPr>
          <w:p>
            <w:pPr>
              <w:pStyle w:val="42"/>
              <w:tabs>
                <w:tab w:val="left" w:pos="1260"/>
              </w:tabs>
              <w:adjustRightInd w:val="0"/>
              <w:snapToGrid w:val="0"/>
              <w:jc w:val="center"/>
              <w:rPr>
                <w:szCs w:val="21"/>
                <w:lang w:val="en-GB"/>
              </w:rPr>
            </w:pPr>
            <w:r>
              <w:rPr>
                <w:szCs w:val="21"/>
                <w:lang w:val="en-GB"/>
              </w:rPr>
              <w:t>比重（环境标志产品金额/所投包投标总价）*100%</w:t>
            </w:r>
          </w:p>
        </w:tc>
        <w:tc>
          <w:tcPr>
            <w:tcW w:w="863" w:type="pct"/>
            <w:shd w:val="clear" w:color="auto" w:fill="auto"/>
            <w:vAlign w:val="center"/>
          </w:tcPr>
          <w:p>
            <w:pPr>
              <w:pStyle w:val="42"/>
              <w:tabs>
                <w:tab w:val="left" w:pos="1260"/>
              </w:tabs>
              <w:adjustRightInd w:val="0"/>
              <w:snapToGrid w:val="0"/>
              <w:jc w:val="center"/>
              <w:rPr>
                <w:b/>
                <w:szCs w:val="21"/>
                <w:lang w:val="en-GB"/>
              </w:rPr>
            </w:pPr>
            <w:r>
              <w:rPr>
                <w:b/>
                <w:szCs w:val="21"/>
                <w:u w:val="single"/>
                <w:lang w:val="en-GB"/>
              </w:rPr>
              <w:t xml:space="preserve">     </w:t>
            </w:r>
            <w:r>
              <w:rPr>
                <w:b/>
                <w:szCs w:val="21"/>
                <w:lang w:val="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56" w:type="pct"/>
            <w:vMerge w:val="continue"/>
            <w:shd w:val="clear" w:color="auto" w:fill="auto"/>
            <w:vAlign w:val="center"/>
          </w:tcPr>
          <w:p>
            <w:pPr>
              <w:pStyle w:val="42"/>
              <w:tabs>
                <w:tab w:val="left" w:pos="1260"/>
              </w:tabs>
              <w:adjustRightInd w:val="0"/>
              <w:snapToGrid w:val="0"/>
              <w:jc w:val="center"/>
              <w:rPr>
                <w:szCs w:val="21"/>
                <w:lang w:val="en-GB"/>
              </w:rPr>
            </w:pPr>
          </w:p>
        </w:tc>
        <w:tc>
          <w:tcPr>
            <w:tcW w:w="4444" w:type="pct"/>
            <w:gridSpan w:val="5"/>
            <w:shd w:val="clear" w:color="auto" w:fill="auto"/>
            <w:vAlign w:val="center"/>
          </w:tcPr>
          <w:p>
            <w:pPr>
              <w:pStyle w:val="42"/>
              <w:tabs>
                <w:tab w:val="left" w:pos="1260"/>
              </w:tabs>
              <w:adjustRightInd w:val="0"/>
              <w:snapToGrid w:val="0"/>
              <w:jc w:val="center"/>
              <w:rPr>
                <w:b/>
                <w:szCs w:val="21"/>
                <w:lang w:val="en-GB"/>
              </w:rPr>
            </w:pPr>
            <w:r>
              <w:rPr>
                <w:szCs w:val="21"/>
                <w:lang w:val="en-GB"/>
              </w:rPr>
              <w:t>环境标志产品</w:t>
            </w:r>
            <w:r>
              <w:rPr>
                <w:szCs w:val="21"/>
              </w:rPr>
              <w:t>证明材料见投标文件第</w:t>
            </w:r>
            <w:r>
              <w:rPr>
                <w:szCs w:val="21"/>
                <w:u w:val="single"/>
              </w:rPr>
              <w:t xml:space="preserve">   </w:t>
            </w:r>
            <w:r>
              <w:rPr>
                <w:szCs w:val="21"/>
              </w:rPr>
              <w:t>至</w:t>
            </w:r>
            <w:r>
              <w:rPr>
                <w:szCs w:val="21"/>
                <w:u w:val="single"/>
              </w:rPr>
              <w:t xml:space="preserve">   </w:t>
            </w:r>
            <w:r>
              <w:rPr>
                <w:szCs w:val="21"/>
              </w:rPr>
              <w:t>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556" w:type="pct"/>
            <w:vMerge w:val="restart"/>
            <w:shd w:val="clear" w:color="auto" w:fill="auto"/>
            <w:vAlign w:val="center"/>
          </w:tcPr>
          <w:p>
            <w:pPr>
              <w:pStyle w:val="42"/>
              <w:tabs>
                <w:tab w:val="left" w:pos="1260"/>
              </w:tabs>
              <w:adjustRightInd w:val="0"/>
              <w:snapToGrid w:val="0"/>
              <w:jc w:val="center"/>
              <w:rPr>
                <w:szCs w:val="21"/>
                <w:lang w:val="en-GB"/>
              </w:rPr>
            </w:pPr>
            <w:r>
              <w:rPr>
                <w:szCs w:val="21"/>
                <w:lang w:val="en-GB"/>
              </w:rPr>
              <w:t>节能产品（非强制节能产品）</w:t>
            </w:r>
          </w:p>
        </w:tc>
        <w:tc>
          <w:tcPr>
            <w:tcW w:w="886" w:type="pct"/>
            <w:shd w:val="clear" w:color="auto" w:fill="auto"/>
            <w:vAlign w:val="center"/>
          </w:tcPr>
          <w:p>
            <w:pPr>
              <w:pStyle w:val="42"/>
              <w:tabs>
                <w:tab w:val="left" w:pos="1260"/>
              </w:tabs>
              <w:adjustRightInd w:val="0"/>
              <w:snapToGrid w:val="0"/>
              <w:jc w:val="center"/>
              <w:rPr>
                <w:szCs w:val="21"/>
                <w:lang w:val="en-GB"/>
              </w:rPr>
            </w:pPr>
            <w:r>
              <w:rPr>
                <w:szCs w:val="21"/>
                <w:lang w:val="en-GB"/>
              </w:rPr>
              <w:t>产品名称</w:t>
            </w:r>
          </w:p>
        </w:tc>
        <w:tc>
          <w:tcPr>
            <w:tcW w:w="929" w:type="pct"/>
            <w:shd w:val="clear" w:color="auto" w:fill="auto"/>
            <w:vAlign w:val="center"/>
          </w:tcPr>
          <w:p>
            <w:pPr>
              <w:pStyle w:val="42"/>
              <w:tabs>
                <w:tab w:val="left" w:pos="1260"/>
              </w:tabs>
              <w:adjustRightInd w:val="0"/>
              <w:snapToGrid w:val="0"/>
              <w:jc w:val="center"/>
              <w:rPr>
                <w:szCs w:val="21"/>
                <w:lang w:val="en-GB"/>
              </w:rPr>
            </w:pPr>
            <w:r>
              <w:rPr>
                <w:szCs w:val="21"/>
                <w:lang w:val="en-GB"/>
              </w:rPr>
              <w:t>品牌型号</w:t>
            </w:r>
          </w:p>
        </w:tc>
        <w:tc>
          <w:tcPr>
            <w:tcW w:w="803" w:type="pct"/>
            <w:shd w:val="clear" w:color="auto" w:fill="auto"/>
            <w:vAlign w:val="center"/>
          </w:tcPr>
          <w:p>
            <w:pPr>
              <w:pStyle w:val="42"/>
              <w:tabs>
                <w:tab w:val="left" w:pos="1260"/>
              </w:tabs>
              <w:adjustRightInd w:val="0"/>
              <w:snapToGrid w:val="0"/>
              <w:jc w:val="center"/>
              <w:rPr>
                <w:szCs w:val="21"/>
                <w:lang w:val="en-GB"/>
              </w:rPr>
            </w:pPr>
            <w:r>
              <w:rPr>
                <w:szCs w:val="21"/>
                <w:lang w:val="en-GB"/>
              </w:rPr>
              <w:t>制造商</w:t>
            </w:r>
          </w:p>
        </w:tc>
        <w:tc>
          <w:tcPr>
            <w:tcW w:w="963" w:type="pct"/>
            <w:shd w:val="clear" w:color="auto" w:fill="auto"/>
            <w:vAlign w:val="center"/>
          </w:tcPr>
          <w:p>
            <w:pPr>
              <w:pStyle w:val="42"/>
              <w:tabs>
                <w:tab w:val="left" w:pos="1260"/>
              </w:tabs>
              <w:adjustRightInd w:val="0"/>
              <w:snapToGrid w:val="0"/>
              <w:jc w:val="center"/>
              <w:rPr>
                <w:szCs w:val="21"/>
                <w:lang w:val="en-GB"/>
              </w:rPr>
            </w:pPr>
            <w:r>
              <w:rPr>
                <w:szCs w:val="21"/>
                <w:lang w:val="en-GB"/>
              </w:rPr>
              <w:t>节能认证证书编号</w:t>
            </w:r>
          </w:p>
        </w:tc>
        <w:tc>
          <w:tcPr>
            <w:tcW w:w="863" w:type="pct"/>
            <w:shd w:val="clear" w:color="auto" w:fill="auto"/>
            <w:vAlign w:val="center"/>
          </w:tcPr>
          <w:p>
            <w:pPr>
              <w:pStyle w:val="42"/>
              <w:tabs>
                <w:tab w:val="left" w:pos="1260"/>
              </w:tabs>
              <w:adjustRightInd w:val="0"/>
              <w:snapToGrid w:val="0"/>
              <w:jc w:val="center"/>
              <w:rPr>
                <w:szCs w:val="21"/>
                <w:lang w:val="en-GB"/>
              </w:rPr>
            </w:pPr>
            <w:r>
              <w:rPr>
                <w:szCs w:val="21"/>
                <w:lang w:val="en-GB"/>
              </w:rPr>
              <w:t>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 w:hRule="atLeast"/>
          <w:jc w:val="center"/>
        </w:trPr>
        <w:tc>
          <w:tcPr>
            <w:tcW w:w="556" w:type="pct"/>
            <w:vMerge w:val="continue"/>
            <w:shd w:val="clear" w:color="auto" w:fill="auto"/>
            <w:vAlign w:val="center"/>
          </w:tcPr>
          <w:p>
            <w:pPr>
              <w:pStyle w:val="42"/>
              <w:tabs>
                <w:tab w:val="left" w:pos="1260"/>
              </w:tabs>
              <w:adjustRightInd w:val="0"/>
              <w:snapToGrid w:val="0"/>
              <w:jc w:val="center"/>
              <w:rPr>
                <w:szCs w:val="21"/>
                <w:lang w:val="en-GB"/>
              </w:rPr>
            </w:pPr>
          </w:p>
        </w:tc>
        <w:tc>
          <w:tcPr>
            <w:tcW w:w="886" w:type="pct"/>
            <w:shd w:val="clear" w:color="auto" w:fill="auto"/>
            <w:vAlign w:val="center"/>
          </w:tcPr>
          <w:p>
            <w:pPr>
              <w:pStyle w:val="42"/>
              <w:tabs>
                <w:tab w:val="left" w:pos="1260"/>
              </w:tabs>
              <w:adjustRightInd w:val="0"/>
              <w:snapToGrid w:val="0"/>
              <w:jc w:val="center"/>
              <w:rPr>
                <w:szCs w:val="21"/>
                <w:lang w:val="en-GB"/>
              </w:rPr>
            </w:pPr>
          </w:p>
        </w:tc>
        <w:tc>
          <w:tcPr>
            <w:tcW w:w="929" w:type="pct"/>
            <w:shd w:val="clear" w:color="auto" w:fill="auto"/>
            <w:vAlign w:val="center"/>
          </w:tcPr>
          <w:p>
            <w:pPr>
              <w:pStyle w:val="42"/>
              <w:tabs>
                <w:tab w:val="left" w:pos="1260"/>
              </w:tabs>
              <w:adjustRightInd w:val="0"/>
              <w:snapToGrid w:val="0"/>
              <w:jc w:val="center"/>
              <w:rPr>
                <w:szCs w:val="21"/>
                <w:lang w:val="en-GB"/>
              </w:rPr>
            </w:pPr>
          </w:p>
        </w:tc>
        <w:tc>
          <w:tcPr>
            <w:tcW w:w="803" w:type="pct"/>
            <w:shd w:val="clear" w:color="auto" w:fill="auto"/>
            <w:vAlign w:val="center"/>
          </w:tcPr>
          <w:p>
            <w:pPr>
              <w:pStyle w:val="42"/>
              <w:tabs>
                <w:tab w:val="left" w:pos="1260"/>
              </w:tabs>
              <w:adjustRightInd w:val="0"/>
              <w:snapToGrid w:val="0"/>
              <w:jc w:val="center"/>
              <w:rPr>
                <w:szCs w:val="21"/>
                <w:lang w:val="en-GB"/>
              </w:rPr>
            </w:pPr>
          </w:p>
        </w:tc>
        <w:tc>
          <w:tcPr>
            <w:tcW w:w="963" w:type="pct"/>
            <w:shd w:val="clear" w:color="auto" w:fill="auto"/>
            <w:vAlign w:val="center"/>
          </w:tcPr>
          <w:p>
            <w:pPr>
              <w:pStyle w:val="42"/>
              <w:tabs>
                <w:tab w:val="left" w:pos="1260"/>
              </w:tabs>
              <w:adjustRightInd w:val="0"/>
              <w:snapToGrid w:val="0"/>
              <w:jc w:val="center"/>
              <w:rPr>
                <w:szCs w:val="21"/>
                <w:lang w:val="en-GB"/>
              </w:rPr>
            </w:pPr>
          </w:p>
        </w:tc>
        <w:tc>
          <w:tcPr>
            <w:tcW w:w="863" w:type="pct"/>
            <w:shd w:val="clear" w:color="auto" w:fill="auto"/>
            <w:vAlign w:val="center"/>
          </w:tcPr>
          <w:p>
            <w:pPr>
              <w:pStyle w:val="42"/>
              <w:tabs>
                <w:tab w:val="left" w:pos="1260"/>
              </w:tabs>
              <w:adjustRightInd w:val="0"/>
              <w:snapToGrid w:val="0"/>
              <w:jc w:val="center"/>
              <w:rPr>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556" w:type="pct"/>
            <w:vMerge w:val="continue"/>
            <w:shd w:val="clear" w:color="auto" w:fill="auto"/>
            <w:vAlign w:val="center"/>
          </w:tcPr>
          <w:p>
            <w:pPr>
              <w:pStyle w:val="42"/>
              <w:tabs>
                <w:tab w:val="left" w:pos="1260"/>
              </w:tabs>
              <w:adjustRightInd w:val="0"/>
              <w:snapToGrid w:val="0"/>
              <w:jc w:val="center"/>
              <w:rPr>
                <w:szCs w:val="21"/>
                <w:lang w:val="en-GB"/>
              </w:rPr>
            </w:pPr>
          </w:p>
        </w:tc>
        <w:tc>
          <w:tcPr>
            <w:tcW w:w="886" w:type="pct"/>
            <w:shd w:val="clear" w:color="auto" w:fill="auto"/>
            <w:vAlign w:val="center"/>
          </w:tcPr>
          <w:p>
            <w:pPr>
              <w:pStyle w:val="42"/>
              <w:tabs>
                <w:tab w:val="left" w:pos="1260"/>
              </w:tabs>
              <w:adjustRightInd w:val="0"/>
              <w:snapToGrid w:val="0"/>
              <w:jc w:val="center"/>
              <w:rPr>
                <w:szCs w:val="21"/>
                <w:lang w:val="en-GB"/>
              </w:rPr>
            </w:pPr>
          </w:p>
        </w:tc>
        <w:tc>
          <w:tcPr>
            <w:tcW w:w="929" w:type="pct"/>
            <w:shd w:val="clear" w:color="auto" w:fill="auto"/>
            <w:vAlign w:val="center"/>
          </w:tcPr>
          <w:p>
            <w:pPr>
              <w:pStyle w:val="42"/>
              <w:tabs>
                <w:tab w:val="left" w:pos="1260"/>
              </w:tabs>
              <w:adjustRightInd w:val="0"/>
              <w:snapToGrid w:val="0"/>
              <w:jc w:val="center"/>
              <w:rPr>
                <w:szCs w:val="21"/>
                <w:lang w:val="en-GB"/>
              </w:rPr>
            </w:pPr>
          </w:p>
        </w:tc>
        <w:tc>
          <w:tcPr>
            <w:tcW w:w="803" w:type="pct"/>
            <w:shd w:val="clear" w:color="auto" w:fill="auto"/>
            <w:vAlign w:val="center"/>
          </w:tcPr>
          <w:p>
            <w:pPr>
              <w:pStyle w:val="42"/>
              <w:tabs>
                <w:tab w:val="left" w:pos="1260"/>
              </w:tabs>
              <w:adjustRightInd w:val="0"/>
              <w:snapToGrid w:val="0"/>
              <w:jc w:val="center"/>
              <w:rPr>
                <w:szCs w:val="21"/>
                <w:lang w:val="en-GB"/>
              </w:rPr>
            </w:pPr>
          </w:p>
        </w:tc>
        <w:tc>
          <w:tcPr>
            <w:tcW w:w="963" w:type="pct"/>
            <w:shd w:val="clear" w:color="auto" w:fill="auto"/>
            <w:vAlign w:val="center"/>
          </w:tcPr>
          <w:p>
            <w:pPr>
              <w:pStyle w:val="42"/>
              <w:tabs>
                <w:tab w:val="left" w:pos="1260"/>
              </w:tabs>
              <w:adjustRightInd w:val="0"/>
              <w:snapToGrid w:val="0"/>
              <w:jc w:val="center"/>
              <w:rPr>
                <w:szCs w:val="21"/>
                <w:lang w:val="en-GB"/>
              </w:rPr>
            </w:pPr>
          </w:p>
        </w:tc>
        <w:tc>
          <w:tcPr>
            <w:tcW w:w="863" w:type="pct"/>
            <w:shd w:val="clear" w:color="auto" w:fill="auto"/>
            <w:vAlign w:val="center"/>
          </w:tcPr>
          <w:p>
            <w:pPr>
              <w:pStyle w:val="42"/>
              <w:tabs>
                <w:tab w:val="left" w:pos="1260"/>
              </w:tabs>
              <w:adjustRightInd w:val="0"/>
              <w:snapToGrid w:val="0"/>
              <w:jc w:val="center"/>
              <w:rPr>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jc w:val="center"/>
        </w:trPr>
        <w:tc>
          <w:tcPr>
            <w:tcW w:w="556" w:type="pct"/>
            <w:vMerge w:val="continue"/>
            <w:shd w:val="clear" w:color="auto" w:fill="auto"/>
            <w:vAlign w:val="center"/>
          </w:tcPr>
          <w:p>
            <w:pPr>
              <w:pStyle w:val="42"/>
              <w:tabs>
                <w:tab w:val="left" w:pos="1260"/>
              </w:tabs>
              <w:adjustRightInd w:val="0"/>
              <w:snapToGrid w:val="0"/>
              <w:jc w:val="center"/>
              <w:rPr>
                <w:szCs w:val="21"/>
                <w:lang w:val="en-GB"/>
              </w:rPr>
            </w:pPr>
          </w:p>
        </w:tc>
        <w:tc>
          <w:tcPr>
            <w:tcW w:w="3581" w:type="pct"/>
            <w:gridSpan w:val="4"/>
            <w:shd w:val="clear" w:color="auto" w:fill="auto"/>
            <w:vAlign w:val="center"/>
          </w:tcPr>
          <w:p>
            <w:pPr>
              <w:pStyle w:val="42"/>
              <w:tabs>
                <w:tab w:val="left" w:pos="1260"/>
              </w:tabs>
              <w:adjustRightInd w:val="0"/>
              <w:snapToGrid w:val="0"/>
              <w:jc w:val="center"/>
              <w:rPr>
                <w:szCs w:val="21"/>
                <w:lang w:val="en-GB"/>
              </w:rPr>
            </w:pPr>
            <w:r>
              <w:rPr>
                <w:szCs w:val="21"/>
                <w:lang w:val="en-GB"/>
              </w:rPr>
              <w:t>节能产品（不包括强制节能产品）金额合计</w:t>
            </w:r>
          </w:p>
        </w:tc>
        <w:tc>
          <w:tcPr>
            <w:tcW w:w="863" w:type="pct"/>
            <w:shd w:val="clear" w:color="auto" w:fill="auto"/>
            <w:vAlign w:val="center"/>
          </w:tcPr>
          <w:p>
            <w:pPr>
              <w:pStyle w:val="42"/>
              <w:tabs>
                <w:tab w:val="left" w:pos="1260"/>
              </w:tabs>
              <w:adjustRightInd w:val="0"/>
              <w:snapToGrid w:val="0"/>
              <w:jc w:val="center"/>
              <w:rPr>
                <w:b/>
                <w:szCs w:val="21"/>
                <w:lang w:val="en-GB"/>
              </w:rPr>
            </w:pPr>
            <w:r>
              <w:rPr>
                <w:b/>
                <w:szCs w:val="21"/>
                <w:u w:val="single"/>
                <w:lang w:val="en-GB"/>
              </w:rPr>
              <w:t xml:space="preserve">     </w:t>
            </w:r>
            <w:r>
              <w:rPr>
                <w:b/>
                <w:szCs w:val="21"/>
                <w:lang w:val="en-GB"/>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556" w:type="pct"/>
            <w:vMerge w:val="continue"/>
            <w:shd w:val="clear" w:color="auto" w:fill="auto"/>
            <w:vAlign w:val="center"/>
          </w:tcPr>
          <w:p>
            <w:pPr>
              <w:pStyle w:val="42"/>
              <w:tabs>
                <w:tab w:val="left" w:pos="1260"/>
              </w:tabs>
              <w:adjustRightInd w:val="0"/>
              <w:snapToGrid w:val="0"/>
              <w:jc w:val="center"/>
              <w:rPr>
                <w:szCs w:val="21"/>
                <w:lang w:val="en-GB"/>
              </w:rPr>
            </w:pPr>
          </w:p>
        </w:tc>
        <w:tc>
          <w:tcPr>
            <w:tcW w:w="3581" w:type="pct"/>
            <w:gridSpan w:val="4"/>
            <w:shd w:val="clear" w:color="auto" w:fill="auto"/>
            <w:vAlign w:val="center"/>
          </w:tcPr>
          <w:p>
            <w:pPr>
              <w:pStyle w:val="42"/>
              <w:tabs>
                <w:tab w:val="left" w:pos="1260"/>
              </w:tabs>
              <w:adjustRightInd w:val="0"/>
              <w:snapToGrid w:val="0"/>
              <w:jc w:val="center"/>
              <w:rPr>
                <w:szCs w:val="21"/>
                <w:lang w:val="en-GB"/>
              </w:rPr>
            </w:pPr>
            <w:r>
              <w:rPr>
                <w:szCs w:val="21"/>
                <w:lang w:val="en-GB"/>
              </w:rPr>
              <w:t>比重（节能产品金额/投标所投包总价）*100%</w:t>
            </w:r>
          </w:p>
        </w:tc>
        <w:tc>
          <w:tcPr>
            <w:tcW w:w="863" w:type="pct"/>
            <w:shd w:val="clear" w:color="auto" w:fill="auto"/>
            <w:vAlign w:val="center"/>
          </w:tcPr>
          <w:p>
            <w:pPr>
              <w:pStyle w:val="42"/>
              <w:tabs>
                <w:tab w:val="left" w:pos="1260"/>
              </w:tabs>
              <w:adjustRightInd w:val="0"/>
              <w:snapToGrid w:val="0"/>
              <w:jc w:val="center"/>
              <w:rPr>
                <w:b/>
                <w:szCs w:val="21"/>
                <w:lang w:val="en-GB"/>
              </w:rPr>
            </w:pPr>
            <w:r>
              <w:rPr>
                <w:b/>
                <w:szCs w:val="21"/>
                <w:u w:val="single"/>
                <w:lang w:val="en-GB"/>
              </w:rPr>
              <w:t xml:space="preserve">     </w:t>
            </w:r>
            <w:r>
              <w:rPr>
                <w:b/>
                <w:szCs w:val="21"/>
                <w:lang w:val="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556" w:type="pct"/>
            <w:vMerge w:val="continue"/>
            <w:shd w:val="clear" w:color="auto" w:fill="auto"/>
            <w:vAlign w:val="center"/>
          </w:tcPr>
          <w:p>
            <w:pPr>
              <w:pStyle w:val="42"/>
              <w:tabs>
                <w:tab w:val="left" w:pos="1260"/>
              </w:tabs>
              <w:adjustRightInd w:val="0"/>
              <w:snapToGrid w:val="0"/>
              <w:jc w:val="center"/>
              <w:rPr>
                <w:szCs w:val="21"/>
                <w:lang w:val="en-GB"/>
              </w:rPr>
            </w:pPr>
          </w:p>
        </w:tc>
        <w:tc>
          <w:tcPr>
            <w:tcW w:w="4444" w:type="pct"/>
            <w:gridSpan w:val="5"/>
            <w:shd w:val="clear" w:color="auto" w:fill="auto"/>
            <w:vAlign w:val="center"/>
          </w:tcPr>
          <w:p>
            <w:pPr>
              <w:pStyle w:val="42"/>
              <w:tabs>
                <w:tab w:val="left" w:pos="1260"/>
              </w:tabs>
              <w:adjustRightInd w:val="0"/>
              <w:snapToGrid w:val="0"/>
              <w:jc w:val="center"/>
              <w:rPr>
                <w:b/>
                <w:szCs w:val="21"/>
                <w:lang w:val="en-GB"/>
              </w:rPr>
            </w:pPr>
            <w:r>
              <w:rPr>
                <w:szCs w:val="21"/>
                <w:lang w:val="en-GB"/>
              </w:rPr>
              <w:t>节能产品</w:t>
            </w:r>
            <w:r>
              <w:rPr>
                <w:szCs w:val="21"/>
              </w:rPr>
              <w:t>证明材料见投标文件第</w:t>
            </w:r>
            <w:r>
              <w:rPr>
                <w:szCs w:val="21"/>
                <w:u w:val="single"/>
              </w:rPr>
              <w:t xml:space="preserve">   </w:t>
            </w:r>
            <w:r>
              <w:rPr>
                <w:szCs w:val="21"/>
              </w:rPr>
              <w:t>至</w:t>
            </w:r>
            <w:r>
              <w:rPr>
                <w:szCs w:val="21"/>
                <w:u w:val="single"/>
              </w:rPr>
              <w:t xml:space="preserve">   </w:t>
            </w:r>
            <w:r>
              <w:rPr>
                <w:szCs w:val="21"/>
              </w:rPr>
              <w:t>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556" w:type="pct"/>
            <w:vMerge w:val="restart"/>
            <w:shd w:val="clear" w:color="auto" w:fill="auto"/>
            <w:vAlign w:val="center"/>
          </w:tcPr>
          <w:p>
            <w:pPr>
              <w:pStyle w:val="42"/>
              <w:tabs>
                <w:tab w:val="left" w:pos="1260"/>
              </w:tabs>
              <w:adjustRightInd w:val="0"/>
              <w:snapToGrid w:val="0"/>
              <w:jc w:val="center"/>
              <w:rPr>
                <w:szCs w:val="21"/>
                <w:lang w:val="en-GB"/>
              </w:rPr>
            </w:pPr>
            <w:r>
              <w:rPr>
                <w:szCs w:val="21"/>
                <w:lang w:val="en-GB"/>
              </w:rPr>
              <w:t>中小企业、监狱企业、残疾人福利性单位扶持政策</w:t>
            </w:r>
          </w:p>
        </w:tc>
        <w:tc>
          <w:tcPr>
            <w:tcW w:w="4444" w:type="pct"/>
            <w:gridSpan w:val="5"/>
            <w:shd w:val="clear" w:color="auto" w:fill="auto"/>
            <w:vAlign w:val="center"/>
          </w:tcPr>
          <w:p>
            <w:pPr>
              <w:pStyle w:val="42"/>
              <w:tabs>
                <w:tab w:val="left" w:pos="1260"/>
              </w:tabs>
              <w:adjustRightInd w:val="0"/>
              <w:snapToGrid w:val="0"/>
              <w:rPr>
                <w:b/>
                <w:szCs w:val="21"/>
              </w:rPr>
            </w:pPr>
            <w:r>
              <w:rPr>
                <w:b/>
                <w:szCs w:val="21"/>
              </w:rPr>
              <w:t>1.所投货物中有大型企业制造的，不享受中小企业扶持政策，无需填写以下内容</w:t>
            </w:r>
          </w:p>
          <w:p>
            <w:pPr>
              <w:pStyle w:val="42"/>
              <w:tabs>
                <w:tab w:val="left" w:pos="1260"/>
              </w:tabs>
              <w:adjustRightInd w:val="0"/>
              <w:snapToGrid w:val="0"/>
              <w:rPr>
                <w:b/>
                <w:szCs w:val="21"/>
              </w:rPr>
            </w:pPr>
            <w:r>
              <w:rPr>
                <w:b/>
                <w:szCs w:val="21"/>
              </w:rPr>
              <w:t>2.</w:t>
            </w:r>
            <w:r>
              <w:rPr>
                <w:szCs w:val="21"/>
              </w:rPr>
              <w:t xml:space="preserve"> </w:t>
            </w:r>
            <w:r>
              <w:rPr>
                <w:b/>
                <w:szCs w:val="21"/>
              </w:rPr>
              <w:t>所投货物中无大型企业制造的，只填写小型、微型企业制造的货物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556" w:type="pct"/>
            <w:vMerge w:val="continue"/>
            <w:shd w:val="clear" w:color="auto" w:fill="auto"/>
            <w:vAlign w:val="center"/>
          </w:tcPr>
          <w:p>
            <w:pPr>
              <w:pStyle w:val="42"/>
              <w:tabs>
                <w:tab w:val="left" w:pos="1260"/>
              </w:tabs>
              <w:adjustRightInd w:val="0"/>
              <w:snapToGrid w:val="0"/>
              <w:jc w:val="center"/>
              <w:rPr>
                <w:szCs w:val="21"/>
                <w:lang w:val="en-GB"/>
              </w:rPr>
            </w:pPr>
          </w:p>
        </w:tc>
        <w:tc>
          <w:tcPr>
            <w:tcW w:w="886" w:type="pct"/>
            <w:shd w:val="clear" w:color="auto" w:fill="auto"/>
            <w:vAlign w:val="center"/>
          </w:tcPr>
          <w:p>
            <w:pPr>
              <w:pStyle w:val="42"/>
              <w:tabs>
                <w:tab w:val="left" w:pos="1260"/>
              </w:tabs>
              <w:adjustRightInd w:val="0"/>
              <w:snapToGrid w:val="0"/>
              <w:jc w:val="center"/>
              <w:rPr>
                <w:szCs w:val="21"/>
                <w:lang w:val="en-GB"/>
              </w:rPr>
            </w:pPr>
            <w:r>
              <w:rPr>
                <w:szCs w:val="21"/>
                <w:lang w:val="en-GB"/>
              </w:rPr>
              <w:t>产品名称</w:t>
            </w:r>
          </w:p>
        </w:tc>
        <w:tc>
          <w:tcPr>
            <w:tcW w:w="929" w:type="pct"/>
            <w:shd w:val="clear" w:color="auto" w:fill="auto"/>
            <w:vAlign w:val="center"/>
          </w:tcPr>
          <w:p>
            <w:pPr>
              <w:pStyle w:val="42"/>
              <w:tabs>
                <w:tab w:val="left" w:pos="1260"/>
              </w:tabs>
              <w:adjustRightInd w:val="0"/>
              <w:snapToGrid w:val="0"/>
              <w:jc w:val="center"/>
              <w:rPr>
                <w:szCs w:val="21"/>
                <w:lang w:val="en-GB"/>
              </w:rPr>
            </w:pPr>
            <w:r>
              <w:rPr>
                <w:szCs w:val="21"/>
                <w:lang w:val="en-GB"/>
              </w:rPr>
              <w:t>品牌型号</w:t>
            </w:r>
          </w:p>
        </w:tc>
        <w:tc>
          <w:tcPr>
            <w:tcW w:w="803" w:type="pct"/>
            <w:shd w:val="clear" w:color="auto" w:fill="auto"/>
            <w:vAlign w:val="center"/>
          </w:tcPr>
          <w:p>
            <w:pPr>
              <w:pStyle w:val="42"/>
              <w:tabs>
                <w:tab w:val="left" w:pos="1260"/>
              </w:tabs>
              <w:adjustRightInd w:val="0"/>
              <w:snapToGrid w:val="0"/>
              <w:jc w:val="center"/>
              <w:rPr>
                <w:szCs w:val="21"/>
                <w:lang w:val="en-GB"/>
              </w:rPr>
            </w:pPr>
            <w:r>
              <w:rPr>
                <w:szCs w:val="21"/>
                <w:lang w:val="en-GB"/>
              </w:rPr>
              <w:t>制造商</w:t>
            </w:r>
          </w:p>
        </w:tc>
        <w:tc>
          <w:tcPr>
            <w:tcW w:w="963" w:type="pct"/>
            <w:shd w:val="clear" w:color="auto" w:fill="auto"/>
            <w:vAlign w:val="center"/>
          </w:tcPr>
          <w:p>
            <w:pPr>
              <w:pStyle w:val="42"/>
              <w:tabs>
                <w:tab w:val="left" w:pos="1260"/>
              </w:tabs>
              <w:adjustRightInd w:val="0"/>
              <w:snapToGrid w:val="0"/>
              <w:jc w:val="center"/>
              <w:rPr>
                <w:szCs w:val="21"/>
                <w:lang w:val="en-GB"/>
              </w:rPr>
            </w:pPr>
            <w:r>
              <w:rPr>
                <w:szCs w:val="21"/>
                <w:lang w:val="en-GB"/>
              </w:rPr>
              <w:t>制造商</w:t>
            </w:r>
          </w:p>
          <w:p>
            <w:pPr>
              <w:pStyle w:val="42"/>
              <w:tabs>
                <w:tab w:val="left" w:pos="1260"/>
              </w:tabs>
              <w:adjustRightInd w:val="0"/>
              <w:snapToGrid w:val="0"/>
              <w:jc w:val="center"/>
              <w:rPr>
                <w:szCs w:val="21"/>
                <w:lang w:val="en-GB"/>
              </w:rPr>
            </w:pPr>
            <w:r>
              <w:rPr>
                <w:szCs w:val="21"/>
                <w:lang w:val="en-GB"/>
              </w:rPr>
              <w:t>企业类型</w:t>
            </w:r>
          </w:p>
        </w:tc>
        <w:tc>
          <w:tcPr>
            <w:tcW w:w="863" w:type="pct"/>
            <w:shd w:val="clear" w:color="auto" w:fill="auto"/>
            <w:vAlign w:val="center"/>
          </w:tcPr>
          <w:p>
            <w:pPr>
              <w:pStyle w:val="42"/>
              <w:tabs>
                <w:tab w:val="left" w:pos="1260"/>
              </w:tabs>
              <w:adjustRightInd w:val="0"/>
              <w:snapToGrid w:val="0"/>
              <w:jc w:val="center"/>
              <w:rPr>
                <w:szCs w:val="21"/>
                <w:lang w:val="en-GB"/>
              </w:rPr>
            </w:pPr>
            <w:r>
              <w:rPr>
                <w:szCs w:val="21"/>
                <w:lang w:val="en-GB"/>
              </w:rPr>
              <w:t>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556" w:type="pct"/>
            <w:vMerge w:val="continue"/>
            <w:shd w:val="clear" w:color="auto" w:fill="auto"/>
            <w:vAlign w:val="center"/>
          </w:tcPr>
          <w:p>
            <w:pPr>
              <w:pStyle w:val="42"/>
              <w:tabs>
                <w:tab w:val="left" w:pos="1260"/>
              </w:tabs>
              <w:adjustRightInd w:val="0"/>
              <w:snapToGrid w:val="0"/>
              <w:jc w:val="center"/>
              <w:rPr>
                <w:szCs w:val="21"/>
                <w:lang w:val="en-GB"/>
              </w:rPr>
            </w:pPr>
          </w:p>
        </w:tc>
        <w:tc>
          <w:tcPr>
            <w:tcW w:w="886" w:type="pct"/>
            <w:shd w:val="clear" w:color="auto" w:fill="auto"/>
            <w:vAlign w:val="center"/>
          </w:tcPr>
          <w:p>
            <w:pPr>
              <w:pStyle w:val="42"/>
              <w:tabs>
                <w:tab w:val="left" w:pos="1260"/>
              </w:tabs>
              <w:adjustRightInd w:val="0"/>
              <w:snapToGrid w:val="0"/>
              <w:jc w:val="center"/>
              <w:rPr>
                <w:szCs w:val="21"/>
                <w:lang w:val="en-GB"/>
              </w:rPr>
            </w:pPr>
          </w:p>
        </w:tc>
        <w:tc>
          <w:tcPr>
            <w:tcW w:w="929" w:type="pct"/>
            <w:shd w:val="clear" w:color="auto" w:fill="auto"/>
            <w:vAlign w:val="center"/>
          </w:tcPr>
          <w:p>
            <w:pPr>
              <w:pStyle w:val="42"/>
              <w:tabs>
                <w:tab w:val="left" w:pos="1260"/>
              </w:tabs>
              <w:adjustRightInd w:val="0"/>
              <w:snapToGrid w:val="0"/>
              <w:jc w:val="center"/>
              <w:rPr>
                <w:szCs w:val="21"/>
                <w:lang w:val="en-GB"/>
              </w:rPr>
            </w:pPr>
          </w:p>
        </w:tc>
        <w:tc>
          <w:tcPr>
            <w:tcW w:w="803" w:type="pct"/>
            <w:shd w:val="clear" w:color="auto" w:fill="auto"/>
            <w:vAlign w:val="center"/>
          </w:tcPr>
          <w:p>
            <w:pPr>
              <w:pStyle w:val="42"/>
              <w:tabs>
                <w:tab w:val="left" w:pos="1260"/>
              </w:tabs>
              <w:adjustRightInd w:val="0"/>
              <w:snapToGrid w:val="0"/>
              <w:jc w:val="center"/>
              <w:rPr>
                <w:szCs w:val="21"/>
                <w:lang w:val="en-GB"/>
              </w:rPr>
            </w:pPr>
          </w:p>
        </w:tc>
        <w:tc>
          <w:tcPr>
            <w:tcW w:w="963" w:type="pct"/>
            <w:shd w:val="clear" w:color="auto" w:fill="auto"/>
          </w:tcPr>
          <w:p>
            <w:pPr>
              <w:adjustRightInd w:val="0"/>
              <w:snapToGrid w:val="0"/>
              <w:rPr>
                <w:szCs w:val="21"/>
              </w:rPr>
            </w:pPr>
            <w:r>
              <w:rPr>
                <w:szCs w:val="21"/>
                <w:lang w:val="en-GB"/>
              </w:rPr>
              <w:t>只填写小型/微型/监狱/残疾人福利性单位</w:t>
            </w:r>
          </w:p>
        </w:tc>
        <w:tc>
          <w:tcPr>
            <w:tcW w:w="863" w:type="pct"/>
            <w:shd w:val="clear" w:color="auto" w:fill="auto"/>
            <w:vAlign w:val="center"/>
          </w:tcPr>
          <w:p>
            <w:pPr>
              <w:pStyle w:val="42"/>
              <w:tabs>
                <w:tab w:val="left" w:pos="1260"/>
              </w:tabs>
              <w:adjustRightInd w:val="0"/>
              <w:snapToGrid w:val="0"/>
              <w:jc w:val="center"/>
              <w:rPr>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556" w:type="pct"/>
            <w:vMerge w:val="continue"/>
            <w:shd w:val="clear" w:color="auto" w:fill="auto"/>
            <w:vAlign w:val="center"/>
          </w:tcPr>
          <w:p>
            <w:pPr>
              <w:pStyle w:val="42"/>
              <w:tabs>
                <w:tab w:val="left" w:pos="1260"/>
              </w:tabs>
              <w:adjustRightInd w:val="0"/>
              <w:snapToGrid w:val="0"/>
              <w:jc w:val="center"/>
              <w:rPr>
                <w:szCs w:val="21"/>
                <w:lang w:val="en-GB"/>
              </w:rPr>
            </w:pPr>
          </w:p>
        </w:tc>
        <w:tc>
          <w:tcPr>
            <w:tcW w:w="886" w:type="pct"/>
            <w:shd w:val="clear" w:color="auto" w:fill="auto"/>
            <w:vAlign w:val="center"/>
          </w:tcPr>
          <w:p>
            <w:pPr>
              <w:pStyle w:val="42"/>
              <w:tabs>
                <w:tab w:val="left" w:pos="1260"/>
              </w:tabs>
              <w:adjustRightInd w:val="0"/>
              <w:snapToGrid w:val="0"/>
              <w:jc w:val="center"/>
              <w:rPr>
                <w:szCs w:val="21"/>
                <w:lang w:val="en-GB"/>
              </w:rPr>
            </w:pPr>
          </w:p>
        </w:tc>
        <w:tc>
          <w:tcPr>
            <w:tcW w:w="929" w:type="pct"/>
            <w:shd w:val="clear" w:color="auto" w:fill="auto"/>
            <w:vAlign w:val="center"/>
          </w:tcPr>
          <w:p>
            <w:pPr>
              <w:pStyle w:val="42"/>
              <w:tabs>
                <w:tab w:val="left" w:pos="1260"/>
              </w:tabs>
              <w:adjustRightInd w:val="0"/>
              <w:snapToGrid w:val="0"/>
              <w:jc w:val="center"/>
              <w:rPr>
                <w:szCs w:val="21"/>
                <w:lang w:val="en-GB"/>
              </w:rPr>
            </w:pPr>
          </w:p>
        </w:tc>
        <w:tc>
          <w:tcPr>
            <w:tcW w:w="803" w:type="pct"/>
            <w:shd w:val="clear" w:color="auto" w:fill="auto"/>
            <w:vAlign w:val="center"/>
          </w:tcPr>
          <w:p>
            <w:pPr>
              <w:pStyle w:val="42"/>
              <w:tabs>
                <w:tab w:val="left" w:pos="1260"/>
              </w:tabs>
              <w:adjustRightInd w:val="0"/>
              <w:snapToGrid w:val="0"/>
              <w:jc w:val="center"/>
              <w:rPr>
                <w:szCs w:val="21"/>
                <w:lang w:val="en-GB"/>
              </w:rPr>
            </w:pPr>
          </w:p>
        </w:tc>
        <w:tc>
          <w:tcPr>
            <w:tcW w:w="963" w:type="pct"/>
            <w:shd w:val="clear" w:color="auto" w:fill="auto"/>
          </w:tcPr>
          <w:p>
            <w:pPr>
              <w:adjustRightInd w:val="0"/>
              <w:snapToGrid w:val="0"/>
              <w:rPr>
                <w:szCs w:val="21"/>
              </w:rPr>
            </w:pPr>
            <w:r>
              <w:rPr>
                <w:szCs w:val="21"/>
                <w:lang w:val="en-GB"/>
              </w:rPr>
              <w:t>只填写小型/微型/监狱/残疾人福利性单位</w:t>
            </w:r>
          </w:p>
        </w:tc>
        <w:tc>
          <w:tcPr>
            <w:tcW w:w="863" w:type="pct"/>
            <w:shd w:val="clear" w:color="auto" w:fill="auto"/>
            <w:vAlign w:val="center"/>
          </w:tcPr>
          <w:p>
            <w:pPr>
              <w:pStyle w:val="42"/>
              <w:tabs>
                <w:tab w:val="left" w:pos="1260"/>
              </w:tabs>
              <w:adjustRightInd w:val="0"/>
              <w:snapToGrid w:val="0"/>
              <w:jc w:val="center"/>
              <w:rPr>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556" w:type="pct"/>
            <w:vMerge w:val="continue"/>
            <w:shd w:val="clear" w:color="auto" w:fill="auto"/>
            <w:vAlign w:val="center"/>
          </w:tcPr>
          <w:p>
            <w:pPr>
              <w:pStyle w:val="42"/>
              <w:tabs>
                <w:tab w:val="left" w:pos="1260"/>
              </w:tabs>
              <w:adjustRightInd w:val="0"/>
              <w:snapToGrid w:val="0"/>
              <w:jc w:val="center"/>
              <w:rPr>
                <w:szCs w:val="21"/>
                <w:lang w:val="en-GB"/>
              </w:rPr>
            </w:pPr>
          </w:p>
        </w:tc>
        <w:tc>
          <w:tcPr>
            <w:tcW w:w="886" w:type="pct"/>
            <w:shd w:val="clear" w:color="auto" w:fill="auto"/>
            <w:vAlign w:val="center"/>
          </w:tcPr>
          <w:p>
            <w:pPr>
              <w:pStyle w:val="42"/>
              <w:tabs>
                <w:tab w:val="left" w:pos="1260"/>
              </w:tabs>
              <w:adjustRightInd w:val="0"/>
              <w:snapToGrid w:val="0"/>
              <w:jc w:val="center"/>
              <w:rPr>
                <w:szCs w:val="21"/>
                <w:lang w:val="en-GB"/>
              </w:rPr>
            </w:pPr>
          </w:p>
        </w:tc>
        <w:tc>
          <w:tcPr>
            <w:tcW w:w="929" w:type="pct"/>
            <w:shd w:val="clear" w:color="auto" w:fill="auto"/>
            <w:vAlign w:val="center"/>
          </w:tcPr>
          <w:p>
            <w:pPr>
              <w:pStyle w:val="42"/>
              <w:tabs>
                <w:tab w:val="left" w:pos="1260"/>
              </w:tabs>
              <w:adjustRightInd w:val="0"/>
              <w:snapToGrid w:val="0"/>
              <w:jc w:val="center"/>
              <w:rPr>
                <w:szCs w:val="21"/>
                <w:lang w:val="en-GB"/>
              </w:rPr>
            </w:pPr>
          </w:p>
        </w:tc>
        <w:tc>
          <w:tcPr>
            <w:tcW w:w="803" w:type="pct"/>
            <w:shd w:val="clear" w:color="auto" w:fill="auto"/>
            <w:vAlign w:val="center"/>
          </w:tcPr>
          <w:p>
            <w:pPr>
              <w:pStyle w:val="42"/>
              <w:tabs>
                <w:tab w:val="left" w:pos="1260"/>
              </w:tabs>
              <w:adjustRightInd w:val="0"/>
              <w:snapToGrid w:val="0"/>
              <w:jc w:val="center"/>
              <w:rPr>
                <w:szCs w:val="21"/>
                <w:lang w:val="en-GB"/>
              </w:rPr>
            </w:pPr>
          </w:p>
        </w:tc>
        <w:tc>
          <w:tcPr>
            <w:tcW w:w="963" w:type="pct"/>
            <w:shd w:val="clear" w:color="auto" w:fill="auto"/>
          </w:tcPr>
          <w:p>
            <w:pPr>
              <w:adjustRightInd w:val="0"/>
              <w:snapToGrid w:val="0"/>
              <w:rPr>
                <w:szCs w:val="21"/>
              </w:rPr>
            </w:pPr>
            <w:r>
              <w:rPr>
                <w:szCs w:val="21"/>
                <w:lang w:val="en-GB"/>
              </w:rPr>
              <w:t>只填写小型/微型/监狱/残疾人福利性单位</w:t>
            </w:r>
          </w:p>
        </w:tc>
        <w:tc>
          <w:tcPr>
            <w:tcW w:w="863" w:type="pct"/>
            <w:shd w:val="clear" w:color="auto" w:fill="auto"/>
            <w:vAlign w:val="center"/>
          </w:tcPr>
          <w:p>
            <w:pPr>
              <w:pStyle w:val="42"/>
              <w:tabs>
                <w:tab w:val="left" w:pos="1260"/>
              </w:tabs>
              <w:adjustRightInd w:val="0"/>
              <w:snapToGrid w:val="0"/>
              <w:jc w:val="center"/>
              <w:rPr>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556" w:type="pct"/>
            <w:vMerge w:val="continue"/>
            <w:shd w:val="clear" w:color="auto" w:fill="auto"/>
            <w:vAlign w:val="center"/>
          </w:tcPr>
          <w:p>
            <w:pPr>
              <w:pStyle w:val="42"/>
              <w:tabs>
                <w:tab w:val="left" w:pos="1260"/>
              </w:tabs>
              <w:adjustRightInd w:val="0"/>
              <w:snapToGrid w:val="0"/>
              <w:jc w:val="center"/>
              <w:rPr>
                <w:szCs w:val="21"/>
                <w:lang w:val="en-GB"/>
              </w:rPr>
            </w:pPr>
          </w:p>
        </w:tc>
        <w:tc>
          <w:tcPr>
            <w:tcW w:w="886" w:type="pct"/>
            <w:shd w:val="clear" w:color="auto" w:fill="auto"/>
            <w:vAlign w:val="center"/>
          </w:tcPr>
          <w:p>
            <w:pPr>
              <w:pStyle w:val="42"/>
              <w:tabs>
                <w:tab w:val="left" w:pos="1260"/>
              </w:tabs>
              <w:adjustRightInd w:val="0"/>
              <w:snapToGrid w:val="0"/>
              <w:jc w:val="center"/>
              <w:rPr>
                <w:szCs w:val="21"/>
                <w:lang w:val="en-GB"/>
              </w:rPr>
            </w:pPr>
          </w:p>
        </w:tc>
        <w:tc>
          <w:tcPr>
            <w:tcW w:w="929" w:type="pct"/>
            <w:shd w:val="clear" w:color="auto" w:fill="auto"/>
            <w:vAlign w:val="center"/>
          </w:tcPr>
          <w:p>
            <w:pPr>
              <w:pStyle w:val="42"/>
              <w:tabs>
                <w:tab w:val="left" w:pos="1260"/>
              </w:tabs>
              <w:adjustRightInd w:val="0"/>
              <w:snapToGrid w:val="0"/>
              <w:jc w:val="center"/>
              <w:rPr>
                <w:szCs w:val="21"/>
                <w:lang w:val="en-GB"/>
              </w:rPr>
            </w:pPr>
          </w:p>
        </w:tc>
        <w:tc>
          <w:tcPr>
            <w:tcW w:w="803" w:type="pct"/>
            <w:shd w:val="clear" w:color="auto" w:fill="auto"/>
            <w:vAlign w:val="center"/>
          </w:tcPr>
          <w:p>
            <w:pPr>
              <w:pStyle w:val="42"/>
              <w:tabs>
                <w:tab w:val="left" w:pos="1260"/>
              </w:tabs>
              <w:adjustRightInd w:val="0"/>
              <w:snapToGrid w:val="0"/>
              <w:jc w:val="center"/>
              <w:rPr>
                <w:szCs w:val="21"/>
                <w:lang w:val="en-GB"/>
              </w:rPr>
            </w:pPr>
          </w:p>
        </w:tc>
        <w:tc>
          <w:tcPr>
            <w:tcW w:w="963" w:type="pct"/>
            <w:shd w:val="clear" w:color="auto" w:fill="auto"/>
          </w:tcPr>
          <w:p>
            <w:pPr>
              <w:adjustRightInd w:val="0"/>
              <w:snapToGrid w:val="0"/>
              <w:rPr>
                <w:szCs w:val="21"/>
              </w:rPr>
            </w:pPr>
            <w:r>
              <w:rPr>
                <w:szCs w:val="21"/>
                <w:lang w:val="en-GB"/>
              </w:rPr>
              <w:t>只填写小型/微型/监狱/残疾人福利性单位</w:t>
            </w:r>
          </w:p>
        </w:tc>
        <w:tc>
          <w:tcPr>
            <w:tcW w:w="863" w:type="pct"/>
            <w:shd w:val="clear" w:color="auto" w:fill="auto"/>
            <w:vAlign w:val="center"/>
          </w:tcPr>
          <w:p>
            <w:pPr>
              <w:pStyle w:val="42"/>
              <w:tabs>
                <w:tab w:val="left" w:pos="1260"/>
              </w:tabs>
              <w:adjustRightInd w:val="0"/>
              <w:snapToGrid w:val="0"/>
              <w:jc w:val="center"/>
              <w:rPr>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556" w:type="pct"/>
            <w:vMerge w:val="continue"/>
            <w:shd w:val="clear" w:color="auto" w:fill="auto"/>
            <w:vAlign w:val="center"/>
          </w:tcPr>
          <w:p>
            <w:pPr>
              <w:pStyle w:val="42"/>
              <w:tabs>
                <w:tab w:val="left" w:pos="1260"/>
              </w:tabs>
              <w:adjustRightInd w:val="0"/>
              <w:snapToGrid w:val="0"/>
              <w:jc w:val="center"/>
              <w:rPr>
                <w:szCs w:val="21"/>
                <w:lang w:val="en-GB"/>
              </w:rPr>
            </w:pPr>
          </w:p>
        </w:tc>
        <w:tc>
          <w:tcPr>
            <w:tcW w:w="886" w:type="pct"/>
            <w:shd w:val="clear" w:color="auto" w:fill="auto"/>
            <w:vAlign w:val="center"/>
          </w:tcPr>
          <w:p>
            <w:pPr>
              <w:pStyle w:val="42"/>
              <w:tabs>
                <w:tab w:val="left" w:pos="1260"/>
              </w:tabs>
              <w:adjustRightInd w:val="0"/>
              <w:snapToGrid w:val="0"/>
              <w:jc w:val="center"/>
              <w:rPr>
                <w:szCs w:val="21"/>
                <w:lang w:val="en-GB"/>
              </w:rPr>
            </w:pPr>
          </w:p>
        </w:tc>
        <w:tc>
          <w:tcPr>
            <w:tcW w:w="929" w:type="pct"/>
            <w:shd w:val="clear" w:color="auto" w:fill="auto"/>
            <w:vAlign w:val="center"/>
          </w:tcPr>
          <w:p>
            <w:pPr>
              <w:pStyle w:val="42"/>
              <w:tabs>
                <w:tab w:val="left" w:pos="1260"/>
              </w:tabs>
              <w:adjustRightInd w:val="0"/>
              <w:snapToGrid w:val="0"/>
              <w:jc w:val="center"/>
              <w:rPr>
                <w:szCs w:val="21"/>
                <w:lang w:val="en-GB"/>
              </w:rPr>
            </w:pPr>
          </w:p>
        </w:tc>
        <w:tc>
          <w:tcPr>
            <w:tcW w:w="803" w:type="pct"/>
            <w:shd w:val="clear" w:color="auto" w:fill="auto"/>
            <w:vAlign w:val="center"/>
          </w:tcPr>
          <w:p>
            <w:pPr>
              <w:pStyle w:val="42"/>
              <w:tabs>
                <w:tab w:val="left" w:pos="1260"/>
              </w:tabs>
              <w:adjustRightInd w:val="0"/>
              <w:snapToGrid w:val="0"/>
              <w:jc w:val="center"/>
              <w:rPr>
                <w:szCs w:val="21"/>
                <w:lang w:val="en-GB"/>
              </w:rPr>
            </w:pPr>
          </w:p>
        </w:tc>
        <w:tc>
          <w:tcPr>
            <w:tcW w:w="963" w:type="pct"/>
            <w:shd w:val="clear" w:color="auto" w:fill="auto"/>
            <w:vAlign w:val="center"/>
          </w:tcPr>
          <w:p>
            <w:pPr>
              <w:pStyle w:val="42"/>
              <w:tabs>
                <w:tab w:val="left" w:pos="1260"/>
              </w:tabs>
              <w:adjustRightInd w:val="0"/>
              <w:snapToGrid w:val="0"/>
              <w:jc w:val="center"/>
              <w:rPr>
                <w:szCs w:val="21"/>
                <w:lang w:val="en-GB"/>
              </w:rPr>
            </w:pPr>
          </w:p>
        </w:tc>
        <w:tc>
          <w:tcPr>
            <w:tcW w:w="863" w:type="pct"/>
            <w:shd w:val="clear" w:color="auto" w:fill="auto"/>
            <w:vAlign w:val="center"/>
          </w:tcPr>
          <w:p>
            <w:pPr>
              <w:pStyle w:val="42"/>
              <w:tabs>
                <w:tab w:val="left" w:pos="1260"/>
              </w:tabs>
              <w:adjustRightInd w:val="0"/>
              <w:snapToGrid w:val="0"/>
              <w:jc w:val="center"/>
              <w:rPr>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556" w:type="pct"/>
            <w:vMerge w:val="continue"/>
            <w:shd w:val="clear" w:color="auto" w:fill="auto"/>
            <w:vAlign w:val="center"/>
          </w:tcPr>
          <w:p>
            <w:pPr>
              <w:pStyle w:val="42"/>
              <w:tabs>
                <w:tab w:val="left" w:pos="1260"/>
              </w:tabs>
              <w:adjustRightInd w:val="0"/>
              <w:snapToGrid w:val="0"/>
              <w:jc w:val="center"/>
              <w:rPr>
                <w:szCs w:val="21"/>
                <w:lang w:val="en-GB"/>
              </w:rPr>
            </w:pPr>
          </w:p>
        </w:tc>
        <w:tc>
          <w:tcPr>
            <w:tcW w:w="886" w:type="pct"/>
            <w:shd w:val="clear" w:color="auto" w:fill="auto"/>
            <w:vAlign w:val="center"/>
          </w:tcPr>
          <w:p>
            <w:pPr>
              <w:pStyle w:val="42"/>
              <w:tabs>
                <w:tab w:val="left" w:pos="1260"/>
              </w:tabs>
              <w:adjustRightInd w:val="0"/>
              <w:snapToGrid w:val="0"/>
              <w:jc w:val="center"/>
              <w:rPr>
                <w:szCs w:val="21"/>
                <w:lang w:val="en-GB"/>
              </w:rPr>
            </w:pPr>
          </w:p>
        </w:tc>
        <w:tc>
          <w:tcPr>
            <w:tcW w:w="929" w:type="pct"/>
            <w:shd w:val="clear" w:color="auto" w:fill="auto"/>
            <w:vAlign w:val="center"/>
          </w:tcPr>
          <w:p>
            <w:pPr>
              <w:pStyle w:val="42"/>
              <w:tabs>
                <w:tab w:val="left" w:pos="1260"/>
              </w:tabs>
              <w:adjustRightInd w:val="0"/>
              <w:snapToGrid w:val="0"/>
              <w:jc w:val="center"/>
              <w:rPr>
                <w:szCs w:val="21"/>
                <w:lang w:val="en-GB"/>
              </w:rPr>
            </w:pPr>
          </w:p>
        </w:tc>
        <w:tc>
          <w:tcPr>
            <w:tcW w:w="803" w:type="pct"/>
            <w:shd w:val="clear" w:color="auto" w:fill="auto"/>
            <w:vAlign w:val="center"/>
          </w:tcPr>
          <w:p>
            <w:pPr>
              <w:pStyle w:val="42"/>
              <w:tabs>
                <w:tab w:val="left" w:pos="1260"/>
              </w:tabs>
              <w:adjustRightInd w:val="0"/>
              <w:snapToGrid w:val="0"/>
              <w:jc w:val="center"/>
              <w:rPr>
                <w:szCs w:val="21"/>
                <w:lang w:val="en-GB"/>
              </w:rPr>
            </w:pPr>
          </w:p>
        </w:tc>
        <w:tc>
          <w:tcPr>
            <w:tcW w:w="963" w:type="pct"/>
            <w:shd w:val="clear" w:color="auto" w:fill="auto"/>
            <w:vAlign w:val="center"/>
          </w:tcPr>
          <w:p>
            <w:pPr>
              <w:pStyle w:val="42"/>
              <w:tabs>
                <w:tab w:val="left" w:pos="1260"/>
              </w:tabs>
              <w:adjustRightInd w:val="0"/>
              <w:snapToGrid w:val="0"/>
              <w:jc w:val="center"/>
              <w:rPr>
                <w:szCs w:val="21"/>
                <w:lang w:val="en-GB"/>
              </w:rPr>
            </w:pPr>
          </w:p>
        </w:tc>
        <w:tc>
          <w:tcPr>
            <w:tcW w:w="863" w:type="pct"/>
            <w:shd w:val="clear" w:color="auto" w:fill="auto"/>
            <w:vAlign w:val="center"/>
          </w:tcPr>
          <w:p>
            <w:pPr>
              <w:pStyle w:val="42"/>
              <w:tabs>
                <w:tab w:val="left" w:pos="1260"/>
              </w:tabs>
              <w:adjustRightInd w:val="0"/>
              <w:snapToGrid w:val="0"/>
              <w:jc w:val="center"/>
              <w:rPr>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556" w:type="pct"/>
            <w:vMerge w:val="continue"/>
            <w:shd w:val="clear" w:color="auto" w:fill="auto"/>
            <w:vAlign w:val="center"/>
          </w:tcPr>
          <w:p>
            <w:pPr>
              <w:pStyle w:val="42"/>
              <w:tabs>
                <w:tab w:val="left" w:pos="1260"/>
              </w:tabs>
              <w:adjustRightInd w:val="0"/>
              <w:snapToGrid w:val="0"/>
              <w:jc w:val="center"/>
              <w:rPr>
                <w:szCs w:val="21"/>
                <w:lang w:val="en-GB"/>
              </w:rPr>
            </w:pPr>
          </w:p>
        </w:tc>
        <w:tc>
          <w:tcPr>
            <w:tcW w:w="3581" w:type="pct"/>
            <w:gridSpan w:val="4"/>
            <w:shd w:val="clear" w:color="auto" w:fill="auto"/>
            <w:vAlign w:val="center"/>
          </w:tcPr>
          <w:p>
            <w:pPr>
              <w:pStyle w:val="42"/>
              <w:tabs>
                <w:tab w:val="left" w:pos="1260"/>
              </w:tabs>
              <w:adjustRightInd w:val="0"/>
              <w:snapToGrid w:val="0"/>
              <w:jc w:val="center"/>
              <w:rPr>
                <w:szCs w:val="21"/>
                <w:lang w:val="en-GB"/>
              </w:rPr>
            </w:pPr>
            <w:r>
              <w:rPr>
                <w:szCs w:val="21"/>
              </w:rPr>
              <w:t>小微企业（含监狱企业、残疾人福利性单位）制造的货物</w:t>
            </w:r>
            <w:r>
              <w:rPr>
                <w:szCs w:val="21"/>
                <w:lang w:val="en-GB"/>
              </w:rPr>
              <w:t>金额合计</w:t>
            </w:r>
          </w:p>
        </w:tc>
        <w:tc>
          <w:tcPr>
            <w:tcW w:w="863" w:type="pct"/>
            <w:shd w:val="clear" w:color="auto" w:fill="auto"/>
            <w:vAlign w:val="center"/>
          </w:tcPr>
          <w:p>
            <w:pPr>
              <w:pStyle w:val="42"/>
              <w:tabs>
                <w:tab w:val="left" w:pos="1260"/>
              </w:tabs>
              <w:adjustRightInd w:val="0"/>
              <w:snapToGrid w:val="0"/>
              <w:jc w:val="center"/>
              <w:rPr>
                <w:b/>
                <w:szCs w:val="21"/>
                <w:lang w:val="en-GB"/>
              </w:rPr>
            </w:pPr>
            <w:r>
              <w:rPr>
                <w:b/>
                <w:szCs w:val="21"/>
                <w:u w:val="single"/>
                <w:lang w:val="en-GB"/>
              </w:rPr>
              <w:t xml:space="preserve">     </w:t>
            </w:r>
            <w:r>
              <w:rPr>
                <w:b/>
                <w:szCs w:val="21"/>
                <w:lang w:val="en-GB"/>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556" w:type="pct"/>
            <w:vMerge w:val="continue"/>
            <w:shd w:val="clear" w:color="auto" w:fill="auto"/>
            <w:vAlign w:val="center"/>
          </w:tcPr>
          <w:p>
            <w:pPr>
              <w:pStyle w:val="42"/>
              <w:tabs>
                <w:tab w:val="left" w:pos="1260"/>
              </w:tabs>
              <w:adjustRightInd w:val="0"/>
              <w:snapToGrid w:val="0"/>
              <w:jc w:val="center"/>
              <w:rPr>
                <w:szCs w:val="21"/>
                <w:lang w:val="en-GB"/>
              </w:rPr>
            </w:pPr>
          </w:p>
        </w:tc>
        <w:tc>
          <w:tcPr>
            <w:tcW w:w="3581" w:type="pct"/>
            <w:gridSpan w:val="4"/>
            <w:shd w:val="clear" w:color="auto" w:fill="auto"/>
            <w:vAlign w:val="center"/>
          </w:tcPr>
          <w:p>
            <w:pPr>
              <w:pStyle w:val="42"/>
              <w:tabs>
                <w:tab w:val="left" w:pos="1260"/>
              </w:tabs>
              <w:adjustRightInd w:val="0"/>
              <w:snapToGrid w:val="0"/>
              <w:jc w:val="center"/>
              <w:rPr>
                <w:szCs w:val="21"/>
                <w:lang w:val="en-GB"/>
              </w:rPr>
            </w:pPr>
            <w:r>
              <w:rPr>
                <w:szCs w:val="21"/>
                <w:lang w:val="en-GB"/>
              </w:rPr>
              <w:t>比重（小微企业（含监狱企业、残疾人福利性单位）制造的货物金额/所投包投标总价）*100%</w:t>
            </w:r>
          </w:p>
        </w:tc>
        <w:tc>
          <w:tcPr>
            <w:tcW w:w="863" w:type="pct"/>
            <w:shd w:val="clear" w:color="auto" w:fill="auto"/>
            <w:vAlign w:val="center"/>
          </w:tcPr>
          <w:p>
            <w:pPr>
              <w:pStyle w:val="42"/>
              <w:tabs>
                <w:tab w:val="left" w:pos="1260"/>
              </w:tabs>
              <w:adjustRightInd w:val="0"/>
              <w:snapToGrid w:val="0"/>
              <w:jc w:val="center"/>
              <w:rPr>
                <w:b/>
                <w:szCs w:val="21"/>
                <w:lang w:val="en-GB"/>
              </w:rPr>
            </w:pPr>
            <w:r>
              <w:rPr>
                <w:b/>
                <w:szCs w:val="21"/>
                <w:u w:val="single"/>
                <w:lang w:val="en-GB"/>
              </w:rPr>
              <w:t xml:space="preserve">     </w:t>
            </w:r>
            <w:r>
              <w:rPr>
                <w:b/>
                <w:szCs w:val="21"/>
                <w:lang w:val="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556" w:type="pct"/>
            <w:shd w:val="clear" w:color="auto" w:fill="auto"/>
            <w:vAlign w:val="center"/>
          </w:tcPr>
          <w:p>
            <w:pPr>
              <w:pStyle w:val="42"/>
              <w:tabs>
                <w:tab w:val="left" w:pos="1260"/>
              </w:tabs>
              <w:adjustRightInd w:val="0"/>
              <w:snapToGrid w:val="0"/>
              <w:jc w:val="center"/>
              <w:rPr>
                <w:szCs w:val="21"/>
                <w:lang w:val="en-GB"/>
              </w:rPr>
            </w:pPr>
            <w:r>
              <w:rPr>
                <w:szCs w:val="21"/>
                <w:lang w:val="en-GB"/>
              </w:rPr>
              <w:t>中小企业</w:t>
            </w:r>
          </w:p>
        </w:tc>
        <w:tc>
          <w:tcPr>
            <w:tcW w:w="4444" w:type="pct"/>
            <w:gridSpan w:val="5"/>
            <w:shd w:val="clear" w:color="auto" w:fill="auto"/>
            <w:vAlign w:val="center"/>
          </w:tcPr>
          <w:p>
            <w:pPr>
              <w:pStyle w:val="42"/>
              <w:tabs>
                <w:tab w:val="left" w:pos="1260"/>
              </w:tabs>
              <w:adjustRightInd w:val="0"/>
              <w:snapToGrid w:val="0"/>
              <w:rPr>
                <w:szCs w:val="21"/>
              </w:rPr>
            </w:pPr>
            <w:r>
              <w:rPr>
                <w:szCs w:val="21"/>
              </w:rPr>
              <w:t>如属于中小企业，须提供《中小企业声明函》。</w:t>
            </w:r>
          </w:p>
          <w:p>
            <w:pPr>
              <w:pStyle w:val="42"/>
              <w:tabs>
                <w:tab w:val="left" w:pos="1260"/>
              </w:tabs>
              <w:adjustRightInd w:val="0"/>
              <w:snapToGrid w:val="0"/>
              <w:rPr>
                <w:szCs w:val="21"/>
                <w:lang w:val="en-GB"/>
              </w:rPr>
            </w:pPr>
            <w:r>
              <w:rPr>
                <w:szCs w:val="21"/>
              </w:rPr>
              <w:t>该声明函见投标文件第</w:t>
            </w:r>
            <w:r>
              <w:rPr>
                <w:szCs w:val="21"/>
                <w:u w:val="single"/>
              </w:rPr>
              <w:t xml:space="preserve">   </w:t>
            </w:r>
            <w:r>
              <w:rPr>
                <w:szCs w:val="21"/>
              </w:rPr>
              <w:t>至</w:t>
            </w:r>
            <w:r>
              <w:rPr>
                <w:szCs w:val="21"/>
                <w:u w:val="single"/>
              </w:rPr>
              <w:t xml:space="preserve">   </w:t>
            </w:r>
            <w:r>
              <w:rPr>
                <w:szCs w:val="21"/>
              </w:rPr>
              <w:t>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556" w:type="pct"/>
            <w:shd w:val="clear" w:color="auto" w:fill="auto"/>
            <w:vAlign w:val="center"/>
          </w:tcPr>
          <w:p>
            <w:pPr>
              <w:pStyle w:val="42"/>
              <w:tabs>
                <w:tab w:val="left" w:pos="1260"/>
              </w:tabs>
              <w:adjustRightInd w:val="0"/>
              <w:snapToGrid w:val="0"/>
              <w:jc w:val="center"/>
              <w:rPr>
                <w:szCs w:val="21"/>
                <w:lang w:val="en-GB"/>
              </w:rPr>
            </w:pPr>
            <w:r>
              <w:rPr>
                <w:szCs w:val="21"/>
                <w:lang w:val="en-GB"/>
              </w:rPr>
              <w:t>监狱企业</w:t>
            </w:r>
          </w:p>
        </w:tc>
        <w:tc>
          <w:tcPr>
            <w:tcW w:w="4444" w:type="pct"/>
            <w:gridSpan w:val="5"/>
            <w:shd w:val="clear" w:color="auto" w:fill="auto"/>
            <w:vAlign w:val="center"/>
          </w:tcPr>
          <w:p>
            <w:pPr>
              <w:pStyle w:val="42"/>
              <w:tabs>
                <w:tab w:val="left" w:pos="1260"/>
              </w:tabs>
              <w:adjustRightInd w:val="0"/>
              <w:snapToGrid w:val="0"/>
              <w:rPr>
                <w:szCs w:val="21"/>
              </w:rPr>
            </w:pPr>
            <w:r>
              <w:rPr>
                <w:szCs w:val="21"/>
              </w:rPr>
              <w:t>如属于监狱企业，须提供由省级以上监狱管理局、戒毒管理局(含新疆生产建设兵团)出具的属于监狱企业的证明文件。</w:t>
            </w:r>
          </w:p>
          <w:p>
            <w:pPr>
              <w:pStyle w:val="42"/>
              <w:tabs>
                <w:tab w:val="left" w:pos="1260"/>
              </w:tabs>
              <w:adjustRightInd w:val="0"/>
              <w:snapToGrid w:val="0"/>
              <w:rPr>
                <w:szCs w:val="21"/>
                <w:lang w:val="en-GB"/>
              </w:rPr>
            </w:pPr>
            <w:r>
              <w:rPr>
                <w:szCs w:val="21"/>
              </w:rPr>
              <w:t>证明材料见投标文件第</w:t>
            </w:r>
            <w:r>
              <w:rPr>
                <w:szCs w:val="21"/>
                <w:u w:val="single"/>
              </w:rPr>
              <w:t xml:space="preserve">   </w:t>
            </w:r>
            <w:r>
              <w:rPr>
                <w:szCs w:val="21"/>
              </w:rPr>
              <w:t>至</w:t>
            </w:r>
            <w:r>
              <w:rPr>
                <w:szCs w:val="21"/>
                <w:u w:val="single"/>
              </w:rPr>
              <w:t xml:space="preserve">   </w:t>
            </w:r>
            <w:r>
              <w:rPr>
                <w:szCs w:val="21"/>
              </w:rPr>
              <w:t>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556" w:type="pct"/>
            <w:shd w:val="clear" w:color="auto" w:fill="auto"/>
            <w:vAlign w:val="center"/>
          </w:tcPr>
          <w:p>
            <w:pPr>
              <w:pStyle w:val="42"/>
              <w:tabs>
                <w:tab w:val="left" w:pos="1260"/>
              </w:tabs>
              <w:adjustRightInd w:val="0"/>
              <w:snapToGrid w:val="0"/>
              <w:jc w:val="center"/>
              <w:rPr>
                <w:szCs w:val="21"/>
                <w:lang w:val="en-GB"/>
              </w:rPr>
            </w:pPr>
            <w:r>
              <w:rPr>
                <w:szCs w:val="21"/>
                <w:lang w:val="en-GB"/>
              </w:rPr>
              <w:t>残疾人福利性单位</w:t>
            </w:r>
          </w:p>
        </w:tc>
        <w:tc>
          <w:tcPr>
            <w:tcW w:w="4444" w:type="pct"/>
            <w:gridSpan w:val="5"/>
            <w:shd w:val="clear" w:color="auto" w:fill="auto"/>
            <w:vAlign w:val="center"/>
          </w:tcPr>
          <w:p>
            <w:pPr>
              <w:pStyle w:val="42"/>
              <w:tabs>
                <w:tab w:val="left" w:pos="1260"/>
              </w:tabs>
              <w:adjustRightInd w:val="0"/>
              <w:snapToGrid w:val="0"/>
              <w:rPr>
                <w:szCs w:val="21"/>
              </w:rPr>
            </w:pPr>
            <w:r>
              <w:rPr>
                <w:szCs w:val="21"/>
              </w:rPr>
              <w:t>如属于残疾人福利性单位，须提供《残疾人福利性单位声明函》。</w:t>
            </w:r>
          </w:p>
          <w:p>
            <w:pPr>
              <w:pStyle w:val="42"/>
              <w:tabs>
                <w:tab w:val="left" w:pos="1260"/>
              </w:tabs>
              <w:adjustRightInd w:val="0"/>
              <w:snapToGrid w:val="0"/>
              <w:rPr>
                <w:szCs w:val="21"/>
                <w:lang w:val="en-GB"/>
              </w:rPr>
            </w:pPr>
            <w:r>
              <w:rPr>
                <w:szCs w:val="21"/>
              </w:rPr>
              <w:t>该声明函见投标文件第</w:t>
            </w:r>
            <w:r>
              <w:rPr>
                <w:szCs w:val="21"/>
                <w:u w:val="single"/>
              </w:rPr>
              <w:t xml:space="preserve">   </w:t>
            </w:r>
            <w:r>
              <w:rPr>
                <w:szCs w:val="21"/>
              </w:rPr>
              <w:t>至</w:t>
            </w:r>
            <w:r>
              <w:rPr>
                <w:szCs w:val="21"/>
                <w:u w:val="single"/>
              </w:rPr>
              <w:t xml:space="preserve">   </w:t>
            </w:r>
            <w:r>
              <w:rPr>
                <w:szCs w:val="21"/>
              </w:rPr>
              <w:t>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556" w:type="pct"/>
            <w:shd w:val="clear" w:color="auto" w:fill="auto"/>
            <w:vAlign w:val="center"/>
          </w:tcPr>
          <w:p>
            <w:pPr>
              <w:pStyle w:val="42"/>
              <w:tabs>
                <w:tab w:val="left" w:pos="1260"/>
              </w:tabs>
              <w:adjustRightInd w:val="0"/>
              <w:snapToGrid w:val="0"/>
              <w:jc w:val="center"/>
              <w:rPr>
                <w:szCs w:val="21"/>
                <w:lang w:val="en-GB"/>
              </w:rPr>
            </w:pPr>
            <w:r>
              <w:rPr>
                <w:szCs w:val="21"/>
                <w:lang w:val="en-GB"/>
              </w:rPr>
              <w:t>本国产品</w:t>
            </w:r>
          </w:p>
        </w:tc>
        <w:tc>
          <w:tcPr>
            <w:tcW w:w="4444" w:type="pct"/>
            <w:gridSpan w:val="5"/>
            <w:shd w:val="clear" w:color="auto" w:fill="auto"/>
            <w:vAlign w:val="center"/>
          </w:tcPr>
          <w:p>
            <w:pPr>
              <w:pStyle w:val="42"/>
              <w:tabs>
                <w:tab w:val="left" w:pos="1260"/>
              </w:tabs>
              <w:adjustRightInd w:val="0"/>
              <w:snapToGrid w:val="0"/>
              <w:rPr>
                <w:szCs w:val="21"/>
              </w:rPr>
            </w:pPr>
            <w:r>
              <w:rPr>
                <w:szCs w:val="21"/>
              </w:rPr>
              <w:t>如属于</w:t>
            </w:r>
            <w:r>
              <w:rPr>
                <w:rFonts w:hint="eastAsia"/>
                <w:szCs w:val="21"/>
              </w:rPr>
              <w:t>本国</w:t>
            </w:r>
            <w:r>
              <w:rPr>
                <w:szCs w:val="21"/>
              </w:rPr>
              <w:t>产品，须提供《</w:t>
            </w:r>
            <w:r>
              <w:rPr>
                <w:rFonts w:hint="eastAsia"/>
                <w:szCs w:val="21"/>
              </w:rPr>
              <w:t>关于符合本国产品标准的声明函</w:t>
            </w:r>
            <w:r>
              <w:rPr>
                <w:szCs w:val="21"/>
              </w:rPr>
              <w:t>》。</w:t>
            </w:r>
          </w:p>
          <w:p>
            <w:pPr>
              <w:pStyle w:val="42"/>
              <w:tabs>
                <w:tab w:val="left" w:pos="1260"/>
              </w:tabs>
              <w:adjustRightInd w:val="0"/>
              <w:snapToGrid w:val="0"/>
              <w:rPr>
                <w:szCs w:val="21"/>
              </w:rPr>
            </w:pPr>
            <w:r>
              <w:rPr>
                <w:szCs w:val="21"/>
              </w:rPr>
              <w:t>该声明函见投标文件第</w:t>
            </w:r>
            <w:r>
              <w:rPr>
                <w:szCs w:val="21"/>
                <w:u w:val="single"/>
              </w:rPr>
              <w:t xml:space="preserve">   </w:t>
            </w:r>
            <w:r>
              <w:rPr>
                <w:szCs w:val="21"/>
              </w:rPr>
              <w:t>至</w:t>
            </w:r>
            <w:r>
              <w:rPr>
                <w:szCs w:val="21"/>
                <w:u w:val="single"/>
              </w:rPr>
              <w:t xml:space="preserve">   </w:t>
            </w:r>
            <w:r>
              <w:rPr>
                <w:szCs w:val="21"/>
              </w:rPr>
              <w:t>页。</w:t>
            </w:r>
          </w:p>
        </w:tc>
      </w:tr>
    </w:tbl>
    <w:p>
      <w:pPr>
        <w:spacing w:line="360" w:lineRule="auto"/>
        <w:ind w:firstLine="448" w:firstLineChars="200"/>
        <w:outlineLvl w:val="0"/>
        <w:rPr>
          <w:sz w:val="24"/>
        </w:rPr>
      </w:pPr>
    </w:p>
    <w:p>
      <w:pPr>
        <w:spacing w:line="360" w:lineRule="auto"/>
        <w:ind w:firstLine="3808" w:firstLineChars="1700"/>
        <w:rPr>
          <w:sz w:val="24"/>
        </w:rPr>
      </w:pPr>
    </w:p>
    <w:p>
      <w:pPr>
        <w:spacing w:line="360" w:lineRule="auto"/>
        <w:ind w:right="84" w:firstLine="224" w:firstLineChars="100"/>
        <w:rPr>
          <w:sz w:val="24"/>
        </w:rPr>
      </w:pPr>
      <w:r>
        <w:rPr>
          <w:sz w:val="24"/>
        </w:rPr>
        <w:t>投标人名称：</w:t>
      </w:r>
    </w:p>
    <w:p>
      <w:pPr>
        <w:spacing w:line="360" w:lineRule="auto"/>
        <w:ind w:right="84" w:firstLine="224" w:firstLineChars="100"/>
        <w:rPr>
          <w:sz w:val="24"/>
        </w:rPr>
      </w:pPr>
    </w:p>
    <w:p>
      <w:pPr>
        <w:spacing w:line="360" w:lineRule="auto"/>
        <w:ind w:right="84" w:firstLine="224" w:firstLineChars="100"/>
        <w:rPr>
          <w:position w:val="-40"/>
          <w:sz w:val="24"/>
        </w:rPr>
      </w:pPr>
      <w:r>
        <w:rPr>
          <w:sz w:val="24"/>
        </w:rPr>
        <w:t xml:space="preserve">日期：  </w:t>
      </w:r>
    </w:p>
    <w:p>
      <w:pPr>
        <w:spacing w:line="560" w:lineRule="exact"/>
        <w:jc w:val="center"/>
        <w:rPr>
          <w:sz w:val="24"/>
        </w:rPr>
      </w:pPr>
      <w:r>
        <w:rPr>
          <w:sz w:val="24"/>
        </w:rPr>
        <w:br w:type="page"/>
      </w:r>
    </w:p>
    <w:p>
      <w:pPr>
        <w:snapToGrid w:val="0"/>
        <w:spacing w:line="360" w:lineRule="auto"/>
        <w:rPr>
          <w:b/>
          <w:bCs/>
          <w:sz w:val="24"/>
        </w:rPr>
      </w:pPr>
      <w:r>
        <w:rPr>
          <w:b/>
          <w:sz w:val="24"/>
          <w:szCs w:val="21"/>
        </w:rPr>
        <w:t>附件1</w:t>
      </w:r>
      <w:r>
        <w:rPr>
          <w:rFonts w:hint="eastAsia"/>
          <w:b/>
          <w:sz w:val="24"/>
          <w:szCs w:val="21"/>
        </w:rPr>
        <w:t>1</w:t>
      </w:r>
      <w:r>
        <w:rPr>
          <w:b/>
          <w:sz w:val="24"/>
          <w:szCs w:val="21"/>
        </w:rPr>
        <w:t>：</w:t>
      </w:r>
      <w:r>
        <w:rPr>
          <w:b/>
          <w:sz w:val="24"/>
        </w:rPr>
        <w:t>招标文件</w:t>
      </w:r>
      <w:r>
        <w:rPr>
          <w:b/>
          <w:bCs/>
          <w:sz w:val="24"/>
        </w:rPr>
        <w:t>评分因素及评标标准中要求的证明材料</w:t>
      </w:r>
      <w:r>
        <w:rPr>
          <w:rFonts w:hint="eastAsia"/>
          <w:b/>
          <w:bCs/>
          <w:sz w:val="24"/>
        </w:rPr>
        <w:t>电子件</w:t>
      </w:r>
      <w:r>
        <w:rPr>
          <w:b/>
          <w:bCs/>
          <w:sz w:val="24"/>
        </w:rPr>
        <w:t>、方案等</w:t>
      </w:r>
    </w:p>
    <w:p>
      <w:pPr>
        <w:snapToGrid w:val="0"/>
        <w:spacing w:line="360" w:lineRule="auto"/>
        <w:rPr>
          <w:b/>
          <w:sz w:val="24"/>
          <w:szCs w:val="21"/>
        </w:rPr>
      </w:pPr>
      <w:r>
        <w:rPr>
          <w:b/>
          <w:bCs/>
          <w:sz w:val="24"/>
        </w:rPr>
        <w:t>附件1</w:t>
      </w:r>
      <w:r>
        <w:rPr>
          <w:rFonts w:hint="eastAsia"/>
          <w:b/>
          <w:bCs/>
          <w:sz w:val="24"/>
        </w:rPr>
        <w:t>2</w:t>
      </w:r>
      <w:r>
        <w:rPr>
          <w:b/>
          <w:bCs/>
          <w:sz w:val="24"/>
        </w:rPr>
        <w:t>：</w:t>
      </w:r>
      <w:r>
        <w:rPr>
          <w:b/>
          <w:sz w:val="24"/>
        </w:rPr>
        <w:t>投标人认为需要提供的其他资料</w:t>
      </w:r>
    </w:p>
    <w:sectPr>
      <w:footerReference r:id="rId4" w:type="default"/>
      <w:pgSz w:w="11906" w:h="16838"/>
      <w:pgMar w:top="1440" w:right="1797" w:bottom="1440" w:left="1797" w:header="851" w:footer="992" w:gutter="0"/>
      <w:pgNumType w:start="1"/>
      <w:cols w:space="425" w:num="1"/>
      <w:docGrid w:type="linesAndChars" w:linePitch="285" w:charSpace="-34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Cambria">
    <w:panose1 w:val="02040503050406030204"/>
    <w:charset w:val="00"/>
    <w:family w:val="roman"/>
    <w:pitch w:val="default"/>
    <w:sig w:usb0="E00002FF" w:usb1="400004FF" w:usb2="00000000" w:usb3="00000000" w:csb0="2000019F" w:csb1="00000000"/>
  </w:font>
  <w:font w:name=".......">
    <w:altName w:val="宋体"/>
    <w:panose1 w:val="00000000000000000000"/>
    <w:charset w:val="86"/>
    <w:family w:val="roman"/>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pPr>
    <w:r>
      <w:rPr>
        <w:b/>
      </w:rPr>
      <w:fldChar w:fldCharType="begin"/>
    </w:r>
    <w:r>
      <w:rPr>
        <w:b/>
      </w:rPr>
      <w:instrText xml:space="preserve">PAGE  \* Arabic  \* MERGEFORMAT</w:instrText>
    </w:r>
    <w:r>
      <w:rPr>
        <w:b/>
      </w:rPr>
      <w:fldChar w:fldCharType="separate"/>
    </w:r>
    <w:r>
      <w:rPr>
        <w:b/>
        <w:lang w:val="zh-CN"/>
      </w:rPr>
      <w:t>13</w:t>
    </w:r>
    <w:r>
      <w:rPr>
        <w:b/>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A1D1152"/>
    <w:multiLevelType w:val="multilevel"/>
    <w:tmpl w:val="1A1D1152"/>
    <w:lvl w:ilvl="0" w:tentative="0">
      <w:start w:val="1"/>
      <w:numFmt w:val="bullet"/>
      <w:lvlText w:val=""/>
      <w:lvlJc w:val="left"/>
      <w:pPr>
        <w:ind w:left="866" w:hanging="420"/>
      </w:pPr>
      <w:rPr>
        <w:rFonts w:hint="default" w:ascii="Wingdings" w:hAnsi="Wingdings"/>
      </w:rPr>
    </w:lvl>
    <w:lvl w:ilvl="1" w:tentative="0">
      <w:start w:val="1"/>
      <w:numFmt w:val="bullet"/>
      <w:lvlText w:val=""/>
      <w:lvlJc w:val="left"/>
      <w:pPr>
        <w:ind w:left="1286" w:hanging="420"/>
      </w:pPr>
      <w:rPr>
        <w:rFonts w:hint="default" w:ascii="Wingdings" w:hAnsi="Wingdings"/>
      </w:rPr>
    </w:lvl>
    <w:lvl w:ilvl="2" w:tentative="0">
      <w:start w:val="1"/>
      <w:numFmt w:val="bullet"/>
      <w:lvlText w:val=""/>
      <w:lvlJc w:val="left"/>
      <w:pPr>
        <w:ind w:left="1706" w:hanging="420"/>
      </w:pPr>
      <w:rPr>
        <w:rFonts w:hint="default" w:ascii="Wingdings" w:hAnsi="Wingdings"/>
      </w:rPr>
    </w:lvl>
    <w:lvl w:ilvl="3" w:tentative="0">
      <w:start w:val="1"/>
      <w:numFmt w:val="bullet"/>
      <w:lvlText w:val=""/>
      <w:lvlJc w:val="left"/>
      <w:pPr>
        <w:ind w:left="2126" w:hanging="420"/>
      </w:pPr>
      <w:rPr>
        <w:rFonts w:hint="default" w:ascii="Wingdings" w:hAnsi="Wingdings"/>
      </w:rPr>
    </w:lvl>
    <w:lvl w:ilvl="4" w:tentative="0">
      <w:start w:val="1"/>
      <w:numFmt w:val="bullet"/>
      <w:lvlText w:val=""/>
      <w:lvlJc w:val="left"/>
      <w:pPr>
        <w:ind w:left="2546" w:hanging="420"/>
      </w:pPr>
      <w:rPr>
        <w:rFonts w:hint="default" w:ascii="Wingdings" w:hAnsi="Wingdings"/>
      </w:rPr>
    </w:lvl>
    <w:lvl w:ilvl="5" w:tentative="0">
      <w:start w:val="1"/>
      <w:numFmt w:val="bullet"/>
      <w:lvlText w:val=""/>
      <w:lvlJc w:val="left"/>
      <w:pPr>
        <w:ind w:left="2966" w:hanging="420"/>
      </w:pPr>
      <w:rPr>
        <w:rFonts w:hint="default" w:ascii="Wingdings" w:hAnsi="Wingdings"/>
      </w:rPr>
    </w:lvl>
    <w:lvl w:ilvl="6" w:tentative="0">
      <w:start w:val="1"/>
      <w:numFmt w:val="bullet"/>
      <w:lvlText w:val=""/>
      <w:lvlJc w:val="left"/>
      <w:pPr>
        <w:ind w:left="3386" w:hanging="420"/>
      </w:pPr>
      <w:rPr>
        <w:rFonts w:hint="default" w:ascii="Wingdings" w:hAnsi="Wingdings"/>
      </w:rPr>
    </w:lvl>
    <w:lvl w:ilvl="7" w:tentative="0">
      <w:start w:val="1"/>
      <w:numFmt w:val="bullet"/>
      <w:lvlText w:val=""/>
      <w:lvlJc w:val="left"/>
      <w:pPr>
        <w:ind w:left="3806" w:hanging="420"/>
      </w:pPr>
      <w:rPr>
        <w:rFonts w:hint="default" w:ascii="Wingdings" w:hAnsi="Wingdings"/>
      </w:rPr>
    </w:lvl>
    <w:lvl w:ilvl="8" w:tentative="0">
      <w:start w:val="1"/>
      <w:numFmt w:val="bullet"/>
      <w:lvlText w:val=""/>
      <w:lvlJc w:val="left"/>
      <w:pPr>
        <w:ind w:left="4226" w:hanging="420"/>
      </w:pPr>
      <w:rPr>
        <w:rFonts w:hint="default" w:ascii="Wingdings" w:hAnsi="Wingdings"/>
      </w:rPr>
    </w:lvl>
  </w:abstractNum>
  <w:abstractNum w:abstractNumId="1">
    <w:nsid w:val="367F6A45"/>
    <w:multiLevelType w:val="multilevel"/>
    <w:tmpl w:val="367F6A45"/>
    <w:lvl w:ilvl="0" w:tentative="0">
      <w:start w:val="1"/>
      <w:numFmt w:val="decimal"/>
      <w:pStyle w:val="4"/>
      <w:lvlText w:val="%1."/>
      <w:lvlJc w:val="left"/>
      <w:pPr>
        <w:ind w:left="360" w:hanging="360"/>
      </w:pPr>
      <w:rPr>
        <w:rFonts w:hint="default"/>
      </w:rPr>
    </w:lvl>
    <w:lvl w:ilvl="1" w:tentative="0">
      <w:start w:val="1"/>
      <w:numFmt w:val="decimal"/>
      <w:pStyle w:val="3"/>
      <w:lvlText w:val="%1.%2"/>
      <w:lvlJc w:val="left"/>
      <w:pPr>
        <w:tabs>
          <w:tab w:val="left" w:pos="432"/>
        </w:tabs>
        <w:ind w:left="432" w:hanging="432"/>
      </w:pPr>
      <w:rPr>
        <w:rFonts w:hint="default"/>
      </w:rPr>
    </w:lvl>
    <w:lvl w:ilvl="2" w:tentative="0">
      <w:start w:val="1"/>
      <w:numFmt w:val="lowerLetter"/>
      <w:pStyle w:val="8"/>
      <w:lvlText w:val="%3."/>
      <w:lvlJc w:val="left"/>
      <w:pPr>
        <w:ind w:left="792" w:hanging="360"/>
      </w:pPr>
      <w:rPr>
        <w:rFonts w:hint="default"/>
      </w:rPr>
    </w:lvl>
    <w:lvl w:ilvl="3" w:tentative="0">
      <w:start w:val="1"/>
      <w:numFmt w:val="lowerRoman"/>
      <w:pStyle w:val="10"/>
      <w:lvlText w:val="%4."/>
      <w:lvlJc w:val="left"/>
      <w:pPr>
        <w:ind w:left="1152" w:hanging="360"/>
      </w:pPr>
      <w:rPr>
        <w:rFonts w:hint="default"/>
      </w:rPr>
    </w:lvl>
    <w:lvl w:ilvl="4" w:tentative="0">
      <w:start w:val="1"/>
      <w:numFmt w:val="lowerLetter"/>
      <w:pStyle w:val="17"/>
      <w:lvlText w:val="(%5)"/>
      <w:lvlJc w:val="left"/>
      <w:pPr>
        <w:ind w:left="1512" w:hanging="360"/>
      </w:pPr>
      <w:rPr>
        <w:rFonts w:hint="default"/>
      </w:rPr>
    </w:lvl>
    <w:lvl w:ilvl="5" w:tentative="0">
      <w:start w:val="1"/>
      <w:numFmt w:val="lowerRoman"/>
      <w:lvlText w:val="(%6)"/>
      <w:lvlJc w:val="left"/>
      <w:pPr>
        <w:ind w:left="1872" w:hanging="360"/>
      </w:pPr>
      <w:rPr>
        <w:rFonts w:hint="default"/>
      </w:rPr>
    </w:lvl>
    <w:lvl w:ilvl="6" w:tentative="0">
      <w:start w:val="1"/>
      <w:numFmt w:val="decimal"/>
      <w:lvlText w:val="%7."/>
      <w:lvlJc w:val="left"/>
      <w:pPr>
        <w:ind w:left="2232" w:hanging="360"/>
      </w:pPr>
      <w:rPr>
        <w:rFonts w:hint="default"/>
      </w:rPr>
    </w:lvl>
    <w:lvl w:ilvl="7" w:tentative="0">
      <w:start w:val="1"/>
      <w:numFmt w:val="lowerLetter"/>
      <w:lvlText w:val="%8."/>
      <w:lvlJc w:val="left"/>
      <w:pPr>
        <w:ind w:left="2592" w:hanging="360"/>
      </w:pPr>
      <w:rPr>
        <w:rFonts w:hint="default"/>
      </w:rPr>
    </w:lvl>
    <w:lvl w:ilvl="8" w:tentative="0">
      <w:start w:val="1"/>
      <w:numFmt w:val="lowerRoman"/>
      <w:lvlText w:val="%9."/>
      <w:lvlJc w:val="left"/>
      <w:pPr>
        <w:ind w:left="2952" w:hanging="3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832"/>
    <w:rsid w:val="00000D09"/>
    <w:rsid w:val="00001FD1"/>
    <w:rsid w:val="00003CDB"/>
    <w:rsid w:val="000062F6"/>
    <w:rsid w:val="000064C2"/>
    <w:rsid w:val="00007AE8"/>
    <w:rsid w:val="00010DCF"/>
    <w:rsid w:val="00011B73"/>
    <w:rsid w:val="00012B67"/>
    <w:rsid w:val="00013068"/>
    <w:rsid w:val="00013528"/>
    <w:rsid w:val="00013701"/>
    <w:rsid w:val="00013816"/>
    <w:rsid w:val="00013FE9"/>
    <w:rsid w:val="000165C5"/>
    <w:rsid w:val="00017C2D"/>
    <w:rsid w:val="00025A7A"/>
    <w:rsid w:val="00026A9F"/>
    <w:rsid w:val="000308AC"/>
    <w:rsid w:val="00032015"/>
    <w:rsid w:val="00036A32"/>
    <w:rsid w:val="00040332"/>
    <w:rsid w:val="000403B6"/>
    <w:rsid w:val="0004130F"/>
    <w:rsid w:val="00042FFE"/>
    <w:rsid w:val="0004454C"/>
    <w:rsid w:val="00044BFE"/>
    <w:rsid w:val="00046460"/>
    <w:rsid w:val="00047699"/>
    <w:rsid w:val="00050365"/>
    <w:rsid w:val="000518D4"/>
    <w:rsid w:val="000520AC"/>
    <w:rsid w:val="00055FEB"/>
    <w:rsid w:val="00056208"/>
    <w:rsid w:val="0005643C"/>
    <w:rsid w:val="00056EF3"/>
    <w:rsid w:val="000607D4"/>
    <w:rsid w:val="0006104E"/>
    <w:rsid w:val="00065BDD"/>
    <w:rsid w:val="00066920"/>
    <w:rsid w:val="00067B4D"/>
    <w:rsid w:val="0007081F"/>
    <w:rsid w:val="00072919"/>
    <w:rsid w:val="00074F44"/>
    <w:rsid w:val="000756A0"/>
    <w:rsid w:val="00075C85"/>
    <w:rsid w:val="00076BA5"/>
    <w:rsid w:val="00080C44"/>
    <w:rsid w:val="0008233D"/>
    <w:rsid w:val="000826F9"/>
    <w:rsid w:val="0008295B"/>
    <w:rsid w:val="00086439"/>
    <w:rsid w:val="00087438"/>
    <w:rsid w:val="00087648"/>
    <w:rsid w:val="00087943"/>
    <w:rsid w:val="00087ACA"/>
    <w:rsid w:val="00090318"/>
    <w:rsid w:val="000903A8"/>
    <w:rsid w:val="00090459"/>
    <w:rsid w:val="00092400"/>
    <w:rsid w:val="00092906"/>
    <w:rsid w:val="0009353B"/>
    <w:rsid w:val="000A2B83"/>
    <w:rsid w:val="000A2FB6"/>
    <w:rsid w:val="000A4A8A"/>
    <w:rsid w:val="000A5651"/>
    <w:rsid w:val="000A5CEA"/>
    <w:rsid w:val="000A62E5"/>
    <w:rsid w:val="000B1CA7"/>
    <w:rsid w:val="000B2438"/>
    <w:rsid w:val="000B2975"/>
    <w:rsid w:val="000B35DC"/>
    <w:rsid w:val="000B4BF2"/>
    <w:rsid w:val="000B5A53"/>
    <w:rsid w:val="000C337F"/>
    <w:rsid w:val="000C52DB"/>
    <w:rsid w:val="000C6CA8"/>
    <w:rsid w:val="000C7A3F"/>
    <w:rsid w:val="000C7C9D"/>
    <w:rsid w:val="000D0652"/>
    <w:rsid w:val="000D0B60"/>
    <w:rsid w:val="000D26D7"/>
    <w:rsid w:val="000D2BA2"/>
    <w:rsid w:val="000D2F5A"/>
    <w:rsid w:val="000D2FCE"/>
    <w:rsid w:val="000D41F2"/>
    <w:rsid w:val="000D514E"/>
    <w:rsid w:val="000D5DE9"/>
    <w:rsid w:val="000E1224"/>
    <w:rsid w:val="000E1521"/>
    <w:rsid w:val="000E2735"/>
    <w:rsid w:val="000E3215"/>
    <w:rsid w:val="000E50F9"/>
    <w:rsid w:val="000E5380"/>
    <w:rsid w:val="000E6A76"/>
    <w:rsid w:val="000F1202"/>
    <w:rsid w:val="000F1454"/>
    <w:rsid w:val="000F48D9"/>
    <w:rsid w:val="000F4D4E"/>
    <w:rsid w:val="000F5A1B"/>
    <w:rsid w:val="000F5C82"/>
    <w:rsid w:val="000F6957"/>
    <w:rsid w:val="000F7837"/>
    <w:rsid w:val="00100136"/>
    <w:rsid w:val="00100A44"/>
    <w:rsid w:val="00103274"/>
    <w:rsid w:val="00104BA9"/>
    <w:rsid w:val="001057B2"/>
    <w:rsid w:val="0010695D"/>
    <w:rsid w:val="00106EFA"/>
    <w:rsid w:val="00107547"/>
    <w:rsid w:val="0011294F"/>
    <w:rsid w:val="00112C87"/>
    <w:rsid w:val="00113FF0"/>
    <w:rsid w:val="001156C6"/>
    <w:rsid w:val="001165C6"/>
    <w:rsid w:val="0011666B"/>
    <w:rsid w:val="001173D9"/>
    <w:rsid w:val="00121654"/>
    <w:rsid w:val="00121CDE"/>
    <w:rsid w:val="001232CD"/>
    <w:rsid w:val="00123611"/>
    <w:rsid w:val="00123BF8"/>
    <w:rsid w:val="001242F7"/>
    <w:rsid w:val="001256ED"/>
    <w:rsid w:val="0012609D"/>
    <w:rsid w:val="001307AA"/>
    <w:rsid w:val="00130AD2"/>
    <w:rsid w:val="0013288C"/>
    <w:rsid w:val="00136F51"/>
    <w:rsid w:val="00137864"/>
    <w:rsid w:val="001411F4"/>
    <w:rsid w:val="00141664"/>
    <w:rsid w:val="00143B4D"/>
    <w:rsid w:val="0014712D"/>
    <w:rsid w:val="00150DE5"/>
    <w:rsid w:val="00151B51"/>
    <w:rsid w:val="001524A8"/>
    <w:rsid w:val="001544ED"/>
    <w:rsid w:val="00155128"/>
    <w:rsid w:val="00156564"/>
    <w:rsid w:val="00161A5D"/>
    <w:rsid w:val="00161E88"/>
    <w:rsid w:val="001630A1"/>
    <w:rsid w:val="00163DC6"/>
    <w:rsid w:val="00164FD8"/>
    <w:rsid w:val="00165592"/>
    <w:rsid w:val="00165934"/>
    <w:rsid w:val="001659F0"/>
    <w:rsid w:val="001704C8"/>
    <w:rsid w:val="001707F2"/>
    <w:rsid w:val="001712BA"/>
    <w:rsid w:val="001725A9"/>
    <w:rsid w:val="00173561"/>
    <w:rsid w:val="00173A83"/>
    <w:rsid w:val="00174526"/>
    <w:rsid w:val="00175AC2"/>
    <w:rsid w:val="00177293"/>
    <w:rsid w:val="00181348"/>
    <w:rsid w:val="00181ED5"/>
    <w:rsid w:val="001834DA"/>
    <w:rsid w:val="001837F4"/>
    <w:rsid w:val="0018551D"/>
    <w:rsid w:val="00185D85"/>
    <w:rsid w:val="00192EBE"/>
    <w:rsid w:val="00193BCD"/>
    <w:rsid w:val="00193DE8"/>
    <w:rsid w:val="0019431D"/>
    <w:rsid w:val="00194438"/>
    <w:rsid w:val="00194FBC"/>
    <w:rsid w:val="00196A86"/>
    <w:rsid w:val="00196D6B"/>
    <w:rsid w:val="00196E07"/>
    <w:rsid w:val="001A142F"/>
    <w:rsid w:val="001A2919"/>
    <w:rsid w:val="001A3DE3"/>
    <w:rsid w:val="001A46F9"/>
    <w:rsid w:val="001A7953"/>
    <w:rsid w:val="001B4B24"/>
    <w:rsid w:val="001B5BEA"/>
    <w:rsid w:val="001C0E64"/>
    <w:rsid w:val="001C1981"/>
    <w:rsid w:val="001C4A2D"/>
    <w:rsid w:val="001C50CC"/>
    <w:rsid w:val="001C7F50"/>
    <w:rsid w:val="001D0EB0"/>
    <w:rsid w:val="001D1850"/>
    <w:rsid w:val="001D249B"/>
    <w:rsid w:val="001D4FB9"/>
    <w:rsid w:val="001D619B"/>
    <w:rsid w:val="001E2BA2"/>
    <w:rsid w:val="001E3387"/>
    <w:rsid w:val="001E3CB7"/>
    <w:rsid w:val="001F10A7"/>
    <w:rsid w:val="001F1AB4"/>
    <w:rsid w:val="001F2B50"/>
    <w:rsid w:val="001F345B"/>
    <w:rsid w:val="001F4AD6"/>
    <w:rsid w:val="001F65EF"/>
    <w:rsid w:val="001F6DCF"/>
    <w:rsid w:val="001F71B9"/>
    <w:rsid w:val="0020203B"/>
    <w:rsid w:val="002027E3"/>
    <w:rsid w:val="00206328"/>
    <w:rsid w:val="002066F4"/>
    <w:rsid w:val="0021020C"/>
    <w:rsid w:val="002113A2"/>
    <w:rsid w:val="00212E26"/>
    <w:rsid w:val="00214D65"/>
    <w:rsid w:val="0021638D"/>
    <w:rsid w:val="00220883"/>
    <w:rsid w:val="002263C6"/>
    <w:rsid w:val="00226A28"/>
    <w:rsid w:val="00226A32"/>
    <w:rsid w:val="00227031"/>
    <w:rsid w:val="00227115"/>
    <w:rsid w:val="00230077"/>
    <w:rsid w:val="00230300"/>
    <w:rsid w:val="0023092D"/>
    <w:rsid w:val="002320BD"/>
    <w:rsid w:val="0023232A"/>
    <w:rsid w:val="00233239"/>
    <w:rsid w:val="00234A05"/>
    <w:rsid w:val="00243389"/>
    <w:rsid w:val="00243C5D"/>
    <w:rsid w:val="00243DC1"/>
    <w:rsid w:val="00244482"/>
    <w:rsid w:val="0024688B"/>
    <w:rsid w:val="0024790F"/>
    <w:rsid w:val="00247A26"/>
    <w:rsid w:val="00247B56"/>
    <w:rsid w:val="00250432"/>
    <w:rsid w:val="00250531"/>
    <w:rsid w:val="00250DD8"/>
    <w:rsid w:val="00251BFA"/>
    <w:rsid w:val="00251ED7"/>
    <w:rsid w:val="002524DA"/>
    <w:rsid w:val="00256A4A"/>
    <w:rsid w:val="002575F6"/>
    <w:rsid w:val="00260345"/>
    <w:rsid w:val="00260D64"/>
    <w:rsid w:val="00261C83"/>
    <w:rsid w:val="00261EC8"/>
    <w:rsid w:val="00264E8A"/>
    <w:rsid w:val="00265B2C"/>
    <w:rsid w:val="00265EF8"/>
    <w:rsid w:val="00266956"/>
    <w:rsid w:val="00266AAA"/>
    <w:rsid w:val="0027048D"/>
    <w:rsid w:val="00272089"/>
    <w:rsid w:val="002720F7"/>
    <w:rsid w:val="00273A03"/>
    <w:rsid w:val="00274CF5"/>
    <w:rsid w:val="00275C48"/>
    <w:rsid w:val="00277AEF"/>
    <w:rsid w:val="00280389"/>
    <w:rsid w:val="002804EC"/>
    <w:rsid w:val="00280C49"/>
    <w:rsid w:val="00292BE5"/>
    <w:rsid w:val="00293139"/>
    <w:rsid w:val="00293728"/>
    <w:rsid w:val="00293B4A"/>
    <w:rsid w:val="002948B5"/>
    <w:rsid w:val="00294986"/>
    <w:rsid w:val="00294EAF"/>
    <w:rsid w:val="00295416"/>
    <w:rsid w:val="00295883"/>
    <w:rsid w:val="00295C13"/>
    <w:rsid w:val="0029610C"/>
    <w:rsid w:val="00296BBB"/>
    <w:rsid w:val="00297463"/>
    <w:rsid w:val="00297EAE"/>
    <w:rsid w:val="002A2226"/>
    <w:rsid w:val="002A23F3"/>
    <w:rsid w:val="002A4B3C"/>
    <w:rsid w:val="002A5235"/>
    <w:rsid w:val="002A5E55"/>
    <w:rsid w:val="002B24AD"/>
    <w:rsid w:val="002B3BB4"/>
    <w:rsid w:val="002B3BFC"/>
    <w:rsid w:val="002B538F"/>
    <w:rsid w:val="002C696D"/>
    <w:rsid w:val="002D006F"/>
    <w:rsid w:val="002D09CD"/>
    <w:rsid w:val="002D17E4"/>
    <w:rsid w:val="002D1D64"/>
    <w:rsid w:val="002D42CC"/>
    <w:rsid w:val="002D48F4"/>
    <w:rsid w:val="002D49A4"/>
    <w:rsid w:val="002D5B4E"/>
    <w:rsid w:val="002D6501"/>
    <w:rsid w:val="002D770B"/>
    <w:rsid w:val="002D7A78"/>
    <w:rsid w:val="002D7F06"/>
    <w:rsid w:val="002E0B2E"/>
    <w:rsid w:val="002E1053"/>
    <w:rsid w:val="002E4551"/>
    <w:rsid w:val="002E689A"/>
    <w:rsid w:val="002E6E16"/>
    <w:rsid w:val="002E789D"/>
    <w:rsid w:val="002F1119"/>
    <w:rsid w:val="002F245E"/>
    <w:rsid w:val="002F3D09"/>
    <w:rsid w:val="002F4792"/>
    <w:rsid w:val="002F4F17"/>
    <w:rsid w:val="0030126F"/>
    <w:rsid w:val="003036EA"/>
    <w:rsid w:val="003059FC"/>
    <w:rsid w:val="00310819"/>
    <w:rsid w:val="0031086D"/>
    <w:rsid w:val="00311A89"/>
    <w:rsid w:val="00313073"/>
    <w:rsid w:val="0031461A"/>
    <w:rsid w:val="003159EF"/>
    <w:rsid w:val="00315FA2"/>
    <w:rsid w:val="003163A7"/>
    <w:rsid w:val="00316DDF"/>
    <w:rsid w:val="00320416"/>
    <w:rsid w:val="00321DA5"/>
    <w:rsid w:val="00321DB3"/>
    <w:rsid w:val="00322EA4"/>
    <w:rsid w:val="00325832"/>
    <w:rsid w:val="00325E11"/>
    <w:rsid w:val="00326E2A"/>
    <w:rsid w:val="0033138A"/>
    <w:rsid w:val="00332911"/>
    <w:rsid w:val="003346D3"/>
    <w:rsid w:val="00335148"/>
    <w:rsid w:val="003353C7"/>
    <w:rsid w:val="00337301"/>
    <w:rsid w:val="00340281"/>
    <w:rsid w:val="00340C35"/>
    <w:rsid w:val="003424AE"/>
    <w:rsid w:val="00343849"/>
    <w:rsid w:val="00343957"/>
    <w:rsid w:val="00343E7C"/>
    <w:rsid w:val="0034565D"/>
    <w:rsid w:val="00346F22"/>
    <w:rsid w:val="003473CD"/>
    <w:rsid w:val="0035257E"/>
    <w:rsid w:val="00355EEA"/>
    <w:rsid w:val="003562E3"/>
    <w:rsid w:val="0036142F"/>
    <w:rsid w:val="00364265"/>
    <w:rsid w:val="0036751A"/>
    <w:rsid w:val="00367868"/>
    <w:rsid w:val="0037009C"/>
    <w:rsid w:val="0037085F"/>
    <w:rsid w:val="00373C07"/>
    <w:rsid w:val="003742C6"/>
    <w:rsid w:val="00374D2C"/>
    <w:rsid w:val="00377781"/>
    <w:rsid w:val="003801D1"/>
    <w:rsid w:val="003839AE"/>
    <w:rsid w:val="00383A1B"/>
    <w:rsid w:val="00383A58"/>
    <w:rsid w:val="0038436A"/>
    <w:rsid w:val="00384A14"/>
    <w:rsid w:val="003852A9"/>
    <w:rsid w:val="00386A81"/>
    <w:rsid w:val="00387CC7"/>
    <w:rsid w:val="003915F2"/>
    <w:rsid w:val="003918BD"/>
    <w:rsid w:val="00391FD0"/>
    <w:rsid w:val="0039235B"/>
    <w:rsid w:val="003926CA"/>
    <w:rsid w:val="00392BBE"/>
    <w:rsid w:val="003937B9"/>
    <w:rsid w:val="00394B36"/>
    <w:rsid w:val="00394FCC"/>
    <w:rsid w:val="00395727"/>
    <w:rsid w:val="0039645C"/>
    <w:rsid w:val="003A4B1D"/>
    <w:rsid w:val="003A4EE6"/>
    <w:rsid w:val="003A55B5"/>
    <w:rsid w:val="003A64CB"/>
    <w:rsid w:val="003A7991"/>
    <w:rsid w:val="003A7FEB"/>
    <w:rsid w:val="003B6D2D"/>
    <w:rsid w:val="003B78E0"/>
    <w:rsid w:val="003C189D"/>
    <w:rsid w:val="003C3220"/>
    <w:rsid w:val="003C6E34"/>
    <w:rsid w:val="003C6ECC"/>
    <w:rsid w:val="003C71A3"/>
    <w:rsid w:val="003C7A89"/>
    <w:rsid w:val="003D2EF8"/>
    <w:rsid w:val="003D73C3"/>
    <w:rsid w:val="003E0A55"/>
    <w:rsid w:val="003E2404"/>
    <w:rsid w:val="003E2BBE"/>
    <w:rsid w:val="003E4B1B"/>
    <w:rsid w:val="003E5355"/>
    <w:rsid w:val="003E5E39"/>
    <w:rsid w:val="003E6E8F"/>
    <w:rsid w:val="003E71CA"/>
    <w:rsid w:val="003F0204"/>
    <w:rsid w:val="003F2FCC"/>
    <w:rsid w:val="003F68DF"/>
    <w:rsid w:val="003F6B18"/>
    <w:rsid w:val="003F7025"/>
    <w:rsid w:val="0040134A"/>
    <w:rsid w:val="00401EF4"/>
    <w:rsid w:val="004025F5"/>
    <w:rsid w:val="00402BE6"/>
    <w:rsid w:val="004038D6"/>
    <w:rsid w:val="004052B8"/>
    <w:rsid w:val="0040553A"/>
    <w:rsid w:val="004055D4"/>
    <w:rsid w:val="0040569C"/>
    <w:rsid w:val="00410A95"/>
    <w:rsid w:val="00411416"/>
    <w:rsid w:val="00412082"/>
    <w:rsid w:val="00412894"/>
    <w:rsid w:val="00413972"/>
    <w:rsid w:val="00415210"/>
    <w:rsid w:val="004153D6"/>
    <w:rsid w:val="00415D1E"/>
    <w:rsid w:val="00415D39"/>
    <w:rsid w:val="00416AFE"/>
    <w:rsid w:val="004176FC"/>
    <w:rsid w:val="00421347"/>
    <w:rsid w:val="004239F9"/>
    <w:rsid w:val="00424D37"/>
    <w:rsid w:val="00424F07"/>
    <w:rsid w:val="0042533C"/>
    <w:rsid w:val="004267C9"/>
    <w:rsid w:val="00427F8D"/>
    <w:rsid w:val="00430F9D"/>
    <w:rsid w:val="00431536"/>
    <w:rsid w:val="00431C42"/>
    <w:rsid w:val="00432C99"/>
    <w:rsid w:val="00434187"/>
    <w:rsid w:val="00437067"/>
    <w:rsid w:val="004377AC"/>
    <w:rsid w:val="00437DB0"/>
    <w:rsid w:val="004424FE"/>
    <w:rsid w:val="00443C74"/>
    <w:rsid w:val="00444A11"/>
    <w:rsid w:val="00445313"/>
    <w:rsid w:val="00445BF7"/>
    <w:rsid w:val="00446120"/>
    <w:rsid w:val="00447D32"/>
    <w:rsid w:val="004519C8"/>
    <w:rsid w:val="004540E3"/>
    <w:rsid w:val="00454160"/>
    <w:rsid w:val="004555B4"/>
    <w:rsid w:val="004559D5"/>
    <w:rsid w:val="00455F7E"/>
    <w:rsid w:val="004561DE"/>
    <w:rsid w:val="00457B84"/>
    <w:rsid w:val="004606F7"/>
    <w:rsid w:val="00460809"/>
    <w:rsid w:val="00461A5D"/>
    <w:rsid w:val="00463D4B"/>
    <w:rsid w:val="00467902"/>
    <w:rsid w:val="00467BBC"/>
    <w:rsid w:val="0047030D"/>
    <w:rsid w:val="00470CBB"/>
    <w:rsid w:val="00471BA8"/>
    <w:rsid w:val="00472C82"/>
    <w:rsid w:val="004739E8"/>
    <w:rsid w:val="00473D87"/>
    <w:rsid w:val="004740E4"/>
    <w:rsid w:val="00477597"/>
    <w:rsid w:val="00477E16"/>
    <w:rsid w:val="00480BCD"/>
    <w:rsid w:val="004826E0"/>
    <w:rsid w:val="004829AC"/>
    <w:rsid w:val="00485AF3"/>
    <w:rsid w:val="004905F4"/>
    <w:rsid w:val="00490AE5"/>
    <w:rsid w:val="00495ECD"/>
    <w:rsid w:val="004A0F57"/>
    <w:rsid w:val="004A18BA"/>
    <w:rsid w:val="004A1E95"/>
    <w:rsid w:val="004A3709"/>
    <w:rsid w:val="004A3B65"/>
    <w:rsid w:val="004A43C4"/>
    <w:rsid w:val="004A4E98"/>
    <w:rsid w:val="004A7516"/>
    <w:rsid w:val="004A7F72"/>
    <w:rsid w:val="004B17D6"/>
    <w:rsid w:val="004B2DBB"/>
    <w:rsid w:val="004B6741"/>
    <w:rsid w:val="004B725D"/>
    <w:rsid w:val="004C2455"/>
    <w:rsid w:val="004C6569"/>
    <w:rsid w:val="004C7111"/>
    <w:rsid w:val="004D50D4"/>
    <w:rsid w:val="004D5F22"/>
    <w:rsid w:val="004D6293"/>
    <w:rsid w:val="004D6546"/>
    <w:rsid w:val="004E0B40"/>
    <w:rsid w:val="004E38E3"/>
    <w:rsid w:val="004E69C8"/>
    <w:rsid w:val="004F2476"/>
    <w:rsid w:val="004F27FD"/>
    <w:rsid w:val="004F2F7D"/>
    <w:rsid w:val="004F2FEF"/>
    <w:rsid w:val="004F55DE"/>
    <w:rsid w:val="004F7B5C"/>
    <w:rsid w:val="0050024B"/>
    <w:rsid w:val="00502349"/>
    <w:rsid w:val="00502D44"/>
    <w:rsid w:val="005049CC"/>
    <w:rsid w:val="00505178"/>
    <w:rsid w:val="00506C8E"/>
    <w:rsid w:val="00506CD1"/>
    <w:rsid w:val="00506CFF"/>
    <w:rsid w:val="00512A58"/>
    <w:rsid w:val="00512ABA"/>
    <w:rsid w:val="005131C3"/>
    <w:rsid w:val="00513A4E"/>
    <w:rsid w:val="00515B6B"/>
    <w:rsid w:val="005175A0"/>
    <w:rsid w:val="005201BE"/>
    <w:rsid w:val="00523636"/>
    <w:rsid w:val="00524604"/>
    <w:rsid w:val="00524852"/>
    <w:rsid w:val="0052485F"/>
    <w:rsid w:val="00525EE9"/>
    <w:rsid w:val="00526035"/>
    <w:rsid w:val="00526D86"/>
    <w:rsid w:val="0053021A"/>
    <w:rsid w:val="00530B5B"/>
    <w:rsid w:val="00530D50"/>
    <w:rsid w:val="005329BE"/>
    <w:rsid w:val="005334B4"/>
    <w:rsid w:val="005349D4"/>
    <w:rsid w:val="00535894"/>
    <w:rsid w:val="00537D63"/>
    <w:rsid w:val="005407BF"/>
    <w:rsid w:val="00541927"/>
    <w:rsid w:val="00542508"/>
    <w:rsid w:val="00544107"/>
    <w:rsid w:val="005449BE"/>
    <w:rsid w:val="00545AE3"/>
    <w:rsid w:val="0054736B"/>
    <w:rsid w:val="00547ED4"/>
    <w:rsid w:val="005506C7"/>
    <w:rsid w:val="0055079B"/>
    <w:rsid w:val="00550B2F"/>
    <w:rsid w:val="00552B17"/>
    <w:rsid w:val="00555C5A"/>
    <w:rsid w:val="00555DDD"/>
    <w:rsid w:val="0055739D"/>
    <w:rsid w:val="0055759C"/>
    <w:rsid w:val="0056011E"/>
    <w:rsid w:val="005613FF"/>
    <w:rsid w:val="005639EE"/>
    <w:rsid w:val="0056453E"/>
    <w:rsid w:val="00566A4F"/>
    <w:rsid w:val="0056761D"/>
    <w:rsid w:val="00570D6F"/>
    <w:rsid w:val="00570EA8"/>
    <w:rsid w:val="0057120E"/>
    <w:rsid w:val="005718A8"/>
    <w:rsid w:val="00571C20"/>
    <w:rsid w:val="00572118"/>
    <w:rsid w:val="00572BEE"/>
    <w:rsid w:val="00572E0A"/>
    <w:rsid w:val="005737C6"/>
    <w:rsid w:val="00574771"/>
    <w:rsid w:val="00575042"/>
    <w:rsid w:val="00575DF4"/>
    <w:rsid w:val="005765B0"/>
    <w:rsid w:val="00577F0C"/>
    <w:rsid w:val="00580546"/>
    <w:rsid w:val="00580CB3"/>
    <w:rsid w:val="005831FA"/>
    <w:rsid w:val="005842A0"/>
    <w:rsid w:val="0058472E"/>
    <w:rsid w:val="00584D37"/>
    <w:rsid w:val="00585991"/>
    <w:rsid w:val="0058701B"/>
    <w:rsid w:val="0059473B"/>
    <w:rsid w:val="00594901"/>
    <w:rsid w:val="005953CA"/>
    <w:rsid w:val="005960BA"/>
    <w:rsid w:val="005960DE"/>
    <w:rsid w:val="00596744"/>
    <w:rsid w:val="005A213B"/>
    <w:rsid w:val="005A4012"/>
    <w:rsid w:val="005A4121"/>
    <w:rsid w:val="005A6731"/>
    <w:rsid w:val="005A748D"/>
    <w:rsid w:val="005A76F1"/>
    <w:rsid w:val="005B1221"/>
    <w:rsid w:val="005B352D"/>
    <w:rsid w:val="005B631B"/>
    <w:rsid w:val="005B6420"/>
    <w:rsid w:val="005C061E"/>
    <w:rsid w:val="005C463B"/>
    <w:rsid w:val="005C5EB1"/>
    <w:rsid w:val="005C7DC3"/>
    <w:rsid w:val="005D06F7"/>
    <w:rsid w:val="005D1B17"/>
    <w:rsid w:val="005D1D02"/>
    <w:rsid w:val="005D25B2"/>
    <w:rsid w:val="005D330D"/>
    <w:rsid w:val="005D3683"/>
    <w:rsid w:val="005D3AB2"/>
    <w:rsid w:val="005D4C3D"/>
    <w:rsid w:val="005D591F"/>
    <w:rsid w:val="005D5D9E"/>
    <w:rsid w:val="005D792B"/>
    <w:rsid w:val="005E05E9"/>
    <w:rsid w:val="005E09A7"/>
    <w:rsid w:val="005E292B"/>
    <w:rsid w:val="005E2966"/>
    <w:rsid w:val="005E6149"/>
    <w:rsid w:val="005E7FF4"/>
    <w:rsid w:val="005F09CC"/>
    <w:rsid w:val="005F15EF"/>
    <w:rsid w:val="005F2890"/>
    <w:rsid w:val="005F297C"/>
    <w:rsid w:val="005F3BAE"/>
    <w:rsid w:val="005F3EB2"/>
    <w:rsid w:val="005F495F"/>
    <w:rsid w:val="005F6E0D"/>
    <w:rsid w:val="006001B2"/>
    <w:rsid w:val="006009CC"/>
    <w:rsid w:val="006014DA"/>
    <w:rsid w:val="006038D0"/>
    <w:rsid w:val="00611A86"/>
    <w:rsid w:val="00612BD3"/>
    <w:rsid w:val="00612F42"/>
    <w:rsid w:val="00613AFF"/>
    <w:rsid w:val="00614E81"/>
    <w:rsid w:val="00616050"/>
    <w:rsid w:val="00616B13"/>
    <w:rsid w:val="00616C15"/>
    <w:rsid w:val="00620130"/>
    <w:rsid w:val="00622893"/>
    <w:rsid w:val="00625361"/>
    <w:rsid w:val="006253AB"/>
    <w:rsid w:val="0062548D"/>
    <w:rsid w:val="00626103"/>
    <w:rsid w:val="00627EED"/>
    <w:rsid w:val="00630655"/>
    <w:rsid w:val="00630B07"/>
    <w:rsid w:val="00630DB5"/>
    <w:rsid w:val="00631029"/>
    <w:rsid w:val="0063189E"/>
    <w:rsid w:val="00632268"/>
    <w:rsid w:val="00633921"/>
    <w:rsid w:val="00634087"/>
    <w:rsid w:val="00635552"/>
    <w:rsid w:val="0063555E"/>
    <w:rsid w:val="00635DAE"/>
    <w:rsid w:val="00637E05"/>
    <w:rsid w:val="00641801"/>
    <w:rsid w:val="006437B9"/>
    <w:rsid w:val="00643D14"/>
    <w:rsid w:val="00644C09"/>
    <w:rsid w:val="006478CA"/>
    <w:rsid w:val="00653F68"/>
    <w:rsid w:val="0066099D"/>
    <w:rsid w:val="006631C0"/>
    <w:rsid w:val="00665F3D"/>
    <w:rsid w:val="0066772F"/>
    <w:rsid w:val="00670BE5"/>
    <w:rsid w:val="006713E4"/>
    <w:rsid w:val="0067226C"/>
    <w:rsid w:val="006741E5"/>
    <w:rsid w:val="00677AF1"/>
    <w:rsid w:val="006802EF"/>
    <w:rsid w:val="006816E0"/>
    <w:rsid w:val="00681AE4"/>
    <w:rsid w:val="00682A4A"/>
    <w:rsid w:val="0068581C"/>
    <w:rsid w:val="00685987"/>
    <w:rsid w:val="006863BB"/>
    <w:rsid w:val="006905E1"/>
    <w:rsid w:val="00690924"/>
    <w:rsid w:val="00691E24"/>
    <w:rsid w:val="00692004"/>
    <w:rsid w:val="006920AC"/>
    <w:rsid w:val="00692429"/>
    <w:rsid w:val="00693B94"/>
    <w:rsid w:val="00697EBC"/>
    <w:rsid w:val="006A0563"/>
    <w:rsid w:val="006A1C8A"/>
    <w:rsid w:val="006A258A"/>
    <w:rsid w:val="006A3604"/>
    <w:rsid w:val="006A437D"/>
    <w:rsid w:val="006A4BDB"/>
    <w:rsid w:val="006A5C56"/>
    <w:rsid w:val="006A5C81"/>
    <w:rsid w:val="006A5D28"/>
    <w:rsid w:val="006A6F48"/>
    <w:rsid w:val="006A6F51"/>
    <w:rsid w:val="006A75E7"/>
    <w:rsid w:val="006A7941"/>
    <w:rsid w:val="006B0EC3"/>
    <w:rsid w:val="006B19B9"/>
    <w:rsid w:val="006B20F1"/>
    <w:rsid w:val="006B52A7"/>
    <w:rsid w:val="006B5A49"/>
    <w:rsid w:val="006B7DBE"/>
    <w:rsid w:val="006C0461"/>
    <w:rsid w:val="006C22FD"/>
    <w:rsid w:val="006C23C2"/>
    <w:rsid w:val="006C3543"/>
    <w:rsid w:val="006C59A5"/>
    <w:rsid w:val="006C71C9"/>
    <w:rsid w:val="006C751A"/>
    <w:rsid w:val="006C7624"/>
    <w:rsid w:val="006C7A95"/>
    <w:rsid w:val="006C7DAC"/>
    <w:rsid w:val="006C7FB3"/>
    <w:rsid w:val="006D2F31"/>
    <w:rsid w:val="006D4D4C"/>
    <w:rsid w:val="006D6564"/>
    <w:rsid w:val="006E0CD2"/>
    <w:rsid w:val="006E1997"/>
    <w:rsid w:val="006E203E"/>
    <w:rsid w:val="006E2EB7"/>
    <w:rsid w:val="006E651E"/>
    <w:rsid w:val="006E76A5"/>
    <w:rsid w:val="006F0645"/>
    <w:rsid w:val="006F0DDD"/>
    <w:rsid w:val="006F1700"/>
    <w:rsid w:val="006F239F"/>
    <w:rsid w:val="006F5644"/>
    <w:rsid w:val="007000FF"/>
    <w:rsid w:val="00700507"/>
    <w:rsid w:val="0070070A"/>
    <w:rsid w:val="007032F8"/>
    <w:rsid w:val="00707DB6"/>
    <w:rsid w:val="0071193F"/>
    <w:rsid w:val="00712D19"/>
    <w:rsid w:val="0071532D"/>
    <w:rsid w:val="00716B0C"/>
    <w:rsid w:val="007200EC"/>
    <w:rsid w:val="00721187"/>
    <w:rsid w:val="0072124A"/>
    <w:rsid w:val="00722F14"/>
    <w:rsid w:val="007236BA"/>
    <w:rsid w:val="007238DD"/>
    <w:rsid w:val="00723C9D"/>
    <w:rsid w:val="00723D02"/>
    <w:rsid w:val="00723D84"/>
    <w:rsid w:val="00723EDE"/>
    <w:rsid w:val="007241F1"/>
    <w:rsid w:val="00724717"/>
    <w:rsid w:val="00725E8D"/>
    <w:rsid w:val="0072660C"/>
    <w:rsid w:val="00727CF8"/>
    <w:rsid w:val="00730404"/>
    <w:rsid w:val="00730D0F"/>
    <w:rsid w:val="00731AB7"/>
    <w:rsid w:val="00734FF9"/>
    <w:rsid w:val="0074180F"/>
    <w:rsid w:val="0074307F"/>
    <w:rsid w:val="007446DE"/>
    <w:rsid w:val="00746019"/>
    <w:rsid w:val="00746D3F"/>
    <w:rsid w:val="00747E7C"/>
    <w:rsid w:val="00750AB2"/>
    <w:rsid w:val="007532A0"/>
    <w:rsid w:val="00755358"/>
    <w:rsid w:val="007558DB"/>
    <w:rsid w:val="00755AB9"/>
    <w:rsid w:val="00756EF5"/>
    <w:rsid w:val="00757FB9"/>
    <w:rsid w:val="00760746"/>
    <w:rsid w:val="00766299"/>
    <w:rsid w:val="00766870"/>
    <w:rsid w:val="00766EC1"/>
    <w:rsid w:val="0077007B"/>
    <w:rsid w:val="007702C7"/>
    <w:rsid w:val="00770A25"/>
    <w:rsid w:val="007737A3"/>
    <w:rsid w:val="007738A0"/>
    <w:rsid w:val="007739DD"/>
    <w:rsid w:val="0077606A"/>
    <w:rsid w:val="007801CD"/>
    <w:rsid w:val="0078146D"/>
    <w:rsid w:val="00781801"/>
    <w:rsid w:val="0078209B"/>
    <w:rsid w:val="00782A8B"/>
    <w:rsid w:val="00783E3F"/>
    <w:rsid w:val="00784C33"/>
    <w:rsid w:val="00787C14"/>
    <w:rsid w:val="00790453"/>
    <w:rsid w:val="0079363C"/>
    <w:rsid w:val="00793B6E"/>
    <w:rsid w:val="00794C58"/>
    <w:rsid w:val="0079785B"/>
    <w:rsid w:val="007A2AF5"/>
    <w:rsid w:val="007A4BB5"/>
    <w:rsid w:val="007A4FB6"/>
    <w:rsid w:val="007A5AEB"/>
    <w:rsid w:val="007A6AA6"/>
    <w:rsid w:val="007A74FE"/>
    <w:rsid w:val="007B1550"/>
    <w:rsid w:val="007B17D6"/>
    <w:rsid w:val="007B1B3A"/>
    <w:rsid w:val="007B4E82"/>
    <w:rsid w:val="007B5D7F"/>
    <w:rsid w:val="007B6992"/>
    <w:rsid w:val="007B7C1E"/>
    <w:rsid w:val="007B7E26"/>
    <w:rsid w:val="007C1D1B"/>
    <w:rsid w:val="007C1F44"/>
    <w:rsid w:val="007C6783"/>
    <w:rsid w:val="007D67E0"/>
    <w:rsid w:val="007D6EC1"/>
    <w:rsid w:val="007D6FD7"/>
    <w:rsid w:val="007D70E9"/>
    <w:rsid w:val="007E1B82"/>
    <w:rsid w:val="007E4CD6"/>
    <w:rsid w:val="007E73D8"/>
    <w:rsid w:val="007F0803"/>
    <w:rsid w:val="007F1D75"/>
    <w:rsid w:val="007F1F0C"/>
    <w:rsid w:val="007F223F"/>
    <w:rsid w:val="007F34C7"/>
    <w:rsid w:val="007F5589"/>
    <w:rsid w:val="007F55DE"/>
    <w:rsid w:val="007F5E90"/>
    <w:rsid w:val="007F79A8"/>
    <w:rsid w:val="00800009"/>
    <w:rsid w:val="008005A8"/>
    <w:rsid w:val="00800C04"/>
    <w:rsid w:val="0080286C"/>
    <w:rsid w:val="00802CE5"/>
    <w:rsid w:val="00804A39"/>
    <w:rsid w:val="00805098"/>
    <w:rsid w:val="00807A77"/>
    <w:rsid w:val="00810B35"/>
    <w:rsid w:val="0081120F"/>
    <w:rsid w:val="00813916"/>
    <w:rsid w:val="00814C9A"/>
    <w:rsid w:val="008152F1"/>
    <w:rsid w:val="008178BA"/>
    <w:rsid w:val="00821FCA"/>
    <w:rsid w:val="00822A78"/>
    <w:rsid w:val="008233A0"/>
    <w:rsid w:val="0082417D"/>
    <w:rsid w:val="008259FC"/>
    <w:rsid w:val="00832534"/>
    <w:rsid w:val="008343D0"/>
    <w:rsid w:val="00834EDE"/>
    <w:rsid w:val="00837228"/>
    <w:rsid w:val="00837495"/>
    <w:rsid w:val="00837F06"/>
    <w:rsid w:val="0084340D"/>
    <w:rsid w:val="008444AE"/>
    <w:rsid w:val="00844EE4"/>
    <w:rsid w:val="008465BF"/>
    <w:rsid w:val="0084680C"/>
    <w:rsid w:val="008473BE"/>
    <w:rsid w:val="00847AE8"/>
    <w:rsid w:val="00847DBA"/>
    <w:rsid w:val="008527D8"/>
    <w:rsid w:val="00852DD8"/>
    <w:rsid w:val="00852EBB"/>
    <w:rsid w:val="0085585F"/>
    <w:rsid w:val="00855D29"/>
    <w:rsid w:val="00855FFB"/>
    <w:rsid w:val="008563E3"/>
    <w:rsid w:val="00856C7F"/>
    <w:rsid w:val="00857E49"/>
    <w:rsid w:val="0086039E"/>
    <w:rsid w:val="00861293"/>
    <w:rsid w:val="008630F5"/>
    <w:rsid w:val="0086630A"/>
    <w:rsid w:val="00871352"/>
    <w:rsid w:val="00871418"/>
    <w:rsid w:val="00872A7C"/>
    <w:rsid w:val="00874016"/>
    <w:rsid w:val="0087475F"/>
    <w:rsid w:val="00876047"/>
    <w:rsid w:val="00877294"/>
    <w:rsid w:val="008823B4"/>
    <w:rsid w:val="00883479"/>
    <w:rsid w:val="00884F78"/>
    <w:rsid w:val="00884FD3"/>
    <w:rsid w:val="00885DD4"/>
    <w:rsid w:val="00886809"/>
    <w:rsid w:val="0088750D"/>
    <w:rsid w:val="008879C5"/>
    <w:rsid w:val="00887BEC"/>
    <w:rsid w:val="00890051"/>
    <w:rsid w:val="00890567"/>
    <w:rsid w:val="00890E84"/>
    <w:rsid w:val="0089306D"/>
    <w:rsid w:val="0089306E"/>
    <w:rsid w:val="008951B3"/>
    <w:rsid w:val="00895914"/>
    <w:rsid w:val="00896DE8"/>
    <w:rsid w:val="008A1E8A"/>
    <w:rsid w:val="008A57E5"/>
    <w:rsid w:val="008A7D42"/>
    <w:rsid w:val="008B0E8C"/>
    <w:rsid w:val="008B1700"/>
    <w:rsid w:val="008B1F33"/>
    <w:rsid w:val="008B202B"/>
    <w:rsid w:val="008B3001"/>
    <w:rsid w:val="008B3CFE"/>
    <w:rsid w:val="008B54B4"/>
    <w:rsid w:val="008B5DBC"/>
    <w:rsid w:val="008B5F6A"/>
    <w:rsid w:val="008C3676"/>
    <w:rsid w:val="008C3C92"/>
    <w:rsid w:val="008C4684"/>
    <w:rsid w:val="008C4E8A"/>
    <w:rsid w:val="008C6B3D"/>
    <w:rsid w:val="008D0DB5"/>
    <w:rsid w:val="008D2B13"/>
    <w:rsid w:val="008D394D"/>
    <w:rsid w:val="008D4422"/>
    <w:rsid w:val="008D45D9"/>
    <w:rsid w:val="008D640B"/>
    <w:rsid w:val="008E2762"/>
    <w:rsid w:val="008E2AF9"/>
    <w:rsid w:val="008E3B38"/>
    <w:rsid w:val="008E3C04"/>
    <w:rsid w:val="008E56E2"/>
    <w:rsid w:val="008E57F5"/>
    <w:rsid w:val="008E626A"/>
    <w:rsid w:val="008E68B5"/>
    <w:rsid w:val="008F35A8"/>
    <w:rsid w:val="008F4B74"/>
    <w:rsid w:val="0090049C"/>
    <w:rsid w:val="009016E3"/>
    <w:rsid w:val="00902527"/>
    <w:rsid w:val="00902FCD"/>
    <w:rsid w:val="0090408E"/>
    <w:rsid w:val="009059CD"/>
    <w:rsid w:val="00905F5D"/>
    <w:rsid w:val="0090766A"/>
    <w:rsid w:val="009111AD"/>
    <w:rsid w:val="00913750"/>
    <w:rsid w:val="00913F09"/>
    <w:rsid w:val="00917496"/>
    <w:rsid w:val="00920DC3"/>
    <w:rsid w:val="0092151E"/>
    <w:rsid w:val="00924EA4"/>
    <w:rsid w:val="0092600D"/>
    <w:rsid w:val="009262B5"/>
    <w:rsid w:val="00926B0C"/>
    <w:rsid w:val="00931A37"/>
    <w:rsid w:val="00935C87"/>
    <w:rsid w:val="00935FF3"/>
    <w:rsid w:val="0093630E"/>
    <w:rsid w:val="00936E99"/>
    <w:rsid w:val="00940318"/>
    <w:rsid w:val="0094062F"/>
    <w:rsid w:val="0094212E"/>
    <w:rsid w:val="009422EB"/>
    <w:rsid w:val="009438AB"/>
    <w:rsid w:val="0094458A"/>
    <w:rsid w:val="0094466C"/>
    <w:rsid w:val="00947EC9"/>
    <w:rsid w:val="00951A8D"/>
    <w:rsid w:val="00952A84"/>
    <w:rsid w:val="00953254"/>
    <w:rsid w:val="009533CE"/>
    <w:rsid w:val="009539F1"/>
    <w:rsid w:val="00954E43"/>
    <w:rsid w:val="00955B43"/>
    <w:rsid w:val="0095612C"/>
    <w:rsid w:val="009561C1"/>
    <w:rsid w:val="00962A82"/>
    <w:rsid w:val="0096326C"/>
    <w:rsid w:val="00963601"/>
    <w:rsid w:val="00965CA0"/>
    <w:rsid w:val="009662F0"/>
    <w:rsid w:val="00966BCE"/>
    <w:rsid w:val="00971C68"/>
    <w:rsid w:val="0097450A"/>
    <w:rsid w:val="009745C4"/>
    <w:rsid w:val="00974B43"/>
    <w:rsid w:val="00974FAA"/>
    <w:rsid w:val="00977FB6"/>
    <w:rsid w:val="009809F0"/>
    <w:rsid w:val="00980F32"/>
    <w:rsid w:val="00981B21"/>
    <w:rsid w:val="009820A2"/>
    <w:rsid w:val="009829B0"/>
    <w:rsid w:val="00982AF2"/>
    <w:rsid w:val="0098433A"/>
    <w:rsid w:val="00984AB0"/>
    <w:rsid w:val="00984F44"/>
    <w:rsid w:val="0098544D"/>
    <w:rsid w:val="009861D9"/>
    <w:rsid w:val="00986FAC"/>
    <w:rsid w:val="00987484"/>
    <w:rsid w:val="009908ED"/>
    <w:rsid w:val="00994363"/>
    <w:rsid w:val="00994D53"/>
    <w:rsid w:val="0099688A"/>
    <w:rsid w:val="0099787F"/>
    <w:rsid w:val="00997F7E"/>
    <w:rsid w:val="009A02C9"/>
    <w:rsid w:val="009A0D32"/>
    <w:rsid w:val="009A15DF"/>
    <w:rsid w:val="009A1E71"/>
    <w:rsid w:val="009A2D36"/>
    <w:rsid w:val="009A334D"/>
    <w:rsid w:val="009A3371"/>
    <w:rsid w:val="009A3ABC"/>
    <w:rsid w:val="009A3F39"/>
    <w:rsid w:val="009A418D"/>
    <w:rsid w:val="009A4641"/>
    <w:rsid w:val="009A5F5B"/>
    <w:rsid w:val="009A70B1"/>
    <w:rsid w:val="009A7596"/>
    <w:rsid w:val="009B32D1"/>
    <w:rsid w:val="009B477B"/>
    <w:rsid w:val="009B50B5"/>
    <w:rsid w:val="009B569D"/>
    <w:rsid w:val="009B72E8"/>
    <w:rsid w:val="009C086C"/>
    <w:rsid w:val="009C0EA3"/>
    <w:rsid w:val="009C602F"/>
    <w:rsid w:val="009C69C7"/>
    <w:rsid w:val="009C7F63"/>
    <w:rsid w:val="009D0613"/>
    <w:rsid w:val="009D0786"/>
    <w:rsid w:val="009D187B"/>
    <w:rsid w:val="009D1E28"/>
    <w:rsid w:val="009D2059"/>
    <w:rsid w:val="009D2385"/>
    <w:rsid w:val="009D24A0"/>
    <w:rsid w:val="009D2784"/>
    <w:rsid w:val="009D5C8E"/>
    <w:rsid w:val="009D749F"/>
    <w:rsid w:val="009E0499"/>
    <w:rsid w:val="009E105F"/>
    <w:rsid w:val="009E1EED"/>
    <w:rsid w:val="009E2558"/>
    <w:rsid w:val="009E3B6B"/>
    <w:rsid w:val="009E44DC"/>
    <w:rsid w:val="009E7A03"/>
    <w:rsid w:val="009E7D35"/>
    <w:rsid w:val="009F2269"/>
    <w:rsid w:val="009F2B77"/>
    <w:rsid w:val="009F3382"/>
    <w:rsid w:val="009F40EE"/>
    <w:rsid w:val="009F598A"/>
    <w:rsid w:val="009F5AC3"/>
    <w:rsid w:val="009F60C9"/>
    <w:rsid w:val="009F74B2"/>
    <w:rsid w:val="00A002FE"/>
    <w:rsid w:val="00A02228"/>
    <w:rsid w:val="00A033CC"/>
    <w:rsid w:val="00A03C90"/>
    <w:rsid w:val="00A03EDD"/>
    <w:rsid w:val="00A051B1"/>
    <w:rsid w:val="00A071FC"/>
    <w:rsid w:val="00A07304"/>
    <w:rsid w:val="00A07548"/>
    <w:rsid w:val="00A11FFD"/>
    <w:rsid w:val="00A12C8D"/>
    <w:rsid w:val="00A148A6"/>
    <w:rsid w:val="00A14B33"/>
    <w:rsid w:val="00A21AF8"/>
    <w:rsid w:val="00A2223B"/>
    <w:rsid w:val="00A251A6"/>
    <w:rsid w:val="00A252F0"/>
    <w:rsid w:val="00A25A4B"/>
    <w:rsid w:val="00A264A9"/>
    <w:rsid w:val="00A26C90"/>
    <w:rsid w:val="00A32FF5"/>
    <w:rsid w:val="00A33163"/>
    <w:rsid w:val="00A33B39"/>
    <w:rsid w:val="00A3466D"/>
    <w:rsid w:val="00A3561D"/>
    <w:rsid w:val="00A35BC5"/>
    <w:rsid w:val="00A36386"/>
    <w:rsid w:val="00A42445"/>
    <w:rsid w:val="00A425B4"/>
    <w:rsid w:val="00A440E2"/>
    <w:rsid w:val="00A447A8"/>
    <w:rsid w:val="00A45815"/>
    <w:rsid w:val="00A45FEB"/>
    <w:rsid w:val="00A50A00"/>
    <w:rsid w:val="00A5132F"/>
    <w:rsid w:val="00A5241A"/>
    <w:rsid w:val="00A52EEA"/>
    <w:rsid w:val="00A53C66"/>
    <w:rsid w:val="00A53D49"/>
    <w:rsid w:val="00A55A0E"/>
    <w:rsid w:val="00A55CB3"/>
    <w:rsid w:val="00A5615D"/>
    <w:rsid w:val="00A57696"/>
    <w:rsid w:val="00A60795"/>
    <w:rsid w:val="00A60AF2"/>
    <w:rsid w:val="00A62455"/>
    <w:rsid w:val="00A63263"/>
    <w:rsid w:val="00A64A0D"/>
    <w:rsid w:val="00A64F8F"/>
    <w:rsid w:val="00A65418"/>
    <w:rsid w:val="00A65AD1"/>
    <w:rsid w:val="00A670F6"/>
    <w:rsid w:val="00A711EB"/>
    <w:rsid w:val="00A72313"/>
    <w:rsid w:val="00A758FC"/>
    <w:rsid w:val="00A76973"/>
    <w:rsid w:val="00A76AD8"/>
    <w:rsid w:val="00A8009D"/>
    <w:rsid w:val="00A80583"/>
    <w:rsid w:val="00A80AAB"/>
    <w:rsid w:val="00A82D2B"/>
    <w:rsid w:val="00A90C1C"/>
    <w:rsid w:val="00A90E13"/>
    <w:rsid w:val="00A91021"/>
    <w:rsid w:val="00A92667"/>
    <w:rsid w:val="00A92A1A"/>
    <w:rsid w:val="00A936E7"/>
    <w:rsid w:val="00A937B4"/>
    <w:rsid w:val="00A95590"/>
    <w:rsid w:val="00A9562A"/>
    <w:rsid w:val="00A95654"/>
    <w:rsid w:val="00A97408"/>
    <w:rsid w:val="00A97998"/>
    <w:rsid w:val="00A979D9"/>
    <w:rsid w:val="00AA0FDA"/>
    <w:rsid w:val="00AA1333"/>
    <w:rsid w:val="00AA2CF3"/>
    <w:rsid w:val="00AA3118"/>
    <w:rsid w:val="00AA3963"/>
    <w:rsid w:val="00AA5D4E"/>
    <w:rsid w:val="00AA6B88"/>
    <w:rsid w:val="00AA760B"/>
    <w:rsid w:val="00AA772B"/>
    <w:rsid w:val="00AB0F96"/>
    <w:rsid w:val="00AB1AAB"/>
    <w:rsid w:val="00AB1AB2"/>
    <w:rsid w:val="00AB472B"/>
    <w:rsid w:val="00AB6969"/>
    <w:rsid w:val="00AB7376"/>
    <w:rsid w:val="00AB7652"/>
    <w:rsid w:val="00AC04F7"/>
    <w:rsid w:val="00AC0B2F"/>
    <w:rsid w:val="00AC1109"/>
    <w:rsid w:val="00AC1B14"/>
    <w:rsid w:val="00AC22A6"/>
    <w:rsid w:val="00AC6628"/>
    <w:rsid w:val="00AC664D"/>
    <w:rsid w:val="00AC6CC6"/>
    <w:rsid w:val="00AC74ED"/>
    <w:rsid w:val="00AC7CD8"/>
    <w:rsid w:val="00AD10DB"/>
    <w:rsid w:val="00AD3464"/>
    <w:rsid w:val="00AD4123"/>
    <w:rsid w:val="00AD422E"/>
    <w:rsid w:val="00AE15EA"/>
    <w:rsid w:val="00AE1773"/>
    <w:rsid w:val="00AE2ECF"/>
    <w:rsid w:val="00AE4505"/>
    <w:rsid w:val="00AE509D"/>
    <w:rsid w:val="00AE5C1F"/>
    <w:rsid w:val="00AE7B06"/>
    <w:rsid w:val="00AF052F"/>
    <w:rsid w:val="00AF0698"/>
    <w:rsid w:val="00AF06D9"/>
    <w:rsid w:val="00AF3689"/>
    <w:rsid w:val="00AF3DA6"/>
    <w:rsid w:val="00AF4C34"/>
    <w:rsid w:val="00AF50C2"/>
    <w:rsid w:val="00B00486"/>
    <w:rsid w:val="00B00C04"/>
    <w:rsid w:val="00B012DE"/>
    <w:rsid w:val="00B03A0E"/>
    <w:rsid w:val="00B03D2C"/>
    <w:rsid w:val="00B05458"/>
    <w:rsid w:val="00B07152"/>
    <w:rsid w:val="00B1328E"/>
    <w:rsid w:val="00B13707"/>
    <w:rsid w:val="00B13CD0"/>
    <w:rsid w:val="00B176AC"/>
    <w:rsid w:val="00B208E4"/>
    <w:rsid w:val="00B2233E"/>
    <w:rsid w:val="00B24A31"/>
    <w:rsid w:val="00B25107"/>
    <w:rsid w:val="00B263B6"/>
    <w:rsid w:val="00B27DE5"/>
    <w:rsid w:val="00B27F01"/>
    <w:rsid w:val="00B31F81"/>
    <w:rsid w:val="00B32A76"/>
    <w:rsid w:val="00B32C88"/>
    <w:rsid w:val="00B331B2"/>
    <w:rsid w:val="00B37FB0"/>
    <w:rsid w:val="00B4237D"/>
    <w:rsid w:val="00B42656"/>
    <w:rsid w:val="00B42879"/>
    <w:rsid w:val="00B42921"/>
    <w:rsid w:val="00B443B4"/>
    <w:rsid w:val="00B45888"/>
    <w:rsid w:val="00B45B15"/>
    <w:rsid w:val="00B45F58"/>
    <w:rsid w:val="00B460B0"/>
    <w:rsid w:val="00B518F1"/>
    <w:rsid w:val="00B51D96"/>
    <w:rsid w:val="00B53BD7"/>
    <w:rsid w:val="00B55825"/>
    <w:rsid w:val="00B558D2"/>
    <w:rsid w:val="00B56096"/>
    <w:rsid w:val="00B601DA"/>
    <w:rsid w:val="00B604A5"/>
    <w:rsid w:val="00B63A52"/>
    <w:rsid w:val="00B64CBE"/>
    <w:rsid w:val="00B6637D"/>
    <w:rsid w:val="00B666EF"/>
    <w:rsid w:val="00B671A0"/>
    <w:rsid w:val="00B672EC"/>
    <w:rsid w:val="00B67FB9"/>
    <w:rsid w:val="00B7128A"/>
    <w:rsid w:val="00B71536"/>
    <w:rsid w:val="00B7176B"/>
    <w:rsid w:val="00B71DF3"/>
    <w:rsid w:val="00B728F9"/>
    <w:rsid w:val="00B743B8"/>
    <w:rsid w:val="00B753EA"/>
    <w:rsid w:val="00B8141F"/>
    <w:rsid w:val="00B824E1"/>
    <w:rsid w:val="00B84566"/>
    <w:rsid w:val="00B85D52"/>
    <w:rsid w:val="00B86890"/>
    <w:rsid w:val="00B90DA7"/>
    <w:rsid w:val="00B9128E"/>
    <w:rsid w:val="00B91501"/>
    <w:rsid w:val="00B97FD0"/>
    <w:rsid w:val="00BA2789"/>
    <w:rsid w:val="00BA33E7"/>
    <w:rsid w:val="00BA48C0"/>
    <w:rsid w:val="00BA4E83"/>
    <w:rsid w:val="00BA632F"/>
    <w:rsid w:val="00BB21E1"/>
    <w:rsid w:val="00BB2662"/>
    <w:rsid w:val="00BB41E8"/>
    <w:rsid w:val="00BB778C"/>
    <w:rsid w:val="00BC2C56"/>
    <w:rsid w:val="00BC328C"/>
    <w:rsid w:val="00BC5201"/>
    <w:rsid w:val="00BC5D73"/>
    <w:rsid w:val="00BC6742"/>
    <w:rsid w:val="00BC74D7"/>
    <w:rsid w:val="00BC78CE"/>
    <w:rsid w:val="00BD0EA1"/>
    <w:rsid w:val="00BD11D6"/>
    <w:rsid w:val="00BD183A"/>
    <w:rsid w:val="00BD1859"/>
    <w:rsid w:val="00BD2EB4"/>
    <w:rsid w:val="00BD3CB4"/>
    <w:rsid w:val="00BD5490"/>
    <w:rsid w:val="00BD5A2E"/>
    <w:rsid w:val="00BD751A"/>
    <w:rsid w:val="00BE17A8"/>
    <w:rsid w:val="00BE20B2"/>
    <w:rsid w:val="00BE3AA7"/>
    <w:rsid w:val="00BE4FFC"/>
    <w:rsid w:val="00BF1387"/>
    <w:rsid w:val="00BF1B15"/>
    <w:rsid w:val="00BF27F1"/>
    <w:rsid w:val="00BF2C78"/>
    <w:rsid w:val="00BF3297"/>
    <w:rsid w:val="00BF3B42"/>
    <w:rsid w:val="00BF402E"/>
    <w:rsid w:val="00BF4384"/>
    <w:rsid w:val="00C00AE9"/>
    <w:rsid w:val="00C01AD0"/>
    <w:rsid w:val="00C030CD"/>
    <w:rsid w:val="00C04312"/>
    <w:rsid w:val="00C0504F"/>
    <w:rsid w:val="00C054A8"/>
    <w:rsid w:val="00C0765F"/>
    <w:rsid w:val="00C07C56"/>
    <w:rsid w:val="00C12B7B"/>
    <w:rsid w:val="00C12ED3"/>
    <w:rsid w:val="00C137F2"/>
    <w:rsid w:val="00C1421A"/>
    <w:rsid w:val="00C15609"/>
    <w:rsid w:val="00C15BAE"/>
    <w:rsid w:val="00C16CE5"/>
    <w:rsid w:val="00C21471"/>
    <w:rsid w:val="00C21C0D"/>
    <w:rsid w:val="00C23D41"/>
    <w:rsid w:val="00C24369"/>
    <w:rsid w:val="00C24668"/>
    <w:rsid w:val="00C258AC"/>
    <w:rsid w:val="00C26AB0"/>
    <w:rsid w:val="00C27942"/>
    <w:rsid w:val="00C337B7"/>
    <w:rsid w:val="00C352E4"/>
    <w:rsid w:val="00C37976"/>
    <w:rsid w:val="00C37D1F"/>
    <w:rsid w:val="00C42C17"/>
    <w:rsid w:val="00C4539B"/>
    <w:rsid w:val="00C4698B"/>
    <w:rsid w:val="00C476FB"/>
    <w:rsid w:val="00C50F43"/>
    <w:rsid w:val="00C528CC"/>
    <w:rsid w:val="00C52E6A"/>
    <w:rsid w:val="00C52EC6"/>
    <w:rsid w:val="00C53639"/>
    <w:rsid w:val="00C55371"/>
    <w:rsid w:val="00C553EC"/>
    <w:rsid w:val="00C555A4"/>
    <w:rsid w:val="00C55AB7"/>
    <w:rsid w:val="00C55ACC"/>
    <w:rsid w:val="00C6143B"/>
    <w:rsid w:val="00C628E8"/>
    <w:rsid w:val="00C6329B"/>
    <w:rsid w:val="00C637D6"/>
    <w:rsid w:val="00C6657F"/>
    <w:rsid w:val="00C67013"/>
    <w:rsid w:val="00C6748E"/>
    <w:rsid w:val="00C70482"/>
    <w:rsid w:val="00C720A2"/>
    <w:rsid w:val="00C7230E"/>
    <w:rsid w:val="00C72A5F"/>
    <w:rsid w:val="00C752C5"/>
    <w:rsid w:val="00C77FFA"/>
    <w:rsid w:val="00C842AF"/>
    <w:rsid w:val="00C8474B"/>
    <w:rsid w:val="00C84D0E"/>
    <w:rsid w:val="00C90170"/>
    <w:rsid w:val="00C9227D"/>
    <w:rsid w:val="00C961AD"/>
    <w:rsid w:val="00C96440"/>
    <w:rsid w:val="00C97D7D"/>
    <w:rsid w:val="00CA0D71"/>
    <w:rsid w:val="00CA262C"/>
    <w:rsid w:val="00CA26F5"/>
    <w:rsid w:val="00CA5582"/>
    <w:rsid w:val="00CA6449"/>
    <w:rsid w:val="00CA6E19"/>
    <w:rsid w:val="00CA75A4"/>
    <w:rsid w:val="00CB0677"/>
    <w:rsid w:val="00CB1696"/>
    <w:rsid w:val="00CB26BB"/>
    <w:rsid w:val="00CB439E"/>
    <w:rsid w:val="00CB4F15"/>
    <w:rsid w:val="00CB70B6"/>
    <w:rsid w:val="00CC1D1F"/>
    <w:rsid w:val="00CC2060"/>
    <w:rsid w:val="00CC3889"/>
    <w:rsid w:val="00CC3D49"/>
    <w:rsid w:val="00CC6B8A"/>
    <w:rsid w:val="00CC7400"/>
    <w:rsid w:val="00CC741C"/>
    <w:rsid w:val="00CC749E"/>
    <w:rsid w:val="00CC7FCE"/>
    <w:rsid w:val="00CD0B61"/>
    <w:rsid w:val="00CD214D"/>
    <w:rsid w:val="00CD3FAC"/>
    <w:rsid w:val="00CD4977"/>
    <w:rsid w:val="00CD4D29"/>
    <w:rsid w:val="00CD5427"/>
    <w:rsid w:val="00CD5991"/>
    <w:rsid w:val="00CE143E"/>
    <w:rsid w:val="00CE2088"/>
    <w:rsid w:val="00CE3129"/>
    <w:rsid w:val="00CE48BF"/>
    <w:rsid w:val="00CF0A02"/>
    <w:rsid w:val="00CF1098"/>
    <w:rsid w:val="00CF1AAC"/>
    <w:rsid w:val="00CF31B8"/>
    <w:rsid w:val="00CF3D52"/>
    <w:rsid w:val="00CF3FB6"/>
    <w:rsid w:val="00CF4653"/>
    <w:rsid w:val="00CF492A"/>
    <w:rsid w:val="00CF5219"/>
    <w:rsid w:val="00CF5381"/>
    <w:rsid w:val="00CF67CD"/>
    <w:rsid w:val="00CF6EAD"/>
    <w:rsid w:val="00D021FB"/>
    <w:rsid w:val="00D04802"/>
    <w:rsid w:val="00D04F5A"/>
    <w:rsid w:val="00D058A4"/>
    <w:rsid w:val="00D06931"/>
    <w:rsid w:val="00D07A83"/>
    <w:rsid w:val="00D10C04"/>
    <w:rsid w:val="00D12CAF"/>
    <w:rsid w:val="00D13280"/>
    <w:rsid w:val="00D14A9D"/>
    <w:rsid w:val="00D20DB7"/>
    <w:rsid w:val="00D2261A"/>
    <w:rsid w:val="00D22B72"/>
    <w:rsid w:val="00D24498"/>
    <w:rsid w:val="00D25D8C"/>
    <w:rsid w:val="00D260FE"/>
    <w:rsid w:val="00D27C0B"/>
    <w:rsid w:val="00D32B3C"/>
    <w:rsid w:val="00D33413"/>
    <w:rsid w:val="00D36117"/>
    <w:rsid w:val="00D37D95"/>
    <w:rsid w:val="00D43785"/>
    <w:rsid w:val="00D43D4D"/>
    <w:rsid w:val="00D43DD5"/>
    <w:rsid w:val="00D45DC6"/>
    <w:rsid w:val="00D47E11"/>
    <w:rsid w:val="00D51367"/>
    <w:rsid w:val="00D515B3"/>
    <w:rsid w:val="00D51C7E"/>
    <w:rsid w:val="00D52BE7"/>
    <w:rsid w:val="00D540CF"/>
    <w:rsid w:val="00D54339"/>
    <w:rsid w:val="00D574C6"/>
    <w:rsid w:val="00D57E7B"/>
    <w:rsid w:val="00D616C1"/>
    <w:rsid w:val="00D63879"/>
    <w:rsid w:val="00D65F9B"/>
    <w:rsid w:val="00D660F1"/>
    <w:rsid w:val="00D70418"/>
    <w:rsid w:val="00D70509"/>
    <w:rsid w:val="00D7159C"/>
    <w:rsid w:val="00D73247"/>
    <w:rsid w:val="00D7384F"/>
    <w:rsid w:val="00D74C88"/>
    <w:rsid w:val="00D8166A"/>
    <w:rsid w:val="00D8307B"/>
    <w:rsid w:val="00D8458A"/>
    <w:rsid w:val="00D85E94"/>
    <w:rsid w:val="00D87070"/>
    <w:rsid w:val="00D872E5"/>
    <w:rsid w:val="00D873D6"/>
    <w:rsid w:val="00D87A4B"/>
    <w:rsid w:val="00D87A82"/>
    <w:rsid w:val="00D918E0"/>
    <w:rsid w:val="00D91E56"/>
    <w:rsid w:val="00D94293"/>
    <w:rsid w:val="00D9463C"/>
    <w:rsid w:val="00D94BC3"/>
    <w:rsid w:val="00D9515A"/>
    <w:rsid w:val="00D96DF3"/>
    <w:rsid w:val="00D9739B"/>
    <w:rsid w:val="00D97DD6"/>
    <w:rsid w:val="00DA1C99"/>
    <w:rsid w:val="00DA30D4"/>
    <w:rsid w:val="00DA3B07"/>
    <w:rsid w:val="00DA44A4"/>
    <w:rsid w:val="00DA4AE5"/>
    <w:rsid w:val="00DA4CAB"/>
    <w:rsid w:val="00DA5924"/>
    <w:rsid w:val="00DA600B"/>
    <w:rsid w:val="00DB0AB9"/>
    <w:rsid w:val="00DB1959"/>
    <w:rsid w:val="00DB3474"/>
    <w:rsid w:val="00DB3685"/>
    <w:rsid w:val="00DB4158"/>
    <w:rsid w:val="00DB45F8"/>
    <w:rsid w:val="00DB4C16"/>
    <w:rsid w:val="00DB4C8A"/>
    <w:rsid w:val="00DB682A"/>
    <w:rsid w:val="00DC1E27"/>
    <w:rsid w:val="00DC1FCD"/>
    <w:rsid w:val="00DC35DE"/>
    <w:rsid w:val="00DC3931"/>
    <w:rsid w:val="00DC5888"/>
    <w:rsid w:val="00DD1FB1"/>
    <w:rsid w:val="00DD250D"/>
    <w:rsid w:val="00DD42C9"/>
    <w:rsid w:val="00DD4907"/>
    <w:rsid w:val="00DD4A57"/>
    <w:rsid w:val="00DD4D01"/>
    <w:rsid w:val="00DD7985"/>
    <w:rsid w:val="00DE45AA"/>
    <w:rsid w:val="00DE4901"/>
    <w:rsid w:val="00DE5B26"/>
    <w:rsid w:val="00DE662C"/>
    <w:rsid w:val="00DE78D0"/>
    <w:rsid w:val="00DF03C2"/>
    <w:rsid w:val="00DF12BE"/>
    <w:rsid w:val="00DF2A97"/>
    <w:rsid w:val="00DF460E"/>
    <w:rsid w:val="00E03E6D"/>
    <w:rsid w:val="00E0438B"/>
    <w:rsid w:val="00E070DF"/>
    <w:rsid w:val="00E07B01"/>
    <w:rsid w:val="00E10441"/>
    <w:rsid w:val="00E12E28"/>
    <w:rsid w:val="00E15291"/>
    <w:rsid w:val="00E152B8"/>
    <w:rsid w:val="00E15D14"/>
    <w:rsid w:val="00E17FA9"/>
    <w:rsid w:val="00E20F2B"/>
    <w:rsid w:val="00E227FF"/>
    <w:rsid w:val="00E22993"/>
    <w:rsid w:val="00E2347A"/>
    <w:rsid w:val="00E24C09"/>
    <w:rsid w:val="00E26969"/>
    <w:rsid w:val="00E269BA"/>
    <w:rsid w:val="00E3028F"/>
    <w:rsid w:val="00E3103F"/>
    <w:rsid w:val="00E3184A"/>
    <w:rsid w:val="00E3361C"/>
    <w:rsid w:val="00E337A0"/>
    <w:rsid w:val="00E34F78"/>
    <w:rsid w:val="00E3578B"/>
    <w:rsid w:val="00E3596D"/>
    <w:rsid w:val="00E40D53"/>
    <w:rsid w:val="00E41D23"/>
    <w:rsid w:val="00E42474"/>
    <w:rsid w:val="00E43E9E"/>
    <w:rsid w:val="00E44D4E"/>
    <w:rsid w:val="00E455E0"/>
    <w:rsid w:val="00E47800"/>
    <w:rsid w:val="00E51066"/>
    <w:rsid w:val="00E53369"/>
    <w:rsid w:val="00E55F97"/>
    <w:rsid w:val="00E5748F"/>
    <w:rsid w:val="00E575B1"/>
    <w:rsid w:val="00E578C5"/>
    <w:rsid w:val="00E60CAD"/>
    <w:rsid w:val="00E67265"/>
    <w:rsid w:val="00E70135"/>
    <w:rsid w:val="00E70592"/>
    <w:rsid w:val="00E70885"/>
    <w:rsid w:val="00E716E0"/>
    <w:rsid w:val="00E71BED"/>
    <w:rsid w:val="00E728A3"/>
    <w:rsid w:val="00E739BE"/>
    <w:rsid w:val="00E753DF"/>
    <w:rsid w:val="00E768C3"/>
    <w:rsid w:val="00E77325"/>
    <w:rsid w:val="00E81292"/>
    <w:rsid w:val="00E81B33"/>
    <w:rsid w:val="00E81BCC"/>
    <w:rsid w:val="00E81D71"/>
    <w:rsid w:val="00E839EF"/>
    <w:rsid w:val="00E83A99"/>
    <w:rsid w:val="00E83F0C"/>
    <w:rsid w:val="00E84A27"/>
    <w:rsid w:val="00E85C37"/>
    <w:rsid w:val="00E902A9"/>
    <w:rsid w:val="00E91379"/>
    <w:rsid w:val="00E91683"/>
    <w:rsid w:val="00E92A1C"/>
    <w:rsid w:val="00E92C60"/>
    <w:rsid w:val="00E940DA"/>
    <w:rsid w:val="00E94513"/>
    <w:rsid w:val="00E95526"/>
    <w:rsid w:val="00EA3643"/>
    <w:rsid w:val="00EA3BA2"/>
    <w:rsid w:val="00EA48B8"/>
    <w:rsid w:val="00EA6EC8"/>
    <w:rsid w:val="00EB01B6"/>
    <w:rsid w:val="00EB09D6"/>
    <w:rsid w:val="00EB1F35"/>
    <w:rsid w:val="00EB39C5"/>
    <w:rsid w:val="00EB47D5"/>
    <w:rsid w:val="00EB6A99"/>
    <w:rsid w:val="00EB6C44"/>
    <w:rsid w:val="00EC07CF"/>
    <w:rsid w:val="00EC0FB5"/>
    <w:rsid w:val="00EC29FA"/>
    <w:rsid w:val="00EC2FAA"/>
    <w:rsid w:val="00EC36BA"/>
    <w:rsid w:val="00EC3ACA"/>
    <w:rsid w:val="00EC41BC"/>
    <w:rsid w:val="00EC6C23"/>
    <w:rsid w:val="00EC6E7D"/>
    <w:rsid w:val="00EC7C9F"/>
    <w:rsid w:val="00ED080B"/>
    <w:rsid w:val="00ED0E03"/>
    <w:rsid w:val="00ED360E"/>
    <w:rsid w:val="00ED3B82"/>
    <w:rsid w:val="00ED3E72"/>
    <w:rsid w:val="00ED4B6D"/>
    <w:rsid w:val="00ED677F"/>
    <w:rsid w:val="00ED6893"/>
    <w:rsid w:val="00ED714D"/>
    <w:rsid w:val="00EE27CC"/>
    <w:rsid w:val="00EE564B"/>
    <w:rsid w:val="00EE5825"/>
    <w:rsid w:val="00EE79D6"/>
    <w:rsid w:val="00EF0D03"/>
    <w:rsid w:val="00EF0E84"/>
    <w:rsid w:val="00EF18D1"/>
    <w:rsid w:val="00EF47C1"/>
    <w:rsid w:val="00EF5154"/>
    <w:rsid w:val="00EF5351"/>
    <w:rsid w:val="00EF6A27"/>
    <w:rsid w:val="00EF7338"/>
    <w:rsid w:val="00F017F4"/>
    <w:rsid w:val="00F01A41"/>
    <w:rsid w:val="00F041C4"/>
    <w:rsid w:val="00F0487E"/>
    <w:rsid w:val="00F04FF1"/>
    <w:rsid w:val="00F06646"/>
    <w:rsid w:val="00F0691A"/>
    <w:rsid w:val="00F07FF9"/>
    <w:rsid w:val="00F14FBA"/>
    <w:rsid w:val="00F1570A"/>
    <w:rsid w:val="00F167C1"/>
    <w:rsid w:val="00F1693F"/>
    <w:rsid w:val="00F20A4A"/>
    <w:rsid w:val="00F217C8"/>
    <w:rsid w:val="00F22341"/>
    <w:rsid w:val="00F22DB2"/>
    <w:rsid w:val="00F238DF"/>
    <w:rsid w:val="00F23FA0"/>
    <w:rsid w:val="00F24404"/>
    <w:rsid w:val="00F24726"/>
    <w:rsid w:val="00F25204"/>
    <w:rsid w:val="00F25935"/>
    <w:rsid w:val="00F26B16"/>
    <w:rsid w:val="00F306C7"/>
    <w:rsid w:val="00F30FEC"/>
    <w:rsid w:val="00F32F05"/>
    <w:rsid w:val="00F33DDF"/>
    <w:rsid w:val="00F374A1"/>
    <w:rsid w:val="00F40389"/>
    <w:rsid w:val="00F41B8B"/>
    <w:rsid w:val="00F42000"/>
    <w:rsid w:val="00F436AA"/>
    <w:rsid w:val="00F43FF6"/>
    <w:rsid w:val="00F46497"/>
    <w:rsid w:val="00F471A3"/>
    <w:rsid w:val="00F51AD2"/>
    <w:rsid w:val="00F545AC"/>
    <w:rsid w:val="00F57097"/>
    <w:rsid w:val="00F57232"/>
    <w:rsid w:val="00F61CAD"/>
    <w:rsid w:val="00F65E31"/>
    <w:rsid w:val="00F66DD2"/>
    <w:rsid w:val="00F67526"/>
    <w:rsid w:val="00F67C9D"/>
    <w:rsid w:val="00F70820"/>
    <w:rsid w:val="00F82AF0"/>
    <w:rsid w:val="00F82D25"/>
    <w:rsid w:val="00F83355"/>
    <w:rsid w:val="00F86DB5"/>
    <w:rsid w:val="00F86E3C"/>
    <w:rsid w:val="00F86E7B"/>
    <w:rsid w:val="00F87409"/>
    <w:rsid w:val="00F9117A"/>
    <w:rsid w:val="00F918EF"/>
    <w:rsid w:val="00F92891"/>
    <w:rsid w:val="00F95E9C"/>
    <w:rsid w:val="00F97162"/>
    <w:rsid w:val="00FA16EF"/>
    <w:rsid w:val="00FA250E"/>
    <w:rsid w:val="00FA4865"/>
    <w:rsid w:val="00FA56C5"/>
    <w:rsid w:val="00FA5C9E"/>
    <w:rsid w:val="00FB0A47"/>
    <w:rsid w:val="00FB109B"/>
    <w:rsid w:val="00FB3025"/>
    <w:rsid w:val="00FB40BC"/>
    <w:rsid w:val="00FB56AE"/>
    <w:rsid w:val="00FB5E5B"/>
    <w:rsid w:val="00FB7D50"/>
    <w:rsid w:val="00FC2F18"/>
    <w:rsid w:val="00FC417E"/>
    <w:rsid w:val="00FC4DF5"/>
    <w:rsid w:val="00FC5AA6"/>
    <w:rsid w:val="00FC6823"/>
    <w:rsid w:val="00FC7BCC"/>
    <w:rsid w:val="00FC7FDF"/>
    <w:rsid w:val="00FD2929"/>
    <w:rsid w:val="00FD3118"/>
    <w:rsid w:val="00FD4590"/>
    <w:rsid w:val="00FD4913"/>
    <w:rsid w:val="00FD4948"/>
    <w:rsid w:val="00FD4F8F"/>
    <w:rsid w:val="00FD5956"/>
    <w:rsid w:val="00FD796D"/>
    <w:rsid w:val="00FD7DDF"/>
    <w:rsid w:val="00FE2105"/>
    <w:rsid w:val="00FE251C"/>
    <w:rsid w:val="00FE3329"/>
    <w:rsid w:val="00FE3B15"/>
    <w:rsid w:val="00FE4A64"/>
    <w:rsid w:val="00FE573C"/>
    <w:rsid w:val="00FE5F20"/>
    <w:rsid w:val="00FE65E8"/>
    <w:rsid w:val="00FF536E"/>
    <w:rsid w:val="00FF5536"/>
    <w:rsid w:val="00FF5906"/>
    <w:rsid w:val="00FF5A35"/>
    <w:rsid w:val="15D51D5A"/>
    <w:rsid w:val="203C5727"/>
    <w:rsid w:val="2E2F2689"/>
    <w:rsid w:val="643804A4"/>
    <w:rsid w:val="67617459"/>
    <w:rsid w:val="68EB0E60"/>
    <w:rsid w:val="744A0DA3"/>
    <w:rsid w:val="7D73CCAD"/>
    <w:rsid w:val="E7CF2593"/>
    <w:rsid w:val="FBFF5A3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qFormat="1" w:uiPriority="1" w:semiHidden="0"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qFormat="1" w:uiPriority="1" w:semiHidden="0" w:name="List Number 2"/>
    <w:lsdException w:qFormat="1" w:uiPriority="18" w:semiHidden="0" w:name="List Number 3"/>
    <w:lsdException w:qFormat="1" w:uiPriority="18" w:semiHidden="0" w:name="List Number 4"/>
    <w:lsdException w:qFormat="1" w:uiPriority="18" w:semiHidden="0"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qFormat="1" w:uiPriority="99" w:name="Body Text 2"/>
    <w:lsdException w:uiPriority="99" w:name="Body Text 3"/>
    <w:lsdException w:qFormat="1" w:uiPriority="99" w:name="Body Text Indent 2"/>
    <w:lsdException w:qFormat="1"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3"/>
    <w:basedOn w:val="1"/>
    <w:next w:val="1"/>
    <w:link w:val="36"/>
    <w:qFormat/>
    <w:uiPriority w:val="0"/>
    <w:pPr>
      <w:keepNext/>
      <w:keepLines/>
      <w:spacing w:before="260" w:after="260" w:line="416" w:lineRule="auto"/>
      <w:outlineLvl w:val="2"/>
    </w:pPr>
    <w:rPr>
      <w:b/>
      <w:bCs/>
      <w:sz w:val="32"/>
      <w:szCs w:val="32"/>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3">
    <w:name w:val="List Number 2"/>
    <w:basedOn w:val="1"/>
    <w:unhideWhenUsed/>
    <w:qFormat/>
    <w:uiPriority w:val="1"/>
    <w:pPr>
      <w:widowControl/>
      <w:numPr>
        <w:ilvl w:val="1"/>
        <w:numId w:val="1"/>
      </w:numPr>
      <w:ind w:left="431" w:hanging="431"/>
      <w:contextualSpacing/>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paragraph" w:styleId="4">
    <w:name w:val="List Number"/>
    <w:basedOn w:val="1"/>
    <w:unhideWhenUsed/>
    <w:qFormat/>
    <w:uiPriority w:val="1"/>
    <w:pPr>
      <w:widowControl/>
      <w:numPr>
        <w:ilvl w:val="0"/>
        <w:numId w:val="1"/>
      </w:numPr>
      <w:ind w:left="357" w:hanging="357"/>
      <w:contextualSpacing/>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paragraph" w:styleId="5">
    <w:name w:val="annotation text"/>
    <w:basedOn w:val="1"/>
    <w:link w:val="50"/>
    <w:semiHidden/>
    <w:unhideWhenUsed/>
    <w:qFormat/>
    <w:uiPriority w:val="99"/>
    <w:pPr>
      <w:jc w:val="left"/>
    </w:pPr>
  </w:style>
  <w:style w:type="paragraph" w:styleId="6">
    <w:name w:val="Body Text"/>
    <w:basedOn w:val="1"/>
    <w:link w:val="53"/>
    <w:semiHidden/>
    <w:unhideWhenUsed/>
    <w:qFormat/>
    <w:uiPriority w:val="99"/>
    <w:pPr>
      <w:spacing w:after="120"/>
    </w:pPr>
  </w:style>
  <w:style w:type="paragraph" w:styleId="7">
    <w:name w:val="Body Text Indent"/>
    <w:basedOn w:val="1"/>
    <w:link w:val="28"/>
    <w:qFormat/>
    <w:uiPriority w:val="0"/>
    <w:pPr>
      <w:tabs>
        <w:tab w:val="left" w:pos="480"/>
      </w:tabs>
      <w:spacing w:line="560" w:lineRule="exact"/>
      <w:ind w:firstLine="480"/>
      <w:jc w:val="left"/>
    </w:pPr>
    <w:rPr>
      <w:rFonts w:ascii="宋体" w:hAnsi="宋体"/>
      <w:sz w:val="24"/>
    </w:rPr>
  </w:style>
  <w:style w:type="paragraph" w:styleId="8">
    <w:name w:val="List Number 3"/>
    <w:basedOn w:val="1"/>
    <w:unhideWhenUsed/>
    <w:qFormat/>
    <w:uiPriority w:val="18"/>
    <w:pPr>
      <w:widowControl/>
      <w:numPr>
        <w:ilvl w:val="2"/>
        <w:numId w:val="1"/>
      </w:numPr>
      <w:spacing w:before="40" w:after="160"/>
      <w:contextualSpacing/>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paragraph" w:styleId="9">
    <w:name w:val="Plain Text"/>
    <w:basedOn w:val="1"/>
    <w:link w:val="40"/>
    <w:qFormat/>
    <w:uiPriority w:val="0"/>
    <w:rPr>
      <w:rFonts w:ascii="宋体" w:hAnsi="Courier New"/>
      <w:lang w:val="zh-CN"/>
    </w:rPr>
  </w:style>
  <w:style w:type="paragraph" w:styleId="10">
    <w:name w:val="List Number 4"/>
    <w:basedOn w:val="1"/>
    <w:unhideWhenUsed/>
    <w:qFormat/>
    <w:uiPriority w:val="18"/>
    <w:pPr>
      <w:widowControl/>
      <w:numPr>
        <w:ilvl w:val="3"/>
        <w:numId w:val="1"/>
      </w:numPr>
      <w:spacing w:before="40" w:after="160"/>
      <w:contextualSpacing/>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paragraph" w:styleId="11">
    <w:name w:val="Date"/>
    <w:basedOn w:val="1"/>
    <w:next w:val="1"/>
    <w:link w:val="33"/>
    <w:qFormat/>
    <w:uiPriority w:val="0"/>
    <w:pPr>
      <w:adjustRightInd w:val="0"/>
      <w:spacing w:line="360" w:lineRule="atLeast"/>
      <w:textAlignment w:val="baseline"/>
    </w:pPr>
    <w:rPr>
      <w:sz w:val="32"/>
    </w:rPr>
  </w:style>
  <w:style w:type="paragraph" w:styleId="12">
    <w:name w:val="Body Text Indent 2"/>
    <w:basedOn w:val="1"/>
    <w:link w:val="35"/>
    <w:semiHidden/>
    <w:unhideWhenUsed/>
    <w:qFormat/>
    <w:uiPriority w:val="99"/>
    <w:pPr>
      <w:spacing w:after="120" w:line="480" w:lineRule="auto"/>
      <w:ind w:left="420" w:leftChars="200"/>
    </w:pPr>
  </w:style>
  <w:style w:type="paragraph" w:styleId="13">
    <w:name w:val="Balloon Text"/>
    <w:basedOn w:val="1"/>
    <w:link w:val="52"/>
    <w:semiHidden/>
    <w:unhideWhenUsed/>
    <w:qFormat/>
    <w:uiPriority w:val="99"/>
    <w:rPr>
      <w:sz w:val="18"/>
      <w:szCs w:val="18"/>
    </w:rPr>
  </w:style>
  <w:style w:type="paragraph" w:styleId="14">
    <w:name w:val="footer"/>
    <w:basedOn w:val="1"/>
    <w:link w:val="32"/>
    <w:unhideWhenUsed/>
    <w:qFormat/>
    <w:uiPriority w:val="99"/>
    <w:pPr>
      <w:tabs>
        <w:tab w:val="center" w:pos="4153"/>
        <w:tab w:val="right" w:pos="8306"/>
      </w:tabs>
      <w:snapToGrid w:val="0"/>
      <w:jc w:val="left"/>
    </w:pPr>
    <w:rPr>
      <w:sz w:val="18"/>
      <w:szCs w:val="18"/>
    </w:rPr>
  </w:style>
  <w:style w:type="paragraph" w:styleId="15">
    <w:name w:val="header"/>
    <w:basedOn w:val="1"/>
    <w:link w:val="31"/>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Subtitle"/>
    <w:basedOn w:val="1"/>
    <w:next w:val="1"/>
    <w:link w:val="30"/>
    <w:qFormat/>
    <w:uiPriority w:val="11"/>
    <w:pPr>
      <w:spacing w:before="240" w:after="60" w:line="312" w:lineRule="auto"/>
      <w:jc w:val="center"/>
      <w:outlineLvl w:val="1"/>
    </w:pPr>
    <w:rPr>
      <w:rFonts w:ascii="Cambria" w:hAnsi="Cambria"/>
      <w:b/>
      <w:bCs/>
      <w:kern w:val="28"/>
      <w:sz w:val="32"/>
      <w:szCs w:val="32"/>
      <w:lang w:val="zh-CN"/>
    </w:rPr>
  </w:style>
  <w:style w:type="paragraph" w:styleId="17">
    <w:name w:val="List Number 5"/>
    <w:basedOn w:val="1"/>
    <w:unhideWhenUsed/>
    <w:qFormat/>
    <w:uiPriority w:val="18"/>
    <w:pPr>
      <w:widowControl/>
      <w:numPr>
        <w:ilvl w:val="4"/>
        <w:numId w:val="1"/>
      </w:numPr>
      <w:spacing w:before="40" w:after="160"/>
      <w:contextualSpacing/>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paragraph" w:styleId="18">
    <w:name w:val="Body Text Indent 3"/>
    <w:basedOn w:val="1"/>
    <w:link w:val="41"/>
    <w:semiHidden/>
    <w:unhideWhenUsed/>
    <w:qFormat/>
    <w:uiPriority w:val="99"/>
    <w:pPr>
      <w:spacing w:after="120"/>
      <w:ind w:left="420" w:leftChars="200"/>
    </w:pPr>
    <w:rPr>
      <w:sz w:val="16"/>
      <w:szCs w:val="16"/>
    </w:rPr>
  </w:style>
  <w:style w:type="paragraph" w:styleId="19">
    <w:name w:val="Body Text 2"/>
    <w:basedOn w:val="1"/>
    <w:link w:val="37"/>
    <w:semiHidden/>
    <w:unhideWhenUsed/>
    <w:qFormat/>
    <w:uiPriority w:val="99"/>
    <w:pPr>
      <w:spacing w:after="120" w:line="480" w:lineRule="auto"/>
    </w:pPr>
  </w:style>
  <w:style w:type="paragraph" w:styleId="20">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21">
    <w:name w:val="annotation subject"/>
    <w:basedOn w:val="5"/>
    <w:next w:val="5"/>
    <w:link w:val="51"/>
    <w:semiHidden/>
    <w:unhideWhenUsed/>
    <w:qFormat/>
    <w:uiPriority w:val="99"/>
    <w:rPr>
      <w:b/>
      <w:bCs/>
    </w:rPr>
  </w:style>
  <w:style w:type="table" w:styleId="23">
    <w:name w:val="Table Grid"/>
    <w:basedOn w:val="2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Strong"/>
    <w:qFormat/>
    <w:uiPriority w:val="22"/>
    <w:rPr>
      <w:b/>
      <w:bCs/>
    </w:rPr>
  </w:style>
  <w:style w:type="character" w:styleId="26">
    <w:name w:val="Hyperlink"/>
    <w:basedOn w:val="24"/>
    <w:unhideWhenUsed/>
    <w:qFormat/>
    <w:uiPriority w:val="99"/>
    <w:rPr>
      <w:color w:val="0000FF" w:themeColor="hyperlink"/>
      <w:u w:val="single"/>
      <w14:textFill>
        <w14:solidFill>
          <w14:schemeClr w14:val="hlink"/>
        </w14:solidFill>
      </w14:textFill>
    </w:rPr>
  </w:style>
  <w:style w:type="character" w:styleId="27">
    <w:name w:val="annotation reference"/>
    <w:basedOn w:val="24"/>
    <w:semiHidden/>
    <w:unhideWhenUsed/>
    <w:qFormat/>
    <w:uiPriority w:val="99"/>
    <w:rPr>
      <w:sz w:val="21"/>
      <w:szCs w:val="21"/>
    </w:rPr>
  </w:style>
  <w:style w:type="character" w:customStyle="1" w:styleId="28">
    <w:name w:val="正文文本缩进 Char"/>
    <w:basedOn w:val="24"/>
    <w:link w:val="7"/>
    <w:qFormat/>
    <w:uiPriority w:val="0"/>
    <w:rPr>
      <w:rFonts w:ascii="宋体" w:hAnsi="宋体" w:eastAsia="宋体" w:cs="Times New Roman"/>
      <w:sz w:val="24"/>
      <w:szCs w:val="20"/>
    </w:rPr>
  </w:style>
  <w:style w:type="paragraph" w:customStyle="1" w:styleId="29">
    <w:name w:val="Default"/>
    <w:link w:val="48"/>
    <w:qFormat/>
    <w:uiPriority w:val="0"/>
    <w:pPr>
      <w:widowControl w:val="0"/>
      <w:autoSpaceDE w:val="0"/>
      <w:autoSpaceDN w:val="0"/>
      <w:adjustRightInd w:val="0"/>
    </w:pPr>
    <w:rPr>
      <w:rFonts w:ascii="......." w:hAnsi="Calibri" w:eastAsia="......." w:cs="......."/>
      <w:color w:val="000000"/>
      <w:sz w:val="24"/>
      <w:szCs w:val="24"/>
      <w:lang w:val="en-US" w:eastAsia="zh-CN" w:bidi="ar-SA"/>
    </w:rPr>
  </w:style>
  <w:style w:type="character" w:customStyle="1" w:styleId="30">
    <w:name w:val="副标题 Char"/>
    <w:basedOn w:val="24"/>
    <w:link w:val="16"/>
    <w:qFormat/>
    <w:uiPriority w:val="11"/>
    <w:rPr>
      <w:rFonts w:ascii="Cambria" w:hAnsi="Cambria" w:eastAsia="宋体" w:cs="Times New Roman"/>
      <w:b/>
      <w:bCs/>
      <w:kern w:val="28"/>
      <w:sz w:val="32"/>
      <w:szCs w:val="32"/>
      <w:lang w:val="zh-CN" w:eastAsia="zh-CN"/>
    </w:rPr>
  </w:style>
  <w:style w:type="character" w:customStyle="1" w:styleId="31">
    <w:name w:val="页眉 Char"/>
    <w:basedOn w:val="24"/>
    <w:link w:val="15"/>
    <w:qFormat/>
    <w:uiPriority w:val="99"/>
    <w:rPr>
      <w:rFonts w:ascii="Times New Roman" w:hAnsi="Times New Roman" w:eastAsia="宋体" w:cs="Times New Roman"/>
      <w:sz w:val="18"/>
      <w:szCs w:val="18"/>
    </w:rPr>
  </w:style>
  <w:style w:type="character" w:customStyle="1" w:styleId="32">
    <w:name w:val="页脚 Char"/>
    <w:basedOn w:val="24"/>
    <w:link w:val="14"/>
    <w:qFormat/>
    <w:uiPriority w:val="99"/>
    <w:rPr>
      <w:rFonts w:ascii="Times New Roman" w:hAnsi="Times New Roman" w:eastAsia="宋体" w:cs="Times New Roman"/>
      <w:sz w:val="18"/>
      <w:szCs w:val="18"/>
    </w:rPr>
  </w:style>
  <w:style w:type="character" w:customStyle="1" w:styleId="33">
    <w:name w:val="日期 Char"/>
    <w:basedOn w:val="24"/>
    <w:link w:val="11"/>
    <w:qFormat/>
    <w:uiPriority w:val="0"/>
    <w:rPr>
      <w:rFonts w:ascii="Times New Roman" w:hAnsi="Times New Roman" w:eastAsia="宋体" w:cs="Times New Roman"/>
      <w:sz w:val="32"/>
      <w:szCs w:val="20"/>
    </w:rPr>
  </w:style>
  <w:style w:type="paragraph" w:styleId="34">
    <w:name w:val="List Paragraph"/>
    <w:basedOn w:val="1"/>
    <w:link w:val="49"/>
    <w:qFormat/>
    <w:uiPriority w:val="34"/>
    <w:pPr>
      <w:ind w:firstLine="420" w:firstLineChars="200"/>
    </w:pPr>
  </w:style>
  <w:style w:type="character" w:customStyle="1" w:styleId="35">
    <w:name w:val="正文文本缩进 2 Char"/>
    <w:basedOn w:val="24"/>
    <w:link w:val="12"/>
    <w:semiHidden/>
    <w:qFormat/>
    <w:uiPriority w:val="99"/>
    <w:rPr>
      <w:rFonts w:ascii="Times New Roman" w:hAnsi="Times New Roman" w:eastAsia="宋体" w:cs="Times New Roman"/>
      <w:szCs w:val="20"/>
    </w:rPr>
  </w:style>
  <w:style w:type="character" w:customStyle="1" w:styleId="36">
    <w:name w:val="标题 3 Char"/>
    <w:basedOn w:val="24"/>
    <w:link w:val="2"/>
    <w:qFormat/>
    <w:uiPriority w:val="0"/>
    <w:rPr>
      <w:rFonts w:ascii="Times New Roman" w:hAnsi="Times New Roman" w:eastAsia="宋体" w:cs="Times New Roman"/>
      <w:b/>
      <w:bCs/>
      <w:sz w:val="32"/>
      <w:szCs w:val="32"/>
    </w:rPr>
  </w:style>
  <w:style w:type="character" w:customStyle="1" w:styleId="37">
    <w:name w:val="正文文本 2 Char"/>
    <w:basedOn w:val="24"/>
    <w:link w:val="19"/>
    <w:semiHidden/>
    <w:qFormat/>
    <w:uiPriority w:val="99"/>
    <w:rPr>
      <w:rFonts w:ascii="Times New Roman" w:hAnsi="Times New Roman" w:eastAsia="宋体" w:cs="Times New Roman"/>
      <w:szCs w:val="20"/>
    </w:rPr>
  </w:style>
  <w:style w:type="paragraph" w:customStyle="1" w:styleId="38">
    <w:name w:val="Char"/>
    <w:basedOn w:val="1"/>
    <w:qFormat/>
    <w:uiPriority w:val="0"/>
    <w:pPr>
      <w:tabs>
        <w:tab w:val="left" w:pos="360"/>
      </w:tabs>
    </w:pPr>
    <w:rPr>
      <w:sz w:val="24"/>
      <w:szCs w:val="24"/>
    </w:rPr>
  </w:style>
  <w:style w:type="character" w:customStyle="1" w:styleId="39">
    <w:name w:val="纯文本 Char"/>
    <w:basedOn w:val="24"/>
    <w:semiHidden/>
    <w:qFormat/>
    <w:uiPriority w:val="99"/>
    <w:rPr>
      <w:rFonts w:ascii="宋体" w:hAnsi="Courier New" w:eastAsia="宋体" w:cs="Courier New"/>
      <w:szCs w:val="21"/>
    </w:rPr>
  </w:style>
  <w:style w:type="character" w:customStyle="1" w:styleId="40">
    <w:name w:val="纯文本 Char1"/>
    <w:link w:val="9"/>
    <w:qFormat/>
    <w:locked/>
    <w:uiPriority w:val="0"/>
    <w:rPr>
      <w:rFonts w:ascii="宋体" w:hAnsi="Courier New" w:eastAsia="宋体" w:cs="Times New Roman"/>
      <w:szCs w:val="20"/>
      <w:lang w:val="zh-CN" w:eastAsia="zh-CN"/>
    </w:rPr>
  </w:style>
  <w:style w:type="character" w:customStyle="1" w:styleId="41">
    <w:name w:val="正文文本缩进 3 Char"/>
    <w:basedOn w:val="24"/>
    <w:link w:val="18"/>
    <w:semiHidden/>
    <w:qFormat/>
    <w:uiPriority w:val="99"/>
    <w:rPr>
      <w:rFonts w:ascii="Times New Roman" w:hAnsi="Times New Roman" w:eastAsia="宋体" w:cs="Times New Roman"/>
      <w:sz w:val="16"/>
      <w:szCs w:val="16"/>
    </w:rPr>
  </w:style>
  <w:style w:type="paragraph" w:customStyle="1" w:styleId="42">
    <w:name w:val="正文_1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3">
    <w:name w:val="正文_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4">
    <w:name w:val="正文_7"/>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5">
    <w:name w:val="正文_1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6">
    <w:name w:val="Char2"/>
    <w:basedOn w:val="1"/>
    <w:qFormat/>
    <w:uiPriority w:val="0"/>
    <w:pPr>
      <w:tabs>
        <w:tab w:val="left" w:pos="360"/>
      </w:tabs>
    </w:pPr>
    <w:rPr>
      <w:sz w:val="24"/>
      <w:szCs w:val="24"/>
    </w:rPr>
  </w:style>
  <w:style w:type="paragraph" w:customStyle="1" w:styleId="47">
    <w:name w:val="列出段落1"/>
    <w:basedOn w:val="1"/>
    <w:semiHidden/>
    <w:qFormat/>
    <w:uiPriority w:val="34"/>
    <w:pPr>
      <w:widowControl/>
      <w:spacing w:before="40" w:after="160"/>
      <w:ind w:firstLine="420" w:firstLineChars="200"/>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character" w:customStyle="1" w:styleId="48">
    <w:name w:val="Default Char"/>
    <w:link w:val="29"/>
    <w:qFormat/>
    <w:locked/>
    <w:uiPriority w:val="0"/>
    <w:rPr>
      <w:rFonts w:ascii="......." w:hAnsi="Calibri" w:eastAsia="......." w:cs="......."/>
      <w:color w:val="000000"/>
      <w:kern w:val="0"/>
      <w:sz w:val="24"/>
      <w:szCs w:val="24"/>
    </w:rPr>
  </w:style>
  <w:style w:type="character" w:customStyle="1" w:styleId="49">
    <w:name w:val="列出段落 Char"/>
    <w:link w:val="34"/>
    <w:qFormat/>
    <w:uiPriority w:val="34"/>
    <w:rPr>
      <w:rFonts w:ascii="Times New Roman" w:hAnsi="Times New Roman" w:eastAsia="宋体" w:cs="Times New Roman"/>
      <w:szCs w:val="20"/>
    </w:rPr>
  </w:style>
  <w:style w:type="character" w:customStyle="1" w:styleId="50">
    <w:name w:val="批注文字 Char"/>
    <w:basedOn w:val="24"/>
    <w:link w:val="5"/>
    <w:semiHidden/>
    <w:qFormat/>
    <w:uiPriority w:val="99"/>
    <w:rPr>
      <w:rFonts w:ascii="Times New Roman" w:hAnsi="Times New Roman" w:eastAsia="宋体" w:cs="Times New Roman"/>
      <w:szCs w:val="20"/>
    </w:rPr>
  </w:style>
  <w:style w:type="character" w:customStyle="1" w:styleId="51">
    <w:name w:val="批注主题 Char"/>
    <w:basedOn w:val="50"/>
    <w:link w:val="21"/>
    <w:semiHidden/>
    <w:qFormat/>
    <w:uiPriority w:val="99"/>
    <w:rPr>
      <w:rFonts w:ascii="Times New Roman" w:hAnsi="Times New Roman" w:eastAsia="宋体" w:cs="Times New Roman"/>
      <w:b/>
      <w:bCs/>
      <w:szCs w:val="20"/>
    </w:rPr>
  </w:style>
  <w:style w:type="character" w:customStyle="1" w:styleId="52">
    <w:name w:val="批注框文本 Char"/>
    <w:basedOn w:val="24"/>
    <w:link w:val="13"/>
    <w:semiHidden/>
    <w:qFormat/>
    <w:uiPriority w:val="99"/>
    <w:rPr>
      <w:rFonts w:ascii="Times New Roman" w:hAnsi="Times New Roman" w:eastAsia="宋体" w:cs="Times New Roman"/>
      <w:sz w:val="18"/>
      <w:szCs w:val="18"/>
    </w:rPr>
  </w:style>
  <w:style w:type="character" w:customStyle="1" w:styleId="53">
    <w:name w:val="正文文本 Char"/>
    <w:basedOn w:val="24"/>
    <w:link w:val="6"/>
    <w:semiHidden/>
    <w:qFormat/>
    <w:uiPriority w:val="99"/>
    <w:rPr>
      <w:rFonts w:ascii="Times New Roman" w:hAnsi="Times New Roman" w:eastAsia="宋体" w:cs="Times New Roman"/>
      <w:szCs w:val="20"/>
    </w:rPr>
  </w:style>
  <w:style w:type="paragraph" w:customStyle="1" w:styleId="54">
    <w:name w:val="MsoNormal"/>
    <w:basedOn w:val="1"/>
    <w:qFormat/>
    <w:uiPriority w:val="0"/>
    <w:pPr>
      <w:widowControl/>
      <w:jc w:val="left"/>
    </w:pPr>
    <w:rPr>
      <w:rFonts w:eastAsiaTheme="minorEastAsia"/>
      <w:kern w:val="0"/>
      <w:sz w:val="24"/>
      <w:szCs w:val="24"/>
      <w:lang w:eastAsia="en-US"/>
    </w:rPr>
  </w:style>
  <w:style w:type="table" w:customStyle="1" w:styleId="55">
    <w:name w:val="MsoNormalTable"/>
    <w:basedOn w:val="22"/>
    <w:qFormat/>
    <w:uiPriority w:val="0"/>
    <w:rPr>
      <w:rFonts w:ascii="Times New Roman" w:hAnsi="Times New Roman" w:cs="Times New Roman"/>
      <w:lang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73B81A1-4C8C-4329-B275-5E1D8C191679}">
  <ds:schemaRefs/>
</ds:datastoreItem>
</file>

<file path=docProps/app.xml><?xml version="1.0" encoding="utf-8"?>
<Properties xmlns="http://schemas.openxmlformats.org/officeDocument/2006/extended-properties" xmlns:vt="http://schemas.openxmlformats.org/officeDocument/2006/docPropsVTypes">
  <Company>MS</Company>
  <Pages>51</Pages>
  <Words>4910</Words>
  <Characters>27990</Characters>
  <Lines>233</Lines>
  <Paragraphs>65</Paragraphs>
  <TotalTime>322</TotalTime>
  <ScaleCrop>false</ScaleCrop>
  <LinksUpToDate>false</LinksUpToDate>
  <CharactersWithSpaces>32835</CharactersWithSpaces>
  <Application>WPS Office_11.8.2.10158_F1E327BC-269C-435d-A152-05C5408002CA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2025-01-23T11:21:00Z</dcterms:created>
  <dc:creator>未定义</dc:creator>
  <cp:lastModifiedBy>Administrator</cp:lastModifiedBy>
  <dcterms:modified xsi:type="dcterms:W3CDTF">2026-08-24T08:40:54Z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eyJoZGlkIjoiZThhMTNmNWQzYmJhZTUyYTMxMjA2YTMwMDEzODUzZWYiLCJ1c2VySWQiOiIxMjkxNjU5ODQ1In0=</vt:lpwstr>
  </property>
  <property fmtid="{D5CDD505-2E9C-101B-9397-08002B2CF9AE}" pid="3" name="KSOProductBuildVer">
    <vt:lpwstr>2052-11.8.2.10158</vt:lpwstr>
  </property>
  <property fmtid="{D5CDD505-2E9C-101B-9397-08002B2CF9AE}" pid="4" name="ICV">
    <vt:lpwstr>5252C231F66C0D5970576C6AD917CF0A_43</vt:lpwstr>
  </property>
</Properties>
</file>