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r>
        <w:rPr>
          <w:rFonts w:ascii="宋体" w:eastAsia="宋体" w:hAnsi="宋体" w:cs="宋体" w:hint="eastAsia"/>
          <w:b/>
          <w:sz w:val="30"/>
          <w:szCs w:val="30"/>
          <w:lang w:eastAsia="zh-CN"/>
        </w:rPr>
        <w:t>国家税务总局天津市税务局第二稽查局2026-2027年食堂食材采购项目</w:t>
      </w:r>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r>
        <w:rPr>
          <w:rFonts w:ascii="宋体" w:eastAsia="宋体" w:hAnsi="宋体" w:cs="宋体" w:hint="eastAsia"/>
          <w:sz w:val="36"/>
          <w:szCs w:val="36"/>
          <w:lang w:eastAsia="zh-CN"/>
        </w:rPr>
        <w:t>2026年09月</w:t>
      </w:r>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2.2技术部分投标/响应内容</w:t>
        </w:r>
        <w:r>
          <w:tab/>
        </w:r>
        <w:r>
          <w:fldChar w:fldCharType="begin"/>
        </w:r>
        <w:r>
          <w:instrText xml:space="preserve"> PAGEREF _Toc256000015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2.2.1投标/响应方案要求</w:t>
        </w:r>
        <w:r>
          <w:tab/>
        </w:r>
        <w:r>
          <w:fldChar w:fldCharType="begin"/>
        </w:r>
        <w:r>
          <w:instrText xml:space="preserve"> PAGEREF _Toc256000016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2.3投标报价规则</w:t>
        </w:r>
        <w:r>
          <w:tab/>
        </w:r>
        <w:r>
          <w:fldChar w:fldCharType="begin"/>
        </w:r>
        <w:r>
          <w:instrText xml:space="preserve"> PAGEREF _Toc256000017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2.4异常低价审查</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kern w:val="36"/>
          </w:rPr>
          <w:t>4人员要求</w:t>
        </w:r>
        <w:r>
          <w:tab/>
        </w:r>
        <w:r>
          <w:fldChar w:fldCharType="begin"/>
        </w:r>
        <w:r>
          <w:instrText xml:space="preserve"> PAGEREF _Toc256000025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4.1团队要求</w:t>
        </w:r>
        <w:r>
          <w:tab/>
        </w:r>
        <w:r>
          <w:fldChar w:fldCharType="begin"/>
        </w:r>
        <w:r>
          <w:instrText xml:space="preserve"> PAGEREF _Toc256000026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4.1.1基本要求</w:t>
        </w:r>
        <w:r>
          <w:tab/>
        </w:r>
        <w:r>
          <w:fldChar w:fldCharType="begin"/>
        </w:r>
        <w:r>
          <w:instrText xml:space="preserve"> PAGEREF _Toc256000027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5管理实施要求</w:t>
        </w:r>
        <w:r>
          <w:tab/>
        </w:r>
        <w:r>
          <w:fldChar w:fldCharType="begin"/>
        </w:r>
        <w:r>
          <w:instrText xml:space="preserve"> PAGEREF _Toc256000028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kern w:val="36"/>
          </w:rPr>
          <w:t>6风险管控要求</w:t>
        </w:r>
        <w:r>
          <w:tab/>
        </w:r>
        <w:r>
          <w:fldChar w:fldCharType="begin"/>
        </w:r>
        <w:r>
          <w:instrText xml:space="preserve"> PAGEREF _Toc256000029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7履约验收要求</w:t>
        </w:r>
        <w:r>
          <w:tab/>
        </w:r>
        <w:r>
          <w:fldChar w:fldCharType="begin"/>
        </w:r>
        <w:r>
          <w:instrText xml:space="preserve"> PAGEREF _Toc256000030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rPr>
          <w:t>7.1总体要求</w:t>
        </w:r>
        <w:r>
          <w:tab/>
        </w:r>
        <w:r>
          <w:fldChar w:fldCharType="begin"/>
        </w:r>
        <w:r>
          <w:instrText xml:space="preserve"> PAGEREF _Toc256000031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7.2具体要求</w:t>
        </w:r>
        <w:r>
          <w:tab/>
        </w:r>
        <w:r>
          <w:fldChar w:fldCharType="begin"/>
        </w:r>
        <w:r>
          <w:instrText xml:space="preserve"> PAGEREF _Toc256000032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kern w:val="36"/>
          </w:rPr>
          <w:t>8其他要求</w:t>
        </w:r>
        <w:r>
          <w:tab/>
        </w:r>
        <w:r>
          <w:fldChar w:fldCharType="begin"/>
        </w:r>
        <w:r>
          <w:instrText xml:space="preserve"> PAGEREF _Toc256000033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8.1必备要求</w:t>
        </w:r>
        <w:r>
          <w:tab/>
        </w:r>
        <w:r>
          <w:fldChar w:fldCharType="begin"/>
        </w:r>
        <w:r>
          <w:instrText xml:space="preserve"> PAGEREF _Toc256000034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8.1.1通用必备要求</w:t>
        </w:r>
        <w:r>
          <w:tab/>
        </w:r>
        <w:r>
          <w:fldChar w:fldCharType="begin"/>
        </w:r>
        <w:r>
          <w:instrText xml:space="preserve"> PAGEREF _Toc256000035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8.2付款安排建议</w:t>
        </w:r>
        <w:r>
          <w:tab/>
        </w:r>
        <w:r>
          <w:fldChar w:fldCharType="begin"/>
        </w:r>
        <w:r>
          <w:instrText xml:space="preserve"> PAGEREF _Toc256000036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8.3其他要求</w:t>
        </w:r>
        <w:r>
          <w:tab/>
        </w:r>
        <w:r>
          <w:fldChar w:fldCharType="begin"/>
        </w:r>
        <w:r>
          <w:instrText xml:space="preserve"> PAGEREF _Toc256000037 \h </w:instrText>
        </w:r>
        <w:r>
          <w:fldChar w:fldCharType="separate"/>
        </w:r>
        <w:r>
          <w:t>17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8.3.1保密要求</w:t>
        </w:r>
        <w:r>
          <w:tab/>
        </w:r>
        <w:r>
          <w:fldChar w:fldCharType="begin"/>
        </w:r>
        <w:r>
          <w:instrText xml:space="preserve"> PAGEREF _Toc256000038 \h </w:instrText>
        </w:r>
        <w:r>
          <w:fldChar w:fldCharType="separate"/>
        </w:r>
        <w:r>
          <w:t>17</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1项目概述</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1.1项目背景</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1.1.1项目目的、意义及背景</w:t>
      </w:r>
    </w:p>
    <w:p>
      <w:pPr>
        <w:pStyle w:val="15"/>
        <w:spacing w:before="0" w:after="0" w:line="360" w:lineRule="auto"/>
        <w:ind w:right="0" w:firstLine="560"/>
        <w:jc w:val="both"/>
        <w:rPr>
          <w:rFonts w:ascii="Times New Roman" w:eastAsia="Times New Roman" w:hAnsi="Times New Roman" w:cs="Times New Roman"/>
        </w:rPr>
      </w:pPr>
      <w:r>
        <w:rPr>
          <w:rFonts w:ascii="仿宋_GB2312" w:eastAsia="仿宋_GB2312" w:hAnsi="仿宋_GB2312" w:cs="仿宋_GB2312"/>
          <w:sz w:val="28"/>
          <w:szCs w:val="28"/>
        </w:rPr>
        <w:t>国家税务总局天津市税务局第二稽查局</w:t>
      </w:r>
      <w:r>
        <w:rPr>
          <w:rFonts w:ascii="仿宋_GB2312" w:eastAsia="仿宋_GB2312" w:hAnsi="仿宋_GB2312" w:cs="仿宋_GB2312"/>
          <w:sz w:val="28"/>
          <w:szCs w:val="28"/>
        </w:rPr>
        <w:t>2026-2027年食堂食材采购项目，为第二稽查局食堂提供各类食堂食材，包括但不限于果蔬水产奶制品类、鲜冻禽畜肉类、主副食调料等其他类，采购预算为人民币</w:t>
      </w:r>
      <w:r>
        <w:rPr>
          <w:rFonts w:ascii="仿宋_GB2312" w:eastAsia="仿宋_GB2312" w:hAnsi="仿宋_GB2312" w:cs="仿宋_GB2312"/>
          <w:sz w:val="28"/>
          <w:szCs w:val="28"/>
        </w:rPr>
        <w:t>190.25</w:t>
      </w:r>
      <w:r>
        <w:rPr>
          <w:rFonts w:ascii="仿宋_GB2312" w:eastAsia="仿宋_GB2312" w:hAnsi="仿宋_GB2312" w:cs="仿宋_GB2312"/>
          <w:sz w:val="28"/>
          <w:szCs w:val="28"/>
        </w:rPr>
        <w:t>万元，供应商按照本包金额进行投标报价，投标价格不得超过预算。投标价格不作为最终合同金额，采购食材按实际采购量进行结算，总结算金额不超过采购预算</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1.2项目内容</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1.2.1项目建设思路</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pacing w:val="0"/>
          <w:sz w:val="28"/>
          <w:szCs w:val="28"/>
        </w:rPr>
        <w:t>本项目旨在为第二稽查局食堂提供质优价廉的水果、蔬菜、水产品、鲜奶及奶制品、豆制品、猪肉及副产品、牛羊肉及各部件、禽肉及各部件、肉制品及半成品，米、面、杂粮、油、鸡蛋及调料等食材，在确保食品安全的基础上，提供高效便捷的服务</w:t>
      </w:r>
      <w:r>
        <w:rPr>
          <w:rFonts w:ascii="仿宋_GB2312" w:eastAsia="仿宋_GB2312" w:hAnsi="仿宋_GB2312" w:cs="仿宋_GB2312"/>
          <w:spacing w:val="0"/>
          <w:sz w:val="28"/>
          <w:szCs w:val="28"/>
        </w:rPr>
        <w:t>。</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1.2.2采购内容</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采购内容为第二稽查局食堂所需的蔬菜、水果、海鲜及海产品、鲜奶及奶制品、豆制品、鲜冻禽畜肉类、主副食调料等食材，并提供简单加工及配送服务</w:t>
      </w:r>
      <w:r>
        <w:rPr>
          <w:rFonts w:ascii="仿宋_GB2312" w:eastAsia="仿宋_GB2312" w:hAnsi="仿宋_GB2312" w:cs="仿宋_GB2312"/>
          <w:sz w:val="28"/>
          <w:szCs w:val="28"/>
        </w:rPr>
        <w:t>。</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1.2.3项目实施要求</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pacing w:val="0"/>
          <w:sz w:val="28"/>
          <w:szCs w:val="28"/>
        </w:rPr>
        <w:t>      按照采购人需求，为第二稽查局提供蔬菜、水果、海鲜及海产品、鲜奶及奶制品、豆制品、鲜冻禽畜肉类、主副食调料等食材，并提供相应简单加工及配送服务</w:t>
      </w:r>
      <w:r>
        <w:rPr>
          <w:rFonts w:ascii="仿宋_GB2312" w:eastAsia="仿宋_GB2312" w:hAnsi="仿宋_GB2312" w:cs="仿宋_GB2312"/>
          <w:spacing w:val="0"/>
          <w:sz w:val="28"/>
          <w:szCs w:val="28"/>
        </w:rPr>
        <w:t>。</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服务期限自</w:t>
      </w:r>
      <w:r>
        <w:rPr>
          <w:rFonts w:ascii="仿宋_GB2312" w:eastAsia="仿宋_GB2312" w:hAnsi="仿宋_GB2312" w:cs="仿宋_GB2312"/>
          <w:sz w:val="28"/>
          <w:szCs w:val="28"/>
        </w:rPr>
        <w:t>2026年</w:t>
      </w:r>
      <w:r>
        <w:rPr>
          <w:rFonts w:ascii="仿宋_GB2312" w:eastAsia="仿宋_GB2312" w:hAnsi="仿宋_GB2312" w:cs="仿宋_GB2312"/>
          <w:sz w:val="28"/>
          <w:szCs w:val="28"/>
        </w:rPr>
        <w:t>11</w:t>
      </w:r>
      <w:r>
        <w:rPr>
          <w:rFonts w:ascii="仿宋_GB2312" w:eastAsia="仿宋_GB2312" w:hAnsi="仿宋_GB2312" w:cs="仿宋_GB2312"/>
          <w:sz w:val="28"/>
          <w:szCs w:val="28"/>
        </w:rPr>
        <w:t>月</w:t>
      </w:r>
      <w:r>
        <w:rPr>
          <w:rFonts w:ascii="仿宋_GB2312" w:eastAsia="仿宋_GB2312" w:hAnsi="仿宋_GB2312" w:cs="仿宋_GB2312"/>
          <w:sz w:val="28"/>
          <w:szCs w:val="28"/>
        </w:rPr>
        <w:t>17日</w:t>
      </w:r>
      <w:r>
        <w:rPr>
          <w:rFonts w:ascii="仿宋_GB2312" w:eastAsia="仿宋_GB2312" w:hAnsi="仿宋_GB2312" w:cs="仿宋_GB2312"/>
          <w:sz w:val="28"/>
          <w:szCs w:val="28"/>
        </w:rPr>
        <w:t>至</w:t>
      </w:r>
      <w:r>
        <w:rPr>
          <w:rFonts w:ascii="仿宋_GB2312" w:eastAsia="仿宋_GB2312" w:hAnsi="仿宋_GB2312" w:cs="仿宋_GB2312"/>
          <w:sz w:val="28"/>
          <w:szCs w:val="28"/>
        </w:rPr>
        <w:t>2027年</w:t>
      </w:r>
      <w:r>
        <w:rPr>
          <w:rFonts w:ascii="仿宋_GB2312" w:eastAsia="仿宋_GB2312" w:hAnsi="仿宋_GB2312" w:cs="仿宋_GB2312"/>
          <w:sz w:val="28"/>
          <w:szCs w:val="28"/>
        </w:rPr>
        <w:t>11</w:t>
      </w:r>
      <w:r>
        <w:rPr>
          <w:rFonts w:ascii="仿宋_GB2312" w:eastAsia="仿宋_GB2312" w:hAnsi="仿宋_GB2312" w:cs="仿宋_GB2312"/>
          <w:sz w:val="28"/>
          <w:szCs w:val="28"/>
        </w:rPr>
        <w:t>月</w:t>
      </w:r>
      <w:r>
        <w:rPr>
          <w:rFonts w:ascii="仿宋_GB2312" w:eastAsia="仿宋_GB2312" w:hAnsi="仿宋_GB2312" w:cs="仿宋_GB2312"/>
          <w:sz w:val="28"/>
          <w:szCs w:val="28"/>
        </w:rPr>
        <w:t>16日。若在合同期内，预算执行完毕，则合同期提前结束（特殊情况以合同为准）</w:t>
      </w:r>
      <w:r>
        <w:rPr>
          <w:rFonts w:ascii="仿宋_GB2312" w:eastAsia="仿宋_GB2312" w:hAnsi="仿宋_GB2312" w:cs="仿宋_GB2312"/>
          <w:sz w:val="28"/>
          <w:szCs w:val="28"/>
        </w:rPr>
        <w:t>。</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MsoNormal"/>
        <w:spacing w:before="0" w:after="0" w:line="360" w:lineRule="auto"/>
        <w:ind w:left="0" w:right="0" w:firstLine="560"/>
      </w:pPr>
      <w:r>
        <w:rPr>
          <w:rFonts w:ascii="FangSong_GB2312" w:eastAsia="FangSong_GB2312" w:hAnsi="FangSong_GB2312" w:cs="FangSong_GB2312"/>
          <w:sz w:val="28"/>
          <w:szCs w:val="28"/>
        </w:rPr>
        <w:t>国家税务总局天津市税务局第二稽查局食堂（河西区解放南路</w:t>
      </w:r>
      <w:r>
        <w:rPr>
          <w:rFonts w:ascii="FangSong_GB2312" w:eastAsia="FangSong_GB2312" w:hAnsi="FangSong_GB2312" w:cs="FangSong_GB2312"/>
          <w:sz w:val="28"/>
          <w:szCs w:val="28"/>
        </w:rPr>
        <w:t>281号）</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1.3其他要求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1.3.1采购标的需执行的相关标准规范</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无</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2投标/响应要求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2.1对供应商的要求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2.1.1必备资质</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供应商具有《食品经营许可证》或《食品生产许可证》。仅提供《食品生产许可证》的，许可范围应包括本包中除食用农产品外的全部供应品类。</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2.1.2优选资质/优选指标</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2.1.2.1成功案例</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2023年1月1日以来（以合同签订日期为准），供应商独立承担的食材供应项目案例（必须包含本包采购的</w:t>
      </w:r>
      <w:r>
        <w:rPr>
          <w:rFonts w:ascii="仿宋_GB2312" w:eastAsia="仿宋_GB2312" w:hAnsi="仿宋_GB2312" w:cs="仿宋_GB2312"/>
          <w:sz w:val="28"/>
          <w:szCs w:val="28"/>
        </w:rPr>
        <w:t>果蔬水产奶制品类、鲜冻禽畜肉类、主副食调料等其他类</w:t>
      </w:r>
      <w:r>
        <w:rPr>
          <w:rFonts w:ascii="仿宋_GB2312" w:eastAsia="仿宋_GB2312" w:hAnsi="仿宋_GB2312" w:cs="仿宋_GB2312"/>
          <w:sz w:val="28"/>
          <w:szCs w:val="28"/>
        </w:rPr>
        <w:t>等其中至少一项），予以加分考虑。</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2.1.3是否允许联合体</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2.1.4是否专门面向中小企业</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2.2技术部分投标/响应内容</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2.2.1投标/响应方案要求</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以下相关方案，若作为评审因素，则投标人应在满足★必备指标项要求的前提下，基于对优于★指标项及#、△指标项的应答，根据项目特点和采购需求，制定更为完整、详细、可操作性强的方案。</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供应商须承诺所提供的</w:t>
      </w:r>
      <w:r>
        <w:rPr>
          <w:sz w:val="28"/>
          <w:szCs w:val="28"/>
        </w:rPr>
        <w:t>货物</w:t>
      </w:r>
      <w:r>
        <w:rPr>
          <w:rFonts w:ascii="仿宋_GB2312" w:eastAsia="仿宋_GB2312" w:hAnsi="仿宋_GB2312" w:cs="仿宋_GB2312"/>
          <w:sz w:val="28"/>
          <w:szCs w:val="28"/>
        </w:rPr>
        <w:t>、人员符合相关国家强制性规定。具体需求详见项目需求、人员要求、管理实施要求、风险管控要求、履约验收要求及其他要求。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2.3投标报价规则</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spacing w:val="0"/>
        </w:rPr>
        <w:t>（</w:t>
      </w:r>
      <w:r>
        <w:rPr>
          <w:spacing w:val="0"/>
        </w:rPr>
        <w:t>1</w:t>
      </w:r>
      <w:r>
        <w:rPr>
          <w:rFonts w:ascii="......." w:eastAsia="......." w:hAnsi="......." w:cs="......."/>
          <w:spacing w:val="0"/>
        </w:rPr>
        <w:t>）投标报价以费率填列。</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spacing w:val="0"/>
        </w:rPr>
        <w:t>（</w:t>
      </w:r>
      <w:r>
        <w:rPr>
          <w:spacing w:val="0"/>
        </w:rPr>
        <w:t>2</w:t>
      </w:r>
      <w:r>
        <w:rPr>
          <w:rFonts w:ascii="......." w:eastAsia="......." w:hAnsi="......." w:cs="......."/>
          <w:spacing w:val="0"/>
        </w:rPr>
        <w:t>）在服务期内，采购人有权在不超过采购预算的前提下，向中标供应商下达每日具体采购订单。</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spacing w:val="0"/>
        </w:rPr>
        <w:t>（</w:t>
      </w:r>
      <w:r>
        <w:rPr>
          <w:spacing w:val="0"/>
        </w:rPr>
        <w:t>3</w:t>
      </w:r>
      <w:r>
        <w:rPr>
          <w:rFonts w:ascii="......." w:eastAsia="......." w:hAnsi="......." w:cs="......."/>
          <w:spacing w:val="0"/>
        </w:rPr>
        <w:t>）按以下原则确定结算价格</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rPr>
        <w:t>结算价格</w:t>
      </w:r>
      <w:r>
        <w:t>=</w:t>
      </w:r>
      <w:r>
        <w:rPr>
          <w:rFonts w:ascii="......." w:eastAsia="......." w:hAnsi="......." w:cs="......."/>
        </w:rPr>
        <w:t>中标供应商所报费率</w:t>
      </w:r>
      <w:r>
        <w:rPr>
          <w:rFonts w:ascii="......." w:eastAsia="......." w:hAnsi="......." w:cs="......."/>
        </w:rPr>
        <w:t>×基础价格</w:t>
      </w:r>
      <w:r>
        <w:t>A</w:t>
      </w:r>
      <w:r>
        <w:rPr>
          <w:rFonts w:ascii="......." w:eastAsia="......." w:hAnsi="......." w:cs="......."/>
        </w:rPr>
        <w:t>×</w:t>
      </w:r>
      <w:r>
        <w:t>1.1</w:t>
      </w:r>
      <w:r>
        <w:rPr>
          <w:rFonts w:ascii="......." w:eastAsia="......." w:hAnsi="......." w:cs="......."/>
        </w:rPr>
        <w:t>。</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rPr>
        <w:t>结算价格</w:t>
      </w:r>
      <w:r>
        <w:t>=</w:t>
      </w:r>
      <w:r>
        <w:rPr>
          <w:rFonts w:ascii="......." w:eastAsia="......." w:hAnsi="......." w:cs="......."/>
        </w:rPr>
        <w:t>中标供应商所报费率</w:t>
      </w:r>
      <w:r>
        <w:rPr>
          <w:rFonts w:ascii="......." w:eastAsia="......." w:hAnsi="......." w:cs="......."/>
        </w:rPr>
        <w:t>×基础价格</w:t>
      </w:r>
      <w:r>
        <w:t>B</w:t>
      </w:r>
      <w:r>
        <w:rPr>
          <w:rFonts w:ascii="......." w:eastAsia="......." w:hAnsi="......." w:cs="......."/>
        </w:rPr>
        <w:t>×</w:t>
      </w:r>
      <w:r>
        <w:t>1.0</w:t>
      </w:r>
      <w:r>
        <w:rPr>
          <w:rFonts w:ascii="......." w:eastAsia="......." w:hAnsi="......." w:cs="......."/>
        </w:rPr>
        <w:t>。</w:t>
      </w:r>
    </w:p>
    <w:p>
      <w:pPr>
        <w:pStyle w:val="15"/>
        <w:spacing w:before="0" w:after="0" w:line="360" w:lineRule="auto"/>
        <w:ind w:left="0" w:right="0" w:firstLine="480"/>
        <w:jc w:val="both"/>
        <w:rPr>
          <w:rFonts w:ascii="Times New Roman" w:eastAsia="Times New Roman" w:hAnsi="Times New Roman" w:cs="Times New Roman"/>
        </w:rPr>
      </w:pPr>
      <w:r>
        <w:t xml:space="preserve">A. </w:t>
      </w:r>
      <w:r>
        <w:rPr>
          <w:rFonts w:ascii="......." w:eastAsia="......." w:hAnsi="......." w:cs="......."/>
        </w:rPr>
        <w:t>基础价格</w:t>
      </w:r>
      <w:r>
        <w:t>A</w:t>
      </w:r>
      <w:r>
        <w:rPr>
          <w:rFonts w:ascii="......." w:eastAsia="......." w:hAnsi="......." w:cs="......."/>
        </w:rPr>
        <w:t>：依次参照</w:t>
      </w:r>
      <w:r>
        <w:rPr>
          <w:rFonts w:ascii="......." w:eastAsia="......." w:hAnsi="......." w:cs="......."/>
        </w:rPr>
        <w:t>“全国农产品批发市场价格信息系统（</w:t>
      </w:r>
      <w:r>
        <w:t>https://pfsc.argi.cn/portal-app/#/indexpage</w:t>
      </w:r>
      <w:r>
        <w:rPr>
          <w:rFonts w:ascii="......." w:eastAsia="......." w:hAnsi="......." w:cs="......."/>
        </w:rPr>
        <w:t>）</w:t>
      </w:r>
      <w:r>
        <w:rPr>
          <w:rFonts w:ascii="......." w:eastAsia="......." w:hAnsi="......." w:cs="......."/>
        </w:rPr>
        <w:t>”食材配送当日发布的天津市金钟河蔬菜贸易中心、天津韩家墅海吉星农产品批发市场、天津何庄子农产品批发市场同等食材的“大宗价”确定为“基础价格</w:t>
      </w:r>
      <w:r>
        <w:t>A</w:t>
      </w:r>
      <w:r>
        <w:rPr>
          <w:rFonts w:ascii="......." w:eastAsia="......." w:hAnsi="......." w:cs="......."/>
        </w:rPr>
        <w:t>”，定价单位为</w:t>
      </w:r>
      <w:r>
        <w:t>500</w:t>
      </w:r>
      <w:r>
        <w:rPr>
          <w:rFonts w:ascii="......." w:eastAsia="......." w:hAnsi="......." w:cs="......."/>
        </w:rPr>
        <w:t>克。</w:t>
      </w:r>
    </w:p>
    <w:p>
      <w:pPr>
        <w:pStyle w:val="15"/>
        <w:spacing w:before="0" w:after="0" w:line="360" w:lineRule="auto"/>
        <w:ind w:left="0" w:right="0" w:firstLine="480"/>
        <w:jc w:val="both"/>
        <w:rPr>
          <w:rFonts w:ascii="Times New Roman" w:eastAsia="Times New Roman" w:hAnsi="Times New Roman" w:cs="Times New Roman"/>
        </w:rPr>
      </w:pPr>
      <w:r>
        <w:t xml:space="preserve">B. </w:t>
      </w:r>
      <w:r>
        <w:rPr>
          <w:rFonts w:ascii="......." w:eastAsia="......." w:hAnsi="......." w:cs="......."/>
        </w:rPr>
        <w:t>基础价格</w:t>
      </w:r>
      <w:r>
        <w:t>B</w:t>
      </w:r>
      <w:r>
        <w:rPr>
          <w:rFonts w:ascii="......." w:eastAsia="......." w:hAnsi="......." w:cs="......."/>
        </w:rPr>
        <w:t>：当</w:t>
      </w:r>
      <w:r>
        <w:rPr>
          <w:rFonts w:ascii="......." w:eastAsia="......." w:hAnsi="......." w:cs="......."/>
        </w:rPr>
        <w:t>“全国农产品批发市场价格信息系统”上述</w:t>
      </w:r>
      <w:r>
        <w:t>3</w:t>
      </w:r>
      <w:r>
        <w:rPr>
          <w:rFonts w:ascii="......." w:eastAsia="......." w:hAnsi="......." w:cs="......."/>
        </w:rPr>
        <w:t>个市场中没有列明所采购食材时，依次参照食材配送当日的多点</w:t>
      </w:r>
      <w:r>
        <w:t>APP</w:t>
      </w:r>
      <w:r>
        <w:rPr>
          <w:rFonts w:ascii="......." w:eastAsia="......." w:hAnsi="......." w:cs="......."/>
        </w:rPr>
        <w:t>、盒马</w:t>
      </w:r>
      <w:r>
        <w:t>APP</w:t>
      </w:r>
      <w:r>
        <w:rPr>
          <w:rFonts w:ascii="......." w:eastAsia="......." w:hAnsi="......." w:cs="......."/>
        </w:rPr>
        <w:t>、七鲜</w:t>
      </w:r>
      <w:r>
        <w:t>APP</w:t>
      </w:r>
      <w:r>
        <w:rPr>
          <w:rFonts w:ascii="......." w:eastAsia="......." w:hAnsi="......." w:cs="......."/>
        </w:rPr>
        <w:t>同等食材价格（不含打折、促销和优惠券）确定为</w:t>
      </w:r>
      <w:r>
        <w:rPr>
          <w:rFonts w:ascii="......." w:eastAsia="......." w:hAnsi="......." w:cs="......."/>
        </w:rPr>
        <w:t>“基础价格</w:t>
      </w:r>
      <w:r>
        <w:t>B</w:t>
      </w:r>
      <w:r>
        <w:rPr>
          <w:rFonts w:ascii="......." w:eastAsia="......." w:hAnsi="......." w:cs="......."/>
        </w:rPr>
        <w:t>”，定价单位为</w:t>
      </w:r>
      <w:r>
        <w:t>500</w:t>
      </w:r>
      <w:r>
        <w:rPr>
          <w:rFonts w:ascii="......." w:eastAsia="......." w:hAnsi="......." w:cs="......."/>
        </w:rPr>
        <w:t>克。零售商品有多个规格的，以最大规格的每</w:t>
      </w:r>
      <w:r>
        <w:t>500</w:t>
      </w:r>
      <w:r>
        <w:rPr>
          <w:rFonts w:ascii="......." w:eastAsia="......." w:hAnsi="......." w:cs="......."/>
        </w:rPr>
        <w:t>克价格为定价依据。</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rPr>
        <w:t>所报费率＞</w:t>
      </w:r>
      <w:r>
        <w:t>100%</w:t>
      </w:r>
      <w:r>
        <w:rPr>
          <w:rFonts w:ascii="......." w:eastAsia="......." w:hAnsi="......." w:cs="......."/>
        </w:rPr>
        <w:t>的，视为无效投标。</w:t>
      </w:r>
    </w:p>
    <w:p>
      <w:pPr>
        <w:pStyle w:val="15"/>
        <w:spacing w:before="0" w:after="0" w:line="360" w:lineRule="auto"/>
        <w:ind w:left="0" w:right="0" w:firstLine="480"/>
        <w:jc w:val="both"/>
        <w:rPr>
          <w:rFonts w:ascii="Times New Roman" w:eastAsia="Times New Roman" w:hAnsi="Times New Roman" w:cs="Times New Roman"/>
        </w:rPr>
      </w:pPr>
      <w:r>
        <w:rPr>
          <w:rFonts w:ascii="......." w:eastAsia="......." w:hAnsi="......." w:cs="......."/>
        </w:rPr>
        <w:t>注：网上应答报价仅填写费率</w:t>
      </w:r>
      <w:r>
        <w:t>%</w:t>
      </w:r>
      <w:r>
        <w:rPr>
          <w:rFonts w:ascii="......." w:eastAsia="......." w:hAnsi="......." w:cs="......."/>
        </w:rPr>
        <w:t>左侧数字，如所报费率为</w:t>
      </w:r>
      <w:r>
        <w:t>95%</w:t>
      </w:r>
      <w:r>
        <w:rPr>
          <w:rFonts w:ascii="......." w:eastAsia="......." w:hAnsi="......." w:cs="......."/>
        </w:rPr>
        <w:t>，网上应答仅填写</w:t>
      </w:r>
      <w:r>
        <w:rPr>
          <w:rFonts w:ascii="......." w:eastAsia="......." w:hAnsi="......." w:cs="......."/>
        </w:rPr>
        <w:t>“</w:t>
      </w:r>
      <w:r>
        <w:t>95</w:t>
      </w:r>
      <w:r>
        <w:rPr>
          <w:rFonts w:ascii="......." w:eastAsia="......." w:hAnsi="......." w:cs="......."/>
        </w:rPr>
        <w:t>”。</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2.4异常低价审查</w:t>
      </w:r>
    </w:p>
    <w:p>
      <w:pPr>
        <w:pStyle w:val="15"/>
        <w:spacing w:before="0" w:after="0" w:line="360" w:lineRule="auto"/>
        <w:ind w:left="0" w:right="0" w:firstLine="480"/>
        <w:jc w:val="both"/>
        <w:rPr>
          <w:rFonts w:ascii="Times New Roman" w:eastAsia="Times New Roman" w:hAnsi="Times New Roman" w:cs="Times New Roman"/>
        </w:rPr>
      </w:pPr>
      <w:r>
        <w:rPr>
          <w:rFonts w:ascii="SimSun" w:eastAsia="SimSun" w:hAnsi="SimSun" w:cs="SimSun"/>
        </w:rPr>
        <w:t>政府采购评审中出现下列情形之一的，评审委员会应当启动异常低价投标（响应）审查程序：</w:t>
      </w:r>
    </w:p>
    <w:p>
      <w:pPr>
        <w:pStyle w:val="15"/>
        <w:spacing w:before="0" w:after="0" w:line="360" w:lineRule="auto"/>
        <w:ind w:left="0" w:right="0" w:firstLine="480"/>
        <w:jc w:val="both"/>
        <w:rPr>
          <w:rFonts w:ascii="Times New Roman" w:eastAsia="Times New Roman" w:hAnsi="Times New Roman" w:cs="Times New Roman"/>
        </w:rPr>
      </w:pPr>
      <w:r>
        <w:rPr>
          <w:rFonts w:ascii="SimSun" w:eastAsia="SimSun" w:hAnsi="SimSun" w:cs="SimSun"/>
        </w:rPr>
        <w:t>1. 投标（响应）报价低于全部通过符合性审查供应商投标（响应）报价平均值65%的，即投标（响应）报价小于全部通过符合性审查供应商投标（响应）报价平均值×65%；</w:t>
      </w:r>
    </w:p>
    <w:p>
      <w:pPr>
        <w:pStyle w:val="15"/>
        <w:spacing w:before="0" w:after="0" w:line="360" w:lineRule="auto"/>
        <w:ind w:left="0" w:right="0" w:firstLine="480"/>
        <w:jc w:val="both"/>
        <w:rPr>
          <w:rFonts w:ascii="Times New Roman" w:eastAsia="Times New Roman" w:hAnsi="Times New Roman" w:cs="Times New Roman"/>
        </w:rPr>
      </w:pPr>
      <w:r>
        <w:rPr>
          <w:rFonts w:ascii="SimSun" w:eastAsia="SimSun" w:hAnsi="SimSun" w:cs="SimSun"/>
        </w:rPr>
        <w:t>2. 投标（响应）报价低于通过符合性审查的次低报价供应商投标（响应）报价65%的，即投标（响应）报价小于通过符合性审查的次低报价供应商投标（响应）报价×65%；</w:t>
      </w:r>
    </w:p>
    <w:p>
      <w:pPr>
        <w:pStyle w:val="15"/>
        <w:spacing w:before="0" w:after="0" w:line="360" w:lineRule="auto"/>
        <w:ind w:left="0" w:right="0" w:firstLine="480"/>
        <w:jc w:val="both"/>
        <w:rPr>
          <w:rFonts w:ascii="Times New Roman" w:eastAsia="Times New Roman" w:hAnsi="Times New Roman" w:cs="Times New Roman"/>
        </w:rPr>
      </w:pPr>
      <w:r>
        <w:rPr>
          <w:rFonts w:ascii="SimSun" w:eastAsia="SimSun" w:hAnsi="SimSun" w:cs="SimSun"/>
        </w:rPr>
        <w:t>3. 投标（响应）报价低于采购项目最高限价65%的，即投标（响应）报价小于采购项目最高限价×65%；</w:t>
      </w:r>
    </w:p>
    <w:p>
      <w:pPr>
        <w:pStyle w:val="15"/>
        <w:spacing w:before="0" w:after="0" w:line="360" w:lineRule="auto"/>
        <w:ind w:left="0" w:right="0" w:firstLine="480"/>
        <w:jc w:val="both"/>
        <w:rPr>
          <w:rFonts w:ascii="Times New Roman" w:eastAsia="Times New Roman" w:hAnsi="Times New Roman" w:cs="Times New Roman"/>
        </w:rPr>
      </w:pPr>
      <w:r>
        <w:rPr>
          <w:rFonts w:ascii="SimSun" w:eastAsia="SimSun" w:hAnsi="SimSun" w:cs="SimSun"/>
        </w:rPr>
        <w:t>4.评审委员会基于专业判断，认为供应商报价过低，有可能影响产品质量或者不能诚信履约的其他情形。</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3项目需求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3.1总体要求</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3.2采购产品一览表</w:t>
      </w:r>
    </w:p>
    <w:tbl>
      <w:tblPr>
        <w:tblW w:w="5000" w:type="pct"/>
        <w:tblInd w:w="30" w:type="dxa"/>
        <w:tblCellMar>
          <w:top w:w="15" w:type="dxa"/>
          <w:left w:w="15" w:type="dxa"/>
          <w:bottom w:w="15" w:type="dxa"/>
          <w:right w:w="15" w:type="dxa"/>
        </w:tblCellMar>
      </w:tblPr>
      <w:tblGrid>
        <w:gridCol w:w="925"/>
        <w:gridCol w:w="1754"/>
        <w:gridCol w:w="1673"/>
        <w:gridCol w:w="1659"/>
        <w:gridCol w:w="1657"/>
        <w:gridCol w:w="16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皮蛋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窝头面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地瓜粉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其他杂粮粉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糙米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熟面条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锅巴菜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拉皮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云吞皮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凉皮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其他酱料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炖肉料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奥尔良料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腌杏仁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油醋汁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菌汤包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其他汤底料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涮肉料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蚝油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甜面酱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辣鲜露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郫县豆瓣酱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沙拉酱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蘑菇干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核桃仁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燕麦片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烘焙油脂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黑芝麻碎</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点心配料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其他烘焙辅料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猪板油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羊骨头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鸡骨架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鸡内脏</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火锅丸子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腌制肉串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塌目鱼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鱿鱼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鲈鱼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小黄鱼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扇贝肉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养殖虾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河虾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小平鱼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清江鱼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罗非鱼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1000ml</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250ml</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27340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180g</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橙子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粑粑柑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丑橘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芒果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猕猴桃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柚子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葡萄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荷兰乳瓜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圣女果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盖菜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杭椒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豇豆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罗马生菜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尖椒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球生菜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板栗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水果青萝卜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四季豆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豌豆苗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西蓝花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紫甘蓝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3.3采购产品详细清单及技术指标</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0"/>
        <w:gridCol w:w="832"/>
        <w:gridCol w:w="2545"/>
        <w:gridCol w:w="25612"/>
        <w:gridCol w:w="642"/>
        <w:gridCol w:w="159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（11）所有食材的来源清晰，蔬菜来源于受到地方政府部门监管的自有基地、商品菜基地或蔬菜专业流通市场，不供应散户溯源不清的蔬菜。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猪主要部位肉符合GB/T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鸡爪：品质新鲜、呈白色或灰白色、无黄皮趾壳、无血污、血水、无残缺、脚趾根上无黑斑、允许有少量红斑。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3.4服务要求</w:t>
      </w:r>
    </w:p>
    <w:tbl>
      <w:tblPr>
        <w:tblW w:w="5000" w:type="pct"/>
        <w:tblInd w:w="30" w:type="dxa"/>
        <w:tblCellMar>
          <w:top w:w="15" w:type="dxa"/>
          <w:left w:w="15" w:type="dxa"/>
          <w:bottom w:w="15" w:type="dxa"/>
          <w:right w:w="15" w:type="dxa"/>
        </w:tblCellMar>
      </w:tblPr>
      <w:tblGrid>
        <w:gridCol w:w="496"/>
        <w:gridCol w:w="1754"/>
        <w:gridCol w:w="1964"/>
        <w:gridCol w:w="2065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投标人自有或租赁库房面积不小于300平米，自有或租赁冷库吨位不小于200吨（或面积不小于80平米）。能够满足按采购人需求完成配送任务。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1月1日以来具有鲜冻禽畜肉类食材（含本包拟配送食材）的进货内容。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能够完成本合同采购鲜冻禽畜肉的简易加工，如切丝、丁、块、片等。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1月1日以来具有主副食调料等其他类其他食材类食材（含本包拟配送食材）的进货内容。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1月1日以来具有果蔬水产奶制品类食材（含本包拟配送食材）的进货内容。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能够完成本合同采购食材的简易加工，如鱼类宰杀去鳃去鳞去内脏、蔬菜洗净削皮等。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生鲜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3.5其他要求</w:t>
      </w:r>
    </w:p>
    <w:p>
      <w:pPr>
        <w:pStyle w:val="17"/>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5）用非食品原料加工的，加入非食品用化学物质或者将非食品当作食品的；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6）超过保质期限的；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7）使用有色、有毒塑料制品、包装食材的；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8）其他不符合《食品安全法》和《产品质量法》等相关规定的。</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4人员要求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4.1团队要求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4.1.1基本要求</w:t>
      </w:r>
    </w:p>
    <w:p>
      <w:pPr>
        <w:pStyle w:val="15"/>
        <w:spacing w:before="0" w:after="0" w:line="360" w:lineRule="auto"/>
        <w:ind w:left="0" w:right="0" w:firstLine="480"/>
        <w:rPr>
          <w:rFonts w:ascii="Times New Roman" w:eastAsia="Times New Roman" w:hAnsi="Times New Roman" w:cs="Times New Roman"/>
        </w:rPr>
      </w:pPr>
      <w:r>
        <w:t xml:space="preserve">1. </w:t>
      </w:r>
      <w:r>
        <w:rPr>
          <w:rFonts w:ascii="SimSun" w:eastAsia="SimSun" w:hAnsi="SimSun" w:cs="SimSun"/>
        </w:rPr>
        <w:t>投标人应提供专业的管理和采购团队，团队编制和人员资质务必保证运营服务质量。提供的服务团队应保持稳定，项目执行期间人员变动不超过</w:t>
      </w:r>
      <w:r>
        <w:t>20%</w:t>
      </w:r>
      <w:r>
        <w:rPr>
          <w:rFonts w:ascii="SimSun" w:eastAsia="SimSun" w:hAnsi="SimSun" w:cs="SimSun"/>
        </w:rPr>
        <w:t>。</w:t>
      </w:r>
    </w:p>
    <w:p>
      <w:pPr>
        <w:pStyle w:val="15"/>
        <w:spacing w:before="0" w:after="0" w:line="360" w:lineRule="auto"/>
        <w:ind w:left="0" w:right="0" w:firstLine="480"/>
        <w:rPr>
          <w:rFonts w:ascii="Times New Roman" w:eastAsia="Times New Roman" w:hAnsi="Times New Roman" w:cs="Times New Roman"/>
        </w:rPr>
      </w:pPr>
      <w:r>
        <w:t xml:space="preserve">2. </w:t>
      </w:r>
      <w:r>
        <w:rPr>
          <w:rFonts w:ascii="SimSun" w:eastAsia="SimSun" w:hAnsi="SimSun" w:cs="SimSun"/>
        </w:rPr>
        <w:t>投入以下人员：</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w:t>
      </w:r>
      <w:r>
        <w:t>1</w:t>
      </w:r>
      <w:r>
        <w:rPr>
          <w:rFonts w:ascii="SimSun" w:eastAsia="SimSun" w:hAnsi="SimSun" w:cs="SimSun"/>
        </w:rPr>
        <w:t>）经理</w:t>
      </w:r>
      <w:r>
        <w:t>1</w:t>
      </w:r>
      <w:r>
        <w:rPr>
          <w:rFonts w:ascii="SimSun" w:eastAsia="SimSun" w:hAnsi="SimSun" w:cs="SimSun"/>
        </w:rPr>
        <w:t>人，具有</w:t>
      </w:r>
      <w:r>
        <w:t>5</w:t>
      </w:r>
      <w:r>
        <w:rPr>
          <w:rFonts w:ascii="SimSun" w:eastAsia="SimSun" w:hAnsi="SimSun" w:cs="SimSun"/>
        </w:rPr>
        <w:t>年以上食材供应项目管理工作经验，具备卫生防疫部门或医疗机构颁发的健康证。</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w:t>
      </w:r>
      <w:r>
        <w:t>2</w:t>
      </w:r>
      <w:r>
        <w:rPr>
          <w:rFonts w:ascii="SimSun" w:eastAsia="SimSun" w:hAnsi="SimSun" w:cs="SimSun"/>
        </w:rPr>
        <w:t>）供应业务员</w:t>
      </w:r>
      <w:r>
        <w:t>2</w:t>
      </w:r>
      <w:r>
        <w:rPr>
          <w:rFonts w:ascii="SimSun" w:eastAsia="SimSun" w:hAnsi="SimSun" w:cs="SimSun"/>
        </w:rPr>
        <w:t>人，具有</w:t>
      </w:r>
      <w:r>
        <w:t>3</w:t>
      </w:r>
      <w:r>
        <w:rPr>
          <w:rFonts w:ascii="SimSun" w:eastAsia="SimSun" w:hAnsi="SimSun" w:cs="SimSun"/>
        </w:rPr>
        <w:t>年及以上食材供应项目工作经验，具备卫生防疫部门或医疗机构颁发的健康证。</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w:t>
      </w:r>
      <w:r>
        <w:t>3</w:t>
      </w:r>
      <w:r>
        <w:rPr>
          <w:rFonts w:ascii="SimSun" w:eastAsia="SimSun" w:hAnsi="SimSun" w:cs="SimSun"/>
        </w:rPr>
        <w:t>）食品安全管理员</w:t>
      </w:r>
      <w:r>
        <w:t>1</w:t>
      </w:r>
      <w:r>
        <w:rPr>
          <w:rFonts w:ascii="SimSun" w:eastAsia="SimSun" w:hAnsi="SimSun" w:cs="SimSun"/>
        </w:rPr>
        <w:t>人，具有</w:t>
      </w:r>
      <w:r>
        <w:t>3</w:t>
      </w:r>
      <w:r>
        <w:rPr>
          <w:rFonts w:ascii="SimSun" w:eastAsia="SimSun" w:hAnsi="SimSun" w:cs="SimSun"/>
        </w:rPr>
        <w:t>年及以上食品安全管理工作经验，具备卫生防疫部门或医疗机构颁发的健康证。</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w:t>
      </w:r>
      <w:r>
        <w:t>4</w:t>
      </w:r>
      <w:r>
        <w:rPr>
          <w:rFonts w:ascii="SimSun" w:eastAsia="SimSun" w:hAnsi="SimSun" w:cs="SimSun"/>
        </w:rPr>
        <w:t>）采购员</w:t>
      </w:r>
      <w:r>
        <w:t>2</w:t>
      </w:r>
      <w:r>
        <w:rPr>
          <w:rFonts w:ascii="SimSun" w:eastAsia="SimSun" w:hAnsi="SimSun" w:cs="SimSun"/>
        </w:rPr>
        <w:t>人，具有</w:t>
      </w:r>
      <w:r>
        <w:t>3</w:t>
      </w:r>
      <w:r>
        <w:rPr>
          <w:rFonts w:ascii="SimSun" w:eastAsia="SimSun" w:hAnsi="SimSun" w:cs="SimSun"/>
        </w:rPr>
        <w:t>年及以上食材采购工作经验，具备卫生防疫部门或医疗机构颁发的健康证。</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w:t>
      </w:r>
      <w:r>
        <w:t>5</w:t>
      </w:r>
      <w:r>
        <w:rPr>
          <w:rFonts w:ascii="SimSun" w:eastAsia="SimSun" w:hAnsi="SimSun" w:cs="SimSun"/>
        </w:rPr>
        <w:t>）配送司机</w:t>
      </w:r>
      <w:r>
        <w:t>2</w:t>
      </w:r>
      <w:r>
        <w:rPr>
          <w:rFonts w:ascii="SimSun" w:eastAsia="SimSun" w:hAnsi="SimSun" w:cs="SimSun"/>
        </w:rPr>
        <w:t>名，具有</w:t>
      </w:r>
      <w:r>
        <w:t>3</w:t>
      </w:r>
      <w:r>
        <w:rPr>
          <w:rFonts w:ascii="SimSun" w:eastAsia="SimSun" w:hAnsi="SimSun" w:cs="SimSun"/>
        </w:rPr>
        <w:t>年以上相关工作经验，具备卫生防疫部门或医疗机构颁发的健康证。</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以上人员在服务过程中应热情服务、遵规守法，具备较强的沟通能力和临时紧急配送调换的处置能力。</w:t>
      </w:r>
    </w:p>
    <w:p>
      <w:pPr>
        <w:pStyle w:val="15"/>
        <w:spacing w:before="0" w:after="0" w:line="360" w:lineRule="auto"/>
        <w:ind w:left="0" w:right="0" w:firstLine="480"/>
        <w:rPr>
          <w:rFonts w:ascii="Times New Roman" w:eastAsia="Times New Roman" w:hAnsi="Times New Roman" w:cs="Times New Roman"/>
        </w:rPr>
      </w:pPr>
      <w:r>
        <w:rPr>
          <w:rFonts w:ascii="SimSun" w:eastAsia="SimSun" w:hAnsi="SimSun" w:cs="SimSun"/>
        </w:rPr>
        <w:t>建立成熟完善的透明化责任体系，明确以上各岗位工作职责，制定岗位工作说明，确保制度能有效运转。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5管理实施要求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6风险管控要求</w:t>
      </w:r>
    </w:p>
    <w:p>
      <w:pPr>
        <w:pStyle w:val="19"/>
        <w:spacing w:before="0" w:after="0" w:line="360" w:lineRule="auto"/>
        <w:ind w:firstLine="642"/>
        <w:rPr>
          <w:rFonts w:ascii="Times New Roman" w:eastAsia="Times New Roman" w:hAnsi="Times New Roman" w:cs="Times New Roman"/>
        </w:rPr>
      </w:pPr>
      <w:r>
        <w:rPr>
          <w:rFonts w:ascii="FangSong" w:eastAsia="FangSong" w:hAnsi="FangSong" w:cs="FangSong"/>
          <w:b/>
          <w:bCs/>
          <w:sz w:val="28"/>
          <w:szCs w:val="28"/>
        </w:rPr>
        <w:t>（一）应急保障方案要求</w:t>
      </w:r>
    </w:p>
    <w:p>
      <w:pPr>
        <w:pStyle w:val="19"/>
        <w:spacing w:before="0" w:after="0" w:line="360" w:lineRule="auto"/>
        <w:ind w:firstLine="640"/>
        <w:rPr>
          <w:rFonts w:ascii="Times New Roman" w:eastAsia="Times New Roman" w:hAnsi="Times New Roman" w:cs="Times New Roman"/>
        </w:rPr>
      </w:pPr>
      <w:r>
        <w:rPr>
          <w:rFonts w:ascii="FangSong" w:eastAsia="FangSong" w:hAnsi="FangSong" w:cs="FangSong"/>
          <w:sz w:val="28"/>
          <w:szCs w:val="28"/>
        </w:rPr>
        <w:t>投标人应提供在自然灾害、极端事件、市场关闭、物资紧缺等突发紧急情况下拟采取的应急保障方案，包括充分供应、按时保障、质量管控等措施，确保采购人食材及时供应不间断。</w:t>
      </w:r>
    </w:p>
    <w:p>
      <w:pPr>
        <w:pStyle w:val="18"/>
        <w:spacing w:before="0" w:after="0" w:line="360" w:lineRule="auto"/>
        <w:ind w:firstLine="562"/>
        <w:rPr>
          <w:rFonts w:ascii="Times New Roman" w:eastAsia="Times New Roman" w:hAnsi="Times New Roman" w:cs="Times New Roman"/>
        </w:rPr>
      </w:pPr>
      <w:r>
        <w:rPr>
          <w:rFonts w:ascii="FangSong" w:eastAsia="FangSong" w:hAnsi="FangSong" w:cs="FangSong"/>
          <w:b/>
          <w:bCs/>
          <w:sz w:val="28"/>
          <w:szCs w:val="28"/>
        </w:rPr>
        <w:t>（二）违约风险管控要求</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w:t>
      </w:r>
      <w:r>
        <w:rPr>
          <w:rFonts w:ascii="FangSong" w:eastAsia="FangSong" w:hAnsi="FangSong" w:cs="FangSong"/>
          <w:sz w:val="28"/>
          <w:szCs w:val="28"/>
        </w:rPr>
        <w:t>不收取履约保证金。有下列情形之一的，采购人有权按照以下约定及合同违约相关条款处理：</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因投标人配送不及时导致采购人供餐延误并造成重大影响的；</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凡经相关部门认定，因投标人所提供的原料原因造成采购人食堂出现食物中毒等卫生安全事故的，投标人除必须承担全部的法律责任外，还要全额承担因食物中毒发生所造成后果的一切费用；</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除不可抗力及采购人原因外，因投标人配送不及时导致采购人伙食供应延时，但经投标人采取补救措施未造成采购人不良影响的，出现三次终止供货合同；</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4）</w:t>
      </w:r>
      <w:r>
        <w:rPr>
          <w:rFonts w:ascii="FangSong" w:eastAsia="FangSong" w:hAnsi="FangSong" w:cs="FangSong"/>
          <w:sz w:val="28"/>
          <w:szCs w:val="28"/>
        </w:rPr>
        <w:t>凡投标人向采购人提供产品发生质量问题影响食用，并拒绝退换的；</w:t>
      </w:r>
    </w:p>
    <w:p>
      <w:pPr>
        <w:pStyle w:val="16"/>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5）</w:t>
      </w:r>
      <w:r>
        <w:rPr>
          <w:rFonts w:ascii="FangSong" w:eastAsia="FangSong" w:hAnsi="FangSong" w:cs="FangSong"/>
          <w:sz w:val="28"/>
          <w:szCs w:val="28"/>
        </w:rPr>
        <w:t>采购人将不定期组织专人对食材进行抽检，若发现质量不符，采购人有权要求予以退换货。</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 w:eastAsia="FangSong" w:hAnsi="FangSong" w:cs="FangSong"/>
          <w:sz w:val="28"/>
          <w:szCs w:val="28"/>
        </w:rPr>
        <w:t>投标人有下列情形之一的，采购人有权解除合同，由投标人承担全部经济损失和相关责任：</w:t>
      </w:r>
    </w:p>
    <w:p>
      <w:pPr>
        <w:pStyle w:val="17"/>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投标人以书面、微信、短信等方式通知采购人不再供货，包括对部分食材不再供货；</w:t>
      </w:r>
    </w:p>
    <w:p>
      <w:pPr>
        <w:pStyle w:val="17"/>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投标人虽未通知采购人不再供货，但</w:t>
      </w:r>
      <w:r>
        <w:rPr>
          <w:rFonts w:ascii="FangSong" w:eastAsia="FangSong" w:hAnsi="FangSong" w:cs="FangSong"/>
          <w:sz w:val="28"/>
          <w:szCs w:val="28"/>
        </w:rPr>
        <w:t>1天没有供应采购人采购的货物，包括对部分食材没有供货；</w:t>
      </w:r>
    </w:p>
    <w:p>
      <w:pPr>
        <w:pStyle w:val="15"/>
        <w:spacing w:before="0" w:after="0" w:line="360" w:lineRule="auto"/>
        <w:ind w:firstLine="48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7履约验收要求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7.1总体要求</w:t>
      </w:r>
    </w:p>
    <w:tbl>
      <w:tblPr>
        <w:tblW w:w="5000" w:type="pct"/>
        <w:tblInd w:w="30" w:type="dxa"/>
        <w:tblCellMar>
          <w:top w:w="15" w:type="dxa"/>
          <w:left w:w="15" w:type="dxa"/>
          <w:bottom w:w="15" w:type="dxa"/>
          <w:right w:w="15" w:type="dxa"/>
        </w:tblCellMar>
      </w:tblPr>
      <w:tblGrid>
        <w:gridCol w:w="917"/>
        <w:gridCol w:w="29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收货验收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 1.验收人员：由采购人食堂管理人员、库房管理人员组成验收小组，投标人送货人员应积极配合验收。 2.验收时间和地点 （1）验收时间：到货当天。 （2）验收地点：国家税务总局天津市税务局第二稽查局食堂（河西区解放南路281号）。 （3）验收组织形式：采购人组织验收。 （4）验收方式：现场验收。 （5）验收内容 （a）质量是否符合约定标准； （b）重量、数量、价格是否与采购人的预定量一致。 3.验收流程 （1）投标人应在验收时提供与送货内容一致的送货单，并加盖公章。 （2）卸货前的检查。验收人员卸货前应对货物的外观质量进行初步了解。 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 （3）采取当场验收的方式，验收人认真检查货物，按核对品种→索证→抽查(检测）→数量、重量、质量、价格验收→签名确认→入库的程序完成验收。 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 要求投标人提供产品质量检测报告及卫生合格报告书，肉类产品应提供当地卫生部门开具的动物检验检疫合格票、产品检疫合格证，证明内容与产品内容要一致。投标人以提供原件为主，不能留原件的提供复印件。 （4）发现食品安全质量问题的处理： 抽查时发现食品质量不过关或影响食用安全的，对当日所送同批次产品全部退货。 若抽查未发现问题，按储藏要求储藏后在加工食用前发现产品质量问题的，投标人必须退货或更换。 4.退（补）货流程 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 包装带箱、筐的食材按照去除箱、筐后的重量计算。投标人需配合采购人库管人员进行倒筐称重，共同签字确认。 （二）货物验收方案。 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7.2具体要求</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1.</w:t>
      </w:r>
      <w:r>
        <w:rPr>
          <w:rFonts w:ascii="FangSong" w:eastAsia="FangSong" w:hAnsi="FangSong" w:cs="FangSong"/>
          <w:sz w:val="28"/>
          <w:szCs w:val="28"/>
        </w:rPr>
        <w:t>验收场所的准备</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 w:eastAsia="FangSong" w:hAnsi="FangSong" w:cs="FangSong"/>
          <w:sz w:val="28"/>
          <w:szCs w:val="28"/>
        </w:rPr>
        <w:t>验收小组按订单对采购货物的品种、质量、数量进行检查验收，对货不对版、质量不好、价格明显过于偏高的食材不予验收，对于数量不足的食材，按照实际数量入账，填制验收记录和验收单。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w:t>
      </w:r>
      <w:r>
        <w:rPr>
          <w:rFonts w:ascii="FangSong" w:eastAsia="FangSong" w:hAnsi="FangSong" w:cs="FangSong"/>
          <w:sz w:val="28"/>
          <w:szCs w:val="28"/>
        </w:rPr>
        <w:t>验收流程</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1</w:t>
      </w:r>
      <w:r>
        <w:rPr>
          <w:rFonts w:ascii="FangSong" w:eastAsia="FangSong" w:hAnsi="FangSong" w:cs="FangSong"/>
          <w:sz w:val="28"/>
          <w:szCs w:val="28"/>
        </w:rPr>
        <w:t>）投标人应在验收时提供与送货内容一致的送货单，并加盖公章。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2）</w:t>
      </w:r>
      <w:r>
        <w:rPr>
          <w:rFonts w:ascii="FangSong" w:eastAsia="FangSong" w:hAnsi="FangSong" w:cs="FangSong"/>
          <w:sz w:val="28"/>
          <w:szCs w:val="28"/>
        </w:rPr>
        <w:t>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3）</w:t>
      </w:r>
      <w:r>
        <w:rPr>
          <w:rFonts w:ascii="FangSong" w:eastAsia="FangSong" w:hAnsi="FangSong" w:cs="FangSong"/>
          <w:sz w:val="28"/>
          <w:szCs w:val="28"/>
        </w:rPr>
        <w:t>采取当场验收的方式，验收人认真检查货物，按核对品种</w:t>
      </w:r>
      <w:r>
        <w:rPr>
          <w:rFonts w:ascii="FangSong" w:eastAsia="FangSong" w:hAnsi="FangSong" w:cs="FangSong"/>
          <w:sz w:val="28"/>
          <w:szCs w:val="28"/>
        </w:rPr>
        <w:t>→索证→抽查(检测）→数量、重量、质量、价格验收→签名确认→入库的程序完成验收。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要求投标人提供产品质量检测报告及卫生合格报告书，证明内容与产品内容要一致。投标人以提供原件为主，不能留原件的提供复印件。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w:t>
      </w:r>
      <w:r>
        <w:rPr>
          <w:rFonts w:ascii="仿宋_GB2312" w:eastAsia="仿宋_GB2312" w:hAnsi="仿宋_GB2312" w:cs="仿宋_GB2312"/>
          <w:sz w:val="28"/>
          <w:szCs w:val="28"/>
        </w:rPr>
        <w:t>4）</w:t>
      </w:r>
      <w:r>
        <w:rPr>
          <w:rFonts w:ascii="FangSong" w:eastAsia="FangSong" w:hAnsi="FangSong" w:cs="FangSong"/>
          <w:sz w:val="28"/>
          <w:szCs w:val="28"/>
        </w:rPr>
        <w:t>发现食品质量安全问题的处理：</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w:t>
      </w:r>
      <w:r>
        <w:rPr>
          <w:rFonts w:ascii="FangSong" w:eastAsia="FangSong" w:hAnsi="FangSong" w:cs="FangSong"/>
          <w:sz w:val="28"/>
          <w:szCs w:val="28"/>
        </w:rPr>
        <w:t>退（补）货流程</w:t>
      </w:r>
    </w:p>
    <w:p>
      <w:pPr>
        <w:pStyle w:val="15"/>
        <w:spacing w:before="0" w:after="0" w:line="360" w:lineRule="auto"/>
        <w:ind w:left="0" w:firstLine="640"/>
        <w:jc w:val="both"/>
        <w:rPr>
          <w:rFonts w:ascii="Times New Roman" w:eastAsia="Times New Roman" w:hAnsi="Times New Roman" w:cs="Times New Roman"/>
        </w:rPr>
      </w:pPr>
      <w:r>
        <w:rPr>
          <w:rFonts w:ascii="FangSong" w:eastAsia="FangSong" w:hAnsi="FangSong" w:cs="FangSong"/>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FangSong" w:eastAsia="FangSong" w:hAnsi="FangSong" w:cs="FangSong"/>
          <w:sz w:val="28"/>
          <w:szCs w:val="28"/>
        </w:rPr>
        <w:t>1小时内补送订单品种。</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5.</w:t>
      </w:r>
      <w:r>
        <w:rPr>
          <w:rFonts w:ascii="FangSong" w:eastAsia="FangSong" w:hAnsi="FangSong" w:cs="FangSong"/>
          <w:sz w:val="28"/>
          <w:szCs w:val="28"/>
        </w:rPr>
        <w:t>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8其他要求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8.1必备要求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8.1.1通用必备要求</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8.2付款安排建议</w:t>
      </w:r>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1.核对货款 每月5日前中标供应商按照原始验收单据主动与采购人核对上一个月的货款。 2.付款方式 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8.3其他要求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8.3.1保密要求</w:t>
      </w:r>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32"/>
          <w:szCs w:val="32"/>
        </w:rPr>
        <w:t>中标供应商应提供遵守国家税务总局天津市税务局</w:t>
      </w:r>
      <w:r>
        <w:rPr>
          <w:rFonts w:ascii="仿宋_GB2312" w:eastAsia="仿宋_GB2312" w:hAnsi="仿宋_GB2312" w:cs="仿宋_GB2312"/>
          <w:spacing w:val="0"/>
          <w:sz w:val="32"/>
          <w:szCs w:val="32"/>
        </w:rPr>
        <w:t>第二稽查局</w:t>
      </w:r>
      <w:r>
        <w:rPr>
          <w:rFonts w:ascii="仿宋_GB2312" w:eastAsia="仿宋_GB2312" w:hAnsi="仿宋_GB2312" w:cs="仿宋_GB2312"/>
          <w:spacing w:val="0"/>
          <w:sz w:val="32"/>
          <w:szCs w:val="32"/>
        </w:rPr>
        <w:t>相关安全保密制度规定的承诺函，并签订保密协议。若中标供应商服务人员违反信息安全保密制度相关规定，对税务机关造成利益损害的，中标供应商应承担相关法律责任。</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17</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7">
    <w:name w:val="17"/>
    <w:basedOn w:val="Normal"/>
  </w:style>
  <w:style w:type="paragraph" w:customStyle="1" w:styleId="16">
    <w:name w:val="16"/>
    <w:basedOn w:val="Normal"/>
  </w:style>
  <w:style w:type="paragraph" w:customStyle="1" w:styleId="19">
    <w:name w:val="19"/>
    <w:basedOn w:val="Normal"/>
  </w:style>
  <w:style w:type="paragraph" w:customStyle="1" w:styleId="18">
    <w:name w:val="18"/>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17</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