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418" w:rsidRDefault="001E3418">
      <w:pPr>
        <w:pStyle w:val="a2"/>
        <w:ind w:firstLineChars="0" w:firstLine="0"/>
        <w:rPr>
          <w:rStyle w:val="Heading2Char"/>
          <w:rFonts w:ascii="黑体" w:eastAsia="黑体" w:hAnsi="黑体" w:cs="Times New Roman"/>
          <w:b/>
          <w:bCs/>
          <w:kern w:val="44"/>
          <w:sz w:val="28"/>
          <w:szCs w:val="28"/>
        </w:rPr>
      </w:pPr>
      <w:r>
        <w:rPr>
          <w:rStyle w:val="Heading2Char"/>
          <w:rFonts w:ascii="黑体" w:eastAsia="黑体" w:hAnsi="黑体" w:cs="黑体"/>
          <w:b/>
          <w:bCs/>
          <w:kern w:val="44"/>
          <w:sz w:val="28"/>
          <w:szCs w:val="28"/>
        </w:rPr>
        <w:t xml:space="preserve">1.5.10—033  </w:t>
      </w:r>
      <w:r>
        <w:rPr>
          <w:rStyle w:val="Heading2Char"/>
          <w:rFonts w:ascii="黑体" w:eastAsia="黑体" w:hAnsi="黑体" w:cs="黑体" w:hint="eastAsia"/>
          <w:b/>
          <w:bCs/>
          <w:kern w:val="44"/>
          <w:sz w:val="28"/>
          <w:szCs w:val="28"/>
        </w:rPr>
        <w:t>企业所得税汇总纳税信息报告</w:t>
      </w:r>
    </w:p>
    <w:p w:rsidR="001E3418" w:rsidRDefault="001E3418">
      <w:pPr>
        <w:pStyle w:val="a2"/>
        <w:ind w:firstLineChars="0" w:firstLine="0"/>
        <w:rPr>
          <w:rFonts w:cs="Times New Roman"/>
        </w:rPr>
      </w:pPr>
      <w:r>
        <w:rPr>
          <w:rFonts w:hint="eastAsia"/>
        </w:rPr>
        <w:t>【事项名称】</w:t>
      </w:r>
    </w:p>
    <w:p w:rsidR="001E3418" w:rsidRDefault="001E3418">
      <w:pPr>
        <w:pStyle w:val="a2"/>
        <w:ind w:firstLineChars="0" w:firstLine="0"/>
        <w:rPr>
          <w:rFonts w:cs="Times New Roman"/>
          <w:b w:val="0"/>
          <w:bCs w:val="0"/>
        </w:rPr>
      </w:pPr>
      <w:r>
        <w:rPr>
          <w:rFonts w:hint="eastAsia"/>
          <w:b w:val="0"/>
          <w:bCs w:val="0"/>
        </w:rPr>
        <w:t>企业所得税汇总纳税信息报告</w:t>
      </w:r>
    </w:p>
    <w:p w:rsidR="001E3418" w:rsidRDefault="001E3418">
      <w:pPr>
        <w:pStyle w:val="a2"/>
        <w:ind w:firstLineChars="0" w:firstLine="0"/>
        <w:rPr>
          <w:rFonts w:cs="Times New Roman"/>
        </w:rPr>
      </w:pPr>
      <w:r>
        <w:rPr>
          <w:rFonts w:hint="eastAsia"/>
        </w:rPr>
        <w:t>【事项描述</w:t>
      </w:r>
      <w:r>
        <w:t>(</w:t>
      </w:r>
      <w:r>
        <w:rPr>
          <w:rFonts w:hint="eastAsia"/>
        </w:rPr>
        <w:t>申请条件</w:t>
      </w:r>
      <w:r>
        <w:t>)</w:t>
      </w:r>
      <w:r>
        <w:rPr>
          <w:rFonts w:hint="eastAsia"/>
          <w:b w:val="0"/>
          <w:bCs w:val="0"/>
        </w:rPr>
        <w:t>】</w:t>
      </w:r>
    </w:p>
    <w:p w:rsidR="001E3418" w:rsidRDefault="001E3418" w:rsidP="00102C18">
      <w:pPr>
        <w:pStyle w:val="a4"/>
        <w:ind w:firstLine="31680"/>
        <w:rPr>
          <w:rFonts w:cs="Times New Roman"/>
        </w:rPr>
      </w:pPr>
      <w:r>
        <w:rPr>
          <w:rFonts w:hint="eastAsia"/>
        </w:rPr>
        <w:t>居民企业总机构及分支机构（包括不就地分摊缴纳企业所得税的二级分支机构）应填报《企业所得税汇总纳税总分机构信息备案表》，将总机构、所有上级分支机构及下属分支机构信息报送至各自所在地主管税务机关备案。</w:t>
      </w:r>
    </w:p>
    <w:p w:rsidR="001E3418" w:rsidRDefault="001E3418" w:rsidP="00102C18">
      <w:pPr>
        <w:pStyle w:val="a4"/>
        <w:ind w:firstLine="31680"/>
        <w:rPr>
          <w:rFonts w:cs="Times New Roman"/>
        </w:rPr>
      </w:pPr>
      <w:r>
        <w:rPr>
          <w:rFonts w:hint="eastAsia"/>
        </w:rPr>
        <w:t>非居民企业汇总纳税的各机构、场所应在在首次办理汇总缴纳企业所得税申报时，向所在地主管税务机关报送全部机构、场所等信息。</w:t>
      </w:r>
    </w:p>
    <w:p w:rsidR="001E3418" w:rsidRDefault="001E3418">
      <w:pPr>
        <w:pStyle w:val="a4"/>
        <w:ind w:firstLineChars="0" w:firstLine="0"/>
        <w:rPr>
          <w:rFonts w:cs="Times New Roman"/>
          <w:b/>
          <w:bCs/>
        </w:rPr>
      </w:pPr>
      <w:r>
        <w:rPr>
          <w:rFonts w:hint="eastAsia"/>
          <w:b/>
          <w:bCs/>
        </w:rPr>
        <w:t>【办理资料】</w:t>
      </w:r>
    </w:p>
    <w:p w:rsidR="001E3418" w:rsidRDefault="001E3418">
      <w:pPr>
        <w:pStyle w:val="ListParagraph"/>
        <w:numPr>
          <w:ilvl w:val="0"/>
          <w:numId w:val="1"/>
        </w:numPr>
        <w:tabs>
          <w:tab w:val="left" w:pos="884"/>
        </w:tabs>
        <w:spacing w:before="168"/>
        <w:ind w:hanging="182"/>
        <w:rPr>
          <w:rFonts w:cs="Times New Roman"/>
          <w:sz w:val="24"/>
          <w:szCs w:val="24"/>
        </w:rPr>
      </w:pPr>
      <w:r>
        <w:rPr>
          <w:rFonts w:hint="eastAsia"/>
          <w:sz w:val="24"/>
          <w:szCs w:val="24"/>
        </w:rPr>
        <w:t>企业所得税汇总纳税的居民企业总机构及分支机构：</w:t>
      </w:r>
    </w:p>
    <w:p w:rsidR="001E3418" w:rsidRDefault="001E3418">
      <w:pPr>
        <w:pStyle w:val="BodyText"/>
        <w:spacing w:before="6"/>
        <w:ind w:left="0"/>
        <w:rPr>
          <w:rFonts w:cs="Times New Roman"/>
          <w:sz w:val="6"/>
          <w:szCs w:val="6"/>
        </w:rPr>
      </w:pPr>
    </w:p>
    <w:tbl>
      <w:tblPr>
        <w:tblW w:w="816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680"/>
        <w:gridCol w:w="1701"/>
        <w:gridCol w:w="2835"/>
        <w:gridCol w:w="680"/>
        <w:gridCol w:w="2268"/>
      </w:tblGrid>
      <w:tr w:rsidR="001E3418">
        <w:trPr>
          <w:trHeight w:val="670"/>
        </w:trPr>
        <w:tc>
          <w:tcPr>
            <w:tcW w:w="680" w:type="dxa"/>
            <w:shd w:val="clear" w:color="auto" w:fill="D9D9D9"/>
          </w:tcPr>
          <w:p w:rsidR="001E3418" w:rsidRDefault="001E3418">
            <w:pPr>
              <w:pStyle w:val="TableParagraph"/>
              <w:spacing w:before="6"/>
              <w:rPr>
                <w:rFonts w:ascii="宋体" w:cs="Times New Roman"/>
                <w:sz w:val="15"/>
                <w:szCs w:val="15"/>
              </w:rPr>
            </w:pPr>
          </w:p>
          <w:p w:rsidR="001E3418" w:rsidRDefault="001E3418">
            <w:pPr>
              <w:pStyle w:val="TableParagraph"/>
              <w:ind w:left="89" w:right="81"/>
              <w:jc w:val="center"/>
              <w:rPr>
                <w:rFonts w:cs="Times New Roman"/>
                <w:sz w:val="21"/>
                <w:szCs w:val="21"/>
              </w:rPr>
            </w:pPr>
            <w:r>
              <w:rPr>
                <w:rFonts w:hint="eastAsia"/>
                <w:sz w:val="21"/>
                <w:szCs w:val="21"/>
              </w:rPr>
              <w:t>序号</w:t>
            </w:r>
          </w:p>
        </w:tc>
        <w:tc>
          <w:tcPr>
            <w:tcW w:w="4536" w:type="dxa"/>
            <w:gridSpan w:val="2"/>
            <w:shd w:val="clear" w:color="auto" w:fill="D9D9D9"/>
          </w:tcPr>
          <w:p w:rsidR="001E3418" w:rsidRDefault="001E3418">
            <w:pPr>
              <w:pStyle w:val="TableParagraph"/>
              <w:spacing w:before="6"/>
              <w:rPr>
                <w:rFonts w:ascii="宋体" w:cs="Times New Roman"/>
                <w:sz w:val="15"/>
                <w:szCs w:val="15"/>
              </w:rPr>
            </w:pPr>
          </w:p>
          <w:p w:rsidR="001E3418" w:rsidRDefault="001E3418">
            <w:pPr>
              <w:pStyle w:val="TableParagraph"/>
              <w:ind w:left="7"/>
              <w:jc w:val="center"/>
              <w:rPr>
                <w:rFonts w:cs="Times New Roman"/>
                <w:sz w:val="21"/>
                <w:szCs w:val="21"/>
              </w:rPr>
            </w:pPr>
            <w:r>
              <w:rPr>
                <w:rFonts w:hint="eastAsia"/>
                <w:sz w:val="21"/>
                <w:szCs w:val="21"/>
              </w:rPr>
              <w:t>材料名称</w:t>
            </w:r>
          </w:p>
        </w:tc>
        <w:tc>
          <w:tcPr>
            <w:tcW w:w="680" w:type="dxa"/>
            <w:shd w:val="clear" w:color="auto" w:fill="D9D9D9"/>
          </w:tcPr>
          <w:p w:rsidR="001E3418" w:rsidRDefault="001E3418">
            <w:pPr>
              <w:pStyle w:val="TableParagraph"/>
              <w:spacing w:before="6"/>
              <w:rPr>
                <w:rFonts w:ascii="宋体" w:cs="Times New Roman"/>
                <w:sz w:val="15"/>
                <w:szCs w:val="15"/>
              </w:rPr>
            </w:pPr>
          </w:p>
          <w:p w:rsidR="001E3418" w:rsidRDefault="001E3418">
            <w:pPr>
              <w:pStyle w:val="TableParagraph"/>
              <w:ind w:left="129"/>
              <w:rPr>
                <w:rFonts w:cs="Times New Roman"/>
                <w:sz w:val="21"/>
                <w:szCs w:val="21"/>
              </w:rPr>
            </w:pPr>
            <w:r>
              <w:rPr>
                <w:rFonts w:hint="eastAsia"/>
                <w:sz w:val="21"/>
                <w:szCs w:val="21"/>
              </w:rPr>
              <w:t>数量</w:t>
            </w:r>
          </w:p>
        </w:tc>
        <w:tc>
          <w:tcPr>
            <w:tcW w:w="2268" w:type="dxa"/>
            <w:shd w:val="clear" w:color="auto" w:fill="D9D9D9"/>
          </w:tcPr>
          <w:p w:rsidR="001E3418" w:rsidRDefault="001E3418">
            <w:pPr>
              <w:pStyle w:val="TableParagraph"/>
              <w:spacing w:before="6"/>
              <w:rPr>
                <w:rFonts w:ascii="宋体" w:cs="Times New Roman"/>
                <w:sz w:val="15"/>
                <w:szCs w:val="15"/>
              </w:rPr>
            </w:pPr>
          </w:p>
          <w:p w:rsidR="001E3418" w:rsidRDefault="001E3418">
            <w:pPr>
              <w:pStyle w:val="TableParagraph"/>
              <w:ind w:left="137" w:right="131"/>
              <w:jc w:val="center"/>
              <w:rPr>
                <w:rFonts w:cs="Times New Roman"/>
                <w:sz w:val="21"/>
                <w:szCs w:val="21"/>
              </w:rPr>
            </w:pPr>
            <w:r>
              <w:rPr>
                <w:rFonts w:hint="eastAsia"/>
                <w:sz w:val="21"/>
                <w:szCs w:val="21"/>
              </w:rPr>
              <w:t>备注</w:t>
            </w:r>
          </w:p>
        </w:tc>
      </w:tr>
      <w:tr w:rsidR="001E3418">
        <w:trPr>
          <w:trHeight w:val="500"/>
        </w:trPr>
        <w:tc>
          <w:tcPr>
            <w:tcW w:w="680" w:type="dxa"/>
          </w:tcPr>
          <w:p w:rsidR="001E3418" w:rsidRDefault="001E3418">
            <w:pPr>
              <w:pStyle w:val="TableParagraph"/>
              <w:spacing w:before="145"/>
              <w:ind w:left="7"/>
              <w:jc w:val="center"/>
              <w:rPr>
                <w:rFonts w:ascii="Times New Roman" w:cs="Times New Roman"/>
                <w:sz w:val="18"/>
                <w:szCs w:val="18"/>
              </w:rPr>
            </w:pPr>
            <w:r>
              <w:rPr>
                <w:rFonts w:ascii="Times New Roman" w:cs="Times New Roman"/>
                <w:sz w:val="18"/>
                <w:szCs w:val="18"/>
              </w:rPr>
              <w:t>1</w:t>
            </w:r>
          </w:p>
        </w:tc>
        <w:tc>
          <w:tcPr>
            <w:tcW w:w="4536" w:type="dxa"/>
            <w:gridSpan w:val="2"/>
          </w:tcPr>
          <w:p w:rsidR="001E3418" w:rsidRDefault="001E3418">
            <w:pPr>
              <w:pStyle w:val="TableParagraph"/>
              <w:spacing w:before="136"/>
              <w:ind w:left="467"/>
              <w:rPr>
                <w:rFonts w:cs="Times New Roman"/>
                <w:sz w:val="18"/>
                <w:szCs w:val="18"/>
              </w:rPr>
            </w:pPr>
            <w:r>
              <w:rPr>
                <w:rFonts w:hint="eastAsia"/>
                <w:sz w:val="18"/>
                <w:szCs w:val="18"/>
              </w:rPr>
              <w:t>《企业所得税汇总纳税总分机构信息备案表》</w:t>
            </w:r>
          </w:p>
        </w:tc>
        <w:tc>
          <w:tcPr>
            <w:tcW w:w="680" w:type="dxa"/>
          </w:tcPr>
          <w:p w:rsidR="001E3418" w:rsidRDefault="001E3418">
            <w:pPr>
              <w:pStyle w:val="TableParagraph"/>
              <w:spacing w:before="136"/>
              <w:ind w:left="182"/>
              <w:rPr>
                <w:rFonts w:cs="Times New Roman"/>
                <w:sz w:val="18"/>
                <w:szCs w:val="18"/>
              </w:rPr>
            </w:pPr>
            <w:r>
              <w:rPr>
                <w:rFonts w:ascii="Times New Roman" w:eastAsia="Times New Roman" w:cs="Times New Roman"/>
                <w:sz w:val="18"/>
                <w:szCs w:val="18"/>
              </w:rPr>
              <w:t xml:space="preserve">2 </w:t>
            </w:r>
            <w:r>
              <w:rPr>
                <w:rFonts w:hint="eastAsia"/>
                <w:sz w:val="18"/>
                <w:szCs w:val="18"/>
              </w:rPr>
              <w:t>份</w:t>
            </w:r>
          </w:p>
        </w:tc>
        <w:tc>
          <w:tcPr>
            <w:tcW w:w="2268" w:type="dxa"/>
          </w:tcPr>
          <w:p w:rsidR="001E3418" w:rsidRDefault="001E3418">
            <w:pPr>
              <w:pStyle w:val="TableParagraph"/>
              <w:rPr>
                <w:rFonts w:ascii="Times New Roman" w:cs="Times New Roman"/>
                <w:sz w:val="20"/>
                <w:szCs w:val="20"/>
              </w:rPr>
            </w:pPr>
          </w:p>
        </w:tc>
      </w:tr>
      <w:tr w:rsidR="001E3418">
        <w:trPr>
          <w:trHeight w:val="500"/>
        </w:trPr>
        <w:tc>
          <w:tcPr>
            <w:tcW w:w="8164" w:type="dxa"/>
            <w:gridSpan w:val="5"/>
            <w:shd w:val="clear" w:color="auto" w:fill="D9D9D9"/>
          </w:tcPr>
          <w:p w:rsidR="001E3418" w:rsidRDefault="001E3418">
            <w:pPr>
              <w:pStyle w:val="TableParagraph"/>
              <w:spacing w:before="114"/>
              <w:ind w:left="2484" w:right="2477"/>
              <w:jc w:val="center"/>
              <w:rPr>
                <w:rFonts w:cs="Times New Roman"/>
                <w:sz w:val="21"/>
                <w:szCs w:val="21"/>
              </w:rPr>
            </w:pPr>
            <w:r>
              <w:rPr>
                <w:rFonts w:hint="eastAsia"/>
                <w:sz w:val="21"/>
                <w:szCs w:val="21"/>
              </w:rPr>
              <w:t>有以下情形的，还应提供相应材料</w:t>
            </w:r>
          </w:p>
        </w:tc>
      </w:tr>
      <w:tr w:rsidR="001E3418">
        <w:trPr>
          <w:trHeight w:val="500"/>
        </w:trPr>
        <w:tc>
          <w:tcPr>
            <w:tcW w:w="2381" w:type="dxa"/>
            <w:gridSpan w:val="2"/>
            <w:shd w:val="clear" w:color="auto" w:fill="D9D9D9"/>
          </w:tcPr>
          <w:p w:rsidR="001E3418" w:rsidRDefault="001E3418">
            <w:pPr>
              <w:pStyle w:val="TableParagraph"/>
              <w:spacing w:before="113"/>
              <w:ind w:left="768"/>
              <w:rPr>
                <w:rFonts w:cs="Times New Roman"/>
                <w:sz w:val="21"/>
                <w:szCs w:val="21"/>
              </w:rPr>
            </w:pPr>
            <w:r>
              <w:rPr>
                <w:rFonts w:hint="eastAsia"/>
                <w:sz w:val="21"/>
                <w:szCs w:val="21"/>
              </w:rPr>
              <w:t>适用情形</w:t>
            </w:r>
          </w:p>
        </w:tc>
        <w:tc>
          <w:tcPr>
            <w:tcW w:w="2835" w:type="dxa"/>
            <w:shd w:val="clear" w:color="auto" w:fill="D9D9D9"/>
          </w:tcPr>
          <w:p w:rsidR="001E3418" w:rsidRDefault="001E3418">
            <w:pPr>
              <w:pStyle w:val="TableParagraph"/>
              <w:spacing w:before="113"/>
              <w:ind w:left="5"/>
              <w:jc w:val="center"/>
              <w:rPr>
                <w:rFonts w:cs="Times New Roman"/>
                <w:sz w:val="21"/>
                <w:szCs w:val="21"/>
              </w:rPr>
            </w:pPr>
            <w:r>
              <w:rPr>
                <w:rFonts w:hint="eastAsia"/>
                <w:sz w:val="21"/>
                <w:szCs w:val="21"/>
              </w:rPr>
              <w:t>材料名称</w:t>
            </w:r>
          </w:p>
        </w:tc>
        <w:tc>
          <w:tcPr>
            <w:tcW w:w="680" w:type="dxa"/>
            <w:shd w:val="clear" w:color="auto" w:fill="D9D9D9"/>
          </w:tcPr>
          <w:p w:rsidR="001E3418" w:rsidRDefault="001E3418">
            <w:pPr>
              <w:pStyle w:val="TableParagraph"/>
              <w:spacing w:before="113"/>
              <w:ind w:left="129"/>
              <w:rPr>
                <w:rFonts w:cs="Times New Roman"/>
                <w:sz w:val="21"/>
                <w:szCs w:val="21"/>
              </w:rPr>
            </w:pPr>
            <w:r>
              <w:rPr>
                <w:rFonts w:hint="eastAsia"/>
                <w:sz w:val="21"/>
                <w:szCs w:val="21"/>
              </w:rPr>
              <w:t>数量</w:t>
            </w:r>
          </w:p>
        </w:tc>
        <w:tc>
          <w:tcPr>
            <w:tcW w:w="2268" w:type="dxa"/>
            <w:shd w:val="clear" w:color="auto" w:fill="D9D9D9"/>
          </w:tcPr>
          <w:p w:rsidR="001E3418" w:rsidRDefault="001E3418">
            <w:pPr>
              <w:pStyle w:val="TableParagraph"/>
              <w:spacing w:before="113"/>
              <w:ind w:left="137" w:right="131"/>
              <w:jc w:val="center"/>
              <w:rPr>
                <w:rFonts w:cs="Times New Roman"/>
                <w:sz w:val="21"/>
                <w:szCs w:val="21"/>
              </w:rPr>
            </w:pPr>
            <w:r>
              <w:rPr>
                <w:rFonts w:hint="eastAsia"/>
                <w:sz w:val="21"/>
                <w:szCs w:val="21"/>
              </w:rPr>
              <w:t>备注</w:t>
            </w:r>
          </w:p>
        </w:tc>
      </w:tr>
      <w:tr w:rsidR="001E3418">
        <w:trPr>
          <w:trHeight w:val="783"/>
        </w:trPr>
        <w:tc>
          <w:tcPr>
            <w:tcW w:w="2381" w:type="dxa"/>
            <w:gridSpan w:val="2"/>
          </w:tcPr>
          <w:p w:rsidR="001E3418" w:rsidRDefault="001E3418">
            <w:pPr>
              <w:pStyle w:val="TableParagraph"/>
              <w:spacing w:before="118" w:line="328" w:lineRule="auto"/>
              <w:ind w:left="199" w:right="100" w:hanging="92"/>
              <w:rPr>
                <w:rFonts w:cs="Times New Roman"/>
                <w:sz w:val="18"/>
                <w:szCs w:val="18"/>
              </w:rPr>
            </w:pPr>
            <w:r>
              <w:rPr>
                <w:rFonts w:hint="eastAsia"/>
                <w:sz w:val="18"/>
                <w:szCs w:val="18"/>
              </w:rPr>
              <w:t>未实行“一照一码”“两证整合”登记模式的纳税人</w:t>
            </w:r>
          </w:p>
        </w:tc>
        <w:tc>
          <w:tcPr>
            <w:tcW w:w="2835" w:type="dxa"/>
          </w:tcPr>
          <w:p w:rsidR="001E3418" w:rsidRDefault="001E3418">
            <w:pPr>
              <w:pStyle w:val="TableParagraph"/>
              <w:spacing w:before="7"/>
              <w:rPr>
                <w:rFonts w:ascii="宋体" w:cs="Times New Roman"/>
                <w:sz w:val="21"/>
                <w:szCs w:val="21"/>
              </w:rPr>
            </w:pPr>
          </w:p>
          <w:p w:rsidR="001E3418" w:rsidRDefault="001E3418">
            <w:pPr>
              <w:pStyle w:val="TableParagraph"/>
              <w:ind w:left="8"/>
              <w:jc w:val="center"/>
              <w:rPr>
                <w:rFonts w:cs="Times New Roman"/>
                <w:sz w:val="18"/>
                <w:szCs w:val="18"/>
              </w:rPr>
            </w:pPr>
            <w:r>
              <w:rPr>
                <w:rFonts w:hint="eastAsia"/>
                <w:sz w:val="18"/>
                <w:szCs w:val="18"/>
              </w:rPr>
              <w:t>税务登记证件原件</w:t>
            </w:r>
          </w:p>
        </w:tc>
        <w:tc>
          <w:tcPr>
            <w:tcW w:w="680" w:type="dxa"/>
          </w:tcPr>
          <w:p w:rsidR="001E3418" w:rsidRDefault="001E3418">
            <w:pPr>
              <w:pStyle w:val="TableParagraph"/>
              <w:spacing w:before="7"/>
              <w:rPr>
                <w:rFonts w:ascii="宋体" w:cs="Times New Roman"/>
                <w:sz w:val="21"/>
                <w:szCs w:val="21"/>
              </w:rPr>
            </w:pPr>
          </w:p>
          <w:p w:rsidR="001E3418" w:rsidRDefault="001E3418">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1E3418" w:rsidRDefault="001E3418">
            <w:pPr>
              <w:pStyle w:val="TableParagraph"/>
              <w:spacing w:before="2"/>
              <w:rPr>
                <w:rFonts w:ascii="宋体" w:cs="Times New Roman"/>
                <w:sz w:val="24"/>
                <w:szCs w:val="24"/>
              </w:rPr>
            </w:pPr>
          </w:p>
          <w:p w:rsidR="001E3418" w:rsidRDefault="001E3418">
            <w:pPr>
              <w:pStyle w:val="TableParagraph"/>
              <w:ind w:left="139" w:right="131"/>
              <w:jc w:val="center"/>
              <w:rPr>
                <w:rFonts w:cs="Times New Roman"/>
                <w:sz w:val="18"/>
                <w:szCs w:val="18"/>
              </w:rPr>
            </w:pPr>
            <w:r>
              <w:rPr>
                <w:rFonts w:hint="eastAsia"/>
                <w:sz w:val="18"/>
                <w:szCs w:val="18"/>
              </w:rPr>
              <w:t>查验后退回</w:t>
            </w:r>
          </w:p>
        </w:tc>
      </w:tr>
      <w:tr w:rsidR="001E3418">
        <w:trPr>
          <w:trHeight w:val="783"/>
        </w:trPr>
        <w:tc>
          <w:tcPr>
            <w:tcW w:w="2381" w:type="dxa"/>
            <w:gridSpan w:val="2"/>
          </w:tcPr>
          <w:p w:rsidR="001E3418" w:rsidRDefault="001E3418">
            <w:pPr>
              <w:pStyle w:val="TableParagraph"/>
              <w:spacing w:before="118" w:line="328" w:lineRule="auto"/>
              <w:ind w:left="648" w:right="100" w:hanging="540"/>
              <w:rPr>
                <w:rFonts w:cs="Times New Roman"/>
                <w:sz w:val="18"/>
                <w:szCs w:val="18"/>
              </w:rPr>
            </w:pPr>
            <w:r>
              <w:rPr>
                <w:rFonts w:hint="eastAsia"/>
                <w:sz w:val="18"/>
                <w:szCs w:val="18"/>
              </w:rPr>
              <w:t>中央企业所属二级分支机构名单发生变化</w:t>
            </w:r>
          </w:p>
        </w:tc>
        <w:tc>
          <w:tcPr>
            <w:tcW w:w="2835" w:type="dxa"/>
          </w:tcPr>
          <w:p w:rsidR="001E3418" w:rsidRDefault="001E3418">
            <w:pPr>
              <w:pStyle w:val="TableParagraph"/>
              <w:spacing w:before="7"/>
              <w:rPr>
                <w:rFonts w:ascii="宋体" w:cs="Times New Roman"/>
                <w:sz w:val="21"/>
                <w:szCs w:val="21"/>
              </w:rPr>
            </w:pPr>
          </w:p>
          <w:p w:rsidR="001E3418" w:rsidRDefault="001E3418">
            <w:pPr>
              <w:pStyle w:val="TableParagraph"/>
              <w:spacing w:before="1"/>
              <w:ind w:left="8"/>
              <w:jc w:val="center"/>
              <w:rPr>
                <w:rFonts w:cs="Times New Roman"/>
                <w:sz w:val="18"/>
                <w:szCs w:val="18"/>
              </w:rPr>
            </w:pPr>
            <w:r>
              <w:rPr>
                <w:rFonts w:hint="eastAsia"/>
                <w:sz w:val="18"/>
                <w:szCs w:val="18"/>
              </w:rPr>
              <w:t>调整后情况及分支机构变化情况</w:t>
            </w:r>
          </w:p>
        </w:tc>
        <w:tc>
          <w:tcPr>
            <w:tcW w:w="680" w:type="dxa"/>
          </w:tcPr>
          <w:p w:rsidR="001E3418" w:rsidRDefault="001E3418">
            <w:pPr>
              <w:pStyle w:val="TableParagraph"/>
              <w:spacing w:before="7"/>
              <w:rPr>
                <w:rFonts w:ascii="宋体" w:cs="Times New Roman"/>
                <w:sz w:val="21"/>
                <w:szCs w:val="21"/>
              </w:rPr>
            </w:pPr>
          </w:p>
          <w:p w:rsidR="001E3418" w:rsidRDefault="001E3418">
            <w:pPr>
              <w:pStyle w:val="TableParagraph"/>
              <w:spacing w:before="1"/>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1E3418" w:rsidRDefault="001E3418">
            <w:pPr>
              <w:pStyle w:val="TableParagraph"/>
              <w:rPr>
                <w:rFonts w:ascii="Times New Roman" w:cs="Times New Roman"/>
                <w:sz w:val="20"/>
                <w:szCs w:val="20"/>
              </w:rPr>
            </w:pPr>
          </w:p>
        </w:tc>
      </w:tr>
      <w:tr w:rsidR="001E3418">
        <w:trPr>
          <w:trHeight w:val="794"/>
        </w:trPr>
        <w:tc>
          <w:tcPr>
            <w:tcW w:w="2381" w:type="dxa"/>
            <w:gridSpan w:val="2"/>
            <w:vMerge w:val="restart"/>
          </w:tcPr>
          <w:p w:rsidR="001E3418" w:rsidRDefault="001E3418">
            <w:pPr>
              <w:pStyle w:val="TableParagraph"/>
              <w:rPr>
                <w:rFonts w:ascii="宋体" w:cs="Times New Roman"/>
                <w:sz w:val="18"/>
                <w:szCs w:val="18"/>
              </w:rPr>
            </w:pPr>
          </w:p>
          <w:p w:rsidR="001E3418" w:rsidRDefault="001E3418">
            <w:pPr>
              <w:pStyle w:val="TableParagraph"/>
              <w:spacing w:before="9"/>
              <w:rPr>
                <w:rFonts w:ascii="宋体" w:cs="Times New Roman"/>
              </w:rPr>
            </w:pPr>
          </w:p>
          <w:p w:rsidR="001E3418" w:rsidRDefault="001E3418">
            <w:pPr>
              <w:pStyle w:val="TableParagraph"/>
              <w:spacing w:line="328" w:lineRule="auto"/>
              <w:ind w:left="919" w:right="100" w:hanging="812"/>
              <w:rPr>
                <w:rFonts w:cs="Times New Roman"/>
                <w:sz w:val="18"/>
                <w:szCs w:val="18"/>
              </w:rPr>
            </w:pPr>
            <w:r>
              <w:rPr>
                <w:rFonts w:hint="eastAsia"/>
                <w:sz w:val="18"/>
                <w:szCs w:val="18"/>
              </w:rPr>
              <w:t>中央企业新增二级及以下分支机构</w:t>
            </w:r>
          </w:p>
        </w:tc>
        <w:tc>
          <w:tcPr>
            <w:tcW w:w="2835" w:type="dxa"/>
          </w:tcPr>
          <w:p w:rsidR="001E3418" w:rsidRDefault="001E3418">
            <w:pPr>
              <w:pStyle w:val="TableParagraph"/>
              <w:spacing w:before="123" w:line="328" w:lineRule="auto"/>
              <w:ind w:left="1147" w:right="146" w:hanging="992"/>
              <w:rPr>
                <w:rFonts w:cs="Times New Roman"/>
                <w:sz w:val="18"/>
                <w:szCs w:val="18"/>
              </w:rPr>
            </w:pPr>
            <w:r>
              <w:rPr>
                <w:rFonts w:hint="eastAsia"/>
                <w:sz w:val="18"/>
                <w:szCs w:val="18"/>
              </w:rPr>
              <w:t>加载统一社会信用代码的营业执照原件</w:t>
            </w:r>
          </w:p>
        </w:tc>
        <w:tc>
          <w:tcPr>
            <w:tcW w:w="680" w:type="dxa"/>
          </w:tcPr>
          <w:p w:rsidR="001E3418" w:rsidRDefault="001E3418">
            <w:pPr>
              <w:pStyle w:val="TableParagraph"/>
              <w:rPr>
                <w:rFonts w:ascii="宋体" w:cs="Times New Roman"/>
              </w:rPr>
            </w:pPr>
          </w:p>
          <w:p w:rsidR="001E3418" w:rsidRDefault="001E3418">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1E3418" w:rsidRDefault="001E3418">
            <w:pPr>
              <w:pStyle w:val="TableParagraph"/>
              <w:spacing w:before="5"/>
              <w:rPr>
                <w:rFonts w:ascii="宋体" w:cs="Times New Roman"/>
                <w:sz w:val="24"/>
                <w:szCs w:val="24"/>
              </w:rPr>
            </w:pPr>
          </w:p>
          <w:p w:rsidR="001E3418" w:rsidRDefault="001E3418">
            <w:pPr>
              <w:pStyle w:val="TableParagraph"/>
              <w:spacing w:before="1"/>
              <w:ind w:left="139" w:right="131"/>
              <w:jc w:val="center"/>
              <w:rPr>
                <w:rFonts w:cs="Times New Roman"/>
                <w:sz w:val="18"/>
                <w:szCs w:val="18"/>
              </w:rPr>
            </w:pPr>
            <w:r>
              <w:rPr>
                <w:rFonts w:hint="eastAsia"/>
                <w:sz w:val="18"/>
                <w:szCs w:val="18"/>
              </w:rPr>
              <w:t>查验后退回</w:t>
            </w:r>
          </w:p>
        </w:tc>
      </w:tr>
      <w:tr w:rsidR="001E3418">
        <w:trPr>
          <w:trHeight w:val="783"/>
        </w:trPr>
        <w:tc>
          <w:tcPr>
            <w:tcW w:w="2381" w:type="dxa"/>
            <w:gridSpan w:val="2"/>
            <w:vMerge/>
            <w:tcBorders>
              <w:top w:val="nil"/>
            </w:tcBorders>
          </w:tcPr>
          <w:p w:rsidR="001E3418" w:rsidRDefault="001E3418">
            <w:pPr>
              <w:rPr>
                <w:rFonts w:cs="Times New Roman"/>
                <w:sz w:val="2"/>
                <w:szCs w:val="2"/>
              </w:rPr>
            </w:pPr>
          </w:p>
        </w:tc>
        <w:tc>
          <w:tcPr>
            <w:tcW w:w="2835" w:type="dxa"/>
          </w:tcPr>
          <w:p w:rsidR="001E3418" w:rsidRDefault="001E3418">
            <w:pPr>
              <w:pStyle w:val="TableParagraph"/>
              <w:spacing w:before="119" w:line="328" w:lineRule="auto"/>
              <w:ind w:left="607" w:right="146" w:hanging="452"/>
              <w:rPr>
                <w:rFonts w:cs="Times New Roman"/>
                <w:sz w:val="18"/>
                <w:szCs w:val="18"/>
              </w:rPr>
            </w:pPr>
            <w:r>
              <w:rPr>
                <w:rFonts w:hint="eastAsia"/>
                <w:sz w:val="18"/>
                <w:szCs w:val="18"/>
              </w:rPr>
              <w:t>总机构出具的其为二级或二级以下分支机构证明文件</w:t>
            </w:r>
          </w:p>
        </w:tc>
        <w:tc>
          <w:tcPr>
            <w:tcW w:w="680" w:type="dxa"/>
          </w:tcPr>
          <w:p w:rsidR="001E3418" w:rsidRDefault="001E3418">
            <w:pPr>
              <w:pStyle w:val="TableParagraph"/>
              <w:spacing w:before="8"/>
              <w:rPr>
                <w:rFonts w:ascii="宋体" w:cs="Times New Roman"/>
                <w:sz w:val="21"/>
                <w:szCs w:val="21"/>
              </w:rPr>
            </w:pPr>
          </w:p>
          <w:p w:rsidR="001E3418" w:rsidRDefault="001E3418">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1E3418" w:rsidRDefault="001E3418">
            <w:pPr>
              <w:pStyle w:val="TableParagraph"/>
              <w:rPr>
                <w:rFonts w:ascii="Times New Roman" w:cs="Times New Roman"/>
                <w:sz w:val="20"/>
                <w:szCs w:val="20"/>
              </w:rPr>
            </w:pPr>
          </w:p>
        </w:tc>
      </w:tr>
      <w:tr w:rsidR="001E3418">
        <w:trPr>
          <w:trHeight w:val="794"/>
        </w:trPr>
        <w:tc>
          <w:tcPr>
            <w:tcW w:w="2381" w:type="dxa"/>
            <w:gridSpan w:val="2"/>
          </w:tcPr>
          <w:p w:rsidR="001E3418" w:rsidRDefault="001E3418">
            <w:pPr>
              <w:pStyle w:val="TableParagraph"/>
              <w:spacing w:before="124" w:line="328" w:lineRule="auto"/>
              <w:ind w:left="559" w:right="100" w:hanging="452"/>
              <w:rPr>
                <w:rFonts w:cs="Times New Roman"/>
                <w:sz w:val="18"/>
                <w:szCs w:val="18"/>
              </w:rPr>
            </w:pPr>
            <w:r>
              <w:rPr>
                <w:rFonts w:hint="eastAsia"/>
                <w:sz w:val="18"/>
                <w:szCs w:val="18"/>
              </w:rPr>
              <w:t>中央企业撤销（注销）二级及以下分支机构</w:t>
            </w:r>
          </w:p>
        </w:tc>
        <w:tc>
          <w:tcPr>
            <w:tcW w:w="2835" w:type="dxa"/>
          </w:tcPr>
          <w:p w:rsidR="001E3418" w:rsidRDefault="001E3418">
            <w:pPr>
              <w:pStyle w:val="TableParagraph"/>
              <w:spacing w:before="124" w:line="328" w:lineRule="auto"/>
              <w:ind w:left="1236" w:right="16" w:hanging="1128"/>
              <w:rPr>
                <w:rFonts w:cs="Times New Roman"/>
                <w:sz w:val="18"/>
                <w:szCs w:val="18"/>
              </w:rPr>
            </w:pPr>
            <w:r>
              <w:rPr>
                <w:rFonts w:hint="eastAsia"/>
                <w:sz w:val="18"/>
                <w:szCs w:val="18"/>
              </w:rPr>
              <w:t>撤销（注销）二级及以下分支机构情况</w:t>
            </w:r>
          </w:p>
        </w:tc>
        <w:tc>
          <w:tcPr>
            <w:tcW w:w="680" w:type="dxa"/>
          </w:tcPr>
          <w:p w:rsidR="001E3418" w:rsidRDefault="001E3418">
            <w:pPr>
              <w:pStyle w:val="TableParagraph"/>
              <w:rPr>
                <w:rFonts w:ascii="宋体" w:cs="Times New Roman"/>
              </w:rPr>
            </w:pPr>
          </w:p>
          <w:p w:rsidR="001E3418" w:rsidRDefault="001E3418">
            <w:pPr>
              <w:pStyle w:val="TableParagraph"/>
              <w:ind w:left="182"/>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1E3418" w:rsidRDefault="001E3418">
            <w:pPr>
              <w:pStyle w:val="TableParagraph"/>
              <w:rPr>
                <w:rFonts w:ascii="Times New Roman" w:cs="Times New Roman"/>
                <w:sz w:val="20"/>
                <w:szCs w:val="20"/>
              </w:rPr>
            </w:pPr>
          </w:p>
          <w:p w:rsidR="001E3418" w:rsidRDefault="001E3418">
            <w:pPr>
              <w:pStyle w:val="TableParagraph"/>
              <w:rPr>
                <w:rFonts w:ascii="Times New Roman" w:cs="Times New Roman"/>
                <w:sz w:val="20"/>
                <w:szCs w:val="20"/>
              </w:rPr>
            </w:pPr>
          </w:p>
          <w:p w:rsidR="001E3418" w:rsidRDefault="001E3418">
            <w:pPr>
              <w:pStyle w:val="TableParagraph"/>
              <w:rPr>
                <w:rFonts w:ascii="Times New Roman" w:cs="Times New Roman"/>
                <w:sz w:val="20"/>
                <w:szCs w:val="20"/>
              </w:rPr>
            </w:pPr>
          </w:p>
        </w:tc>
      </w:tr>
      <w:tr w:rsidR="001E3418" w:rsidTr="00102C18">
        <w:trPr>
          <w:trHeight w:val="395"/>
        </w:trPr>
        <w:tc>
          <w:tcPr>
            <w:tcW w:w="2381" w:type="dxa"/>
            <w:gridSpan w:val="2"/>
            <w:vMerge w:val="restart"/>
            <w:vAlign w:val="center"/>
          </w:tcPr>
          <w:p w:rsidR="001E3418" w:rsidRDefault="001E3418" w:rsidP="00102C18">
            <w:pPr>
              <w:pStyle w:val="2"/>
              <w:spacing w:before="46" w:after="46"/>
              <w:rPr>
                <w:rFonts w:ascii="黑体" w:eastAsia="黑体" w:hAnsi="黑体" w:cs="Times New Roman"/>
                <w:color w:val="auto"/>
              </w:rPr>
            </w:pPr>
            <w:r>
              <w:rPr>
                <w:rFonts w:ascii="黑体" w:eastAsia="黑体" w:hAnsi="黑体" w:cs="黑体" w:hint="eastAsia"/>
                <w:color w:val="auto"/>
              </w:rPr>
              <w:t>新增的三级及以下分支机构</w:t>
            </w:r>
          </w:p>
        </w:tc>
        <w:tc>
          <w:tcPr>
            <w:tcW w:w="2835" w:type="dxa"/>
            <w:vAlign w:val="center"/>
          </w:tcPr>
          <w:p w:rsidR="001E3418" w:rsidRDefault="001E3418" w:rsidP="00102C18">
            <w:pPr>
              <w:pStyle w:val="2"/>
              <w:spacing w:before="46" w:after="46"/>
              <w:jc w:val="both"/>
              <w:rPr>
                <w:rFonts w:ascii="黑体" w:eastAsia="黑体" w:hAnsi="黑体" w:cs="Times New Roman"/>
                <w:color w:val="auto"/>
              </w:rPr>
            </w:pPr>
            <w:r>
              <w:rPr>
                <w:rFonts w:ascii="黑体" w:eastAsia="黑体" w:hAnsi="黑体" w:cs="黑体" w:hint="eastAsia"/>
                <w:color w:val="auto"/>
              </w:rPr>
              <w:t>加载统一社会信用代码的营业执照原件</w:t>
            </w:r>
          </w:p>
        </w:tc>
        <w:tc>
          <w:tcPr>
            <w:tcW w:w="680" w:type="dxa"/>
            <w:vAlign w:val="center"/>
          </w:tcPr>
          <w:p w:rsidR="001E3418" w:rsidRDefault="001E3418" w:rsidP="00102C18">
            <w:pPr>
              <w:pStyle w:val="2"/>
              <w:spacing w:before="46" w:after="46"/>
              <w:rPr>
                <w:rFonts w:ascii="黑体" w:eastAsia="黑体" w:hAnsi="黑体" w:cs="Times New Roman"/>
                <w:color w:val="auto"/>
              </w:rPr>
            </w:pPr>
            <w:r>
              <w:rPr>
                <w:rFonts w:ascii="黑体" w:eastAsia="黑体" w:hAnsi="黑体" w:cs="黑体"/>
                <w:color w:val="auto"/>
              </w:rPr>
              <w:t>1</w:t>
            </w:r>
            <w:r>
              <w:rPr>
                <w:rFonts w:ascii="黑体" w:eastAsia="黑体" w:hAnsi="黑体" w:cs="黑体" w:hint="eastAsia"/>
                <w:color w:val="auto"/>
              </w:rPr>
              <w:t>份</w:t>
            </w:r>
          </w:p>
        </w:tc>
        <w:tc>
          <w:tcPr>
            <w:tcW w:w="2268" w:type="dxa"/>
            <w:vAlign w:val="center"/>
          </w:tcPr>
          <w:p w:rsidR="001E3418" w:rsidRDefault="001E3418" w:rsidP="00102C18">
            <w:pPr>
              <w:pStyle w:val="2"/>
              <w:spacing w:before="46" w:after="46"/>
              <w:rPr>
                <w:rFonts w:ascii="黑体" w:eastAsia="黑体" w:hAnsi="黑体" w:cs="Times New Roman"/>
                <w:color w:val="auto"/>
              </w:rPr>
            </w:pPr>
            <w:r>
              <w:rPr>
                <w:rFonts w:ascii="黑体" w:eastAsia="黑体" w:hAnsi="黑体" w:cs="黑体" w:hint="eastAsia"/>
                <w:color w:val="auto"/>
              </w:rPr>
              <w:t>查验后退回</w:t>
            </w:r>
          </w:p>
        </w:tc>
      </w:tr>
      <w:tr w:rsidR="001E3418" w:rsidTr="00102C18">
        <w:trPr>
          <w:trHeight w:val="394"/>
        </w:trPr>
        <w:tc>
          <w:tcPr>
            <w:tcW w:w="2381" w:type="dxa"/>
            <w:gridSpan w:val="2"/>
            <w:vMerge/>
            <w:vAlign w:val="center"/>
          </w:tcPr>
          <w:p w:rsidR="001E3418" w:rsidRDefault="001E3418" w:rsidP="00102C18">
            <w:pPr>
              <w:pStyle w:val="2"/>
              <w:spacing w:before="46" w:after="46"/>
              <w:rPr>
                <w:rFonts w:ascii="黑体" w:eastAsia="黑体" w:hAnsi="黑体" w:cs="Times New Roman"/>
                <w:color w:val="auto"/>
              </w:rPr>
            </w:pPr>
          </w:p>
        </w:tc>
        <w:tc>
          <w:tcPr>
            <w:tcW w:w="2835" w:type="dxa"/>
            <w:vAlign w:val="center"/>
          </w:tcPr>
          <w:p w:rsidR="001E3418" w:rsidRDefault="001E3418" w:rsidP="00102C18">
            <w:pPr>
              <w:pStyle w:val="2"/>
              <w:spacing w:before="46" w:after="46"/>
              <w:jc w:val="both"/>
              <w:rPr>
                <w:rFonts w:ascii="黑体" w:eastAsia="黑体" w:hAnsi="黑体" w:cs="Times New Roman"/>
                <w:color w:val="auto"/>
              </w:rPr>
            </w:pPr>
            <w:r>
              <w:rPr>
                <w:rFonts w:ascii="黑体" w:eastAsia="黑体" w:hAnsi="黑体" w:cs="黑体" w:hint="eastAsia"/>
                <w:color w:val="auto"/>
              </w:rPr>
              <w:t>和机构出具的其为三级或三级以下分支机构证明文件</w:t>
            </w:r>
          </w:p>
        </w:tc>
        <w:tc>
          <w:tcPr>
            <w:tcW w:w="680" w:type="dxa"/>
            <w:vAlign w:val="center"/>
          </w:tcPr>
          <w:p w:rsidR="001E3418" w:rsidRDefault="001E3418" w:rsidP="00102C18">
            <w:pPr>
              <w:pStyle w:val="2"/>
              <w:spacing w:before="46" w:after="46"/>
              <w:rPr>
                <w:rFonts w:ascii="黑体" w:eastAsia="黑体" w:hAnsi="黑体" w:cs="Times New Roman"/>
                <w:color w:val="auto"/>
              </w:rPr>
            </w:pPr>
            <w:r>
              <w:rPr>
                <w:rFonts w:ascii="黑体" w:eastAsia="黑体" w:hAnsi="黑体" w:cs="黑体"/>
                <w:color w:val="auto"/>
              </w:rPr>
              <w:t>1</w:t>
            </w:r>
            <w:r>
              <w:rPr>
                <w:rFonts w:ascii="黑体" w:eastAsia="黑体" w:hAnsi="黑体" w:cs="黑体" w:hint="eastAsia"/>
                <w:color w:val="auto"/>
              </w:rPr>
              <w:t>份</w:t>
            </w:r>
          </w:p>
        </w:tc>
        <w:tc>
          <w:tcPr>
            <w:tcW w:w="2268" w:type="dxa"/>
            <w:vAlign w:val="center"/>
          </w:tcPr>
          <w:p w:rsidR="001E3418" w:rsidRDefault="001E3418" w:rsidP="00102C18">
            <w:pPr>
              <w:pStyle w:val="2"/>
              <w:spacing w:before="46" w:after="46"/>
              <w:rPr>
                <w:rFonts w:ascii="黑体" w:eastAsia="黑体" w:hAnsi="黑体" w:cs="Times New Roman"/>
                <w:color w:val="auto"/>
              </w:rPr>
            </w:pPr>
          </w:p>
        </w:tc>
      </w:tr>
    </w:tbl>
    <w:p w:rsidR="001E3418" w:rsidRDefault="001E3418">
      <w:pPr>
        <w:pStyle w:val="ListParagraph"/>
        <w:numPr>
          <w:ilvl w:val="0"/>
          <w:numId w:val="1"/>
        </w:numPr>
        <w:tabs>
          <w:tab w:val="left" w:pos="884"/>
        </w:tabs>
        <w:spacing w:before="86"/>
        <w:ind w:hanging="182"/>
        <w:rPr>
          <w:rFonts w:cs="Times New Roman"/>
          <w:sz w:val="24"/>
          <w:szCs w:val="24"/>
        </w:rPr>
      </w:pPr>
      <w:r>
        <w:rPr>
          <w:rFonts w:hint="eastAsia"/>
          <w:sz w:val="24"/>
          <w:szCs w:val="24"/>
        </w:rPr>
        <w:t>企业所得税汇总纳税的非居民企业各机构、场所：</w:t>
      </w:r>
    </w:p>
    <w:p w:rsidR="001E3418" w:rsidRDefault="001E3418">
      <w:pPr>
        <w:pStyle w:val="BodyText"/>
        <w:spacing w:before="6"/>
        <w:ind w:left="0"/>
        <w:rPr>
          <w:rFonts w:cs="Times New Roman"/>
          <w:sz w:val="6"/>
          <w:szCs w:val="6"/>
        </w:rPr>
      </w:pPr>
    </w:p>
    <w:tbl>
      <w:tblPr>
        <w:tblW w:w="816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680"/>
        <w:gridCol w:w="4535"/>
        <w:gridCol w:w="680"/>
        <w:gridCol w:w="2268"/>
      </w:tblGrid>
      <w:tr w:rsidR="001E3418">
        <w:trPr>
          <w:trHeight w:val="799"/>
        </w:trPr>
        <w:tc>
          <w:tcPr>
            <w:tcW w:w="680" w:type="dxa"/>
            <w:shd w:val="clear" w:color="auto" w:fill="D9D9D9"/>
          </w:tcPr>
          <w:p w:rsidR="001E3418" w:rsidRDefault="001E3418">
            <w:pPr>
              <w:pStyle w:val="TableParagraph"/>
              <w:spacing w:before="7"/>
              <w:rPr>
                <w:rFonts w:ascii="宋体" w:cs="Times New Roman"/>
                <w:sz w:val="20"/>
                <w:szCs w:val="20"/>
              </w:rPr>
            </w:pPr>
          </w:p>
          <w:p w:rsidR="001E3418" w:rsidRDefault="001E3418">
            <w:pPr>
              <w:pStyle w:val="TableParagraph"/>
              <w:ind w:left="89" w:right="81"/>
              <w:jc w:val="center"/>
              <w:rPr>
                <w:rFonts w:cs="Times New Roman"/>
                <w:sz w:val="21"/>
                <w:szCs w:val="21"/>
              </w:rPr>
            </w:pPr>
            <w:r>
              <w:rPr>
                <w:rFonts w:hint="eastAsia"/>
                <w:sz w:val="21"/>
                <w:szCs w:val="21"/>
              </w:rPr>
              <w:t>序号</w:t>
            </w:r>
          </w:p>
        </w:tc>
        <w:tc>
          <w:tcPr>
            <w:tcW w:w="4535" w:type="dxa"/>
            <w:shd w:val="clear" w:color="auto" w:fill="D9D9D9"/>
          </w:tcPr>
          <w:p w:rsidR="001E3418" w:rsidRDefault="001E3418">
            <w:pPr>
              <w:pStyle w:val="TableParagraph"/>
              <w:spacing w:before="7"/>
              <w:rPr>
                <w:rFonts w:ascii="宋体" w:cs="Times New Roman"/>
                <w:sz w:val="20"/>
                <w:szCs w:val="20"/>
              </w:rPr>
            </w:pPr>
          </w:p>
          <w:p w:rsidR="001E3418" w:rsidRDefault="001E3418">
            <w:pPr>
              <w:pStyle w:val="TableParagraph"/>
              <w:ind w:left="3"/>
              <w:jc w:val="center"/>
              <w:rPr>
                <w:rFonts w:cs="Times New Roman"/>
                <w:sz w:val="21"/>
                <w:szCs w:val="21"/>
              </w:rPr>
            </w:pPr>
            <w:r>
              <w:rPr>
                <w:rFonts w:hint="eastAsia"/>
                <w:sz w:val="21"/>
                <w:szCs w:val="21"/>
              </w:rPr>
              <w:t>材料名称</w:t>
            </w:r>
          </w:p>
        </w:tc>
        <w:tc>
          <w:tcPr>
            <w:tcW w:w="680" w:type="dxa"/>
            <w:shd w:val="clear" w:color="auto" w:fill="D9D9D9"/>
          </w:tcPr>
          <w:p w:rsidR="001E3418" w:rsidRDefault="001E3418">
            <w:pPr>
              <w:pStyle w:val="TableParagraph"/>
              <w:spacing w:before="7"/>
              <w:rPr>
                <w:rFonts w:ascii="宋体" w:cs="Times New Roman"/>
                <w:sz w:val="20"/>
                <w:szCs w:val="20"/>
              </w:rPr>
            </w:pPr>
          </w:p>
          <w:p w:rsidR="001E3418" w:rsidRDefault="001E3418">
            <w:pPr>
              <w:pStyle w:val="TableParagraph"/>
              <w:ind w:left="130"/>
              <w:rPr>
                <w:rFonts w:cs="Times New Roman"/>
                <w:sz w:val="21"/>
                <w:szCs w:val="21"/>
              </w:rPr>
            </w:pPr>
            <w:r>
              <w:rPr>
                <w:rFonts w:hint="eastAsia"/>
                <w:sz w:val="21"/>
                <w:szCs w:val="21"/>
              </w:rPr>
              <w:t>数量</w:t>
            </w:r>
          </w:p>
        </w:tc>
        <w:tc>
          <w:tcPr>
            <w:tcW w:w="2268" w:type="dxa"/>
            <w:shd w:val="clear" w:color="auto" w:fill="D9D9D9"/>
          </w:tcPr>
          <w:p w:rsidR="001E3418" w:rsidRDefault="001E3418">
            <w:pPr>
              <w:pStyle w:val="TableParagraph"/>
              <w:spacing w:before="7"/>
              <w:rPr>
                <w:rFonts w:ascii="宋体" w:cs="Times New Roman"/>
                <w:sz w:val="20"/>
                <w:szCs w:val="20"/>
              </w:rPr>
            </w:pPr>
          </w:p>
          <w:p w:rsidR="001E3418" w:rsidRDefault="001E3418">
            <w:pPr>
              <w:pStyle w:val="TableParagraph"/>
              <w:ind w:left="139" w:right="131"/>
              <w:jc w:val="center"/>
              <w:rPr>
                <w:rFonts w:cs="Times New Roman"/>
                <w:sz w:val="21"/>
                <w:szCs w:val="21"/>
              </w:rPr>
            </w:pPr>
            <w:r>
              <w:rPr>
                <w:rFonts w:hint="eastAsia"/>
                <w:sz w:val="21"/>
                <w:szCs w:val="21"/>
              </w:rPr>
              <w:t>备注</w:t>
            </w:r>
          </w:p>
        </w:tc>
      </w:tr>
      <w:tr w:rsidR="001E3418">
        <w:trPr>
          <w:trHeight w:val="557"/>
        </w:trPr>
        <w:tc>
          <w:tcPr>
            <w:tcW w:w="680" w:type="dxa"/>
          </w:tcPr>
          <w:p w:rsidR="001E3418" w:rsidRDefault="001E3418">
            <w:pPr>
              <w:pStyle w:val="TableParagraph"/>
              <w:spacing w:before="173"/>
              <w:ind w:left="7"/>
              <w:jc w:val="center"/>
              <w:rPr>
                <w:rFonts w:ascii="Times New Roman" w:cs="Times New Roman"/>
                <w:sz w:val="18"/>
                <w:szCs w:val="18"/>
              </w:rPr>
            </w:pPr>
            <w:r>
              <w:rPr>
                <w:rFonts w:ascii="Times New Roman" w:cs="Times New Roman"/>
                <w:sz w:val="18"/>
                <w:szCs w:val="18"/>
              </w:rPr>
              <w:t>1</w:t>
            </w:r>
          </w:p>
        </w:tc>
        <w:tc>
          <w:tcPr>
            <w:tcW w:w="4535" w:type="dxa"/>
          </w:tcPr>
          <w:p w:rsidR="001E3418" w:rsidRDefault="001E3418">
            <w:pPr>
              <w:pStyle w:val="TableParagraph"/>
              <w:spacing w:before="9"/>
              <w:rPr>
                <w:rFonts w:ascii="宋体" w:cs="Times New Roman"/>
                <w:sz w:val="12"/>
                <w:szCs w:val="12"/>
              </w:rPr>
            </w:pPr>
          </w:p>
          <w:p w:rsidR="001E3418" w:rsidRDefault="001E3418">
            <w:pPr>
              <w:pStyle w:val="TableParagraph"/>
              <w:spacing w:before="1"/>
              <w:ind w:left="6"/>
              <w:jc w:val="center"/>
              <w:rPr>
                <w:rFonts w:cs="Times New Roman"/>
                <w:sz w:val="18"/>
                <w:szCs w:val="18"/>
              </w:rPr>
            </w:pPr>
            <w:r>
              <w:rPr>
                <w:rFonts w:hint="eastAsia"/>
                <w:sz w:val="18"/>
                <w:szCs w:val="18"/>
              </w:rPr>
              <w:t>《非居民企业所得税汇总纳税信息清册》</w:t>
            </w:r>
          </w:p>
        </w:tc>
        <w:tc>
          <w:tcPr>
            <w:tcW w:w="680" w:type="dxa"/>
          </w:tcPr>
          <w:p w:rsidR="001E3418" w:rsidRDefault="001E3418">
            <w:pPr>
              <w:pStyle w:val="TableParagraph"/>
              <w:spacing w:before="163"/>
              <w:ind w:left="180"/>
              <w:rPr>
                <w:rFonts w:cs="Times New Roman"/>
                <w:sz w:val="18"/>
                <w:szCs w:val="18"/>
              </w:rPr>
            </w:pPr>
            <w:r>
              <w:rPr>
                <w:rFonts w:ascii="Times New Roman" w:eastAsia="Times New Roman" w:cs="Times New Roman"/>
                <w:sz w:val="18"/>
                <w:szCs w:val="18"/>
              </w:rPr>
              <w:t xml:space="preserve">2 </w:t>
            </w:r>
            <w:r>
              <w:rPr>
                <w:rFonts w:hint="eastAsia"/>
                <w:sz w:val="18"/>
                <w:szCs w:val="18"/>
              </w:rPr>
              <w:t>份</w:t>
            </w:r>
          </w:p>
        </w:tc>
        <w:tc>
          <w:tcPr>
            <w:tcW w:w="2268" w:type="dxa"/>
          </w:tcPr>
          <w:p w:rsidR="001E3418" w:rsidRDefault="001E3418">
            <w:pPr>
              <w:pStyle w:val="TableParagraph"/>
              <w:rPr>
                <w:rFonts w:ascii="Times New Roman" w:cs="Times New Roman"/>
                <w:sz w:val="20"/>
                <w:szCs w:val="20"/>
              </w:rPr>
            </w:pPr>
          </w:p>
        </w:tc>
      </w:tr>
      <w:tr w:rsidR="001E3418">
        <w:trPr>
          <w:trHeight w:val="840"/>
        </w:trPr>
        <w:tc>
          <w:tcPr>
            <w:tcW w:w="680" w:type="dxa"/>
          </w:tcPr>
          <w:p w:rsidR="001E3418" w:rsidRDefault="001E3418">
            <w:pPr>
              <w:pStyle w:val="TableParagraph"/>
              <w:spacing w:before="6"/>
              <w:rPr>
                <w:rFonts w:ascii="宋体" w:cs="Times New Roman"/>
                <w:sz w:val="24"/>
                <w:szCs w:val="24"/>
              </w:rPr>
            </w:pPr>
          </w:p>
          <w:p w:rsidR="001E3418" w:rsidRDefault="001E3418">
            <w:pPr>
              <w:pStyle w:val="TableParagraph"/>
              <w:ind w:left="7"/>
              <w:jc w:val="center"/>
              <w:rPr>
                <w:rFonts w:ascii="Times New Roman" w:cs="Times New Roman"/>
                <w:sz w:val="18"/>
                <w:szCs w:val="18"/>
              </w:rPr>
            </w:pPr>
            <w:r>
              <w:rPr>
                <w:rFonts w:ascii="Times New Roman" w:cs="Times New Roman"/>
                <w:sz w:val="18"/>
                <w:szCs w:val="18"/>
              </w:rPr>
              <w:t>2</w:t>
            </w:r>
          </w:p>
        </w:tc>
        <w:tc>
          <w:tcPr>
            <w:tcW w:w="4535" w:type="dxa"/>
          </w:tcPr>
          <w:p w:rsidR="001E3418" w:rsidRDefault="001E3418">
            <w:pPr>
              <w:pStyle w:val="TableParagraph"/>
              <w:spacing w:before="146" w:line="328" w:lineRule="auto"/>
              <w:ind w:left="2176" w:right="186" w:hanging="1980"/>
              <w:rPr>
                <w:rFonts w:cs="Times New Roman"/>
                <w:sz w:val="18"/>
                <w:szCs w:val="18"/>
              </w:rPr>
            </w:pPr>
            <w:r>
              <w:rPr>
                <w:rFonts w:hint="eastAsia"/>
                <w:sz w:val="18"/>
                <w:szCs w:val="18"/>
              </w:rPr>
              <w:t>符合汇总缴纳企业所得税条件的财务会计核算制度安排</w:t>
            </w:r>
          </w:p>
        </w:tc>
        <w:tc>
          <w:tcPr>
            <w:tcW w:w="680" w:type="dxa"/>
          </w:tcPr>
          <w:p w:rsidR="001E3418" w:rsidRDefault="001E3418">
            <w:pPr>
              <w:pStyle w:val="TableParagraph"/>
              <w:spacing w:before="9"/>
              <w:rPr>
                <w:rFonts w:ascii="宋体" w:cs="Times New Roman"/>
                <w:sz w:val="23"/>
                <w:szCs w:val="23"/>
              </w:rPr>
            </w:pPr>
          </w:p>
          <w:p w:rsidR="001E3418" w:rsidRDefault="001E3418">
            <w:pPr>
              <w:pStyle w:val="TableParagraph"/>
              <w:spacing w:before="1"/>
              <w:ind w:left="180"/>
              <w:rPr>
                <w:rFonts w:cs="Times New Roman"/>
                <w:sz w:val="18"/>
                <w:szCs w:val="18"/>
              </w:rPr>
            </w:pPr>
            <w:r>
              <w:rPr>
                <w:rFonts w:ascii="Times New Roman" w:eastAsia="Times New Roman" w:cs="Times New Roman"/>
                <w:sz w:val="18"/>
                <w:szCs w:val="18"/>
              </w:rPr>
              <w:t xml:space="preserve">1 </w:t>
            </w:r>
            <w:r>
              <w:rPr>
                <w:rFonts w:hint="eastAsia"/>
                <w:sz w:val="18"/>
                <w:szCs w:val="18"/>
              </w:rPr>
              <w:t>份</w:t>
            </w:r>
          </w:p>
        </w:tc>
        <w:tc>
          <w:tcPr>
            <w:tcW w:w="2268" w:type="dxa"/>
          </w:tcPr>
          <w:p w:rsidR="001E3418" w:rsidRDefault="001E3418">
            <w:pPr>
              <w:pStyle w:val="TableParagraph"/>
              <w:rPr>
                <w:rFonts w:ascii="Times New Roman" w:cs="Times New Roman"/>
                <w:sz w:val="20"/>
                <w:szCs w:val="20"/>
              </w:rPr>
            </w:pPr>
          </w:p>
        </w:tc>
      </w:tr>
    </w:tbl>
    <w:p w:rsidR="001E3418" w:rsidRDefault="001E3418" w:rsidP="001E3418">
      <w:pPr>
        <w:pStyle w:val="a4"/>
        <w:ind w:firstLine="31680"/>
        <w:rPr>
          <w:rFonts w:cs="Times New Roman"/>
          <w:b/>
          <w:bCs/>
        </w:rPr>
      </w:pPr>
    </w:p>
    <w:p w:rsidR="001E3418" w:rsidRDefault="001E3418">
      <w:pPr>
        <w:pStyle w:val="a2"/>
        <w:ind w:firstLineChars="0" w:firstLine="0"/>
        <w:rPr>
          <w:rFonts w:cs="Times New Roma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5.png" o:spid="_x0000_s1026" type="#_x0000_t75" style="position:absolute;left:0;text-align:left;margin-left:90pt;margin-top:148.4pt;width:398.45pt;height:130.55pt;z-index:251658240;mso-position-horizontal-relative:page">
            <v:imagedata r:id="rId5" o:title=""/>
            <w10:wrap type="topAndBottom" anchorx="page"/>
          </v:shape>
        </w:pict>
      </w:r>
      <w:r>
        <w:rPr>
          <w:rFonts w:hint="eastAsia"/>
        </w:rPr>
        <w:t>【办理地点</w:t>
      </w:r>
      <w:r>
        <w:t>(</w:t>
      </w:r>
      <w:r>
        <w:rPr>
          <w:rFonts w:hint="eastAsia"/>
        </w:rPr>
        <w:t>受理机构</w:t>
      </w:r>
      <w:r>
        <w:t>)</w:t>
      </w:r>
      <w:r>
        <w:rPr>
          <w:rFonts w:hint="eastAsia"/>
        </w:rPr>
        <w:t>】</w:t>
      </w:r>
    </w:p>
    <w:p w:rsidR="001E3418" w:rsidRDefault="001E3418">
      <w:pPr>
        <w:pStyle w:val="a4"/>
        <w:ind w:firstLineChars="0" w:firstLine="0"/>
        <w:rPr>
          <w:rFonts w:cs="Times New Roman"/>
        </w:rPr>
      </w:pPr>
      <w:r>
        <w:rPr>
          <w:rFonts w:hint="eastAsia"/>
        </w:rPr>
        <w:t>主管税务机关办税服务厅（场所）。</w:t>
      </w:r>
    </w:p>
    <w:p w:rsidR="001E3418" w:rsidRDefault="001E3418">
      <w:pPr>
        <w:pStyle w:val="a2"/>
        <w:ind w:firstLineChars="0" w:firstLine="0"/>
        <w:rPr>
          <w:rFonts w:cs="Times New Roman"/>
        </w:rPr>
      </w:pPr>
      <w:r>
        <w:rPr>
          <w:rFonts w:hint="eastAsia"/>
        </w:rPr>
        <w:t>【收费标准】</w:t>
      </w:r>
    </w:p>
    <w:p w:rsidR="001E3418" w:rsidRDefault="001E3418">
      <w:pPr>
        <w:pStyle w:val="a4"/>
        <w:ind w:firstLineChars="0" w:firstLine="0"/>
        <w:rPr>
          <w:rFonts w:cs="Times New Roman"/>
        </w:rPr>
      </w:pPr>
      <w:r>
        <w:rPr>
          <w:rFonts w:hint="eastAsia"/>
        </w:rPr>
        <w:t>不收费</w:t>
      </w:r>
    </w:p>
    <w:p w:rsidR="001E3418" w:rsidRDefault="001E3418">
      <w:pPr>
        <w:spacing w:line="360" w:lineRule="auto"/>
        <w:rPr>
          <w:rFonts w:ascii="宋体" w:cs="Times New Roman"/>
          <w:b/>
          <w:bCs/>
          <w:sz w:val="24"/>
          <w:szCs w:val="24"/>
        </w:rPr>
      </w:pPr>
      <w:r>
        <w:rPr>
          <w:rFonts w:ascii="宋体" w:hAnsi="宋体" w:cs="宋体" w:hint="eastAsia"/>
          <w:b/>
          <w:bCs/>
          <w:sz w:val="24"/>
          <w:szCs w:val="24"/>
        </w:rPr>
        <w:t>【办事流程】</w:t>
      </w:r>
    </w:p>
    <w:p w:rsidR="001E3418" w:rsidRDefault="001E3418">
      <w:pPr>
        <w:spacing w:line="360" w:lineRule="auto"/>
        <w:rPr>
          <w:rFonts w:ascii="宋体" w:cs="Times New Roman"/>
          <w:b/>
          <w:bCs/>
          <w:sz w:val="24"/>
          <w:szCs w:val="24"/>
        </w:rPr>
      </w:pPr>
    </w:p>
    <w:p w:rsidR="001E3418" w:rsidRDefault="001E3418">
      <w:pPr>
        <w:pStyle w:val="a2"/>
        <w:ind w:firstLineChars="0" w:firstLine="0"/>
        <w:rPr>
          <w:rFonts w:cs="Times New Roman"/>
        </w:rPr>
      </w:pPr>
      <w:r>
        <w:rPr>
          <w:rFonts w:hint="eastAsia"/>
        </w:rPr>
        <w:t>【办理时间】</w:t>
      </w:r>
    </w:p>
    <w:p w:rsidR="001E3418" w:rsidRDefault="001E3418">
      <w:pPr>
        <w:pStyle w:val="a4"/>
        <w:ind w:firstLineChars="0" w:firstLine="0"/>
        <w:rPr>
          <w:rFonts w:cs="Times New Roman"/>
        </w:rPr>
      </w:pPr>
      <w:r>
        <w:rPr>
          <w:rFonts w:hint="eastAsia"/>
        </w:rPr>
        <w:t>工作时间，具体可拨打</w:t>
      </w:r>
      <w:r>
        <w:t>12366</w:t>
      </w:r>
      <w:r>
        <w:rPr>
          <w:rFonts w:hint="eastAsia"/>
        </w:rPr>
        <w:t>查询。</w:t>
      </w:r>
    </w:p>
    <w:p w:rsidR="001E3418" w:rsidRDefault="001E3418">
      <w:pPr>
        <w:pStyle w:val="a2"/>
        <w:ind w:firstLineChars="0" w:firstLine="0"/>
        <w:rPr>
          <w:rFonts w:cs="Times New Roman"/>
        </w:rPr>
      </w:pPr>
      <w:r>
        <w:rPr>
          <w:rFonts w:hint="eastAsia"/>
        </w:rPr>
        <w:t>【办理时限】</w:t>
      </w:r>
    </w:p>
    <w:p w:rsidR="001E3418" w:rsidRDefault="001E3418">
      <w:pPr>
        <w:pStyle w:val="a2"/>
        <w:ind w:firstLineChars="0" w:firstLine="0"/>
        <w:rPr>
          <w:rFonts w:cs="Times New Roman"/>
          <w:b w:val="0"/>
          <w:bCs w:val="0"/>
        </w:rPr>
      </w:pPr>
      <w:r>
        <w:rPr>
          <w:rFonts w:hint="eastAsia"/>
          <w:b w:val="0"/>
          <w:bCs w:val="0"/>
        </w:rPr>
        <w:t>依纳税人需求，纳税人提供资料完整、准确，符合受理条件的，即时办结。</w:t>
      </w:r>
    </w:p>
    <w:p w:rsidR="001E3418" w:rsidRDefault="001E3418">
      <w:pPr>
        <w:pStyle w:val="a2"/>
        <w:ind w:firstLineChars="0" w:firstLine="0"/>
      </w:pPr>
      <w:r>
        <w:rPr>
          <w:rFonts w:hint="eastAsia"/>
        </w:rPr>
        <w:t>【办理结果】</w:t>
      </w:r>
      <w:r>
        <w:t xml:space="preserve"> </w:t>
      </w:r>
    </w:p>
    <w:p w:rsidR="001E3418" w:rsidRDefault="001E3418">
      <w:pPr>
        <w:pStyle w:val="a2"/>
        <w:ind w:firstLineChars="0" w:firstLine="0"/>
        <w:rPr>
          <w:rFonts w:cs="Times New Roman"/>
          <w:b w:val="0"/>
          <w:bCs w:val="0"/>
        </w:rPr>
      </w:pPr>
      <w:r>
        <w:rPr>
          <w:rFonts w:hint="eastAsia"/>
          <w:b w:val="0"/>
          <w:bCs w:val="0"/>
        </w:rPr>
        <w:t>办理结束后，在文书表单上加盖印章，一份返还纳税人。</w:t>
      </w:r>
    </w:p>
    <w:p w:rsidR="001E3418" w:rsidRDefault="001E3418">
      <w:pPr>
        <w:spacing w:line="360" w:lineRule="auto"/>
        <w:rPr>
          <w:rFonts w:ascii="宋体" w:cs="Times New Roman"/>
          <w:b/>
          <w:bCs/>
          <w:sz w:val="24"/>
          <w:szCs w:val="24"/>
        </w:rPr>
      </w:pPr>
      <w:r>
        <w:rPr>
          <w:rFonts w:ascii="宋体" w:hAnsi="宋体" w:cs="宋体" w:hint="eastAsia"/>
          <w:b/>
          <w:bCs/>
          <w:sz w:val="24"/>
          <w:szCs w:val="24"/>
        </w:rPr>
        <w:t>【联系电话】</w:t>
      </w:r>
    </w:p>
    <w:p w:rsidR="001E3418" w:rsidRDefault="001E3418">
      <w:pPr>
        <w:spacing w:line="360" w:lineRule="auto"/>
        <w:rPr>
          <w:rFonts w:ascii="宋体" w:cs="Times New Roman"/>
          <w:sz w:val="24"/>
          <w:szCs w:val="24"/>
        </w:rPr>
      </w:pPr>
      <w:r>
        <w:rPr>
          <w:rFonts w:ascii="宋体" w:hAnsi="宋体" w:cs="宋体" w:hint="eastAsia"/>
          <w:sz w:val="24"/>
          <w:szCs w:val="24"/>
        </w:rPr>
        <w:t>联系电话可在国家税务总局天津市税务局网站或拨打</w:t>
      </w:r>
      <w:r>
        <w:rPr>
          <w:rFonts w:ascii="宋体" w:hAnsi="宋体" w:cs="宋体"/>
          <w:sz w:val="24"/>
          <w:szCs w:val="24"/>
        </w:rPr>
        <w:t>12366</w:t>
      </w:r>
      <w:r>
        <w:rPr>
          <w:rFonts w:ascii="宋体" w:hAnsi="宋体" w:cs="宋体" w:hint="eastAsia"/>
          <w:sz w:val="24"/>
          <w:szCs w:val="24"/>
        </w:rPr>
        <w:t>查询。</w:t>
      </w:r>
    </w:p>
    <w:p w:rsidR="001E3418" w:rsidRDefault="001E3418">
      <w:pPr>
        <w:pStyle w:val="a2"/>
        <w:ind w:firstLineChars="0" w:firstLine="0"/>
      </w:pPr>
      <w:r>
        <w:rPr>
          <w:rFonts w:hint="eastAsia"/>
        </w:rPr>
        <w:t>【纳税人注意事项】</w:t>
      </w:r>
      <w:r>
        <w:t xml:space="preserve"> </w:t>
      </w:r>
    </w:p>
    <w:p w:rsidR="001E3418" w:rsidRDefault="001E3418" w:rsidP="00102C18">
      <w:pPr>
        <w:pStyle w:val="a2"/>
        <w:ind w:firstLine="31680"/>
        <w:rPr>
          <w:rFonts w:cs="Times New Roman"/>
          <w:b w:val="0"/>
          <w:bCs w:val="0"/>
        </w:rPr>
      </w:pPr>
      <w:r>
        <w:rPr>
          <w:b w:val="0"/>
          <w:bCs w:val="0"/>
        </w:rPr>
        <w:t>1.</w:t>
      </w:r>
      <w:r>
        <w:rPr>
          <w:b w:val="0"/>
          <w:bCs w:val="0"/>
        </w:rPr>
        <w:tab/>
      </w:r>
      <w:r>
        <w:rPr>
          <w:rFonts w:hint="eastAsia"/>
          <w:b w:val="0"/>
          <w:bCs w:val="0"/>
        </w:rPr>
        <w:t>纳税人、扣缴义务人对报送材料的真实性和合法性承担责任。</w:t>
      </w:r>
    </w:p>
    <w:p w:rsidR="001E3418" w:rsidRDefault="001E3418" w:rsidP="00102C18">
      <w:pPr>
        <w:pStyle w:val="a2"/>
        <w:ind w:firstLine="31680"/>
        <w:rPr>
          <w:rFonts w:cs="Times New Roman"/>
          <w:b w:val="0"/>
          <w:bCs w:val="0"/>
        </w:rPr>
      </w:pPr>
      <w:r>
        <w:rPr>
          <w:b w:val="0"/>
          <w:bCs w:val="0"/>
        </w:rPr>
        <w:t>2.</w:t>
      </w:r>
      <w:r>
        <w:rPr>
          <w:b w:val="0"/>
          <w:bCs w:val="0"/>
        </w:rPr>
        <w:tab/>
      </w:r>
      <w:r>
        <w:rPr>
          <w:rFonts w:hint="eastAsia"/>
          <w:b w:val="0"/>
          <w:bCs w:val="0"/>
        </w:rPr>
        <w:t>纳税人使用符合电子签名法规定条件的电子签名，与手写签名或者盖章具有同等法律效力。</w:t>
      </w:r>
    </w:p>
    <w:p w:rsidR="001E3418" w:rsidRDefault="001E3418" w:rsidP="00102C18">
      <w:pPr>
        <w:pStyle w:val="a2"/>
        <w:ind w:firstLine="31680"/>
        <w:rPr>
          <w:rFonts w:cs="Times New Roman"/>
          <w:b w:val="0"/>
          <w:bCs w:val="0"/>
        </w:rPr>
      </w:pPr>
      <w:r>
        <w:rPr>
          <w:b w:val="0"/>
          <w:bCs w:val="0"/>
        </w:rPr>
        <w:t>3.</w:t>
      </w:r>
      <w:r>
        <w:rPr>
          <w:b w:val="0"/>
          <w:bCs w:val="0"/>
        </w:rPr>
        <w:tab/>
      </w:r>
      <w:r>
        <w:rPr>
          <w:rFonts w:hint="eastAsia"/>
          <w:b w:val="0"/>
          <w:bCs w:val="0"/>
        </w:rPr>
        <w:t>居民企业总机构及分支机构报送的信息包括：总机构、所有上级分支机构及下属分支机构的名称、层级、地址、邮编、纳税人识别号及企业所得税主管税务机关名称、地址和邮编。</w:t>
      </w:r>
    </w:p>
    <w:p w:rsidR="001E3418" w:rsidRDefault="001E3418" w:rsidP="00102C18">
      <w:pPr>
        <w:pStyle w:val="a2"/>
        <w:ind w:firstLine="31680"/>
        <w:rPr>
          <w:rFonts w:cs="Times New Roman"/>
          <w:b w:val="0"/>
          <w:bCs w:val="0"/>
        </w:rPr>
      </w:pPr>
      <w:r>
        <w:rPr>
          <w:b w:val="0"/>
          <w:bCs w:val="0"/>
        </w:rPr>
        <w:t>4.</w:t>
      </w:r>
      <w:r>
        <w:rPr>
          <w:b w:val="0"/>
          <w:bCs w:val="0"/>
        </w:rPr>
        <w:tab/>
      </w:r>
      <w:r>
        <w:rPr>
          <w:rFonts w:hint="eastAsia"/>
          <w:b w:val="0"/>
          <w:bCs w:val="0"/>
        </w:rPr>
        <w:t>汇总纳税的非居民企业各机构、场所报送的信息包括：主要机构、场所名称及纳税人识别号；全部被汇总机构、场所名称及纳税人识别号；符合汇总缴纳企业所得税条件的财务会计核算制度安排。</w:t>
      </w:r>
    </w:p>
    <w:p w:rsidR="001E3418" w:rsidRDefault="001E3418" w:rsidP="00102C18">
      <w:pPr>
        <w:pStyle w:val="a2"/>
        <w:ind w:firstLine="31680"/>
        <w:rPr>
          <w:rFonts w:cs="Times New Roman"/>
          <w:b w:val="0"/>
          <w:bCs w:val="0"/>
        </w:rPr>
      </w:pPr>
      <w:r>
        <w:rPr>
          <w:b w:val="0"/>
          <w:bCs w:val="0"/>
        </w:rPr>
        <w:t>5.</w:t>
      </w:r>
      <w:r>
        <w:rPr>
          <w:b w:val="0"/>
          <w:bCs w:val="0"/>
        </w:rPr>
        <w:tab/>
      </w:r>
      <w:r>
        <w:rPr>
          <w:rFonts w:hint="eastAsia"/>
          <w:b w:val="0"/>
          <w:bCs w:val="0"/>
        </w:rPr>
        <w:t>报告信息发生变化的，居民企业总机构及分支机构应在内容变化后</w:t>
      </w:r>
      <w:r>
        <w:rPr>
          <w:b w:val="0"/>
          <w:bCs w:val="0"/>
        </w:rPr>
        <w:t xml:space="preserve"> 30 </w:t>
      </w:r>
      <w:r>
        <w:rPr>
          <w:rFonts w:hint="eastAsia"/>
          <w:b w:val="0"/>
          <w:bCs w:val="0"/>
        </w:rPr>
        <w:t>日内，向各自所在地主管税务机关报告变化情况；非居民企业汇总纳税的各机构、场所应在发生变更后首次办理汇总缴纳企业所得税申报时，向所在地主管税务机关报告变化情况。</w:t>
      </w:r>
    </w:p>
    <w:p w:rsidR="001E3418" w:rsidRDefault="001E3418" w:rsidP="00102C18">
      <w:pPr>
        <w:pStyle w:val="a2"/>
        <w:ind w:firstLine="31680"/>
        <w:rPr>
          <w:rFonts w:cs="Times New Roman"/>
        </w:rPr>
      </w:pPr>
      <w:r>
        <w:rPr>
          <w:b w:val="0"/>
          <w:bCs w:val="0"/>
        </w:rPr>
        <w:t>6.</w:t>
      </w:r>
      <w:r>
        <w:rPr>
          <w:b w:val="0"/>
          <w:bCs w:val="0"/>
        </w:rPr>
        <w:tab/>
      </w:r>
      <w:r>
        <w:rPr>
          <w:rFonts w:hint="eastAsia"/>
          <w:b w:val="0"/>
          <w:bCs w:val="0"/>
        </w:rPr>
        <w:t>总机构和具有主体生产经营职能的二级分支机构，就地分摊缴纳企业所得税。二级分支机构，是指汇总纳税企业依法设立并领取非法人营业执照（登记证书），且总机构对其财务、业务、人员等直接进行统一核算和管理的分支机构。</w:t>
      </w:r>
      <w:r>
        <w:rPr>
          <w:rFonts w:hint="eastAsia"/>
        </w:rPr>
        <w:t>【设定依据】</w:t>
      </w:r>
    </w:p>
    <w:p w:rsidR="001E3418" w:rsidRDefault="001E3418">
      <w:pPr>
        <w:pStyle w:val="a2"/>
        <w:ind w:firstLineChars="0" w:firstLine="0"/>
        <w:rPr>
          <w:rFonts w:cs="Times New Roman"/>
          <w:b w:val="0"/>
          <w:bCs w:val="0"/>
        </w:rPr>
      </w:pPr>
      <w:r>
        <w:rPr>
          <w:b w:val="0"/>
          <w:bCs w:val="0"/>
        </w:rPr>
        <w:t>1.</w:t>
      </w:r>
      <w:r>
        <w:rPr>
          <w:rFonts w:hint="eastAsia"/>
          <w:b w:val="0"/>
          <w:bCs w:val="0"/>
        </w:rPr>
        <w:t>《跨地区经营汇总纳税企业所得税征收管理办法》（国家税务总局公告</w:t>
      </w:r>
      <w:r>
        <w:rPr>
          <w:b w:val="0"/>
          <w:bCs w:val="0"/>
        </w:rPr>
        <w:t xml:space="preserve"> 2012 </w:t>
      </w:r>
      <w:r>
        <w:rPr>
          <w:rFonts w:hint="eastAsia"/>
          <w:b w:val="0"/>
          <w:bCs w:val="0"/>
        </w:rPr>
        <w:t>年第</w:t>
      </w:r>
      <w:r>
        <w:rPr>
          <w:b w:val="0"/>
          <w:bCs w:val="0"/>
        </w:rPr>
        <w:t xml:space="preserve"> 57 </w:t>
      </w:r>
      <w:r>
        <w:rPr>
          <w:rFonts w:hint="eastAsia"/>
          <w:b w:val="0"/>
          <w:bCs w:val="0"/>
        </w:rPr>
        <w:t>号公布，国家税务总局公告</w:t>
      </w:r>
      <w:r>
        <w:rPr>
          <w:b w:val="0"/>
          <w:bCs w:val="0"/>
        </w:rPr>
        <w:t xml:space="preserve"> 2015 </w:t>
      </w:r>
      <w:r>
        <w:rPr>
          <w:rFonts w:hint="eastAsia"/>
          <w:b w:val="0"/>
          <w:bCs w:val="0"/>
        </w:rPr>
        <w:t>年第</w:t>
      </w:r>
      <w:r>
        <w:rPr>
          <w:b w:val="0"/>
          <w:bCs w:val="0"/>
        </w:rPr>
        <w:t xml:space="preserve"> 6 </w:t>
      </w:r>
      <w:r>
        <w:rPr>
          <w:rFonts w:hint="eastAsia"/>
          <w:b w:val="0"/>
          <w:bCs w:val="0"/>
        </w:rPr>
        <w:t>号修改）</w:t>
      </w:r>
    </w:p>
    <w:p w:rsidR="001E3418" w:rsidRDefault="001E3418" w:rsidP="00102C18">
      <w:pPr>
        <w:pStyle w:val="a2"/>
        <w:ind w:firstLine="31680"/>
        <w:rPr>
          <w:rFonts w:cs="Times New Roman"/>
          <w:b w:val="0"/>
          <w:bCs w:val="0"/>
        </w:rPr>
      </w:pPr>
      <w:r>
        <w:rPr>
          <w:rFonts w:hint="eastAsia"/>
          <w:b w:val="0"/>
          <w:bCs w:val="0"/>
        </w:rPr>
        <w:t>第二十二条</w:t>
      </w:r>
      <w:r>
        <w:rPr>
          <w:b w:val="0"/>
          <w:bCs w:val="0"/>
        </w:rPr>
        <w:t xml:space="preserve">  </w:t>
      </w:r>
      <w:r>
        <w:rPr>
          <w:rFonts w:hint="eastAsia"/>
          <w:b w:val="0"/>
          <w:bCs w:val="0"/>
        </w:rPr>
        <w:t>总机构应将其所有二级及以下分支机构</w:t>
      </w:r>
      <w:r>
        <w:rPr>
          <w:b w:val="0"/>
          <w:bCs w:val="0"/>
        </w:rPr>
        <w:t>(</w:t>
      </w:r>
      <w:r>
        <w:rPr>
          <w:rFonts w:hint="eastAsia"/>
          <w:b w:val="0"/>
          <w:bCs w:val="0"/>
        </w:rPr>
        <w:t>包括本办法第五条规定的分支机构</w:t>
      </w:r>
      <w:r>
        <w:rPr>
          <w:b w:val="0"/>
          <w:bCs w:val="0"/>
        </w:rPr>
        <w:t>)</w:t>
      </w:r>
      <w:r>
        <w:rPr>
          <w:rFonts w:hint="eastAsia"/>
          <w:b w:val="0"/>
          <w:bCs w:val="0"/>
        </w:rPr>
        <w:t>信息报其所在地主管税务机关备案，内容包括分支机构名称、层级、地址、邮编、纳税人识别号及企业所得税主管税务机关名称、地址和邮编。</w:t>
      </w:r>
    </w:p>
    <w:p w:rsidR="001E3418" w:rsidRDefault="001E3418">
      <w:pPr>
        <w:pStyle w:val="a2"/>
        <w:ind w:firstLineChars="0" w:firstLine="0"/>
        <w:rPr>
          <w:rFonts w:cs="Times New Roman"/>
          <w:b w:val="0"/>
          <w:bCs w:val="0"/>
        </w:rPr>
      </w:pPr>
      <w:r>
        <w:rPr>
          <w:rFonts w:hint="eastAsia"/>
          <w:b w:val="0"/>
          <w:bCs w:val="0"/>
        </w:rPr>
        <w:t xml:space="preserve">　　分支机构</w:t>
      </w:r>
      <w:r>
        <w:rPr>
          <w:b w:val="0"/>
          <w:bCs w:val="0"/>
        </w:rPr>
        <w:t>(</w:t>
      </w:r>
      <w:r>
        <w:rPr>
          <w:rFonts w:hint="eastAsia"/>
          <w:b w:val="0"/>
          <w:bCs w:val="0"/>
        </w:rPr>
        <w:t>包括本办法第五条规定的分支机构</w:t>
      </w:r>
      <w:r>
        <w:rPr>
          <w:b w:val="0"/>
          <w:bCs w:val="0"/>
        </w:rPr>
        <w:t>)</w:t>
      </w:r>
      <w:r>
        <w:rPr>
          <w:rFonts w:hint="eastAsia"/>
          <w:b w:val="0"/>
          <w:bCs w:val="0"/>
        </w:rPr>
        <w:t>应将其总机构、上级分支机构和下属分支机构信息报其所在地主管税务机关备案，内容包括总机构、上级机构和下属分支机构名称、层级、地址、邮编、纳税人识别号及企业所得税主管税务机关名称、地址和邮编。</w:t>
      </w:r>
    </w:p>
    <w:p w:rsidR="001E3418" w:rsidRDefault="001E3418">
      <w:pPr>
        <w:pStyle w:val="a2"/>
        <w:ind w:firstLineChars="0" w:firstLine="0"/>
        <w:rPr>
          <w:rFonts w:cs="Times New Roman"/>
          <w:b w:val="0"/>
          <w:bCs w:val="0"/>
        </w:rPr>
      </w:pPr>
      <w:r>
        <w:rPr>
          <w:rFonts w:hint="eastAsia"/>
          <w:b w:val="0"/>
          <w:bCs w:val="0"/>
        </w:rPr>
        <w:t xml:space="preserve">　　上述备案信息发生变化的，除另有规定外，应在内容变化后</w:t>
      </w:r>
      <w:r>
        <w:rPr>
          <w:b w:val="0"/>
          <w:bCs w:val="0"/>
        </w:rPr>
        <w:t>30</w:t>
      </w:r>
      <w:r>
        <w:rPr>
          <w:rFonts w:hint="eastAsia"/>
          <w:b w:val="0"/>
          <w:bCs w:val="0"/>
        </w:rPr>
        <w:t>日内报总机构和分支机构所在地主管税务机关备案，并办理变更税务登记。</w:t>
      </w:r>
    </w:p>
    <w:p w:rsidR="001E3418" w:rsidRDefault="001E3418">
      <w:pPr>
        <w:pStyle w:val="a2"/>
        <w:ind w:firstLineChars="0" w:firstLine="0"/>
        <w:rPr>
          <w:rFonts w:cs="Times New Roman"/>
          <w:b w:val="0"/>
          <w:bCs w:val="0"/>
        </w:rPr>
      </w:pPr>
      <w:r>
        <w:rPr>
          <w:rFonts w:hint="eastAsia"/>
          <w:b w:val="0"/>
          <w:bCs w:val="0"/>
        </w:rPr>
        <w:t xml:space="preserve">　　分支机构注销税务登记后</w:t>
      </w:r>
      <w:r>
        <w:rPr>
          <w:b w:val="0"/>
          <w:bCs w:val="0"/>
        </w:rPr>
        <w:t>15</w:t>
      </w:r>
      <w:r>
        <w:rPr>
          <w:rFonts w:hint="eastAsia"/>
          <w:b w:val="0"/>
          <w:bCs w:val="0"/>
        </w:rPr>
        <w:t>日内，总机构应将分支机构注销情况报所在地主管税务机关备案，并办理变更税务登记。</w:t>
      </w:r>
    </w:p>
    <w:p w:rsidR="001E3418" w:rsidRDefault="001E3418">
      <w:pPr>
        <w:pStyle w:val="a2"/>
        <w:ind w:firstLineChars="0" w:firstLine="0"/>
        <w:rPr>
          <w:rFonts w:cs="Times New Roman"/>
          <w:b w:val="0"/>
          <w:bCs w:val="0"/>
        </w:rPr>
      </w:pPr>
      <w:r>
        <w:rPr>
          <w:b w:val="0"/>
          <w:bCs w:val="0"/>
        </w:rPr>
        <w:t>2.</w:t>
      </w:r>
      <w:r>
        <w:rPr>
          <w:rFonts w:hint="eastAsia"/>
          <w:b w:val="0"/>
          <w:bCs w:val="0"/>
        </w:rPr>
        <w:t>《国家税务总局关于</w:t>
      </w:r>
      <w:r>
        <w:rPr>
          <w:b w:val="0"/>
          <w:bCs w:val="0"/>
        </w:rPr>
        <w:t xml:space="preserve">3 </w:t>
      </w:r>
      <w:r>
        <w:rPr>
          <w:rFonts w:hint="eastAsia"/>
          <w:b w:val="0"/>
          <w:bCs w:val="0"/>
        </w:rPr>
        <w:t>项企业所得税事项取消审批后加强后续管理的公告》（国家税务总局公告</w:t>
      </w:r>
      <w:r>
        <w:rPr>
          <w:b w:val="0"/>
          <w:bCs w:val="0"/>
        </w:rPr>
        <w:t xml:space="preserve"> 2015 </w:t>
      </w:r>
      <w:r>
        <w:rPr>
          <w:rFonts w:hint="eastAsia"/>
          <w:b w:val="0"/>
          <w:bCs w:val="0"/>
        </w:rPr>
        <w:t>年第</w:t>
      </w:r>
      <w:r>
        <w:rPr>
          <w:b w:val="0"/>
          <w:bCs w:val="0"/>
        </w:rPr>
        <w:t xml:space="preserve"> 6 </w:t>
      </w:r>
      <w:r>
        <w:rPr>
          <w:rFonts w:hint="eastAsia"/>
          <w:b w:val="0"/>
          <w:bCs w:val="0"/>
        </w:rPr>
        <w:t>号）</w:t>
      </w:r>
    </w:p>
    <w:p w:rsidR="001E3418" w:rsidRDefault="001E3418" w:rsidP="00102C18">
      <w:pPr>
        <w:pStyle w:val="a2"/>
        <w:ind w:firstLine="31680"/>
        <w:rPr>
          <w:rFonts w:cs="Times New Roman"/>
          <w:b w:val="0"/>
          <w:bCs w:val="0"/>
        </w:rPr>
      </w:pPr>
      <w:r>
        <w:rPr>
          <w:rFonts w:hint="eastAsia"/>
          <w:b w:val="0"/>
          <w:bCs w:val="0"/>
        </w:rPr>
        <w:t>第二条</w:t>
      </w:r>
      <w:r>
        <w:rPr>
          <w:b w:val="0"/>
          <w:bCs w:val="0"/>
        </w:rPr>
        <w:t xml:space="preserve">  </w:t>
      </w:r>
      <w:r>
        <w:rPr>
          <w:rFonts w:hint="eastAsia"/>
          <w:b w:val="0"/>
          <w:bCs w:val="0"/>
        </w:rPr>
        <w:t>取消“收入全额归属中央的企业下属二级及二级以下分支机构名单的备案审核”的后续管理</w:t>
      </w:r>
    </w:p>
    <w:p w:rsidR="001E3418" w:rsidRDefault="001E3418">
      <w:pPr>
        <w:pStyle w:val="a2"/>
        <w:ind w:firstLineChars="0" w:firstLine="0"/>
        <w:rPr>
          <w:rFonts w:cs="Times New Roman"/>
          <w:b w:val="0"/>
          <w:bCs w:val="0"/>
        </w:rPr>
      </w:pPr>
      <w:r>
        <w:rPr>
          <w:rFonts w:hint="eastAsia"/>
          <w:b w:val="0"/>
          <w:bCs w:val="0"/>
        </w:rPr>
        <w:t xml:space="preserve">　　收入全额归属中央的企业</w:t>
      </w:r>
      <w:r>
        <w:rPr>
          <w:b w:val="0"/>
          <w:bCs w:val="0"/>
        </w:rPr>
        <w:t>(</w:t>
      </w:r>
      <w:r>
        <w:rPr>
          <w:rFonts w:hint="eastAsia"/>
          <w:b w:val="0"/>
          <w:bCs w:val="0"/>
        </w:rPr>
        <w:t>本条简称中央企业</w:t>
      </w:r>
      <w:r>
        <w:rPr>
          <w:b w:val="0"/>
          <w:bCs w:val="0"/>
        </w:rPr>
        <w:t>)</w:t>
      </w:r>
      <w:r>
        <w:rPr>
          <w:rFonts w:hint="eastAsia"/>
          <w:b w:val="0"/>
          <w:bCs w:val="0"/>
        </w:rPr>
        <w:t>所属二级及二级以下分支机构名单发生变化的，按照以下规定分别向其主管税务机关报送相关资料：</w:t>
      </w:r>
    </w:p>
    <w:p w:rsidR="001E3418" w:rsidRDefault="001E3418">
      <w:pPr>
        <w:pStyle w:val="a2"/>
        <w:ind w:firstLineChars="0" w:firstLine="0"/>
        <w:rPr>
          <w:rFonts w:cs="Times New Roman"/>
          <w:b w:val="0"/>
          <w:bCs w:val="0"/>
        </w:rPr>
      </w:pPr>
      <w:r>
        <w:rPr>
          <w:rFonts w:hint="eastAsia"/>
          <w:b w:val="0"/>
          <w:bCs w:val="0"/>
        </w:rPr>
        <w:t xml:space="preserve">　　</w:t>
      </w:r>
      <w:r>
        <w:rPr>
          <w:b w:val="0"/>
          <w:bCs w:val="0"/>
        </w:rPr>
        <w:t>(</w:t>
      </w:r>
      <w:r>
        <w:rPr>
          <w:rFonts w:hint="eastAsia"/>
          <w:b w:val="0"/>
          <w:bCs w:val="0"/>
        </w:rPr>
        <w:t>一</w:t>
      </w:r>
      <w:r>
        <w:rPr>
          <w:b w:val="0"/>
          <w:bCs w:val="0"/>
        </w:rPr>
        <w:t>)</w:t>
      </w:r>
      <w:r>
        <w:rPr>
          <w:rFonts w:hint="eastAsia"/>
          <w:b w:val="0"/>
          <w:bCs w:val="0"/>
        </w:rPr>
        <w:t>中央企业所属二级分支机构名单发生变化的，中央企业总机构应将调整后情况及分支机构变化情况报送主管税务机关。</w:t>
      </w:r>
    </w:p>
    <w:p w:rsidR="001E3418" w:rsidRDefault="001E3418">
      <w:pPr>
        <w:pStyle w:val="a2"/>
        <w:ind w:firstLineChars="0" w:firstLine="0"/>
        <w:rPr>
          <w:rFonts w:cs="Times New Roman"/>
          <w:b w:val="0"/>
          <w:bCs w:val="0"/>
        </w:rPr>
      </w:pPr>
      <w:r>
        <w:rPr>
          <w:rFonts w:hint="eastAsia"/>
          <w:b w:val="0"/>
          <w:bCs w:val="0"/>
        </w:rPr>
        <w:t xml:space="preserve">　　</w:t>
      </w:r>
      <w:r>
        <w:rPr>
          <w:b w:val="0"/>
          <w:bCs w:val="0"/>
        </w:rPr>
        <w:t>(</w:t>
      </w:r>
      <w:r>
        <w:rPr>
          <w:rFonts w:hint="eastAsia"/>
          <w:b w:val="0"/>
          <w:bCs w:val="0"/>
        </w:rPr>
        <w:t>二</w:t>
      </w:r>
      <w:r>
        <w:rPr>
          <w:b w:val="0"/>
          <w:bCs w:val="0"/>
        </w:rPr>
        <w:t>)</w:t>
      </w:r>
      <w:r>
        <w:rPr>
          <w:rFonts w:hint="eastAsia"/>
          <w:b w:val="0"/>
          <w:bCs w:val="0"/>
        </w:rPr>
        <w:t>中央企业新增二级及以下分支机构的，二级分支机构应将营业执照和总机构出具的其为二级或二级以下分支机构证明文件，在报送企业所得税预缴申报表时，附送其主管税务机关。</w:t>
      </w:r>
    </w:p>
    <w:p w:rsidR="001E3418" w:rsidRDefault="001E3418">
      <w:pPr>
        <w:pStyle w:val="a2"/>
        <w:ind w:firstLineChars="0" w:firstLine="0"/>
        <w:rPr>
          <w:rFonts w:cs="Times New Roman"/>
          <w:b w:val="0"/>
          <w:bCs w:val="0"/>
        </w:rPr>
      </w:pPr>
      <w:r>
        <w:rPr>
          <w:rFonts w:hint="eastAsia"/>
          <w:b w:val="0"/>
          <w:bCs w:val="0"/>
        </w:rPr>
        <w:t xml:space="preserve">　　新增的三级及以下分支机构，应将营业执照和总机构出具的其为三级或三级以下分支机构证明文件，报送其主管税务机关。</w:t>
      </w:r>
    </w:p>
    <w:p w:rsidR="001E3418" w:rsidRDefault="001E3418">
      <w:pPr>
        <w:pStyle w:val="a2"/>
        <w:ind w:firstLineChars="0" w:firstLine="0"/>
        <w:rPr>
          <w:rFonts w:cs="Times New Roman"/>
          <w:b w:val="0"/>
          <w:bCs w:val="0"/>
        </w:rPr>
      </w:pPr>
      <w:r>
        <w:rPr>
          <w:rFonts w:hint="eastAsia"/>
          <w:b w:val="0"/>
          <w:bCs w:val="0"/>
        </w:rPr>
        <w:t xml:space="preserve">　　</w:t>
      </w:r>
      <w:r>
        <w:rPr>
          <w:b w:val="0"/>
          <w:bCs w:val="0"/>
        </w:rPr>
        <w:t>(</w:t>
      </w:r>
      <w:r>
        <w:rPr>
          <w:rFonts w:hint="eastAsia"/>
          <w:b w:val="0"/>
          <w:bCs w:val="0"/>
        </w:rPr>
        <w:t>三</w:t>
      </w:r>
      <w:r>
        <w:rPr>
          <w:b w:val="0"/>
          <w:bCs w:val="0"/>
        </w:rPr>
        <w:t>)</w:t>
      </w:r>
      <w:r>
        <w:rPr>
          <w:rFonts w:hint="eastAsia"/>
          <w:b w:val="0"/>
          <w:bCs w:val="0"/>
        </w:rPr>
        <w:t>中央企业撤销</w:t>
      </w:r>
      <w:r>
        <w:rPr>
          <w:b w:val="0"/>
          <w:bCs w:val="0"/>
        </w:rPr>
        <w:t>(</w:t>
      </w:r>
      <w:r>
        <w:rPr>
          <w:rFonts w:hint="eastAsia"/>
          <w:b w:val="0"/>
          <w:bCs w:val="0"/>
        </w:rPr>
        <w:t>注销</w:t>
      </w:r>
      <w:r>
        <w:rPr>
          <w:b w:val="0"/>
          <w:bCs w:val="0"/>
        </w:rPr>
        <w:t>)</w:t>
      </w:r>
      <w:r>
        <w:rPr>
          <w:rFonts w:hint="eastAsia"/>
          <w:b w:val="0"/>
          <w:bCs w:val="0"/>
        </w:rPr>
        <w:t>二级及以下分支机构的，被撤销分支机构应当按照《中华人民共和国税收征收管理法》规定办理注销手续。二级分支机构应将撤销</w:t>
      </w:r>
      <w:r>
        <w:rPr>
          <w:b w:val="0"/>
          <w:bCs w:val="0"/>
        </w:rPr>
        <w:t>(</w:t>
      </w:r>
      <w:r>
        <w:rPr>
          <w:rFonts w:hint="eastAsia"/>
          <w:b w:val="0"/>
          <w:bCs w:val="0"/>
        </w:rPr>
        <w:t>注销</w:t>
      </w:r>
      <w:r>
        <w:rPr>
          <w:b w:val="0"/>
          <w:bCs w:val="0"/>
        </w:rPr>
        <w:t>)</w:t>
      </w:r>
      <w:r>
        <w:rPr>
          <w:rFonts w:hint="eastAsia"/>
          <w:b w:val="0"/>
          <w:bCs w:val="0"/>
        </w:rPr>
        <w:t>二级及以下分支机构情况报送其主管税务机关。</w:t>
      </w:r>
    </w:p>
    <w:p w:rsidR="001E3418" w:rsidRDefault="001E3418">
      <w:pPr>
        <w:pStyle w:val="a2"/>
        <w:ind w:firstLineChars="0" w:firstLine="0"/>
        <w:rPr>
          <w:rFonts w:cs="Times New Roman"/>
          <w:b w:val="0"/>
          <w:bCs w:val="0"/>
        </w:rPr>
      </w:pPr>
      <w:r>
        <w:rPr>
          <w:rFonts w:hint="eastAsia"/>
          <w:b w:val="0"/>
          <w:bCs w:val="0"/>
        </w:rPr>
        <w:t xml:space="preserve">　　主管税务机关应根据中央企业二级及以下分支机构变更备案情况，及时调整完善税收管理信息。</w:t>
      </w:r>
    </w:p>
    <w:p w:rsidR="001E3418" w:rsidRDefault="001E3418">
      <w:pPr>
        <w:pStyle w:val="a2"/>
        <w:ind w:firstLineChars="0" w:firstLine="0"/>
        <w:rPr>
          <w:rFonts w:cs="Times New Roman"/>
          <w:b w:val="0"/>
          <w:bCs w:val="0"/>
        </w:rPr>
      </w:pPr>
      <w:r>
        <w:rPr>
          <w:b w:val="0"/>
          <w:bCs w:val="0"/>
        </w:rPr>
        <w:t>3.</w:t>
      </w:r>
      <w:r>
        <w:rPr>
          <w:rFonts w:hint="eastAsia"/>
          <w:b w:val="0"/>
          <w:bCs w:val="0"/>
        </w:rPr>
        <w:t>《国家税务总局</w:t>
      </w:r>
      <w:r>
        <w:rPr>
          <w:rFonts w:cs="Times New Roman"/>
          <w:b w:val="0"/>
          <w:bCs w:val="0"/>
        </w:rPr>
        <w:tab/>
      </w:r>
      <w:r>
        <w:rPr>
          <w:rFonts w:hint="eastAsia"/>
          <w:b w:val="0"/>
          <w:bCs w:val="0"/>
        </w:rPr>
        <w:t>财政部</w:t>
      </w:r>
      <w:r>
        <w:rPr>
          <w:rFonts w:cs="Times New Roman"/>
          <w:b w:val="0"/>
          <w:bCs w:val="0"/>
        </w:rPr>
        <w:tab/>
      </w:r>
      <w:r>
        <w:rPr>
          <w:rFonts w:hint="eastAsia"/>
          <w:b w:val="0"/>
          <w:bCs w:val="0"/>
        </w:rPr>
        <w:t>中国人民银行关于非居民企业机构场所汇总缴纳企业所得税有关问题的公告》（国家税务总局公告</w:t>
      </w:r>
      <w:r>
        <w:rPr>
          <w:b w:val="0"/>
          <w:bCs w:val="0"/>
        </w:rPr>
        <w:t xml:space="preserve"> 2019 </w:t>
      </w:r>
      <w:r>
        <w:rPr>
          <w:rFonts w:hint="eastAsia"/>
          <w:b w:val="0"/>
          <w:bCs w:val="0"/>
        </w:rPr>
        <w:t>年第</w:t>
      </w:r>
      <w:r>
        <w:rPr>
          <w:b w:val="0"/>
          <w:bCs w:val="0"/>
        </w:rPr>
        <w:t xml:space="preserve"> 12 </w:t>
      </w:r>
      <w:r>
        <w:rPr>
          <w:rFonts w:hint="eastAsia"/>
          <w:b w:val="0"/>
          <w:bCs w:val="0"/>
        </w:rPr>
        <w:t>号）</w:t>
      </w:r>
    </w:p>
    <w:p w:rsidR="001E3418" w:rsidRDefault="001E3418" w:rsidP="00102C18">
      <w:pPr>
        <w:pStyle w:val="a2"/>
        <w:ind w:firstLine="31680"/>
        <w:rPr>
          <w:rFonts w:cs="Times New Roman"/>
          <w:b w:val="0"/>
          <w:bCs w:val="0"/>
        </w:rPr>
      </w:pPr>
      <w:bookmarkStart w:id="0" w:name="_GoBack"/>
      <w:bookmarkEnd w:id="0"/>
      <w:r>
        <w:rPr>
          <w:rFonts w:hint="eastAsia"/>
          <w:b w:val="0"/>
          <w:bCs w:val="0"/>
        </w:rPr>
        <w:t>第六条</w:t>
      </w:r>
      <w:r>
        <w:rPr>
          <w:b w:val="0"/>
          <w:bCs w:val="0"/>
        </w:rPr>
        <w:t xml:space="preserve">  </w:t>
      </w:r>
      <w:r>
        <w:rPr>
          <w:rFonts w:hint="eastAsia"/>
          <w:b w:val="0"/>
          <w:bCs w:val="0"/>
        </w:rPr>
        <w:t>汇总纳税的各机构、场所应在首次办理汇总缴纳企业所得税申报时，向所在地主管税务机关报送以下信息资料：</w:t>
      </w:r>
    </w:p>
    <w:p w:rsidR="001E3418" w:rsidRDefault="001E3418">
      <w:pPr>
        <w:pStyle w:val="a2"/>
        <w:ind w:firstLineChars="0" w:firstLine="0"/>
        <w:rPr>
          <w:rFonts w:cs="Times New Roman"/>
          <w:b w:val="0"/>
          <w:bCs w:val="0"/>
        </w:rPr>
      </w:pPr>
      <w:r>
        <w:rPr>
          <w:rFonts w:hint="eastAsia"/>
          <w:b w:val="0"/>
          <w:bCs w:val="0"/>
        </w:rPr>
        <w:t xml:space="preserve">　　（一）主要机构、场所名称及纳税人识别号；</w:t>
      </w:r>
    </w:p>
    <w:p w:rsidR="001E3418" w:rsidRDefault="001E3418">
      <w:pPr>
        <w:pStyle w:val="a2"/>
        <w:ind w:firstLineChars="0" w:firstLine="0"/>
        <w:rPr>
          <w:rFonts w:cs="Times New Roman"/>
          <w:b w:val="0"/>
          <w:bCs w:val="0"/>
        </w:rPr>
      </w:pPr>
      <w:r>
        <w:rPr>
          <w:rFonts w:hint="eastAsia"/>
          <w:b w:val="0"/>
          <w:bCs w:val="0"/>
        </w:rPr>
        <w:t xml:space="preserve">　　（二）全部被汇总机构、场所名称及纳税人识别号；</w:t>
      </w:r>
    </w:p>
    <w:p w:rsidR="001E3418" w:rsidRDefault="001E3418">
      <w:pPr>
        <w:pStyle w:val="a2"/>
        <w:ind w:firstLineChars="0" w:firstLine="0"/>
        <w:rPr>
          <w:rFonts w:cs="Times New Roman"/>
          <w:b w:val="0"/>
          <w:bCs w:val="0"/>
        </w:rPr>
      </w:pPr>
      <w:r>
        <w:rPr>
          <w:rFonts w:hint="eastAsia"/>
          <w:b w:val="0"/>
          <w:bCs w:val="0"/>
        </w:rPr>
        <w:t xml:space="preserve">　　（三）符合汇总缴纳企业所得税条件的财务会计核算制度安排。</w:t>
      </w:r>
    </w:p>
    <w:p w:rsidR="001E3418" w:rsidRDefault="001E3418">
      <w:pPr>
        <w:pStyle w:val="a2"/>
        <w:ind w:firstLineChars="0" w:firstLine="0"/>
        <w:rPr>
          <w:rFonts w:cs="Times New Roman"/>
          <w:b w:val="0"/>
          <w:bCs w:val="0"/>
        </w:rPr>
      </w:pPr>
      <w:r>
        <w:rPr>
          <w:rFonts w:hint="eastAsia"/>
          <w:b w:val="0"/>
          <w:bCs w:val="0"/>
        </w:rPr>
        <w:t xml:space="preserve">　　已按上款规定报送的信息资料发生变更的，汇总纳税的各机构、场所应在发生变更后首次办理汇总缴纳企业所得税申报时，向所在地主管税务机关报告变化情况。</w:t>
      </w:r>
    </w:p>
    <w:sectPr w:rsidR="001E3418" w:rsidSect="00EB655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微软雅黑"/>
    <w:panose1 w:val="00000000000000000000"/>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D1E91"/>
    <w:multiLevelType w:val="multilevel"/>
    <w:tmpl w:val="0ACD1E91"/>
    <w:lvl w:ilvl="0">
      <w:start w:val="1"/>
      <w:numFmt w:val="decimal"/>
      <w:lvlText w:val="%1."/>
      <w:lvlJc w:val="left"/>
      <w:pPr>
        <w:ind w:left="883" w:hanging="181"/>
      </w:pPr>
      <w:rPr>
        <w:rFonts w:ascii="Times New Roman" w:eastAsia="Times New Roman" w:hAnsi="Times New Roman" w:hint="default"/>
        <w:w w:val="100"/>
        <w:sz w:val="22"/>
        <w:szCs w:val="22"/>
      </w:rPr>
    </w:lvl>
    <w:lvl w:ilvl="1">
      <w:numFmt w:val="bullet"/>
      <w:lvlText w:val="•"/>
      <w:lvlJc w:val="left"/>
      <w:pPr>
        <w:ind w:left="1678" w:hanging="181"/>
      </w:pPr>
      <w:rPr>
        <w:rFonts w:hint="default"/>
      </w:rPr>
    </w:lvl>
    <w:lvl w:ilvl="2">
      <w:numFmt w:val="bullet"/>
      <w:lvlText w:val="•"/>
      <w:lvlJc w:val="left"/>
      <w:pPr>
        <w:ind w:left="2477" w:hanging="181"/>
      </w:pPr>
      <w:rPr>
        <w:rFonts w:hint="default"/>
      </w:rPr>
    </w:lvl>
    <w:lvl w:ilvl="3">
      <w:numFmt w:val="bullet"/>
      <w:lvlText w:val="•"/>
      <w:lvlJc w:val="left"/>
      <w:pPr>
        <w:ind w:left="3275" w:hanging="181"/>
      </w:pPr>
      <w:rPr>
        <w:rFonts w:hint="default"/>
      </w:rPr>
    </w:lvl>
    <w:lvl w:ilvl="4">
      <w:numFmt w:val="bullet"/>
      <w:lvlText w:val="•"/>
      <w:lvlJc w:val="left"/>
      <w:pPr>
        <w:ind w:left="4074" w:hanging="181"/>
      </w:pPr>
      <w:rPr>
        <w:rFonts w:hint="default"/>
      </w:rPr>
    </w:lvl>
    <w:lvl w:ilvl="5">
      <w:numFmt w:val="bullet"/>
      <w:lvlText w:val="•"/>
      <w:lvlJc w:val="left"/>
      <w:pPr>
        <w:ind w:left="4873" w:hanging="181"/>
      </w:pPr>
      <w:rPr>
        <w:rFonts w:hint="default"/>
      </w:rPr>
    </w:lvl>
    <w:lvl w:ilvl="6">
      <w:numFmt w:val="bullet"/>
      <w:lvlText w:val="•"/>
      <w:lvlJc w:val="left"/>
      <w:pPr>
        <w:ind w:left="5671" w:hanging="181"/>
      </w:pPr>
      <w:rPr>
        <w:rFonts w:hint="default"/>
      </w:rPr>
    </w:lvl>
    <w:lvl w:ilvl="7">
      <w:numFmt w:val="bullet"/>
      <w:lvlText w:val="•"/>
      <w:lvlJc w:val="left"/>
      <w:pPr>
        <w:ind w:left="6470" w:hanging="181"/>
      </w:pPr>
      <w:rPr>
        <w:rFonts w:hint="default"/>
      </w:rPr>
    </w:lvl>
    <w:lvl w:ilvl="8">
      <w:numFmt w:val="bullet"/>
      <w:lvlText w:val="•"/>
      <w:lvlJc w:val="left"/>
      <w:pPr>
        <w:ind w:left="7268" w:hanging="18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7D91"/>
    <w:rsid w:val="00021972"/>
    <w:rsid w:val="000D4BE3"/>
    <w:rsid w:val="00102C18"/>
    <w:rsid w:val="00115965"/>
    <w:rsid w:val="0018435D"/>
    <w:rsid w:val="00195B5D"/>
    <w:rsid w:val="001E04AC"/>
    <w:rsid w:val="001E3418"/>
    <w:rsid w:val="00280F94"/>
    <w:rsid w:val="002913DE"/>
    <w:rsid w:val="002C6C28"/>
    <w:rsid w:val="00326D6F"/>
    <w:rsid w:val="003418BC"/>
    <w:rsid w:val="003512C0"/>
    <w:rsid w:val="004356B3"/>
    <w:rsid w:val="00457C25"/>
    <w:rsid w:val="00462F95"/>
    <w:rsid w:val="00655FB4"/>
    <w:rsid w:val="006605E9"/>
    <w:rsid w:val="00667D91"/>
    <w:rsid w:val="006B0268"/>
    <w:rsid w:val="007076B0"/>
    <w:rsid w:val="0075147C"/>
    <w:rsid w:val="007618DB"/>
    <w:rsid w:val="00761F8A"/>
    <w:rsid w:val="00774180"/>
    <w:rsid w:val="007A6FB2"/>
    <w:rsid w:val="007C3F6C"/>
    <w:rsid w:val="007C7297"/>
    <w:rsid w:val="008040BF"/>
    <w:rsid w:val="00815230"/>
    <w:rsid w:val="00846987"/>
    <w:rsid w:val="008562D3"/>
    <w:rsid w:val="00917F66"/>
    <w:rsid w:val="00945603"/>
    <w:rsid w:val="00987F59"/>
    <w:rsid w:val="009E0497"/>
    <w:rsid w:val="00A01BA1"/>
    <w:rsid w:val="00A41B6C"/>
    <w:rsid w:val="00A654CD"/>
    <w:rsid w:val="00A75517"/>
    <w:rsid w:val="00A809C2"/>
    <w:rsid w:val="00AC77DF"/>
    <w:rsid w:val="00B33AA7"/>
    <w:rsid w:val="00BB1E6C"/>
    <w:rsid w:val="00BB496C"/>
    <w:rsid w:val="00C16D4E"/>
    <w:rsid w:val="00C33320"/>
    <w:rsid w:val="00C36F35"/>
    <w:rsid w:val="00C43CE2"/>
    <w:rsid w:val="00C81073"/>
    <w:rsid w:val="00C95D3A"/>
    <w:rsid w:val="00CA6D4A"/>
    <w:rsid w:val="00CC2876"/>
    <w:rsid w:val="00CC33F8"/>
    <w:rsid w:val="00D5331D"/>
    <w:rsid w:val="00D64931"/>
    <w:rsid w:val="00D67F39"/>
    <w:rsid w:val="00DB01D5"/>
    <w:rsid w:val="00DF5FE9"/>
    <w:rsid w:val="00E13B1F"/>
    <w:rsid w:val="00E204EF"/>
    <w:rsid w:val="00E26A56"/>
    <w:rsid w:val="00E6454B"/>
    <w:rsid w:val="00EA31A6"/>
    <w:rsid w:val="00EB655E"/>
    <w:rsid w:val="00EC1139"/>
    <w:rsid w:val="00EC75B3"/>
    <w:rsid w:val="00ED39E0"/>
    <w:rsid w:val="00ED64E8"/>
    <w:rsid w:val="00F73CAB"/>
    <w:rsid w:val="00FE002A"/>
    <w:rsid w:val="08B97C1E"/>
    <w:rsid w:val="26BA75FD"/>
    <w:rsid w:val="2A022A30"/>
    <w:rsid w:val="2F8229EF"/>
    <w:rsid w:val="30161EC5"/>
    <w:rsid w:val="43DC7F1D"/>
    <w:rsid w:val="4835012F"/>
    <w:rsid w:val="6DF938E4"/>
    <w:rsid w:val="6FCF654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55E"/>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EB655E"/>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EB655E"/>
    <w:pPr>
      <w:keepNext/>
      <w:keepLines/>
      <w:spacing w:before="260" w:after="260" w:line="416" w:lineRule="auto"/>
      <w:outlineLvl w:val="1"/>
    </w:pPr>
    <w:rPr>
      <w:rFonts w:ascii="Cambria" w:hAnsi="Cambria" w:cs="Cambria"/>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B655E"/>
    <w:rPr>
      <w:b/>
      <w:bCs/>
      <w:kern w:val="44"/>
      <w:sz w:val="44"/>
      <w:szCs w:val="44"/>
    </w:rPr>
  </w:style>
  <w:style w:type="character" w:customStyle="1" w:styleId="Heading2Char">
    <w:name w:val="Heading 2 Char"/>
    <w:basedOn w:val="DefaultParagraphFont"/>
    <w:link w:val="Heading2"/>
    <w:uiPriority w:val="99"/>
    <w:locked/>
    <w:rsid w:val="00EB655E"/>
    <w:rPr>
      <w:rFonts w:ascii="Cambria" w:eastAsia="宋体" w:hAnsi="Cambria" w:cs="Cambria"/>
      <w:b/>
      <w:bCs/>
      <w:sz w:val="32"/>
      <w:szCs w:val="32"/>
    </w:rPr>
  </w:style>
  <w:style w:type="paragraph" w:styleId="DocumentMap">
    <w:name w:val="Document Map"/>
    <w:basedOn w:val="Normal"/>
    <w:link w:val="DocumentMapChar"/>
    <w:uiPriority w:val="99"/>
    <w:semiHidden/>
    <w:rsid w:val="00EB655E"/>
    <w:rPr>
      <w:rFonts w:ascii="宋体" w:cs="宋体"/>
      <w:sz w:val="18"/>
      <w:szCs w:val="18"/>
    </w:rPr>
  </w:style>
  <w:style w:type="character" w:customStyle="1" w:styleId="DocumentMapChar">
    <w:name w:val="Document Map Char"/>
    <w:basedOn w:val="DefaultParagraphFont"/>
    <w:link w:val="DocumentMap"/>
    <w:uiPriority w:val="99"/>
    <w:semiHidden/>
    <w:locked/>
    <w:rsid w:val="00EB655E"/>
    <w:rPr>
      <w:rFonts w:ascii="宋体" w:eastAsia="宋体" w:cs="宋体"/>
      <w:sz w:val="18"/>
      <w:szCs w:val="18"/>
    </w:rPr>
  </w:style>
  <w:style w:type="paragraph" w:styleId="BodyText">
    <w:name w:val="Body Text"/>
    <w:basedOn w:val="Normal"/>
    <w:link w:val="BodyTextChar"/>
    <w:uiPriority w:val="99"/>
    <w:rsid w:val="00EB655E"/>
    <w:pPr>
      <w:autoSpaceDE w:val="0"/>
      <w:autoSpaceDN w:val="0"/>
      <w:ind w:left="702"/>
      <w:jc w:val="left"/>
    </w:pPr>
    <w:rPr>
      <w:rFonts w:ascii="宋体" w:hAnsi="宋体" w:cs="宋体"/>
      <w:kern w:val="0"/>
      <w:sz w:val="24"/>
      <w:szCs w:val="24"/>
      <w:lang w:val="zh-CN"/>
    </w:rPr>
  </w:style>
  <w:style w:type="character" w:customStyle="1" w:styleId="BodyTextChar">
    <w:name w:val="Body Text Char"/>
    <w:basedOn w:val="DefaultParagraphFont"/>
    <w:link w:val="BodyText"/>
    <w:uiPriority w:val="99"/>
    <w:semiHidden/>
    <w:locked/>
    <w:rsid w:val="00EB655E"/>
    <w:rPr>
      <w:rFonts w:ascii="Calibri" w:hAnsi="Calibri" w:cs="Calibri"/>
      <w:sz w:val="21"/>
      <w:szCs w:val="21"/>
    </w:rPr>
  </w:style>
  <w:style w:type="paragraph" w:styleId="BalloonText">
    <w:name w:val="Balloon Text"/>
    <w:basedOn w:val="Normal"/>
    <w:link w:val="BalloonTextChar"/>
    <w:uiPriority w:val="99"/>
    <w:semiHidden/>
    <w:rsid w:val="00EB655E"/>
    <w:rPr>
      <w:sz w:val="18"/>
      <w:szCs w:val="18"/>
    </w:rPr>
  </w:style>
  <w:style w:type="character" w:customStyle="1" w:styleId="BalloonTextChar">
    <w:name w:val="Balloon Text Char"/>
    <w:basedOn w:val="DefaultParagraphFont"/>
    <w:link w:val="BalloonText"/>
    <w:uiPriority w:val="99"/>
    <w:semiHidden/>
    <w:locked/>
    <w:rsid w:val="00EB655E"/>
    <w:rPr>
      <w:sz w:val="18"/>
      <w:szCs w:val="18"/>
    </w:rPr>
  </w:style>
  <w:style w:type="paragraph" w:styleId="Footer">
    <w:name w:val="footer"/>
    <w:basedOn w:val="Normal"/>
    <w:link w:val="FooterChar"/>
    <w:uiPriority w:val="99"/>
    <w:semiHidden/>
    <w:rsid w:val="00EB655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EB655E"/>
    <w:rPr>
      <w:sz w:val="18"/>
      <w:szCs w:val="18"/>
    </w:rPr>
  </w:style>
  <w:style w:type="paragraph" w:styleId="Header">
    <w:name w:val="header"/>
    <w:basedOn w:val="Normal"/>
    <w:link w:val="HeaderChar"/>
    <w:uiPriority w:val="99"/>
    <w:semiHidden/>
    <w:rsid w:val="00EB655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EB655E"/>
    <w:rPr>
      <w:sz w:val="18"/>
      <w:szCs w:val="18"/>
    </w:rPr>
  </w:style>
  <w:style w:type="paragraph" w:customStyle="1" w:styleId="a">
    <w:name w:val="需求正文"/>
    <w:basedOn w:val="Normal"/>
    <w:link w:val="Char"/>
    <w:uiPriority w:val="99"/>
    <w:rsid w:val="00EB655E"/>
    <w:pPr>
      <w:ind w:firstLineChars="200" w:firstLine="420"/>
    </w:pPr>
    <w:rPr>
      <w:rFonts w:ascii="Arial" w:hAnsi="Arial" w:cs="Arial"/>
    </w:rPr>
  </w:style>
  <w:style w:type="character" w:customStyle="1" w:styleId="Char">
    <w:name w:val="需求正文 Char"/>
    <w:basedOn w:val="DefaultParagraphFont"/>
    <w:link w:val="a"/>
    <w:uiPriority w:val="99"/>
    <w:locked/>
    <w:rsid w:val="00EB655E"/>
    <w:rPr>
      <w:rFonts w:ascii="Arial" w:eastAsia="宋体" w:hAnsi="Arial" w:cs="Arial"/>
    </w:rPr>
  </w:style>
  <w:style w:type="paragraph" w:customStyle="1" w:styleId="a0">
    <w:name w:val="一级标题"/>
    <w:basedOn w:val="Normal"/>
    <w:link w:val="Char0"/>
    <w:uiPriority w:val="99"/>
    <w:rsid w:val="00EB655E"/>
    <w:pPr>
      <w:ind w:firstLineChars="200" w:firstLine="420"/>
      <w:outlineLvl w:val="2"/>
    </w:pPr>
    <w:rPr>
      <w:rFonts w:ascii="Arial" w:hAnsi="Arial" w:cs="Arial"/>
      <w:b/>
      <w:bCs/>
      <w:kern w:val="0"/>
      <w:sz w:val="20"/>
      <w:szCs w:val="20"/>
    </w:rPr>
  </w:style>
  <w:style w:type="paragraph" w:customStyle="1" w:styleId="a1">
    <w:name w:val="二级标题"/>
    <w:basedOn w:val="Normal"/>
    <w:uiPriority w:val="99"/>
    <w:rsid w:val="00EB655E"/>
    <w:pPr>
      <w:ind w:firstLineChars="200" w:firstLine="420"/>
      <w:outlineLvl w:val="3"/>
    </w:pPr>
    <w:rPr>
      <w:rFonts w:ascii="Arial" w:hAnsi="Arial" w:cs="Arial"/>
      <w:kern w:val="0"/>
      <w:sz w:val="20"/>
      <w:szCs w:val="20"/>
    </w:rPr>
  </w:style>
  <w:style w:type="character" w:customStyle="1" w:styleId="Char0">
    <w:name w:val="一级标题 Char"/>
    <w:link w:val="a0"/>
    <w:uiPriority w:val="99"/>
    <w:locked/>
    <w:rsid w:val="00EB655E"/>
    <w:rPr>
      <w:rFonts w:ascii="Arial" w:eastAsia="宋体" w:hAnsi="Arial" w:cs="Arial"/>
      <w:b/>
      <w:bCs/>
      <w:kern w:val="0"/>
      <w:sz w:val="20"/>
      <w:szCs w:val="20"/>
    </w:rPr>
  </w:style>
  <w:style w:type="paragraph" w:customStyle="1" w:styleId="a2">
    <w:name w:val="【事项描】"/>
    <w:basedOn w:val="Normal"/>
    <w:link w:val="a3"/>
    <w:uiPriority w:val="99"/>
    <w:rsid w:val="00EB655E"/>
    <w:pPr>
      <w:adjustRightInd w:val="0"/>
      <w:snapToGrid w:val="0"/>
      <w:spacing w:line="360" w:lineRule="auto"/>
      <w:ind w:firstLineChars="200" w:firstLine="482"/>
    </w:pPr>
    <w:rPr>
      <w:rFonts w:ascii="宋体" w:hAnsi="宋体" w:cs="宋体"/>
      <w:b/>
      <w:bCs/>
      <w:sz w:val="24"/>
      <w:szCs w:val="24"/>
    </w:rPr>
  </w:style>
  <w:style w:type="paragraph" w:customStyle="1" w:styleId="a4">
    <w:name w:val="正文正文"/>
    <w:basedOn w:val="Normal"/>
    <w:uiPriority w:val="99"/>
    <w:rsid w:val="00EB655E"/>
    <w:pPr>
      <w:adjustRightInd w:val="0"/>
      <w:snapToGrid w:val="0"/>
      <w:spacing w:line="360" w:lineRule="auto"/>
      <w:ind w:firstLineChars="200" w:firstLine="480"/>
    </w:pPr>
    <w:rPr>
      <w:rFonts w:ascii="宋体" w:hAnsi="宋体" w:cs="宋体"/>
      <w:sz w:val="24"/>
      <w:szCs w:val="24"/>
    </w:rPr>
  </w:style>
  <w:style w:type="character" w:customStyle="1" w:styleId="a3">
    <w:name w:val="【事项描】 字符"/>
    <w:link w:val="a2"/>
    <w:uiPriority w:val="99"/>
    <w:locked/>
    <w:rsid w:val="00EB655E"/>
    <w:rPr>
      <w:rFonts w:ascii="宋体" w:eastAsia="宋体" w:hAnsi="宋体" w:cs="宋体"/>
      <w:b/>
      <w:bCs/>
      <w:kern w:val="2"/>
      <w:sz w:val="24"/>
      <w:szCs w:val="24"/>
      <w:lang w:val="en-US" w:eastAsia="zh-CN"/>
    </w:rPr>
  </w:style>
  <w:style w:type="paragraph" w:styleId="ListParagraph">
    <w:name w:val="List Paragraph"/>
    <w:basedOn w:val="Normal"/>
    <w:uiPriority w:val="99"/>
    <w:qFormat/>
    <w:rsid w:val="00EB655E"/>
    <w:pPr>
      <w:autoSpaceDE w:val="0"/>
      <w:autoSpaceDN w:val="0"/>
      <w:ind w:left="222" w:firstLine="480"/>
      <w:jc w:val="left"/>
    </w:pPr>
    <w:rPr>
      <w:rFonts w:ascii="宋体" w:hAnsi="宋体" w:cs="宋体"/>
      <w:kern w:val="0"/>
      <w:sz w:val="22"/>
      <w:szCs w:val="22"/>
      <w:lang w:val="zh-CN"/>
    </w:rPr>
  </w:style>
  <w:style w:type="paragraph" w:customStyle="1" w:styleId="TableParagraph">
    <w:name w:val="Table Paragraph"/>
    <w:basedOn w:val="Normal"/>
    <w:uiPriority w:val="99"/>
    <w:rsid w:val="00EB655E"/>
    <w:pPr>
      <w:autoSpaceDE w:val="0"/>
      <w:autoSpaceDN w:val="0"/>
      <w:jc w:val="left"/>
    </w:pPr>
    <w:rPr>
      <w:rFonts w:ascii="黑体" w:eastAsia="黑体" w:hAnsi="黑体" w:cs="黑体"/>
      <w:kern w:val="0"/>
      <w:sz w:val="22"/>
      <w:szCs w:val="22"/>
      <w:lang w:val="zh-CN"/>
    </w:rPr>
  </w:style>
  <w:style w:type="paragraph" w:customStyle="1" w:styleId="2">
    <w:name w:val="样式2"/>
    <w:basedOn w:val="Normal"/>
    <w:uiPriority w:val="99"/>
    <w:rsid w:val="00102C18"/>
    <w:pPr>
      <w:topLinePunct/>
      <w:snapToGrid w:val="0"/>
      <w:spacing w:beforeLines="15" w:afterLines="15"/>
      <w:jc w:val="center"/>
    </w:pPr>
    <w:rPr>
      <w:rFonts w:ascii="等线" w:eastAsia="等线" w:hAnsi="等线" w:cs="等线"/>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4</Pages>
  <Words>390</Words>
  <Characters>2227</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姚琳</dc:creator>
  <cp:keywords/>
  <dc:description/>
  <cp:lastModifiedBy>刘灵筠</cp:lastModifiedBy>
  <cp:revision>20</cp:revision>
  <dcterms:created xsi:type="dcterms:W3CDTF">2018-09-14T06:05:00Z</dcterms:created>
  <dcterms:modified xsi:type="dcterms:W3CDTF">2019-10-28T01:15:00Z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