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topLinePunct/>
        <w:spacing w:before="312" w:beforeLines="100" w:after="312" w:afterLines="100" w:line="360" w:lineRule="auto"/>
        <w:ind w:firstLine="510"/>
        <w:outlineLvl w:val="2"/>
        <w:rPr>
          <w:rFonts w:ascii="Times New Roman" w:hAnsi="Times New Roman" w:eastAsia="黑体"/>
          <w:b/>
          <w:bCs/>
          <w:kern w:val="24"/>
          <w:sz w:val="28"/>
          <w:szCs w:val="28"/>
        </w:rPr>
      </w:pPr>
      <w:r>
        <w:rPr>
          <w:rFonts w:hint="eastAsia" w:ascii="Times New Roman" w:hAnsi="Times New Roman" w:eastAsia="黑体"/>
          <w:b/>
          <w:bCs/>
          <w:kern w:val="24"/>
          <w:sz w:val="28"/>
          <w:szCs w:val="28"/>
        </w:rPr>
        <w:t>9.1.3</w:t>
      </w:r>
      <w:r>
        <w:rPr>
          <w:rFonts w:ascii="Times New Roman" w:hAnsi="Times New Roman" w:eastAsia="黑体"/>
          <w:b/>
          <w:bCs/>
          <w:kern w:val="24"/>
          <w:sz w:val="28"/>
          <w:szCs w:val="28"/>
        </w:rPr>
        <w:t>—</w:t>
      </w:r>
      <w:r>
        <w:rPr>
          <w:rFonts w:hint="eastAsia" w:ascii="Times New Roman" w:hAnsi="Times New Roman" w:eastAsia="黑体"/>
          <w:b/>
          <w:bCs/>
          <w:kern w:val="24"/>
          <w:sz w:val="28"/>
          <w:szCs w:val="28"/>
        </w:rPr>
        <w:t>180　纳税信用修复</w:t>
      </w:r>
    </w:p>
    <w:p>
      <w:pPr>
        <w:pStyle w:val="7"/>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620" w:lineRule="exact"/>
        <w:ind w:left="0" w:firstLine="480" w:firstLineChars="200"/>
        <w:textAlignment w:val="auto"/>
        <w:rPr>
          <w:rFonts w:hint="eastAsia" w:ascii="微软雅黑" w:hAnsi="微软雅黑" w:eastAsia="微软雅黑" w:cs="微软雅黑"/>
          <w:i w:val="0"/>
          <w:caps w:val="0"/>
          <w:color w:val="333333"/>
          <w:spacing w:val="0"/>
          <w:sz w:val="24"/>
          <w:szCs w:val="24"/>
          <w:highlight w:val="none"/>
          <w:shd w:val="clear" w:fill="FFFFFF"/>
        </w:rPr>
      </w:pPr>
      <w:r>
        <w:rPr>
          <w:rFonts w:hint="eastAsia" w:ascii="微软雅黑" w:hAnsi="微软雅黑" w:eastAsia="微软雅黑" w:cs="微软雅黑"/>
          <w:i w:val="0"/>
          <w:caps w:val="0"/>
          <w:color w:val="333333"/>
          <w:spacing w:val="0"/>
          <w:sz w:val="24"/>
          <w:szCs w:val="24"/>
          <w:highlight w:val="none"/>
          <w:shd w:val="clear" w:fill="FFFFFF"/>
        </w:rPr>
        <w:t>【事项名称】</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纳税信用修复</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【事项描述（申请条件）】</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纳入纳税信用管理的企业纳税人，符合下列条件之一的，可在规定期限内向主管税务机关申请纳税信用修复。</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1.纳税人发生未按法定期限办理纳税申报、税款缴纳、资料备案等事项且已补办的。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2.未按税务机关处理结论缴纳或者足额缴纳税款、滞纳金和罚款，未构成犯罪，纳税信用级别被直接判为D级的纳税人，在税务机关处理结论明确的期限期满后60日内足额缴纳、补缴的。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3.纳税人履行相应法律义务并由税务机关依法解除非正常户状态的。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right="0" w:firstLine="480" w:firstLineChars="200"/>
        <w:textAlignment w:val="auto"/>
        <w:rPr>
          <w:rFonts w:ascii="微软雅黑" w:hAnsi="微软雅黑" w:eastAsia="微软雅黑" w:cs="微软雅黑"/>
          <w:color w:val="00000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4.破产企业或其管理人在重整或和解程序中，已依法缴纳税款、滞纳金、 罚款， 并纠正相关纳税信用失信行为的。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right="0" w:firstLine="480" w:firstLineChars="200"/>
        <w:textAlignment w:val="auto"/>
        <w:rPr>
          <w:rFonts w:hint="eastAsia" w:ascii="微软雅黑" w:hAnsi="微软雅黑" w:eastAsia="微软雅黑" w:cs="微软雅黑"/>
          <w:color w:val="00000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5.因确定为重大税收违法失信主体，纳税信用直接判为D级的纳税人， 失信主体信息已按照国家税务总局相关规定不予公布或停止公布，申请前连续12个月没有新增纳税信用失信行为记录的。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right="0" w:firstLine="480" w:firstLineChars="200"/>
        <w:textAlignment w:val="auto"/>
        <w:rPr>
          <w:rFonts w:hint="eastAsia" w:ascii="微软雅黑" w:hAnsi="微软雅黑" w:eastAsia="微软雅黑" w:cs="微软雅黑"/>
          <w:i w:val="0"/>
          <w:caps w:val="0"/>
          <w:color w:val="000000"/>
          <w:spacing w:val="0"/>
          <w:sz w:val="24"/>
          <w:szCs w:val="24"/>
          <w:highlight w:val="none"/>
          <w:shd w:val="clear" w:fill="FFFFFF"/>
        </w:rPr>
      </w:pPr>
      <w:r>
        <w:rPr>
          <w:rFonts w:hint="eastAsia" w:ascii="微软雅黑" w:hAnsi="微软雅黑" w:eastAsia="微软雅黑" w:cs="微软雅黑"/>
          <w:i w:val="0"/>
          <w:caps w:val="0"/>
          <w:color w:val="000000"/>
          <w:spacing w:val="0"/>
          <w:sz w:val="24"/>
          <w:szCs w:val="24"/>
          <w:highlight w:val="none"/>
          <w:shd w:val="clear" w:fill="FFFFFF"/>
        </w:rPr>
        <w:t>6.由纳税信用D级纳税人的直接责任人员注册登记或者负责经营，纳税信用关联评价为D级的纳税人，申请前连续6个月没有新增纳税信用失信行为记录的。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right="0" w:firstLine="480" w:firstLineChars="200"/>
        <w:textAlignment w:val="auto"/>
        <w:rPr>
          <w:rFonts w:hint="eastAsia" w:ascii="微软雅黑" w:hAnsi="微软雅黑" w:eastAsia="微软雅黑" w:cs="微软雅黑"/>
          <w:color w:val="00000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7.因其他失信行为纳税信用直接判为D级的纳税人， 已纠正纳税信用失信行为、履行税收法律责任，申请前连续12个月没有新增纳税信用失信行为记录的。</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620" w:lineRule="exact"/>
        <w:ind w:right="0" w:firstLine="480" w:firstLineChars="200"/>
        <w:textAlignment w:val="auto"/>
        <w:rPr>
          <w:rFonts w:ascii="微软雅黑" w:hAnsi="微软雅黑" w:eastAsia="微软雅黑" w:cs="微软雅黑"/>
          <w:i w:val="0"/>
          <w:caps w:val="0"/>
          <w:color w:val="333333"/>
          <w:spacing w:val="0"/>
          <w:sz w:val="24"/>
          <w:szCs w:val="24"/>
          <w:highlight w:val="none"/>
        </w:rPr>
      </w:pPr>
      <w:r>
        <w:rPr>
          <w:rFonts w:hint="eastAsia" w:ascii="微软雅黑" w:hAnsi="微软雅黑" w:eastAsia="微软雅黑" w:cs="微软雅黑"/>
          <w:i w:val="0"/>
          <w:caps w:val="0"/>
          <w:color w:val="000000"/>
          <w:spacing w:val="0"/>
          <w:sz w:val="24"/>
          <w:szCs w:val="24"/>
          <w:highlight w:val="none"/>
          <w:shd w:val="clear" w:fill="FFFFFF"/>
        </w:rPr>
        <w:t>8.因上一年度纳税信用直接判为D级， 本年度纳税信用保留为D级的纳税人， 已纠正纳税信用失信行为、履行税收法律责任或失信主体信息已按照国家税务总局相关规定不予公布或停止公布， 申请前连续12个月没有新增纳税信用失信行为记录的。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【办理资料】</w:t>
      </w:r>
    </w:p>
    <w:tbl>
      <w:tblPr>
        <w:tblStyle w:val="8"/>
        <w:tblW w:w="8160"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5"/>
        <w:gridCol w:w="4065"/>
        <w:gridCol w:w="855"/>
        <w:gridCol w:w="256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序号</w:t>
            </w:r>
          </w:p>
        </w:tc>
        <w:tc>
          <w:tcPr>
            <w:tcW w:w="406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材料名称</w:t>
            </w:r>
          </w:p>
        </w:tc>
        <w:tc>
          <w:tcPr>
            <w:tcW w:w="85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数量</w:t>
            </w:r>
          </w:p>
        </w:tc>
        <w:tc>
          <w:tcPr>
            <w:tcW w:w="2565" w:type="dxa"/>
            <w:tcBorders>
              <w:top w:val="outset" w:color="auto" w:sz="6" w:space="0"/>
              <w:left w:val="outset" w:color="auto" w:sz="6" w:space="0"/>
              <w:bottom w:val="outset" w:color="auto" w:sz="6" w:space="0"/>
              <w:right w:val="outset" w:color="auto" w:sz="6" w:space="0"/>
            </w:tcBorders>
            <w:shd w:val="clear" w:color="auto" w:fill="D9D9D9"/>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67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1</w:t>
            </w:r>
          </w:p>
        </w:tc>
        <w:tc>
          <w:tcPr>
            <w:tcW w:w="40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spacing w:val="0"/>
                <w:kern w:val="0"/>
                <w:sz w:val="24"/>
                <w:szCs w:val="24"/>
                <w:highlight w:val="none"/>
                <w:lang w:val="en-US" w:eastAsia="zh-CN" w:bidi="ar"/>
              </w:rPr>
              <w:fldChar w:fldCharType="begin"/>
            </w:r>
            <w:r>
              <w:rPr>
                <w:rFonts w:ascii="宋体" w:hAnsi="宋体" w:eastAsia="宋体" w:cs="宋体"/>
                <w:i w:val="0"/>
                <w:caps w:val="0"/>
                <w:spacing w:val="0"/>
                <w:kern w:val="0"/>
                <w:sz w:val="24"/>
                <w:szCs w:val="24"/>
                <w:highlight w:val="none"/>
                <w:lang w:val="en-US" w:eastAsia="zh-CN" w:bidi="ar"/>
              </w:rPr>
              <w:instrText xml:space="preserve"> HYPERLINK "http://tianjin.chinatax.gov.cn/uploadFiles/file/20191230/20191230164515_806.zip" \t "http://tianjin.chinatax.gov.cn/11200000000/0600/060009/06000901/_blank" </w:instrText>
            </w:r>
            <w:r>
              <w:rPr>
                <w:rFonts w:ascii="宋体" w:hAnsi="宋体" w:eastAsia="宋体" w:cs="宋体"/>
                <w:i w:val="0"/>
                <w:caps w:val="0"/>
                <w:spacing w:val="0"/>
                <w:kern w:val="0"/>
                <w:sz w:val="24"/>
                <w:szCs w:val="24"/>
                <w:highlight w:val="none"/>
                <w:lang w:val="en-US" w:eastAsia="zh-CN" w:bidi="ar"/>
              </w:rPr>
              <w:fldChar w:fldCharType="separate"/>
            </w:r>
            <w:r>
              <w:rPr>
                <w:rStyle w:val="10"/>
                <w:rFonts w:ascii="宋体" w:hAnsi="宋体" w:eastAsia="宋体" w:cs="宋体"/>
                <w:i w:val="0"/>
                <w:caps w:val="0"/>
                <w:spacing w:val="0"/>
                <w:sz w:val="24"/>
                <w:szCs w:val="24"/>
                <w:highlight w:val="none"/>
              </w:rPr>
              <w:t>《纳税信用修复申请表》</w:t>
            </w:r>
            <w:r>
              <w:rPr>
                <w:rFonts w:ascii="宋体" w:hAnsi="宋体" w:eastAsia="宋体" w:cs="宋体"/>
                <w:i w:val="0"/>
                <w:caps w:val="0"/>
                <w:spacing w:val="0"/>
                <w:kern w:val="0"/>
                <w:sz w:val="24"/>
                <w:szCs w:val="24"/>
                <w:highlight w:val="none"/>
                <w:lang w:val="en-US" w:eastAsia="zh-CN" w:bidi="ar"/>
              </w:rPr>
              <w:fldChar w:fldCharType="end"/>
            </w:r>
          </w:p>
        </w:tc>
        <w:tc>
          <w:tcPr>
            <w:tcW w:w="85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highlight w:val="none"/>
              </w:rPr>
            </w:pPr>
            <w:r>
              <w:rPr>
                <w:rFonts w:ascii="宋体" w:hAnsi="宋体" w:eastAsia="宋体" w:cs="宋体"/>
                <w:i w:val="0"/>
                <w:caps w:val="0"/>
                <w:color w:val="333333"/>
                <w:spacing w:val="0"/>
                <w:kern w:val="0"/>
                <w:sz w:val="24"/>
                <w:szCs w:val="24"/>
                <w:highlight w:val="none"/>
                <w:lang w:val="en-US" w:eastAsia="zh-CN" w:bidi="ar"/>
              </w:rPr>
              <w:t>2份</w:t>
            </w:r>
          </w:p>
        </w:tc>
        <w:tc>
          <w:tcPr>
            <w:tcW w:w="2565" w:type="dxa"/>
            <w:tcBorders>
              <w:top w:val="outset" w:color="auto" w:sz="6" w:space="0"/>
              <w:left w:val="outset" w:color="auto" w:sz="6" w:space="0"/>
              <w:bottom w:val="outset" w:color="auto" w:sz="6" w:space="0"/>
              <w:right w:val="outset" w:color="auto" w:sz="6" w:space="0"/>
            </w:tcBorders>
            <w:shd w:val="clear" w:color="auto" w:fill="FFFFFF"/>
            <w:vAlign w:val="center"/>
          </w:tcPr>
          <w:p>
            <w:pPr>
              <w:keepNext w:val="0"/>
              <w:keepLines w:val="0"/>
              <w:widowControl/>
              <w:suppressLineNumbers w:val="0"/>
              <w:spacing w:before="0" w:beforeAutospacing="1" w:after="0" w:afterAutospacing="1"/>
              <w:ind w:left="0" w:right="0"/>
              <w:jc w:val="center"/>
              <w:rPr>
                <w:rFonts w:hint="eastAsia" w:eastAsia="宋体"/>
                <w:highlight w:val="none"/>
                <w:lang w:val="en-US" w:eastAsia="zh-CN"/>
              </w:rPr>
            </w:pPr>
            <w:r>
              <w:rPr>
                <w:rFonts w:hint="eastAsia" w:eastAsia="宋体"/>
                <w:highlight w:val="none"/>
                <w:lang w:val="en-US" w:eastAsia="zh-CN"/>
              </w:rPr>
              <w:t>无</w:t>
            </w:r>
          </w:p>
        </w:tc>
      </w:tr>
    </w:tbl>
    <w:p>
      <w:pPr>
        <w:pStyle w:val="7"/>
        <w:keepNext w:val="0"/>
        <w:keepLines w:val="0"/>
        <w:widowControl/>
        <w:suppressLineNumbers w:val="0"/>
        <w:shd w:val="clear" w:fill="FFFFFF"/>
        <w:ind w:left="0" w:firstLine="0"/>
        <w:rPr>
          <w:rFonts w:hint="eastAsia" w:ascii="微软雅黑" w:hAnsi="微软雅黑" w:eastAsia="微软雅黑" w:cs="微软雅黑"/>
          <w:i w:val="0"/>
          <w:caps w:val="0"/>
          <w:color w:val="333333"/>
          <w:spacing w:val="0"/>
          <w:sz w:val="24"/>
          <w:szCs w:val="24"/>
          <w:highlight w:val="none"/>
          <w:lang w:eastAsia="zh-CN"/>
        </w:rPr>
      </w:pPr>
      <w:r>
        <w:rPr>
          <w:rFonts w:hint="eastAsia" w:ascii="微软雅黑" w:hAnsi="微软雅黑" w:eastAsia="微软雅黑" w:cs="微软雅黑"/>
          <w:i w:val="0"/>
          <w:caps w:val="0"/>
          <w:color w:val="333333"/>
          <w:spacing w:val="0"/>
          <w:sz w:val="24"/>
          <w:szCs w:val="24"/>
          <w:highlight w:val="none"/>
          <w:shd w:val="clear" w:fill="FFFFFF"/>
        </w:rPr>
        <w:t>        【办理地点（受理机构）】</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主管税务机关办税服务厅（场所）https://12366.chinatax.gov.cn/bsfw/bsdt/</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【收费标准】</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不收费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【办理流程】</w:t>
      </w:r>
    </w:p>
    <w:p>
      <w:pPr>
        <w:pStyle w:val="7"/>
        <w:keepNext w:val="0"/>
        <w:keepLines w:val="0"/>
        <w:widowControl/>
        <w:suppressLineNumbers w:val="0"/>
        <w:shd w:val="clear" w:fill="FFFFFF"/>
        <w:ind w:left="0" w:firstLine="0"/>
        <w:jc w:val="center"/>
        <w:rPr>
          <w:rFonts w:hint="eastAsia" w:ascii="微软雅黑" w:hAnsi="微软雅黑" w:eastAsia="微软雅黑" w:cs="微软雅黑"/>
          <w:i w:val="0"/>
          <w:caps w:val="0"/>
          <w:color w:val="333333"/>
          <w:spacing w:val="0"/>
          <w:sz w:val="24"/>
          <w:szCs w:val="24"/>
          <w:highlight w:val="none"/>
        </w:rPr>
      </w:pPr>
      <w:r>
        <w:rPr>
          <w:rFonts w:ascii="宋体" w:hAnsi="宋体" w:eastAsia="宋体" w:cs="宋体"/>
          <w:sz w:val="24"/>
          <w:szCs w:val="24"/>
          <w:highlight w:val="none"/>
        </w:rPr>
        <w:drawing>
          <wp:inline distT="0" distB="0" distL="114300" distR="114300">
            <wp:extent cx="5287010" cy="2933700"/>
            <wp:effectExtent l="0" t="0" r="8890" b="0"/>
            <wp:docPr id="13"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56"/>
                    <pic:cNvPicPr>
                      <a:picLocks noChangeAspect="1"/>
                    </pic:cNvPicPr>
                  </pic:nvPicPr>
                  <pic:blipFill>
                    <a:blip r:embed="rId4"/>
                    <a:stretch>
                      <a:fillRect/>
                    </a:stretch>
                  </pic:blipFill>
                  <pic:spPr>
                    <a:xfrm>
                      <a:off x="0" y="0"/>
                      <a:ext cx="5287010" cy="2933700"/>
                    </a:xfrm>
                    <a:prstGeom prst="rect">
                      <a:avLst/>
                    </a:prstGeom>
                    <a:noFill/>
                    <a:ln w="9525">
                      <a:noFill/>
                    </a:ln>
                  </pic:spPr>
                </pic:pic>
              </a:graphicData>
            </a:graphic>
          </wp:inline>
        </w:drawing>
      </w:r>
      <w:r>
        <w:rPr>
          <w:rFonts w:hint="eastAsia" w:ascii="微软雅黑" w:hAnsi="微软雅黑" w:eastAsia="微软雅黑" w:cs="微软雅黑"/>
          <w:i w:val="0"/>
          <w:caps w:val="0"/>
          <w:color w:val="333333"/>
          <w:spacing w:val="0"/>
          <w:sz w:val="24"/>
          <w:szCs w:val="24"/>
          <w:highlight w:val="none"/>
          <w:shd w:val="clear" w:fill="FFFFFF"/>
        </w:rPr>
        <w:t> </w:t>
      </w:r>
    </w:p>
    <w:p>
      <w:pPr>
        <w:pStyle w:val="7"/>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620" w:lineRule="exact"/>
        <w:ind w:left="0" w:firstLine="480" w:firstLineChars="200"/>
        <w:textAlignment w:val="auto"/>
        <w:rPr>
          <w:rFonts w:hint="eastAsia" w:ascii="微软雅黑" w:hAnsi="微软雅黑" w:eastAsia="微软雅黑" w:cs="微软雅黑"/>
          <w:i w:val="0"/>
          <w:caps w:val="0"/>
          <w:color w:val="333333"/>
          <w:spacing w:val="0"/>
          <w:sz w:val="24"/>
          <w:szCs w:val="24"/>
          <w:highlight w:val="none"/>
          <w:shd w:val="clear" w:fill="FFFFFF"/>
        </w:rPr>
      </w:pPr>
      <w:r>
        <w:rPr>
          <w:rFonts w:hint="eastAsia" w:ascii="微软雅黑" w:hAnsi="微软雅黑" w:eastAsia="微软雅黑" w:cs="微软雅黑"/>
          <w:i w:val="0"/>
          <w:caps w:val="0"/>
          <w:color w:val="333333"/>
          <w:spacing w:val="0"/>
          <w:sz w:val="24"/>
          <w:szCs w:val="24"/>
          <w:highlight w:val="none"/>
          <w:shd w:val="clear" w:fill="FFFFFF"/>
        </w:rPr>
        <w:t>        【办理时间】</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"http://tianjin.chinatax.gov.cn/11200000000/0600/060009/06000901/_blank"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10"/>
          <w:rFonts w:hint="eastAsia" w:ascii="微软雅黑" w:hAnsi="微软雅黑" w:eastAsia="微软雅黑" w:cs="微软雅黑"/>
          <w:i w:val="0"/>
          <w:caps w:val="0"/>
          <w:spacing w:val="0"/>
          <w:sz w:val="24"/>
          <w:szCs w:val="24"/>
          <w:highlight w:val="none"/>
          <w:shd w:val="clear" w:fill="FFFFFF"/>
        </w:rPr>
        <w:t>工作时间</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，具体可拨打12366查询。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【办理时限】</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自受理之日起15个工作日内办结</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【办理结果】</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办理结束后出具《  年度纳税信用评价信息》或提供评价结果的自我查询服务。</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【联系电话】</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spacing w:val="0"/>
          <w:sz w:val="24"/>
          <w:szCs w:val="24"/>
          <w:highlight w:val="none"/>
          <w:shd w:val="clear" w:fill="FFFFFF"/>
        </w:rPr>
        <w:fldChar w:fldCharType="begin"/>
      </w:r>
      <w:r>
        <w:rPr>
          <w:rFonts w:hint="eastAsia" w:ascii="微软雅黑" w:hAnsi="微软雅黑" w:eastAsia="微软雅黑" w:cs="微软雅黑"/>
          <w:i w:val="0"/>
          <w:caps w:val="0"/>
          <w:spacing w:val="0"/>
          <w:sz w:val="24"/>
          <w:szCs w:val="24"/>
          <w:highlight w:val="none"/>
          <w:shd w:val="clear" w:fill="FFFFFF"/>
        </w:rPr>
        <w:instrText xml:space="preserve"> HYPERLINK "http://tianjin.chinatax.gov.cn/lxfs/dwgkdh.shtml" \t "http://tianjin.chinatax.gov.cn/11200000000/0600/060009/06000901/_blank" </w:instrText>
      </w:r>
      <w:r>
        <w:rPr>
          <w:rFonts w:hint="eastAsia" w:ascii="微软雅黑" w:hAnsi="微软雅黑" w:eastAsia="微软雅黑" w:cs="微软雅黑"/>
          <w:i w:val="0"/>
          <w:caps w:val="0"/>
          <w:spacing w:val="0"/>
          <w:sz w:val="24"/>
          <w:szCs w:val="24"/>
          <w:highlight w:val="none"/>
          <w:shd w:val="clear" w:fill="FFFFFF"/>
        </w:rPr>
        <w:fldChar w:fldCharType="separate"/>
      </w:r>
      <w:r>
        <w:rPr>
          <w:rStyle w:val="10"/>
          <w:rFonts w:hint="eastAsia" w:ascii="微软雅黑" w:hAnsi="微软雅黑" w:eastAsia="微软雅黑" w:cs="微软雅黑"/>
          <w:i w:val="0"/>
          <w:caps w:val="0"/>
          <w:spacing w:val="0"/>
          <w:sz w:val="24"/>
          <w:szCs w:val="24"/>
          <w:highlight w:val="none"/>
          <w:shd w:val="clear" w:fill="FFFFFF"/>
        </w:rPr>
        <w:t>联系电话</w:t>
      </w:r>
      <w:r>
        <w:rPr>
          <w:rFonts w:hint="eastAsia" w:ascii="微软雅黑" w:hAnsi="微软雅黑" w:eastAsia="微软雅黑" w:cs="微软雅黑"/>
          <w:i w:val="0"/>
          <w:caps w:val="0"/>
          <w:spacing w:val="0"/>
          <w:sz w:val="24"/>
          <w:szCs w:val="24"/>
          <w:highlight w:val="none"/>
          <w:shd w:val="clear" w:fill="FFFFFF"/>
        </w:rPr>
        <w:fldChar w:fldCharType="end"/>
      </w:r>
      <w:r>
        <w:rPr>
          <w:rFonts w:hint="eastAsia" w:ascii="微软雅黑" w:hAnsi="微软雅黑" w:eastAsia="微软雅黑" w:cs="微软雅黑"/>
          <w:i w:val="0"/>
          <w:caps w:val="0"/>
          <w:color w:val="333333"/>
          <w:spacing w:val="0"/>
          <w:sz w:val="24"/>
          <w:szCs w:val="24"/>
          <w:highlight w:val="none"/>
          <w:shd w:val="clear" w:fill="FFFFFF"/>
        </w:rPr>
        <w:t>,拨打12366查询。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【纳税人注意事项】</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1.纳税人对报送材料的真实性和合法性承担责任。</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2.需向主管税务机关提出纳税信用修复申请的纳税人应同时对纠正失信行为的真实性作出承诺。</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3.纳税人使用符合电子签名法规定条件的电子签名，与手写签名或者盖章具有同等法律效力。</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4.办税服务厅实行实名办税，纳税人办理业务请携带本人身份证原件。</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333333"/>
          <w:spacing w:val="0"/>
          <w:sz w:val="24"/>
          <w:szCs w:val="24"/>
          <w:highlight w:val="none"/>
          <w:shd w:val="clear" w:fill="FFFFFF"/>
          <w:lang w:val="en-US" w:eastAsia="zh-CN"/>
        </w:rPr>
        <w:t>5.</w:t>
      </w:r>
      <w:r>
        <w:rPr>
          <w:rFonts w:hint="eastAsia" w:ascii="微软雅黑" w:hAnsi="微软雅黑" w:eastAsia="微软雅黑" w:cs="微软雅黑"/>
          <w:i w:val="0"/>
          <w:caps w:val="0"/>
          <w:color w:val="333333"/>
          <w:spacing w:val="0"/>
          <w:sz w:val="24"/>
          <w:szCs w:val="24"/>
          <w:highlight w:val="none"/>
          <w:shd w:val="clear" w:fill="FFFFFF"/>
        </w:rPr>
        <w:t>非正常户失信行为纳税信用修复一个纳税年度内只能申请一次。纳税年度自公历1月1日起至12月31日止。</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333333"/>
          <w:spacing w:val="0"/>
          <w:sz w:val="24"/>
          <w:szCs w:val="24"/>
          <w:highlight w:val="none"/>
          <w:shd w:val="clear" w:fill="FFFFFF"/>
          <w:lang w:val="en-US" w:eastAsia="zh-CN"/>
        </w:rPr>
        <w:t>6</w:t>
      </w:r>
      <w:r>
        <w:rPr>
          <w:rFonts w:hint="eastAsia" w:ascii="微软雅黑" w:hAnsi="微软雅黑" w:eastAsia="微软雅黑" w:cs="微软雅黑"/>
          <w:i w:val="0"/>
          <w:caps w:val="0"/>
          <w:color w:val="333333"/>
          <w:spacing w:val="0"/>
          <w:sz w:val="24"/>
          <w:szCs w:val="24"/>
          <w:highlight w:val="none"/>
          <w:shd w:val="clear" w:fill="FFFFFF"/>
        </w:rPr>
        <w:t>.纳税信用修复后纳税信用级别不再为D级的纳税人，其直接责任人注册登记或者负责经营的其他纳税人之前被关联为D级的，可向主管税务机关申请解除纳税信用D级关联。</w:t>
      </w:r>
    </w:p>
    <w:p>
      <w:pPr>
        <w:pStyle w:val="7"/>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620" w:lineRule="exact"/>
        <w:ind w:left="0" w:firstLine="480" w:firstLineChars="200"/>
        <w:textAlignment w:val="auto"/>
        <w:rPr>
          <w:rFonts w:hint="eastAsia" w:ascii="微软雅黑" w:hAnsi="微软雅黑" w:eastAsia="微软雅黑" w:cs="微软雅黑"/>
          <w:i w:val="0"/>
          <w:caps w:val="0"/>
          <w:color w:val="333333"/>
          <w:spacing w:val="0"/>
          <w:sz w:val="24"/>
          <w:szCs w:val="24"/>
          <w:highlight w:val="none"/>
          <w:shd w:val="clear" w:fill="FFFFFF"/>
        </w:rPr>
      </w:pPr>
      <w:r>
        <w:rPr>
          <w:rFonts w:hint="eastAsia" w:ascii="微软雅黑" w:hAnsi="微软雅黑" w:eastAsia="微软雅黑" w:cs="微软雅黑"/>
          <w:i w:val="0"/>
          <w:caps w:val="0"/>
          <w:color w:val="333333"/>
          <w:spacing w:val="0"/>
          <w:sz w:val="24"/>
          <w:szCs w:val="24"/>
          <w:highlight w:val="yellow"/>
          <w:shd w:val="clear" w:fill="FFFFFF"/>
          <w:lang w:val="en-US" w:eastAsia="zh-CN"/>
        </w:rPr>
        <w:t>7.税务机关提供“最多跑一次”服务。纳税人在资料完整且符合法定受理条件的前提下，最多只需要到税务机关跑一次。</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【设定依据】</w:t>
      </w:r>
      <w:r>
        <w:rPr>
          <w:rFonts w:hint="eastAsia" w:ascii="微软雅黑" w:hAnsi="微软雅黑" w:eastAsia="微软雅黑" w:cs="微软雅黑"/>
          <w:i w:val="0"/>
          <w:caps w:val="0"/>
          <w:color w:val="333333"/>
          <w:spacing w:val="0"/>
          <w:sz w:val="24"/>
          <w:szCs w:val="24"/>
          <w:highlight w:val="none"/>
          <w:shd w:val="clear" w:fill="FFFFFF"/>
        </w:rPr>
        <w:br w:type="textWrapping"/>
      </w:r>
      <w:r>
        <w:rPr>
          <w:rFonts w:hint="eastAsia" w:ascii="微软雅黑" w:hAnsi="微软雅黑" w:eastAsia="微软雅黑" w:cs="微软雅黑"/>
          <w:i w:val="0"/>
          <w:caps w:val="0"/>
          <w:color w:val="333333"/>
          <w:spacing w:val="0"/>
          <w:sz w:val="24"/>
          <w:szCs w:val="24"/>
          <w:highlight w:val="none"/>
          <w:shd w:val="clear" w:fill="FFFFFF"/>
        </w:rPr>
        <w:t>        </w:t>
      </w:r>
      <w:r>
        <w:rPr>
          <w:rFonts w:hint="eastAsia" w:ascii="微软雅黑" w:hAnsi="微软雅黑" w:eastAsia="微软雅黑" w:cs="微软雅黑"/>
          <w:i w:val="0"/>
          <w:caps w:val="0"/>
          <w:color w:val="333333"/>
          <w:spacing w:val="0"/>
          <w:sz w:val="24"/>
          <w:szCs w:val="24"/>
          <w:highlight w:val="none"/>
          <w:shd w:val="clear" w:fill="FFFFFF"/>
          <w:lang w:val="en-US" w:eastAsia="zh-CN"/>
        </w:rPr>
        <w:t>1.</w:t>
      </w:r>
      <w:r>
        <w:rPr>
          <w:rFonts w:hint="eastAsia" w:ascii="微软雅黑" w:hAnsi="微软雅黑" w:eastAsia="微软雅黑" w:cs="微软雅黑"/>
          <w:i w:val="0"/>
          <w:caps w:val="0"/>
          <w:color w:val="333333"/>
          <w:spacing w:val="0"/>
          <w:sz w:val="24"/>
          <w:szCs w:val="24"/>
          <w:highlight w:val="none"/>
          <w:shd w:val="clear" w:fill="FFFFFF"/>
        </w:rPr>
        <w:t>《国家税务总局关于纳税信用修复有关事项的公告》（国家税务总局公告2019年第37号）全文</w:t>
      </w:r>
    </w:p>
    <w:p>
      <w:pPr>
        <w:pStyle w:val="7"/>
        <w:keepNext w:val="0"/>
        <w:keepLines w:val="0"/>
        <w:pageBreakBefore w:val="0"/>
        <w:widowControl/>
        <w:suppressLineNumbers w:val="0"/>
        <w:shd w:val="clear" w:fill="FFFFFF"/>
        <w:kinsoku/>
        <w:wordWrap/>
        <w:overflowPunct/>
        <w:topLinePunct w:val="0"/>
        <w:autoSpaceDE/>
        <w:autoSpaceDN/>
        <w:bidi w:val="0"/>
        <w:adjustRightInd w:val="0"/>
        <w:snapToGrid w:val="0"/>
        <w:spacing w:beforeAutospacing="0" w:afterAutospacing="0" w:line="620" w:lineRule="exact"/>
        <w:ind w:left="0" w:firstLine="480" w:firstLineChars="200"/>
        <w:textAlignment w:val="auto"/>
        <w:rPr>
          <w:rFonts w:hint="eastAsia" w:ascii="微软雅黑" w:hAnsi="微软雅黑" w:eastAsia="微软雅黑" w:cs="微软雅黑"/>
          <w:i w:val="0"/>
          <w:caps w:val="0"/>
          <w:color w:val="333333"/>
          <w:spacing w:val="0"/>
          <w:sz w:val="24"/>
          <w:szCs w:val="24"/>
          <w:highlight w:val="none"/>
          <w:shd w:val="clear" w:fill="FFFFFF"/>
          <w:lang w:val="en-US" w:eastAsia="zh-CN"/>
        </w:rPr>
      </w:pPr>
      <w:r>
        <w:rPr>
          <w:rFonts w:hint="eastAsia" w:ascii="微软雅黑" w:hAnsi="微软雅黑" w:eastAsia="微软雅黑" w:cs="微软雅黑"/>
          <w:i w:val="0"/>
          <w:caps w:val="0"/>
          <w:color w:val="333333"/>
          <w:spacing w:val="0"/>
          <w:sz w:val="24"/>
          <w:szCs w:val="24"/>
          <w:highlight w:val="none"/>
          <w:shd w:val="clear" w:fill="FFFFFF"/>
          <w:lang w:val="en-US" w:eastAsia="zh-CN"/>
        </w:rPr>
        <w:t>2.</w:t>
      </w:r>
      <w:r>
        <w:rPr>
          <w:rFonts w:ascii="微软雅黑" w:hAnsi="微软雅黑" w:eastAsia="微软雅黑" w:cs="微软雅黑"/>
          <w:i w:val="0"/>
          <w:caps w:val="0"/>
          <w:color w:val="000000"/>
          <w:spacing w:val="0"/>
          <w:sz w:val="24"/>
          <w:szCs w:val="24"/>
          <w:highlight w:val="none"/>
          <w:u w:val="none"/>
          <w:shd w:val="clear" w:fill="FFFFFF"/>
        </w:rPr>
        <w:fldChar w:fldCharType="begin"/>
      </w:r>
      <w:r>
        <w:rPr>
          <w:rFonts w:ascii="微软雅黑" w:hAnsi="微软雅黑" w:eastAsia="微软雅黑" w:cs="微软雅黑"/>
          <w:i w:val="0"/>
          <w:caps w:val="0"/>
          <w:color w:val="000000"/>
          <w:spacing w:val="0"/>
          <w:sz w:val="24"/>
          <w:szCs w:val="24"/>
          <w:highlight w:val="none"/>
          <w:u w:val="none"/>
          <w:shd w:val="clear" w:fill="FFFFFF"/>
        </w:rPr>
        <w:instrText xml:space="preserve"> HYPERLINK "http://xiamen.chinatax.gov.cn/fgk/L4712.html" \t "http://xiamen.chinatax.gov.cn/bszn/_blank" </w:instrText>
      </w:r>
      <w:r>
        <w:rPr>
          <w:rFonts w:ascii="微软雅黑" w:hAnsi="微软雅黑" w:eastAsia="微软雅黑" w:cs="微软雅黑"/>
          <w:i w:val="0"/>
          <w:caps w:val="0"/>
          <w:color w:val="000000"/>
          <w:spacing w:val="0"/>
          <w:sz w:val="24"/>
          <w:szCs w:val="24"/>
          <w:highlight w:val="none"/>
          <w:u w:val="none"/>
          <w:shd w:val="clear" w:fill="FFFFFF"/>
        </w:rPr>
        <w:fldChar w:fldCharType="separate"/>
      </w:r>
      <w:r>
        <w:rPr>
          <w:rStyle w:val="10"/>
          <w:rFonts w:hint="eastAsia" w:ascii="微软雅黑" w:hAnsi="微软雅黑" w:eastAsia="微软雅黑" w:cs="微软雅黑"/>
          <w:i w:val="0"/>
          <w:caps w:val="0"/>
          <w:color w:val="000000"/>
          <w:spacing w:val="0"/>
          <w:sz w:val="24"/>
          <w:szCs w:val="24"/>
          <w:highlight w:val="none"/>
          <w:u w:val="none"/>
          <w:shd w:val="clear" w:fill="FFFFFF"/>
        </w:rPr>
        <w:t>《国家税务总局关于纳税信用评价与修复有关事项的公告》（国家税务总局公告2021年第31号）</w:t>
      </w:r>
      <w:r>
        <w:rPr>
          <w:rFonts w:hint="eastAsia" w:ascii="微软雅黑" w:hAnsi="微软雅黑" w:eastAsia="微软雅黑" w:cs="微软雅黑"/>
          <w:i w:val="0"/>
          <w:caps w:val="0"/>
          <w:color w:val="000000"/>
          <w:spacing w:val="0"/>
          <w:sz w:val="24"/>
          <w:szCs w:val="24"/>
          <w:highlight w:val="none"/>
          <w:u w:val="none"/>
          <w:shd w:val="clear" w:fill="FFFFFF"/>
        </w:rPr>
        <w:fldChar w:fldCharType="end"/>
      </w:r>
      <w:r>
        <w:rPr>
          <w:rFonts w:hint="eastAsia" w:ascii="微软雅黑" w:hAnsi="微软雅黑" w:eastAsia="微软雅黑" w:cs="微软雅黑"/>
          <w:i w:val="0"/>
          <w:caps w:val="0"/>
          <w:color w:val="000000"/>
          <w:spacing w:val="0"/>
          <w:sz w:val="24"/>
          <w:szCs w:val="24"/>
          <w:highlight w:val="none"/>
          <w:u w:val="none"/>
          <w:shd w:val="clear" w:fill="FFFFFF"/>
          <w:lang w:val="en-US" w:eastAsia="zh-CN"/>
        </w:rPr>
        <w:t>全文</w:t>
      </w:r>
    </w:p>
    <w:p>
      <w:pPr>
        <w:wordWrap w:val="0"/>
        <w:spacing w:line="360" w:lineRule="auto"/>
        <w:ind w:firstLine="480"/>
        <w:rPr>
          <w:rFonts w:ascii="Times New Roman" w:hAnsi="Times New Roman"/>
          <w:sz w:val="24"/>
          <w:szCs w:val="24"/>
        </w:rPr>
      </w:pPr>
      <w:bookmarkStart w:id="0" w:name="_GoBack"/>
      <w:bookmarkEnd w:id="0"/>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JiNjlmODNlNGEyYTQ0NmY3NGEwODM2ZDY3MTlhNzQifQ=="/>
  </w:docVars>
  <w:rsids>
    <w:rsidRoot w:val="003E7E2F"/>
    <w:rsid w:val="000B48CB"/>
    <w:rsid w:val="00193619"/>
    <w:rsid w:val="001A65DB"/>
    <w:rsid w:val="001C3663"/>
    <w:rsid w:val="0026168A"/>
    <w:rsid w:val="003E7E2F"/>
    <w:rsid w:val="005E3C00"/>
    <w:rsid w:val="00B60D74"/>
    <w:rsid w:val="00BD1B3B"/>
    <w:rsid w:val="00DD5A5E"/>
    <w:rsid w:val="00E11948"/>
    <w:rsid w:val="00E11F0C"/>
    <w:rsid w:val="00E96986"/>
    <w:rsid w:val="00F22351"/>
    <w:rsid w:val="204D3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702"/>
    </w:pPr>
    <w:rPr>
      <w:rFonts w:ascii="宋体" w:hAnsi="宋体" w:eastAsia="宋体" w:cs="宋体"/>
      <w:sz w:val="24"/>
      <w:szCs w:val="24"/>
      <w:lang w:val="zh-CN" w:eastAsia="zh-CN" w:bidi="zh-CN"/>
    </w:rPr>
  </w:style>
  <w:style w:type="paragraph" w:styleId="3">
    <w:name w:val="Document Map"/>
    <w:basedOn w:val="1"/>
    <w:link w:val="16"/>
    <w:semiHidden/>
    <w:unhideWhenUsed/>
    <w:uiPriority w:val="99"/>
    <w:rPr>
      <w:rFonts w:ascii="宋体"/>
      <w:sz w:val="18"/>
      <w:szCs w:val="18"/>
    </w:rPr>
  </w:style>
  <w:style w:type="paragraph" w:styleId="4">
    <w:name w:val="Balloon Text"/>
    <w:basedOn w:val="1"/>
    <w:link w:val="15"/>
    <w:semiHidden/>
    <w:unhideWhenUsed/>
    <w:qFormat/>
    <w:uiPriority w:val="99"/>
    <w:rPr>
      <w:sz w:val="18"/>
      <w:szCs w:val="18"/>
    </w:rPr>
  </w:style>
  <w:style w:type="paragraph" w:styleId="5">
    <w:name w:val="footer"/>
    <w:basedOn w:val="1"/>
    <w:link w:val="12"/>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semiHidden/>
    <w:qFormat/>
    <w:uiPriority w:val="99"/>
    <w:rPr>
      <w:sz w:val="18"/>
      <w:szCs w:val="18"/>
    </w:rPr>
  </w:style>
  <w:style w:type="paragraph" w:customStyle="1" w:styleId="13">
    <w:name w:val="【事项描】"/>
    <w:basedOn w:val="1"/>
    <w:link w:val="14"/>
    <w:qFormat/>
    <w:uiPriority w:val="0"/>
    <w:pPr>
      <w:adjustRightInd w:val="0"/>
      <w:snapToGrid w:val="0"/>
      <w:spacing w:line="360" w:lineRule="auto"/>
      <w:ind w:firstLine="482" w:firstLineChars="200"/>
    </w:pPr>
    <w:rPr>
      <w:rFonts w:ascii="宋体" w:hAnsi="宋体"/>
      <w:b/>
      <w:sz w:val="24"/>
      <w:szCs w:val="24"/>
    </w:rPr>
  </w:style>
  <w:style w:type="character" w:customStyle="1" w:styleId="14">
    <w:name w:val="【事项描】 字符"/>
    <w:link w:val="13"/>
    <w:qFormat/>
    <w:uiPriority w:val="0"/>
    <w:rPr>
      <w:rFonts w:ascii="宋体" w:hAnsi="宋体" w:eastAsia="宋体" w:cs="Times New Roman"/>
      <w:b/>
      <w:sz w:val="24"/>
      <w:szCs w:val="24"/>
    </w:rPr>
  </w:style>
  <w:style w:type="character" w:customStyle="1" w:styleId="15">
    <w:name w:val="批注框文本 Char"/>
    <w:basedOn w:val="9"/>
    <w:link w:val="4"/>
    <w:semiHidden/>
    <w:uiPriority w:val="99"/>
    <w:rPr>
      <w:rFonts w:ascii="Calibri" w:hAnsi="Calibri" w:eastAsia="宋体" w:cs="Times New Roman"/>
      <w:sz w:val="18"/>
      <w:szCs w:val="18"/>
    </w:rPr>
  </w:style>
  <w:style w:type="character" w:customStyle="1" w:styleId="16">
    <w:name w:val="文档结构图 Char"/>
    <w:basedOn w:val="9"/>
    <w:link w:val="3"/>
    <w:semiHidden/>
    <w:uiPriority w:val="99"/>
    <w:rPr>
      <w:rFonts w:ascii="宋体" w:hAnsi="Calibri" w:eastAsia="宋体" w:cs="Times New Roman"/>
      <w:sz w:val="18"/>
      <w:szCs w:val="18"/>
    </w:rPr>
  </w:style>
  <w:style w:type="character" w:customStyle="1" w:styleId="17">
    <w:name w:val="正文正文 字符"/>
    <w:link w:val="18"/>
    <w:qFormat/>
    <w:uiPriority w:val="0"/>
    <w:rPr>
      <w:rFonts w:ascii="宋体" w:hAnsi="宋体"/>
      <w:sz w:val="24"/>
      <w:szCs w:val="24"/>
    </w:rPr>
  </w:style>
  <w:style w:type="paragraph" w:customStyle="1" w:styleId="18">
    <w:name w:val="正文正文"/>
    <w:basedOn w:val="1"/>
    <w:link w:val="17"/>
    <w:qFormat/>
    <w:uiPriority w:val="0"/>
    <w:pPr>
      <w:adjustRightInd w:val="0"/>
      <w:snapToGrid w:val="0"/>
      <w:spacing w:line="360" w:lineRule="auto"/>
      <w:ind w:firstLine="480" w:firstLineChars="200"/>
    </w:pPr>
    <w:rPr>
      <w:rFonts w:ascii="宋体" w:hAnsi="宋体" w:eastAsiaTheme="minorEastAsia" w:cstheme="minorBidi"/>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1191</Words>
  <Characters>1267</Characters>
  <Lines>9</Lines>
  <Paragraphs>2</Paragraphs>
  <TotalTime>0</TotalTime>
  <ScaleCrop>false</ScaleCrop>
  <LinksUpToDate>false</LinksUpToDate>
  <CharactersWithSpaces>1282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2019-12-22T07:23:00Z</dcterms:created>
  <dc:creator>微软用户</dc:creator>
  <cp:lastModifiedBy>Administrator</cp:lastModifiedBy>
  <dcterms:modified xsi:type="dcterms:W3CDTF">2023-02-24T07:22:17Z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9D8B84C0A2684E2B8D0F9A1AB208D981</vt:lpwstr>
  </property>
</Properties>
</file>