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40" w:lineRule="atLeast"/>
        <w:jc w:val="left"/>
        <w:outlineLvl w:val="0"/>
        <w:rPr>
          <w:rFonts w:ascii="Arial" w:hAnsi="Arial" w:cs="Arial"/>
          <w:b/>
          <w:bCs/>
          <w:color w:val="333333"/>
          <w:kern w:val="36"/>
          <w:sz w:val="36"/>
          <w:szCs w:val="36"/>
        </w:rPr>
      </w:pPr>
      <w:r>
        <w:rPr>
          <w:rFonts w:hint="eastAsia" w:ascii="Arial" w:hAnsi="Arial" w:cs="Arial"/>
          <w:b/>
          <w:bCs/>
          <w:color w:val="333333"/>
          <w:kern w:val="36"/>
          <w:sz w:val="36"/>
          <w:szCs w:val="36"/>
        </w:rPr>
        <w:t>9.1.4</w:t>
      </w:r>
      <w:r>
        <w:rPr>
          <w:rFonts w:ascii="Arial" w:hAnsi="Arial" w:cs="Arial"/>
          <w:b/>
          <w:bCs/>
          <w:color w:val="333333"/>
          <w:kern w:val="36"/>
          <w:sz w:val="36"/>
          <w:szCs w:val="36"/>
        </w:rPr>
        <w:t>纳税信用复核</w:t>
      </w:r>
    </w:p>
    <w:p>
      <w:pPr>
        <w:pStyle w:val="6"/>
        <w:keepNext w:val="0"/>
        <w:keepLines w:val="0"/>
        <w:widowControl/>
        <w:suppressLineNumbers w:val="0"/>
        <w:shd w:val="clear" w:fill="FFFFFF"/>
        <w:ind w:left="0" w:firstLine="0"/>
        <w:rPr>
          <w:rFonts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sz w:val="24"/>
          <w:szCs w:val="24"/>
          <w:highlight w:val="none"/>
          <w:shd w:val="clear" w:fill="FFFFFF"/>
        </w:rPr>
        <w:t>【事项名称】</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纳税信用复核</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【申请条件】</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在纳税信用评价结果发布前，纳税人对指标评价情况有异议的，可在评价年度次年3月份向主管税务机关提出复核。</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【设定依据】</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1.《国家税务总局关于发布〈纳税信用管理办法(试行)〉的公告》(国家税务总局公告2014年第40号)第二十四条纳税人对纳税信用评价结果有异议的，可以书面向作出评价的税务机关申请复评。作出评价的税务机关应按本办法第三章规定进行复核。</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2.《国家税务总局关于纳税信用管理有关事项的公告》(国家税务总局公告2020年第15号)全文</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【办理资料】</w:t>
      </w:r>
    </w:p>
    <w:tbl>
      <w:tblPr>
        <w:tblStyle w:val="7"/>
        <w:tblW w:w="8163"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676"/>
        <w:gridCol w:w="4540"/>
        <w:gridCol w:w="676"/>
        <w:gridCol w:w="227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675" w:type="dxa"/>
            <w:tcBorders>
              <w:top w:val="outset" w:color="auto" w:sz="6" w:space="0"/>
              <w:left w:val="outset" w:color="auto" w:sz="6" w:space="0"/>
              <w:bottom w:val="outset" w:color="auto" w:sz="6" w:space="0"/>
              <w:right w:val="outset" w:color="auto" w:sz="6" w:space="0"/>
            </w:tcBorders>
            <w:shd w:val="clear" w:color="auto" w:fill="D9D9D9"/>
            <w:vAlign w:val="center"/>
          </w:tcPr>
          <w:p>
            <w:pPr>
              <w:keepNext w:val="0"/>
              <w:keepLines w:val="0"/>
              <w:widowControl/>
              <w:suppressLineNumbers w:val="0"/>
              <w:spacing w:before="0" w:beforeAutospacing="1" w:after="0" w:afterAutospacing="1"/>
              <w:ind w:left="0" w:right="0"/>
              <w:jc w:val="center"/>
              <w:rPr>
                <w:highlight w:val="none"/>
              </w:rPr>
            </w:pPr>
            <w:r>
              <w:rPr>
                <w:rFonts w:ascii="宋体" w:hAnsi="宋体" w:eastAsia="宋体" w:cs="宋体"/>
                <w:i w:val="0"/>
                <w:caps w:val="0"/>
                <w:color w:val="333333"/>
                <w:spacing w:val="0"/>
                <w:kern w:val="0"/>
                <w:sz w:val="21"/>
                <w:szCs w:val="21"/>
                <w:highlight w:val="none"/>
                <w:lang w:val="en-US" w:eastAsia="zh-CN" w:bidi="ar"/>
              </w:rPr>
              <w:t>序号</w:t>
            </w:r>
          </w:p>
        </w:tc>
        <w:tc>
          <w:tcPr>
            <w:tcW w:w="4530" w:type="dxa"/>
            <w:tcBorders>
              <w:top w:val="outset" w:color="auto" w:sz="6" w:space="0"/>
              <w:left w:val="outset" w:color="auto" w:sz="6" w:space="0"/>
              <w:bottom w:val="outset" w:color="auto" w:sz="6" w:space="0"/>
              <w:right w:val="outset" w:color="auto" w:sz="6" w:space="0"/>
            </w:tcBorders>
            <w:shd w:val="clear" w:color="auto" w:fill="D9D9D9"/>
            <w:vAlign w:val="center"/>
          </w:tcPr>
          <w:p>
            <w:pPr>
              <w:keepNext w:val="0"/>
              <w:keepLines w:val="0"/>
              <w:widowControl/>
              <w:suppressLineNumbers w:val="0"/>
              <w:spacing w:before="0" w:beforeAutospacing="1" w:after="0" w:afterAutospacing="1"/>
              <w:ind w:left="0" w:right="0"/>
              <w:jc w:val="center"/>
              <w:rPr>
                <w:highlight w:val="none"/>
              </w:rPr>
            </w:pPr>
            <w:r>
              <w:rPr>
                <w:rFonts w:ascii="宋体" w:hAnsi="宋体" w:eastAsia="宋体" w:cs="宋体"/>
                <w:i w:val="0"/>
                <w:caps w:val="0"/>
                <w:color w:val="333333"/>
                <w:spacing w:val="0"/>
                <w:kern w:val="0"/>
                <w:sz w:val="21"/>
                <w:szCs w:val="21"/>
                <w:highlight w:val="none"/>
                <w:lang w:val="en-US" w:eastAsia="zh-CN" w:bidi="ar"/>
              </w:rPr>
              <w:t>材料名称</w:t>
            </w:r>
          </w:p>
        </w:tc>
        <w:tc>
          <w:tcPr>
            <w:tcW w:w="675" w:type="dxa"/>
            <w:tcBorders>
              <w:top w:val="outset" w:color="auto" w:sz="6" w:space="0"/>
              <w:left w:val="outset" w:color="auto" w:sz="6" w:space="0"/>
              <w:bottom w:val="outset" w:color="auto" w:sz="6" w:space="0"/>
              <w:right w:val="outset" w:color="auto" w:sz="6" w:space="0"/>
            </w:tcBorders>
            <w:shd w:val="clear" w:color="auto" w:fill="D9D9D9"/>
            <w:vAlign w:val="center"/>
          </w:tcPr>
          <w:p>
            <w:pPr>
              <w:keepNext w:val="0"/>
              <w:keepLines w:val="0"/>
              <w:widowControl/>
              <w:suppressLineNumbers w:val="0"/>
              <w:spacing w:before="0" w:beforeAutospacing="1" w:after="0" w:afterAutospacing="1"/>
              <w:ind w:left="0" w:right="0"/>
              <w:jc w:val="center"/>
              <w:rPr>
                <w:highlight w:val="none"/>
              </w:rPr>
            </w:pPr>
            <w:r>
              <w:rPr>
                <w:rFonts w:ascii="宋体" w:hAnsi="宋体" w:eastAsia="宋体" w:cs="宋体"/>
                <w:i w:val="0"/>
                <w:caps w:val="0"/>
                <w:color w:val="333333"/>
                <w:spacing w:val="0"/>
                <w:kern w:val="0"/>
                <w:sz w:val="21"/>
                <w:szCs w:val="21"/>
                <w:highlight w:val="none"/>
                <w:lang w:val="en-US" w:eastAsia="zh-CN" w:bidi="ar"/>
              </w:rPr>
              <w:t>数量</w:t>
            </w:r>
          </w:p>
        </w:tc>
        <w:tc>
          <w:tcPr>
            <w:tcW w:w="2265" w:type="dxa"/>
            <w:tcBorders>
              <w:top w:val="outset" w:color="auto" w:sz="6" w:space="0"/>
              <w:left w:val="outset" w:color="auto" w:sz="6" w:space="0"/>
              <w:bottom w:val="outset" w:color="auto" w:sz="6" w:space="0"/>
              <w:right w:val="outset" w:color="auto" w:sz="6" w:space="0"/>
            </w:tcBorders>
            <w:shd w:val="clear" w:color="auto" w:fill="D9D9D9"/>
            <w:vAlign w:val="center"/>
          </w:tcPr>
          <w:p>
            <w:pPr>
              <w:keepNext w:val="0"/>
              <w:keepLines w:val="0"/>
              <w:widowControl/>
              <w:suppressLineNumbers w:val="0"/>
              <w:spacing w:before="0" w:beforeAutospacing="1" w:after="0" w:afterAutospacing="1"/>
              <w:ind w:left="0" w:right="0"/>
              <w:jc w:val="center"/>
              <w:rPr>
                <w:highlight w:val="none"/>
              </w:rPr>
            </w:pPr>
            <w:r>
              <w:rPr>
                <w:rFonts w:ascii="宋体" w:hAnsi="宋体" w:eastAsia="宋体" w:cs="宋体"/>
                <w:i w:val="0"/>
                <w:caps w:val="0"/>
                <w:color w:val="333333"/>
                <w:spacing w:val="0"/>
                <w:kern w:val="0"/>
                <w:sz w:val="21"/>
                <w:szCs w:val="21"/>
                <w:highlight w:val="none"/>
                <w:lang w:val="en-US" w:eastAsia="zh-CN" w:bidi="ar"/>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7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1" w:after="0" w:afterAutospacing="1"/>
              <w:ind w:left="0" w:right="0"/>
              <w:jc w:val="center"/>
              <w:rPr>
                <w:highlight w:val="none"/>
              </w:rPr>
            </w:pPr>
            <w:r>
              <w:rPr>
                <w:rFonts w:ascii="宋体" w:hAnsi="宋体" w:eastAsia="宋体" w:cs="宋体"/>
                <w:i w:val="0"/>
                <w:caps w:val="0"/>
                <w:color w:val="333333"/>
                <w:spacing w:val="0"/>
                <w:kern w:val="0"/>
                <w:sz w:val="21"/>
                <w:szCs w:val="21"/>
                <w:highlight w:val="none"/>
                <w:lang w:val="en-US" w:eastAsia="zh-CN" w:bidi="ar"/>
              </w:rPr>
              <w:t>1</w:t>
            </w:r>
          </w:p>
        </w:tc>
        <w:tc>
          <w:tcPr>
            <w:tcW w:w="4530"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1" w:after="0" w:afterAutospacing="1"/>
              <w:ind w:left="0" w:right="0"/>
              <w:jc w:val="center"/>
              <w:rPr>
                <w:highlight w:val="none"/>
              </w:rPr>
            </w:pPr>
            <w:r>
              <w:rPr>
                <w:rFonts w:ascii="宋体" w:hAnsi="宋体" w:eastAsia="宋体" w:cs="宋体"/>
                <w:i w:val="0"/>
                <w:caps w:val="0"/>
                <w:color w:val="333333"/>
                <w:spacing w:val="0"/>
                <w:kern w:val="0"/>
                <w:sz w:val="21"/>
                <w:szCs w:val="21"/>
                <w:highlight w:val="none"/>
                <w:lang w:val="en-US" w:eastAsia="zh-CN" w:bidi="ar"/>
              </w:rPr>
              <w:t>《纳税信用复评（核）申请表》</w:t>
            </w:r>
          </w:p>
        </w:tc>
        <w:tc>
          <w:tcPr>
            <w:tcW w:w="67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1" w:after="0" w:afterAutospacing="1"/>
              <w:ind w:left="0" w:right="0"/>
              <w:jc w:val="center"/>
              <w:rPr>
                <w:highlight w:val="none"/>
              </w:rPr>
            </w:pPr>
            <w:r>
              <w:rPr>
                <w:rFonts w:ascii="宋体" w:hAnsi="宋体" w:eastAsia="宋体" w:cs="宋体"/>
                <w:i w:val="0"/>
                <w:caps w:val="0"/>
                <w:color w:val="333333"/>
                <w:spacing w:val="0"/>
                <w:kern w:val="0"/>
                <w:sz w:val="21"/>
                <w:szCs w:val="21"/>
                <w:highlight w:val="none"/>
                <w:lang w:val="en-US" w:eastAsia="zh-CN" w:bidi="ar"/>
              </w:rPr>
              <w:t>2份</w:t>
            </w:r>
          </w:p>
        </w:tc>
        <w:tc>
          <w:tcPr>
            <w:tcW w:w="2265" w:type="dxa"/>
            <w:tcBorders>
              <w:top w:val="outset" w:color="auto" w:sz="6" w:space="0"/>
              <w:left w:val="outset" w:color="auto" w:sz="6" w:space="0"/>
              <w:bottom w:val="outset" w:color="auto" w:sz="6" w:space="0"/>
              <w:right w:val="outset" w:color="auto" w:sz="6" w:space="0"/>
            </w:tcBorders>
            <w:shd w:val="clear" w:color="auto" w:fill="FFFFFF"/>
            <w:vAlign w:val="center"/>
          </w:tcPr>
          <w:p>
            <w:pPr>
              <w:rPr>
                <w:rFonts w:hint="eastAsia" w:ascii="微软雅黑" w:hAnsi="微软雅黑" w:eastAsia="微软雅黑" w:cs="微软雅黑"/>
                <w:i w:val="0"/>
                <w:caps w:val="0"/>
                <w:color w:val="333333"/>
                <w:spacing w:val="0"/>
                <w:sz w:val="24"/>
                <w:szCs w:val="24"/>
                <w:highlight w:val="none"/>
              </w:rPr>
            </w:pPr>
          </w:p>
        </w:tc>
      </w:tr>
    </w:tbl>
    <w:p>
      <w:pPr>
        <w:pStyle w:val="6"/>
        <w:keepNext w:val="0"/>
        <w:keepLines w:val="0"/>
        <w:widowControl/>
        <w:suppressLineNumbers w:val="0"/>
        <w:shd w:val="clear" w:fill="FFFFFF"/>
        <w:ind w:left="0" w:firstLine="0"/>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sz w:val="24"/>
          <w:szCs w:val="24"/>
          <w:highlight w:val="none"/>
          <w:shd w:val="clear" w:fill="FFFFFF"/>
        </w:rPr>
        <w:t>        【办理地点（受理机构）】</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主管税务机关办税服务厅（场所）https://12366.chinatax.gov.cn/bsfw/bsdt/</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国家税务总局天津市电子税务局https://etax.tianjin.chinatax.gov.cn/apps/view/login.html</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【收费标准】</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不收费</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【办理时间】</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w:t>
      </w:r>
      <w:r>
        <w:rPr>
          <w:rFonts w:hint="eastAsia" w:ascii="微软雅黑" w:hAnsi="微软雅黑" w:eastAsia="微软雅黑" w:cs="微软雅黑"/>
          <w:i w:val="0"/>
          <w:caps w:val="0"/>
          <w:spacing w:val="0"/>
          <w:sz w:val="24"/>
          <w:szCs w:val="24"/>
          <w:highlight w:val="none"/>
          <w:shd w:val="clear" w:fill="FFFFFF"/>
        </w:rPr>
        <w:fldChar w:fldCharType="begin"/>
      </w:r>
      <w:r>
        <w:rPr>
          <w:rFonts w:hint="eastAsia" w:ascii="微软雅黑" w:hAnsi="微软雅黑" w:eastAsia="微软雅黑" w:cs="微软雅黑"/>
          <w:i w:val="0"/>
          <w:caps w:val="0"/>
          <w:spacing w:val="0"/>
          <w:sz w:val="24"/>
          <w:szCs w:val="24"/>
          <w:highlight w:val="none"/>
          <w:shd w:val="clear" w:fill="FFFFFF"/>
        </w:rPr>
        <w:instrText xml:space="preserve"> HYPERLINK "http://tianjin.chinatax.gov.cn/lxfs/dwgkdh.shtml" \t "http://tianjin.chinatax.gov.cn/11200000000/0600/060009/06000901/_blank" </w:instrText>
      </w:r>
      <w:r>
        <w:rPr>
          <w:rFonts w:hint="eastAsia" w:ascii="微软雅黑" w:hAnsi="微软雅黑" w:eastAsia="微软雅黑" w:cs="微软雅黑"/>
          <w:i w:val="0"/>
          <w:caps w:val="0"/>
          <w:spacing w:val="0"/>
          <w:sz w:val="24"/>
          <w:szCs w:val="24"/>
          <w:highlight w:val="none"/>
          <w:shd w:val="clear" w:fill="FFFFFF"/>
        </w:rPr>
        <w:fldChar w:fldCharType="separate"/>
      </w:r>
      <w:r>
        <w:rPr>
          <w:rStyle w:val="9"/>
          <w:rFonts w:hint="eastAsia" w:ascii="微软雅黑" w:hAnsi="微软雅黑" w:eastAsia="微软雅黑" w:cs="微软雅黑"/>
          <w:i w:val="0"/>
          <w:caps w:val="0"/>
          <w:spacing w:val="0"/>
          <w:sz w:val="24"/>
          <w:szCs w:val="24"/>
          <w:highlight w:val="none"/>
          <w:shd w:val="clear" w:fill="FFFFFF"/>
        </w:rPr>
        <w:t>工作时间</w:t>
      </w:r>
      <w:r>
        <w:rPr>
          <w:rFonts w:hint="eastAsia" w:ascii="微软雅黑" w:hAnsi="微软雅黑" w:eastAsia="微软雅黑" w:cs="微软雅黑"/>
          <w:i w:val="0"/>
          <w:caps w:val="0"/>
          <w:spacing w:val="0"/>
          <w:sz w:val="24"/>
          <w:szCs w:val="24"/>
          <w:highlight w:val="none"/>
          <w:shd w:val="clear" w:fill="FFFFFF"/>
        </w:rPr>
        <w:fldChar w:fldCharType="end"/>
      </w:r>
      <w:r>
        <w:rPr>
          <w:rFonts w:hint="eastAsia" w:ascii="微软雅黑" w:hAnsi="微软雅黑" w:eastAsia="微软雅黑" w:cs="微软雅黑"/>
          <w:i w:val="0"/>
          <w:caps w:val="0"/>
          <w:color w:val="333333"/>
          <w:spacing w:val="0"/>
          <w:sz w:val="24"/>
          <w:szCs w:val="24"/>
          <w:highlight w:val="none"/>
          <w:shd w:val="clear" w:fill="FFFFFF"/>
        </w:rPr>
        <w:t>，具体可拨打12366查询。</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主管税务机关将在4月份确定评价结果时一并审核调整。</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【办理时限】</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主管税务机关将在4月份确定评价结果时一并审核调整。</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【办理结果】</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办理结束后提供评价结果的自我查询服务。</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电子税务局办理的，将办理结果通过电子税务局反馈给纳税人。</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【联系电话】</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w:t>
      </w:r>
      <w:r>
        <w:rPr>
          <w:rFonts w:hint="eastAsia" w:ascii="微软雅黑" w:hAnsi="微软雅黑" w:eastAsia="微软雅黑" w:cs="微软雅黑"/>
          <w:i w:val="0"/>
          <w:caps w:val="0"/>
          <w:spacing w:val="0"/>
          <w:sz w:val="24"/>
          <w:szCs w:val="24"/>
          <w:highlight w:val="none"/>
          <w:shd w:val="clear" w:fill="FFFFFF"/>
        </w:rPr>
        <w:fldChar w:fldCharType="begin"/>
      </w:r>
      <w:r>
        <w:rPr>
          <w:rFonts w:hint="eastAsia" w:ascii="微软雅黑" w:hAnsi="微软雅黑" w:eastAsia="微软雅黑" w:cs="微软雅黑"/>
          <w:i w:val="0"/>
          <w:caps w:val="0"/>
          <w:spacing w:val="0"/>
          <w:sz w:val="24"/>
          <w:szCs w:val="24"/>
          <w:highlight w:val="none"/>
          <w:shd w:val="clear" w:fill="FFFFFF"/>
        </w:rPr>
        <w:instrText xml:space="preserve"> HYPERLINK "http://tianjin.chinatax.gov.cn/lxfs/dwgkdh.shtml" \t "http://tianjin.chinatax.gov.cn/11200000000/0600/060009/06000901/_blank" </w:instrText>
      </w:r>
      <w:r>
        <w:rPr>
          <w:rFonts w:hint="eastAsia" w:ascii="微软雅黑" w:hAnsi="微软雅黑" w:eastAsia="微软雅黑" w:cs="微软雅黑"/>
          <w:i w:val="0"/>
          <w:caps w:val="0"/>
          <w:spacing w:val="0"/>
          <w:sz w:val="24"/>
          <w:szCs w:val="24"/>
          <w:highlight w:val="none"/>
          <w:shd w:val="clear" w:fill="FFFFFF"/>
        </w:rPr>
        <w:fldChar w:fldCharType="separate"/>
      </w:r>
      <w:r>
        <w:rPr>
          <w:rStyle w:val="9"/>
          <w:rFonts w:hint="eastAsia" w:ascii="微软雅黑" w:hAnsi="微软雅黑" w:eastAsia="微软雅黑" w:cs="微软雅黑"/>
          <w:i w:val="0"/>
          <w:caps w:val="0"/>
          <w:spacing w:val="0"/>
          <w:sz w:val="24"/>
          <w:szCs w:val="24"/>
          <w:highlight w:val="none"/>
          <w:shd w:val="clear" w:fill="FFFFFF"/>
        </w:rPr>
        <w:t>联系电话</w:t>
      </w:r>
      <w:r>
        <w:rPr>
          <w:rFonts w:hint="eastAsia" w:ascii="微软雅黑" w:hAnsi="微软雅黑" w:eastAsia="微软雅黑" w:cs="微软雅黑"/>
          <w:i w:val="0"/>
          <w:caps w:val="0"/>
          <w:spacing w:val="0"/>
          <w:sz w:val="24"/>
          <w:szCs w:val="24"/>
          <w:highlight w:val="none"/>
          <w:shd w:val="clear" w:fill="FFFFFF"/>
        </w:rPr>
        <w:fldChar w:fldCharType="end"/>
      </w:r>
      <w:r>
        <w:rPr>
          <w:rFonts w:hint="eastAsia" w:ascii="微软雅黑" w:hAnsi="微软雅黑" w:eastAsia="微软雅黑" w:cs="微软雅黑"/>
          <w:i w:val="0"/>
          <w:caps w:val="0"/>
          <w:color w:val="333333"/>
          <w:spacing w:val="0"/>
          <w:sz w:val="24"/>
          <w:szCs w:val="24"/>
          <w:highlight w:val="none"/>
          <w:shd w:val="clear" w:fill="FFFFFF"/>
        </w:rPr>
        <w:t>,拨打12366查询。</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【办理流程】</w:t>
      </w:r>
    </w:p>
    <w:p>
      <w:pPr>
        <w:pStyle w:val="6"/>
        <w:keepNext w:val="0"/>
        <w:keepLines w:val="0"/>
        <w:widowControl/>
        <w:suppressLineNumbers w:val="0"/>
        <w:shd w:val="clear" w:fill="FFFFFF"/>
        <w:ind w:left="0" w:firstLine="0"/>
        <w:jc w:val="center"/>
        <w:rPr>
          <w:rFonts w:hint="eastAsia"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333333"/>
          <w:spacing w:val="0"/>
          <w:sz w:val="24"/>
          <w:szCs w:val="24"/>
          <w:highlight w:val="none"/>
          <w:shd w:val="clear" w:fill="FFFFFF"/>
        </w:rPr>
        <w:t> </w:t>
      </w:r>
      <w:r>
        <w:rPr>
          <w:rFonts w:hint="eastAsia" w:ascii="微软雅黑" w:hAnsi="微软雅黑" w:eastAsia="微软雅黑" w:cs="微软雅黑"/>
          <w:i w:val="0"/>
          <w:caps w:val="0"/>
          <w:color w:val="333333"/>
          <w:spacing w:val="0"/>
          <w:sz w:val="24"/>
          <w:szCs w:val="24"/>
          <w:highlight w:val="none"/>
          <w:shd w:val="clear" w:fill="FFFFFF"/>
        </w:rPr>
        <w:drawing>
          <wp:inline distT="0" distB="0" distL="114300" distR="114300">
            <wp:extent cx="5562600" cy="2600325"/>
            <wp:effectExtent l="0" t="0" r="0" b="9525"/>
            <wp:docPr id="14" name="图片 1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IMG_256"/>
                    <pic:cNvPicPr>
                      <a:picLocks noChangeAspect="1"/>
                    </pic:cNvPicPr>
                  </pic:nvPicPr>
                  <pic:blipFill>
                    <a:blip r:embed="rId4"/>
                    <a:stretch>
                      <a:fillRect/>
                    </a:stretch>
                  </pic:blipFill>
                  <pic:spPr>
                    <a:xfrm>
                      <a:off x="0" y="0"/>
                      <a:ext cx="5562600" cy="2600325"/>
                    </a:xfrm>
                    <a:prstGeom prst="rect">
                      <a:avLst/>
                    </a:prstGeom>
                    <a:noFill/>
                    <a:ln w="9525">
                      <a:noFill/>
                    </a:ln>
                  </pic:spPr>
                </pic:pic>
              </a:graphicData>
            </a:graphic>
          </wp:inline>
        </w:drawing>
      </w:r>
    </w:p>
    <w:p>
      <w:pPr>
        <w:pStyle w:val="6"/>
        <w:keepNext w:val="0"/>
        <w:keepLines w:val="0"/>
        <w:pageBreakBefore w:val="0"/>
        <w:widowControl/>
        <w:suppressLineNumbers w:val="0"/>
        <w:shd w:val="clear" w:fill="FFFFFF"/>
        <w:kinsoku/>
        <w:wordWrap/>
        <w:overflowPunct/>
        <w:topLinePunct w:val="0"/>
        <w:autoSpaceDE/>
        <w:autoSpaceDN/>
        <w:bidi w:val="0"/>
        <w:adjustRightInd w:val="0"/>
        <w:snapToGrid w:val="0"/>
        <w:spacing w:beforeAutospacing="0" w:afterAutospacing="0" w:line="620" w:lineRule="exact"/>
        <w:ind w:left="0" w:firstLine="480" w:firstLineChars="200"/>
        <w:textAlignment w:val="auto"/>
        <w:rPr>
          <w:rFonts w:hint="eastAsia" w:ascii="微软雅黑" w:hAnsi="微软雅黑" w:eastAsia="微软雅黑" w:cs="微软雅黑"/>
          <w:i w:val="0"/>
          <w:caps w:val="0"/>
          <w:color w:val="333333"/>
          <w:spacing w:val="0"/>
          <w:sz w:val="24"/>
          <w:szCs w:val="24"/>
          <w:highlight w:val="none"/>
          <w:shd w:val="clear" w:fill="FFFFFF"/>
        </w:rPr>
      </w:pPr>
      <w:r>
        <w:rPr>
          <w:rFonts w:hint="eastAsia" w:ascii="微软雅黑" w:hAnsi="微软雅黑" w:eastAsia="微软雅黑" w:cs="微软雅黑"/>
          <w:i w:val="0"/>
          <w:caps w:val="0"/>
          <w:color w:val="333333"/>
          <w:spacing w:val="0"/>
          <w:sz w:val="24"/>
          <w:szCs w:val="24"/>
          <w:highlight w:val="none"/>
          <w:shd w:val="clear" w:fill="FFFFFF"/>
        </w:rPr>
        <w:t>        【纳税人注意事项】</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1.纳税人对报送材料的真实性和合法性承担责任。</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2.纳税人使用符合电子签名法规定条件的电子签名，与手写签名或者盖章具有同等法律效力。</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3.主管税务机关按时发布评价结果和提供纳税人复核情况的自我查询服务。</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4.文书表单可在省(自治区、直辖市和计划单列市)税务局网站“下载中心”栏目查询下载或到办税服务厅领取。</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val="0"/>
        <w:snapToGrid w:val="0"/>
        <w:spacing w:beforeAutospacing="0" w:afterAutospacing="0" w:line="620" w:lineRule="exact"/>
        <w:ind w:right="0" w:rightChars="0" w:firstLine="480" w:firstLineChars="200"/>
        <w:textAlignment w:val="auto"/>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pPr>
      <w:r>
        <w:rPr>
          <w:rFonts w:hint="eastAsia" w:ascii="微软雅黑" w:hAnsi="微软雅黑" w:eastAsia="微软雅黑" w:cs="微软雅黑"/>
          <w:i w:val="0"/>
          <w:caps w:val="0"/>
          <w:color w:val="333333"/>
          <w:spacing w:val="0"/>
          <w:kern w:val="0"/>
          <w:sz w:val="24"/>
          <w:szCs w:val="24"/>
          <w:highlight w:val="none"/>
          <w:shd w:val="clear" w:fill="FFFFFF"/>
          <w:lang w:val="en-US" w:eastAsia="zh-CN" w:bidi="ar"/>
        </w:rPr>
        <w:t>5.评价年度次年3月份申请复核。</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val="0"/>
        <w:snapToGrid w:val="0"/>
        <w:spacing w:beforeAutospacing="0" w:afterAutospacing="0" w:line="620" w:lineRule="exact"/>
        <w:ind w:left="0" w:leftChars="0" w:right="0" w:rightChars="0" w:firstLine="420" w:firstLineChars="175"/>
        <w:textAlignment w:val="auto"/>
        <w:rPr>
          <w:rFonts w:hint="default" w:ascii="微软雅黑" w:hAnsi="微软雅黑" w:eastAsia="微软雅黑" w:cs="微软雅黑"/>
          <w:i w:val="0"/>
          <w:caps w:val="0"/>
          <w:color w:val="333333"/>
          <w:spacing w:val="0"/>
          <w:kern w:val="0"/>
          <w:sz w:val="24"/>
          <w:szCs w:val="24"/>
          <w:highlight w:val="yellow"/>
          <w:shd w:val="clear" w:fill="FFFFFF"/>
          <w:lang w:val="en-US" w:eastAsia="zh-CN" w:bidi="ar"/>
        </w:rPr>
      </w:pPr>
      <w:r>
        <w:rPr>
          <w:rFonts w:hint="eastAsia" w:ascii="微软雅黑" w:hAnsi="微软雅黑" w:eastAsia="微软雅黑" w:cs="微软雅黑"/>
          <w:i w:val="0"/>
          <w:caps w:val="0"/>
          <w:color w:val="333333"/>
          <w:spacing w:val="0"/>
          <w:kern w:val="0"/>
          <w:sz w:val="24"/>
          <w:szCs w:val="24"/>
          <w:highlight w:val="yellow"/>
          <w:shd w:val="clear" w:fill="FFFFFF"/>
          <w:lang w:val="en-US" w:eastAsia="zh-CN" w:bidi="ar"/>
        </w:rPr>
        <w:t>6.税务机关提供“最多跑一次”服务。纳税人在资料完整且符合法定受理条件的前提下，最多只需要到税务机关跑一次。</w:t>
      </w:r>
    </w:p>
    <w:p>
      <w:pPr>
        <w:rPr>
          <w:rFonts w:hint="eastAsia"/>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JiNjlmODNlNGEyYTQ0NmY3NGEwODM2ZDY3MTlhNzQifQ=="/>
  </w:docVars>
  <w:rsids>
    <w:rsidRoot w:val="00DA0415"/>
    <w:rsid w:val="00092707"/>
    <w:rsid w:val="000F5C14"/>
    <w:rsid w:val="00371DF2"/>
    <w:rsid w:val="005750B2"/>
    <w:rsid w:val="0087711F"/>
    <w:rsid w:val="00A53AF0"/>
    <w:rsid w:val="00CE4D50"/>
    <w:rsid w:val="00DA0415"/>
    <w:rsid w:val="00EB302F"/>
    <w:rsid w:val="00EC6262"/>
    <w:rsid w:val="78DF2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702"/>
    </w:pPr>
    <w:rPr>
      <w:rFonts w:ascii="宋体" w:hAnsi="宋体" w:eastAsia="宋体" w:cs="宋体"/>
      <w:sz w:val="24"/>
      <w:szCs w:val="24"/>
      <w:lang w:val="zh-CN" w:eastAsia="zh-CN" w:bidi="zh-CN"/>
    </w:rPr>
  </w:style>
  <w:style w:type="paragraph" w:styleId="3">
    <w:name w:val="Balloon Text"/>
    <w:basedOn w:val="1"/>
    <w:link w:val="10"/>
    <w:semiHidden/>
    <w:unhideWhenUsed/>
    <w:qFormat/>
    <w:uiPriority w:val="99"/>
    <w:rPr>
      <w:sz w:val="18"/>
      <w:szCs w:val="18"/>
    </w:r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pPr>
      <w:widowControl/>
      <w:spacing w:before="100" w:beforeAutospacing="1" w:after="100" w:afterAutospacing="1"/>
      <w:jc w:val="left"/>
    </w:pPr>
    <w:rPr>
      <w:rFonts w:ascii="宋体" w:hAnsi="宋体" w:cs="宋体"/>
      <w:kern w:val="0"/>
      <w:sz w:val="24"/>
    </w:rPr>
  </w:style>
  <w:style w:type="character" w:styleId="9">
    <w:name w:val="Hyperlink"/>
    <w:basedOn w:val="8"/>
    <w:qFormat/>
    <w:uiPriority w:val="0"/>
    <w:rPr>
      <w:color w:val="0000FF"/>
      <w:u w:val="single"/>
    </w:rPr>
  </w:style>
  <w:style w:type="character" w:customStyle="1" w:styleId="10">
    <w:name w:val="批注框文本 Char"/>
    <w:basedOn w:val="8"/>
    <w:link w:val="3"/>
    <w:semiHidden/>
    <w:qFormat/>
    <w:uiPriority w:val="99"/>
    <w:rPr>
      <w:rFonts w:ascii="Times New Roman" w:hAnsi="Times New Roman" w:eastAsia="宋体" w:cs="Times New Roman"/>
      <w:sz w:val="18"/>
      <w:szCs w:val="18"/>
    </w:rPr>
  </w:style>
  <w:style w:type="character" w:customStyle="1" w:styleId="11">
    <w:name w:val="页眉 Char"/>
    <w:basedOn w:val="8"/>
    <w:link w:val="5"/>
    <w:semiHidden/>
    <w:qFormat/>
    <w:uiPriority w:val="99"/>
    <w:rPr>
      <w:rFonts w:ascii="Times New Roman" w:hAnsi="Times New Roman" w:eastAsia="宋体" w:cs="Times New Roman"/>
      <w:sz w:val="18"/>
      <w:szCs w:val="18"/>
    </w:rPr>
  </w:style>
  <w:style w:type="character" w:customStyle="1" w:styleId="12">
    <w:name w:val="页脚 Char"/>
    <w:basedOn w:val="8"/>
    <w:link w:val="4"/>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2</Pages>
  <Words>625</Words>
  <Characters>746</Characters>
  <Lines>8</Lines>
  <Paragraphs>2</Paragraphs>
  <TotalTime>0</TotalTime>
  <ScaleCrop>false</ScaleCrop>
  <LinksUpToDate>false</LinksUpToDate>
  <CharactersWithSpaces>808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2022-06-14T03:01:00Z</dcterms:created>
  <dc:creator>张倩倩</dc:creator>
  <cp:lastModifiedBy>Administrator</cp:lastModifiedBy>
  <dcterms:modified xsi:type="dcterms:W3CDTF">2023-02-24T07:37:12Z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1905D81452024CB6AF35DAC31999D26C</vt:lpwstr>
  </property>
</Properties>
</file>