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spacing w:beforeAutospacing="0" w:afterAutospacing="0" w:line="360" w:lineRule="auto"/>
        <w:ind w:left="0" w:leftChars="0" w:right="0" w:rightChars="0"/>
        <w:jc w:val="left"/>
        <w:textAlignment w:val="auto"/>
        <w:outlineLvl w:val="9"/>
        <w:rPr>
          <w:rFonts w:hint="eastAsia" w:ascii="黑体" w:hAnsi="黑体" w:eastAsia="黑体" w:cs="黑体"/>
          <w:b/>
          <w:bCs/>
          <w:kern w:val="0"/>
          <w:sz w:val="28"/>
          <w:szCs w:val="28"/>
          <w:lang w:val="en-US" w:eastAsia="zh-CN"/>
        </w:rPr>
      </w:pPr>
      <w:r>
        <w:rPr>
          <w:rFonts w:hint="eastAsia" w:ascii="黑体" w:hAnsi="黑体" w:eastAsia="黑体" w:cs="黑体"/>
          <w:b/>
          <w:bCs/>
          <w:kern w:val="0"/>
          <w:sz w:val="28"/>
          <w:szCs w:val="28"/>
          <w:lang w:val="en-US" w:eastAsia="zh-CN"/>
        </w:rPr>
        <w:t>6.2.4—138  石油特别收益金申报</w:t>
      </w:r>
    </w:p>
    <w:p>
      <w:pPr>
        <w:keepNext w:val="0"/>
        <w:keepLines w:val="0"/>
        <w:pageBreakBefore w:val="0"/>
        <w:widowControl/>
        <w:kinsoku/>
        <w:wordWrap/>
        <w:overflowPunct/>
        <w:topLinePunct w:val="0"/>
        <w:autoSpaceDE/>
        <w:autoSpaceDN/>
        <w:bidi w:val="0"/>
        <w:spacing w:beforeAutospacing="0" w:afterAutospacing="0" w:line="360" w:lineRule="auto"/>
        <w:ind w:left="0" w:leftChars="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bCs/>
          <w:kern w:val="0"/>
          <w:sz w:val="24"/>
          <w:szCs w:val="24"/>
        </w:rPr>
        <w:t>  【事项名称】</w:t>
      </w:r>
      <w:r>
        <w:rPr>
          <w:rFonts w:hint="eastAsia" w:asciiTheme="minorEastAsia" w:hAnsiTheme="minorEastAsia" w:eastAsiaTheme="minorEastAsia" w:cstheme="minorEastAsia"/>
          <w:b/>
          <w:bCs/>
          <w:kern w:val="0"/>
          <w:sz w:val="24"/>
          <w:szCs w:val="24"/>
        </w:rPr>
        <w:br w:type="textWrapping"/>
      </w:r>
      <w:r>
        <w:rPr>
          <w:rFonts w:hint="eastAsia" w:asciiTheme="minorEastAsia" w:hAnsiTheme="minorEastAsia" w:eastAsiaTheme="minorEastAsia" w:cstheme="minorEastAsia"/>
          <w:kern w:val="0"/>
          <w:sz w:val="24"/>
          <w:szCs w:val="24"/>
        </w:rPr>
        <w:t>  石油特别收益金申报</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b/>
          <w:bCs/>
          <w:kern w:val="0"/>
          <w:sz w:val="24"/>
          <w:szCs w:val="24"/>
        </w:rPr>
        <w:t>  【事项描述</w:t>
      </w:r>
      <w:r>
        <w:rPr>
          <w:rFonts w:hint="eastAsia" w:asciiTheme="minorEastAsia" w:hAnsiTheme="minorEastAsia" w:cstheme="minorEastAsia"/>
          <w:b/>
          <w:bCs/>
          <w:kern w:val="0"/>
          <w:sz w:val="24"/>
          <w:szCs w:val="24"/>
          <w:lang w:eastAsia="zh-CN"/>
        </w:rPr>
        <w:t>（申请条件）</w:t>
      </w:r>
      <w:r>
        <w:rPr>
          <w:rFonts w:hint="eastAsia" w:asciiTheme="minorEastAsia" w:hAnsiTheme="minorEastAsia" w:eastAsiaTheme="minorEastAsia" w:cstheme="minorEastAsia"/>
          <w:b/>
          <w:bCs/>
          <w:kern w:val="0"/>
          <w:sz w:val="24"/>
          <w:szCs w:val="24"/>
        </w:rPr>
        <w:t>】</w:t>
      </w:r>
      <w:r>
        <w:rPr>
          <w:rFonts w:hint="eastAsia" w:asciiTheme="minorEastAsia" w:hAnsiTheme="minorEastAsia" w:eastAsiaTheme="minorEastAsia" w:cstheme="minorEastAsia"/>
          <w:b/>
          <w:bCs/>
          <w:kern w:val="0"/>
          <w:sz w:val="24"/>
          <w:szCs w:val="24"/>
        </w:rPr>
        <w:br w:type="textWrapping"/>
      </w:r>
      <w:r>
        <w:rPr>
          <w:rFonts w:hint="eastAsia" w:asciiTheme="minorEastAsia" w:hAnsiTheme="minorEastAsia" w:eastAsiaTheme="minorEastAsia" w:cstheme="minorEastAsia"/>
          <w:kern w:val="0"/>
          <w:sz w:val="24"/>
          <w:szCs w:val="24"/>
        </w:rPr>
        <w:t> </w:t>
      </w:r>
      <w:r>
        <w:rPr>
          <w:rFonts w:hint="eastAsia" w:asciiTheme="minorEastAsia" w:hAnsiTheme="minorEastAsia" w:cstheme="minorEastAsia"/>
          <w:kern w:val="0"/>
          <w:sz w:val="24"/>
          <w:szCs w:val="24"/>
          <w:lang w:val="en-US" w:eastAsia="zh-CN"/>
        </w:rPr>
        <w:t xml:space="preserve">  </w:t>
      </w:r>
      <w:r>
        <w:rPr>
          <w:rFonts w:hint="eastAsia" w:asciiTheme="minorEastAsia" w:hAnsiTheme="minorEastAsia" w:eastAsiaTheme="minorEastAsia" w:cstheme="minorEastAsia"/>
          <w:kern w:val="0"/>
          <w:sz w:val="24"/>
          <w:szCs w:val="24"/>
        </w:rPr>
        <w:t>凡在中华人民共和国陆地领域和所辖海域独立开采并销售原油的企业，以及在上述领域以合资、合作等方式开采并销售原油的其他企业（以下简称合资合作企业），均应依照法律、行政法规规定或者税务机关依照法律、行政法规规定确定的申报期限、申报内容，申报缴纳石油特别收益金。</w:t>
      </w:r>
    </w:p>
    <w:p>
      <w:pPr>
        <w:keepNext w:val="0"/>
        <w:keepLines w:val="0"/>
        <w:pageBreakBefore w:val="0"/>
        <w:widowControl/>
        <w:kinsoku/>
        <w:wordWrap/>
        <w:overflowPunct/>
        <w:topLinePunct w:val="0"/>
        <w:autoSpaceDE/>
        <w:autoSpaceDN/>
        <w:bidi w:val="0"/>
        <w:spacing w:beforeAutospacing="0" w:afterAutospacing="0" w:line="360" w:lineRule="auto"/>
        <w:ind w:left="0" w:leftChars="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b/>
          <w:bCs/>
          <w:kern w:val="0"/>
          <w:sz w:val="24"/>
          <w:szCs w:val="24"/>
        </w:rPr>
        <w:t>  【办理资料】</w:t>
      </w:r>
      <w:r>
        <w:rPr>
          <w:rFonts w:hint="eastAsia" w:asciiTheme="minorEastAsia" w:hAnsiTheme="minorEastAsia" w:eastAsiaTheme="minorEastAsia" w:cstheme="minorEastAsia"/>
          <w:kern w:val="0"/>
          <w:sz w:val="24"/>
          <w:szCs w:val="24"/>
        </w:rPr>
        <w:t xml:space="preserve"> </w:t>
      </w:r>
    </w:p>
    <w:p>
      <w:pPr>
        <w:keepNext w:val="0"/>
        <w:keepLines w:val="0"/>
        <w:pageBreakBefore w:val="0"/>
        <w:widowControl/>
        <w:kinsoku/>
        <w:wordWrap/>
        <w:overflowPunct/>
        <w:topLinePunct w:val="0"/>
        <w:autoSpaceDE/>
        <w:autoSpaceDN/>
        <w:bidi w:val="0"/>
        <w:spacing w:beforeAutospacing="0" w:afterAutospacing="0" w:line="360" w:lineRule="auto"/>
        <w:ind w:left="0" w:leftChars="0" w:right="0" w:rightChars="0"/>
        <w:jc w:val="left"/>
        <w:textAlignment w:val="auto"/>
        <w:outlineLvl w:val="9"/>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xml:space="preserve">  </w:t>
      </w:r>
    </w:p>
    <w:tbl>
      <w:tblPr>
        <w:tblStyle w:val="3"/>
        <w:tblW w:w="8163" w:type="dxa"/>
        <w:tblInd w:w="29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0"/>
        <w:gridCol w:w="4535"/>
        <w:gridCol w:w="680"/>
        <w:gridCol w:w="22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98" w:hRule="atLeast"/>
        </w:trPr>
        <w:tc>
          <w:tcPr>
            <w:tcW w:w="680" w:type="dxa"/>
            <w:shd w:val="clear" w:color="auto" w:fill="D9D9D9"/>
          </w:tcPr>
          <w:p>
            <w:pPr>
              <w:pStyle w:val="7"/>
              <w:rPr>
                <w:sz w:val="20"/>
              </w:rPr>
            </w:pPr>
          </w:p>
          <w:p>
            <w:pPr>
              <w:pStyle w:val="7"/>
              <w:ind w:left="89" w:right="76"/>
              <w:jc w:val="center"/>
              <w:rPr>
                <w:sz w:val="22"/>
              </w:rPr>
            </w:pPr>
            <w:r>
              <w:rPr>
                <w:sz w:val="22"/>
              </w:rPr>
              <w:t>序号</w:t>
            </w:r>
          </w:p>
        </w:tc>
        <w:tc>
          <w:tcPr>
            <w:tcW w:w="4535" w:type="dxa"/>
            <w:shd w:val="clear" w:color="auto" w:fill="D9D9D9"/>
          </w:tcPr>
          <w:p>
            <w:pPr>
              <w:pStyle w:val="7"/>
              <w:rPr>
                <w:sz w:val="20"/>
              </w:rPr>
            </w:pPr>
          </w:p>
          <w:p>
            <w:pPr>
              <w:pStyle w:val="7"/>
              <w:ind w:left="8"/>
              <w:jc w:val="center"/>
              <w:rPr>
                <w:sz w:val="22"/>
              </w:rPr>
            </w:pPr>
            <w:r>
              <w:rPr>
                <w:sz w:val="22"/>
              </w:rPr>
              <w:t>材料名称</w:t>
            </w:r>
          </w:p>
        </w:tc>
        <w:tc>
          <w:tcPr>
            <w:tcW w:w="680" w:type="dxa"/>
            <w:shd w:val="clear" w:color="auto" w:fill="D9D9D9"/>
          </w:tcPr>
          <w:p>
            <w:pPr>
              <w:pStyle w:val="7"/>
              <w:rPr>
                <w:sz w:val="20"/>
              </w:rPr>
            </w:pPr>
          </w:p>
          <w:p>
            <w:pPr>
              <w:pStyle w:val="7"/>
              <w:ind w:left="89" w:right="81"/>
              <w:jc w:val="center"/>
              <w:rPr>
                <w:sz w:val="22"/>
              </w:rPr>
            </w:pPr>
            <w:r>
              <w:rPr>
                <w:sz w:val="22"/>
              </w:rPr>
              <w:t>数量</w:t>
            </w:r>
          </w:p>
        </w:tc>
        <w:tc>
          <w:tcPr>
            <w:tcW w:w="2268" w:type="dxa"/>
            <w:shd w:val="clear" w:color="auto" w:fill="D9D9D9"/>
          </w:tcPr>
          <w:p>
            <w:pPr>
              <w:pStyle w:val="7"/>
              <w:rPr>
                <w:sz w:val="20"/>
              </w:rPr>
            </w:pPr>
          </w:p>
          <w:p>
            <w:pPr>
              <w:pStyle w:val="7"/>
              <w:ind w:left="143" w:right="131"/>
              <w:jc w:val="center"/>
              <w:rPr>
                <w:sz w:val="22"/>
              </w:rPr>
            </w:pPr>
            <w:r>
              <w:rPr>
                <w:sz w:val="22"/>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14" w:hRule="atLeast"/>
        </w:trPr>
        <w:tc>
          <w:tcPr>
            <w:tcW w:w="680" w:type="dxa"/>
          </w:tcPr>
          <w:p>
            <w:pPr>
              <w:pStyle w:val="7"/>
              <w:spacing w:before="178"/>
              <w:ind w:left="8"/>
              <w:jc w:val="center"/>
              <w:rPr>
                <w:rFonts w:ascii="Times New Roman"/>
                <w:sz w:val="22"/>
              </w:rPr>
            </w:pPr>
            <w:r>
              <w:rPr>
                <w:rFonts w:ascii="Times New Roman"/>
                <w:w w:val="100"/>
                <w:sz w:val="22"/>
              </w:rPr>
              <w:t>1</w:t>
            </w:r>
          </w:p>
        </w:tc>
        <w:tc>
          <w:tcPr>
            <w:tcW w:w="4535" w:type="dxa"/>
          </w:tcPr>
          <w:p>
            <w:pPr>
              <w:pStyle w:val="7"/>
              <w:spacing w:before="11"/>
              <w:rPr>
                <w:sz w:val="14"/>
              </w:rPr>
            </w:pPr>
          </w:p>
          <w:p>
            <w:pPr>
              <w:pStyle w:val="7"/>
              <w:spacing w:before="1"/>
              <w:ind w:left="6"/>
              <w:jc w:val="center"/>
              <w:rPr>
                <w:sz w:val="18"/>
              </w:rPr>
            </w:pPr>
            <w:r>
              <w:rPr>
                <w:sz w:val="18"/>
              </w:rPr>
              <w:t>《石油特别收益金申报表》</w:t>
            </w:r>
          </w:p>
        </w:tc>
        <w:tc>
          <w:tcPr>
            <w:tcW w:w="680" w:type="dxa"/>
          </w:tcPr>
          <w:p>
            <w:pPr>
              <w:pStyle w:val="7"/>
              <w:spacing w:before="11"/>
              <w:rPr>
                <w:sz w:val="14"/>
              </w:rPr>
            </w:pPr>
          </w:p>
          <w:p>
            <w:pPr>
              <w:pStyle w:val="7"/>
              <w:spacing w:before="1"/>
              <w:ind w:left="89" w:right="81"/>
              <w:jc w:val="center"/>
              <w:rPr>
                <w:sz w:val="18"/>
              </w:rPr>
            </w:pPr>
            <w:r>
              <w:rPr>
                <w:rFonts w:ascii="Times New Roman" w:eastAsia="Times New Roman"/>
                <w:sz w:val="18"/>
              </w:rPr>
              <w:t xml:space="preserve">2 </w:t>
            </w:r>
            <w:r>
              <w:rPr>
                <w:sz w:val="18"/>
              </w:rPr>
              <w:t>份</w:t>
            </w:r>
          </w:p>
        </w:tc>
        <w:tc>
          <w:tcPr>
            <w:tcW w:w="2268" w:type="dxa"/>
          </w:tcPr>
          <w:p>
            <w:pPr>
              <w:pStyle w:val="7"/>
              <w:rPr>
                <w:rFonts w:ascii="Times New Roman"/>
                <w:sz w:val="22"/>
              </w:rPr>
            </w:pPr>
          </w:p>
        </w:tc>
      </w:tr>
    </w:tbl>
    <w:p>
      <w:pPr>
        <w:keepNext w:val="0"/>
        <w:keepLines w:val="0"/>
        <w:pageBreakBefore w:val="0"/>
        <w:widowControl/>
        <w:kinsoku/>
        <w:wordWrap/>
        <w:overflowPunct/>
        <w:topLinePunct w:val="0"/>
        <w:autoSpaceDE/>
        <w:autoSpaceDN/>
        <w:bidi w:val="0"/>
        <w:spacing w:beforeAutospacing="0" w:afterAutospacing="0" w:line="360" w:lineRule="auto"/>
        <w:ind w:left="0" w:leftChars="0" w:right="0" w:rightChars="0"/>
        <w:jc w:val="left"/>
        <w:textAlignment w:val="auto"/>
        <w:outlineLvl w:val="9"/>
        <w:rPr>
          <w:rFonts w:hint="eastAsia" w:asciiTheme="minorEastAsia" w:hAnsiTheme="minorEastAsia" w:eastAsiaTheme="minorEastAsia" w:cstheme="minorEastAsia"/>
          <w:kern w:val="0"/>
          <w:sz w:val="24"/>
          <w:szCs w:val="24"/>
        </w:rPr>
      </w:pPr>
    </w:p>
    <w:p>
      <w:pPr>
        <w:pStyle w:val="6"/>
        <w:keepNext w:val="0"/>
        <w:keepLines w:val="0"/>
        <w:pageBreakBefore w:val="0"/>
        <w:kinsoku/>
        <w:wordWrap/>
        <w:overflowPunct/>
        <w:topLinePunct w:val="0"/>
        <w:autoSpaceDE/>
        <w:autoSpaceDN/>
        <w:bidi w:val="0"/>
        <w:spacing w:beforeAutospacing="0" w:afterAutospacing="0" w:line="360" w:lineRule="auto"/>
        <w:ind w:left="961" w:leftChars="228" w:right="0" w:rightChars="0" w:hanging="482" w:hangingChars="200"/>
        <w:textAlignment w:val="auto"/>
        <w:outlineLvl w:val="9"/>
        <w:rPr>
          <w:rFonts w:hint="eastAsia" w:asciiTheme="minorEastAsia" w:hAnsiTheme="minorEastAsia" w:cstheme="minorEastAsia"/>
          <w:b/>
          <w:bCs/>
          <w:kern w:val="0"/>
          <w:sz w:val="24"/>
          <w:szCs w:val="24"/>
          <w:lang w:val="en-US" w:eastAsia="zh-CN" w:bidi="ar-SA"/>
        </w:rPr>
      </w:pPr>
      <w:r>
        <w:rPr>
          <w:rFonts w:hint="eastAsia" w:asciiTheme="minorEastAsia" w:hAnsiTheme="minorEastAsia" w:eastAsiaTheme="minorEastAsia" w:cstheme="minorEastAsia"/>
          <w:b/>
          <w:bCs/>
          <w:kern w:val="0"/>
          <w:sz w:val="24"/>
          <w:szCs w:val="24"/>
          <w:lang w:val="en-US" w:eastAsia="zh-CN" w:bidi="ar-SA"/>
        </w:rPr>
        <w:t>【办理地点（受理机构）】</w:t>
      </w:r>
      <w:r>
        <w:rPr>
          <w:rFonts w:hint="eastAsia" w:asciiTheme="minorEastAsia" w:hAnsiTheme="minorEastAsia" w:cstheme="minorEastAsia"/>
          <w:b/>
          <w:bCs/>
          <w:kern w:val="0"/>
          <w:sz w:val="24"/>
          <w:szCs w:val="24"/>
          <w:lang w:val="en-US" w:eastAsia="zh-CN" w:bidi="ar-SA"/>
        </w:rPr>
        <w:t xml:space="preserve"> </w:t>
      </w:r>
    </w:p>
    <w:p>
      <w:pPr>
        <w:pStyle w:val="6"/>
        <w:keepNext w:val="0"/>
        <w:keepLines w:val="0"/>
        <w:pageBreakBefore w:val="0"/>
        <w:kinsoku/>
        <w:wordWrap/>
        <w:overflowPunct/>
        <w:topLinePunct w:val="0"/>
        <w:autoSpaceDE/>
        <w:autoSpaceDN/>
        <w:bidi w:val="0"/>
        <w:spacing w:beforeAutospacing="0" w:afterAutospacing="0" w:line="360" w:lineRule="auto"/>
        <w:ind w:right="0" w:rightChars="0"/>
        <w:textAlignment w:val="auto"/>
        <w:outlineLvl w:val="9"/>
        <w:rPr>
          <w:rFonts w:hint="eastAsia" w:asciiTheme="minorEastAsia" w:hAnsiTheme="minorEastAsia" w:eastAsiaTheme="minorEastAsia" w:cstheme="minorEastAsia"/>
          <w:b w:val="0"/>
          <w:kern w:val="0"/>
          <w:sz w:val="24"/>
          <w:szCs w:val="24"/>
          <w:lang w:val="en-US" w:eastAsia="zh-CN" w:bidi="ar-SA"/>
        </w:rPr>
      </w:pPr>
      <w:r>
        <w:rPr>
          <w:rFonts w:hint="eastAsia" w:asciiTheme="minorEastAsia" w:hAnsiTheme="minorEastAsia" w:eastAsiaTheme="minorEastAsia" w:cstheme="minorEastAsia"/>
          <w:b w:val="0"/>
          <w:kern w:val="0"/>
          <w:sz w:val="24"/>
          <w:szCs w:val="24"/>
          <w:lang w:val="en-US" w:eastAsia="zh-CN" w:bidi="ar-SA"/>
        </w:rPr>
        <w:t>主管税务机关办税服务厅（场所）；</w:t>
      </w:r>
    </w:p>
    <w:p>
      <w:pPr>
        <w:pStyle w:val="6"/>
        <w:keepNext w:val="0"/>
        <w:keepLines w:val="0"/>
        <w:pageBreakBefore w:val="0"/>
        <w:kinsoku/>
        <w:wordWrap/>
        <w:overflowPunct/>
        <w:topLinePunct w:val="0"/>
        <w:autoSpaceDE/>
        <w:autoSpaceDN/>
        <w:bidi w:val="0"/>
        <w:spacing w:beforeAutospacing="0" w:afterAutospacing="0" w:line="360" w:lineRule="auto"/>
        <w:ind w:right="0" w:rightChars="0"/>
        <w:textAlignment w:val="auto"/>
        <w:outlineLvl w:val="9"/>
        <w:rPr>
          <w:rFonts w:hint="eastAsia" w:asciiTheme="minorEastAsia" w:hAnsiTheme="minorEastAsia" w:eastAsiaTheme="minorEastAsia" w:cstheme="minorEastAsia"/>
          <w:b w:val="0"/>
          <w:kern w:val="0"/>
          <w:sz w:val="24"/>
          <w:szCs w:val="24"/>
          <w:lang w:val="en-US" w:eastAsia="zh-CN" w:bidi="ar-SA"/>
        </w:rPr>
      </w:pPr>
      <w:r>
        <w:rPr>
          <w:rFonts w:hint="eastAsia" w:asciiTheme="minorEastAsia" w:hAnsiTheme="minorEastAsia" w:eastAsiaTheme="minorEastAsia" w:cstheme="minorEastAsia"/>
          <w:b w:val="0"/>
          <w:kern w:val="0"/>
          <w:sz w:val="24"/>
          <w:szCs w:val="24"/>
          <w:lang w:val="en-US" w:eastAsia="zh-CN" w:bidi="ar-SA"/>
        </w:rPr>
        <w:t>国家税务总局天津市税务局网站（http://www.tjsat.gov.cn），点击进入“我要办税”。</w:t>
      </w:r>
    </w:p>
    <w:p>
      <w:pPr>
        <w:pStyle w:val="6"/>
        <w:keepNext w:val="0"/>
        <w:keepLines w:val="0"/>
        <w:pageBreakBefore w:val="0"/>
        <w:kinsoku/>
        <w:wordWrap/>
        <w:overflowPunct/>
        <w:topLinePunct w:val="0"/>
        <w:autoSpaceDE/>
        <w:autoSpaceDN/>
        <w:bidi w:val="0"/>
        <w:spacing w:beforeAutospacing="0" w:afterAutospacing="0" w:line="360" w:lineRule="auto"/>
        <w:ind w:right="0" w:rightChars="0"/>
        <w:textAlignment w:val="auto"/>
        <w:outlineLvl w:val="9"/>
        <w:rPr>
          <w:rFonts w:hint="eastAsia" w:asciiTheme="minorEastAsia" w:hAnsiTheme="minorEastAsia" w:eastAsiaTheme="minorEastAsia" w:cstheme="minorEastAsia"/>
          <w:b w:val="0"/>
          <w:kern w:val="0"/>
          <w:sz w:val="24"/>
          <w:szCs w:val="24"/>
          <w:lang w:val="en-US" w:eastAsia="zh-CN" w:bidi="ar-SA"/>
        </w:rPr>
      </w:pPr>
      <w:r>
        <w:rPr>
          <w:rFonts w:hint="eastAsia" w:asciiTheme="minorEastAsia" w:hAnsiTheme="minorEastAsia" w:eastAsiaTheme="minorEastAsia" w:cstheme="minorEastAsia"/>
          <w:b/>
          <w:bCs/>
          <w:kern w:val="0"/>
          <w:sz w:val="24"/>
          <w:szCs w:val="24"/>
          <w:lang w:val="en-US" w:eastAsia="zh-CN" w:bidi="ar-SA"/>
        </w:rPr>
        <w:t>【收费标准】</w:t>
      </w:r>
    </w:p>
    <w:p>
      <w:pPr>
        <w:pStyle w:val="6"/>
        <w:keepNext w:val="0"/>
        <w:keepLines w:val="0"/>
        <w:pageBreakBefore w:val="0"/>
        <w:kinsoku/>
        <w:wordWrap/>
        <w:overflowPunct/>
        <w:topLinePunct w:val="0"/>
        <w:autoSpaceDE/>
        <w:autoSpaceDN/>
        <w:bidi w:val="0"/>
        <w:spacing w:beforeAutospacing="0" w:afterAutospacing="0" w:line="360" w:lineRule="auto"/>
        <w:ind w:left="0" w:leftChars="0" w:right="0" w:rightChars="0" w:firstLine="720" w:firstLineChars="300"/>
        <w:textAlignment w:val="auto"/>
        <w:outlineLvl w:val="9"/>
        <w:rPr>
          <w:rFonts w:hint="eastAsia" w:asciiTheme="minorEastAsia" w:hAnsiTheme="minorEastAsia" w:cstheme="minorEastAsia"/>
          <w:b w:val="0"/>
          <w:kern w:val="0"/>
          <w:sz w:val="24"/>
          <w:szCs w:val="24"/>
          <w:lang w:val="en-US" w:eastAsia="zh-CN" w:bidi="ar-SA"/>
        </w:rPr>
      </w:pPr>
      <w:r>
        <w:rPr>
          <w:rFonts w:hint="eastAsia" w:asciiTheme="minorEastAsia" w:hAnsiTheme="minorEastAsia" w:cstheme="minorEastAsia"/>
          <w:b w:val="0"/>
          <w:kern w:val="0"/>
          <w:sz w:val="24"/>
          <w:szCs w:val="24"/>
          <w:lang w:val="en-US" w:eastAsia="zh-CN" w:bidi="ar-SA"/>
        </w:rPr>
        <w:t xml:space="preserve">不收费 </w:t>
      </w:r>
    </w:p>
    <w:p>
      <w:pPr>
        <w:pStyle w:val="6"/>
        <w:keepNext w:val="0"/>
        <w:keepLines w:val="0"/>
        <w:pageBreakBefore w:val="0"/>
        <w:kinsoku/>
        <w:wordWrap/>
        <w:overflowPunct/>
        <w:topLinePunct w:val="0"/>
        <w:autoSpaceDE/>
        <w:autoSpaceDN/>
        <w:bidi w:val="0"/>
        <w:spacing w:beforeAutospacing="0" w:afterAutospacing="0" w:line="360" w:lineRule="auto"/>
        <w:ind w:right="0" w:rightChars="0"/>
        <w:textAlignment w:val="auto"/>
        <w:outlineLvl w:val="9"/>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【办理流程】</w:t>
      </w:r>
    </w:p>
    <w:p>
      <w:pPr>
        <w:pStyle w:val="6"/>
        <w:keepNext w:val="0"/>
        <w:keepLines w:val="0"/>
        <w:pageBreakBefore w:val="0"/>
        <w:kinsoku/>
        <w:wordWrap/>
        <w:overflowPunct/>
        <w:topLinePunct w:val="0"/>
        <w:autoSpaceDE/>
        <w:autoSpaceDN/>
        <w:bidi w:val="0"/>
        <w:spacing w:beforeAutospacing="0" w:afterAutospacing="0" w:line="360" w:lineRule="auto"/>
        <w:ind w:right="0" w:rightChars="0"/>
        <w:textAlignment w:val="auto"/>
        <w:outlineLvl w:val="9"/>
        <w:rPr>
          <w:rFonts w:hint="eastAsia" w:asciiTheme="minorEastAsia" w:hAnsiTheme="minorEastAsia" w:eastAsiaTheme="minorEastAsia" w:cstheme="minorEastAsia"/>
          <w:b w:val="0"/>
          <w:bCs w:val="0"/>
          <w:kern w:val="0"/>
          <w:sz w:val="24"/>
          <w:szCs w:val="24"/>
        </w:rPr>
      </w:pPr>
      <w:r>
        <w:drawing>
          <wp:anchor distT="0" distB="0" distL="0" distR="0" simplePos="0" relativeHeight="1024" behindDoc="0" locked="0" layoutInCell="1" allowOverlap="1">
            <wp:simplePos x="0" y="0"/>
            <wp:positionH relativeFrom="page">
              <wp:posOffset>1208405</wp:posOffset>
            </wp:positionH>
            <wp:positionV relativeFrom="paragraph">
              <wp:posOffset>10795</wp:posOffset>
            </wp:positionV>
            <wp:extent cx="5176520" cy="1713865"/>
            <wp:effectExtent l="0" t="0" r="5080" b="635"/>
            <wp:wrapTopAndBottom/>
            <wp:docPr id="295"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 name="image22.png"/>
                    <pic:cNvPicPr>
                      <a:picLocks noChangeAspect="1"/>
                    </pic:cNvPicPr>
                  </pic:nvPicPr>
                  <pic:blipFill>
                    <a:blip r:embed="rId4" cstate="print"/>
                    <a:stretch>
                      <a:fillRect/>
                    </a:stretch>
                  </pic:blipFill>
                  <pic:spPr>
                    <a:xfrm>
                      <a:off x="0" y="0"/>
                      <a:ext cx="5176520" cy="1713865"/>
                    </a:xfrm>
                    <a:prstGeom prst="rect">
                      <a:avLst/>
                    </a:prstGeom>
                  </pic:spPr>
                </pic:pic>
              </a:graphicData>
            </a:graphic>
          </wp:anchor>
        </w:drawing>
      </w:r>
      <w:r>
        <w:rPr>
          <w:rFonts w:hint="eastAsia" w:asciiTheme="minorEastAsia" w:hAnsiTheme="minorEastAsia" w:eastAsiaTheme="minorEastAsia" w:cstheme="minorEastAsia"/>
          <w:b/>
          <w:bCs/>
          <w:kern w:val="0"/>
          <w:sz w:val="24"/>
          <w:szCs w:val="24"/>
        </w:rPr>
        <w:br w:type="textWrapping"/>
      </w: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cstheme="minorEastAsia"/>
          <w:kern w:val="0"/>
          <w:sz w:val="24"/>
          <w:szCs w:val="24"/>
          <w:lang w:val="en-US" w:eastAsia="zh-CN"/>
        </w:rPr>
        <w:t xml:space="preserve"> </w:t>
      </w:r>
      <w:r>
        <w:rPr>
          <w:rFonts w:hint="eastAsia" w:asciiTheme="minorEastAsia" w:hAnsiTheme="minorEastAsia" w:eastAsiaTheme="minorEastAsia" w:cstheme="minorEastAsia"/>
          <w:b/>
          <w:bCs/>
          <w:kern w:val="0"/>
          <w:sz w:val="24"/>
          <w:szCs w:val="24"/>
        </w:rPr>
        <w:t>【办理时间】</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b w:val="0"/>
          <w:bCs/>
          <w:kern w:val="0"/>
          <w:sz w:val="24"/>
          <w:szCs w:val="24"/>
        </w:rPr>
        <w:t>  工作时间，具体可拨打12366查询。</w:t>
      </w:r>
      <w:r>
        <w:rPr>
          <w:rFonts w:hint="eastAsia" w:asciiTheme="minorEastAsia" w:hAnsiTheme="minorEastAsia" w:eastAsiaTheme="minorEastAsia" w:cstheme="minorEastAsia"/>
          <w:b w:val="0"/>
          <w:bCs/>
          <w:kern w:val="0"/>
          <w:sz w:val="24"/>
          <w:szCs w:val="24"/>
        </w:rPr>
        <w:br w:type="textWrapping"/>
      </w:r>
      <w:r>
        <w:rPr>
          <w:rFonts w:hint="eastAsia" w:asciiTheme="minorEastAsia" w:hAnsiTheme="minorEastAsia" w:eastAsiaTheme="minorEastAsia" w:cstheme="minorEastAsia"/>
          <w:b/>
          <w:bCs/>
          <w:kern w:val="0"/>
          <w:sz w:val="24"/>
          <w:szCs w:val="24"/>
        </w:rPr>
        <w:t>  【办理时限】</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b w:val="0"/>
          <w:bCs/>
          <w:kern w:val="0"/>
          <w:sz w:val="24"/>
          <w:szCs w:val="24"/>
        </w:rPr>
        <w:t>  资料齐全、符合法定形式、填写内容完整的，税务机关受理后即时办结。</w:t>
      </w:r>
      <w:r>
        <w:rPr>
          <w:rFonts w:hint="eastAsia" w:asciiTheme="minorEastAsia" w:hAnsiTheme="minorEastAsia" w:eastAsiaTheme="minorEastAsia" w:cstheme="minorEastAsia"/>
          <w:b w:val="0"/>
          <w:bCs/>
          <w:kern w:val="0"/>
          <w:sz w:val="24"/>
          <w:szCs w:val="24"/>
        </w:rPr>
        <w:br w:type="textWrapping"/>
      </w:r>
      <w:r>
        <w:rPr>
          <w:rFonts w:hint="eastAsia" w:asciiTheme="minorEastAsia" w:hAnsiTheme="minorEastAsia" w:eastAsiaTheme="minorEastAsia" w:cstheme="minorEastAsia"/>
          <w:b/>
          <w:bCs/>
          <w:kern w:val="0"/>
          <w:sz w:val="24"/>
          <w:szCs w:val="24"/>
        </w:rPr>
        <w:t>  【办理结果】</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b w:val="0"/>
          <w:bCs w:val="0"/>
          <w:kern w:val="0"/>
          <w:sz w:val="24"/>
          <w:szCs w:val="24"/>
        </w:rPr>
        <w:t>  办理结束后，在申报表上加盖印章，一份返还缴费人。</w:t>
      </w:r>
    </w:p>
    <w:p>
      <w:pPr>
        <w:pStyle w:val="6"/>
        <w:keepNext w:val="0"/>
        <w:keepLines w:val="0"/>
        <w:pageBreakBefore w:val="0"/>
        <w:kinsoku/>
        <w:wordWrap/>
        <w:overflowPunct/>
        <w:topLinePunct w:val="0"/>
        <w:autoSpaceDE/>
        <w:autoSpaceDN/>
        <w:bidi w:val="0"/>
        <w:spacing w:beforeAutospacing="0" w:afterAutospacing="0" w:line="360" w:lineRule="auto"/>
        <w:ind w:right="0" w:rightChars="0"/>
        <w:textAlignment w:val="auto"/>
        <w:outlineLvl w:val="9"/>
        <w:rPr>
          <w:rFonts w:hint="eastAsia" w:asciiTheme="minorEastAsia" w:hAnsiTheme="minorEastAsia" w:eastAsiaTheme="minorEastAsia" w:cstheme="minorEastAsia"/>
          <w:b w:val="0"/>
          <w:bCs/>
          <w:kern w:val="0"/>
          <w:sz w:val="24"/>
          <w:szCs w:val="24"/>
        </w:rPr>
      </w:pPr>
      <w:bookmarkStart w:id="0" w:name="_GoBack"/>
      <w:r>
        <w:rPr>
          <w:rFonts w:hint="eastAsia" w:asciiTheme="minorEastAsia" w:hAnsiTheme="minorEastAsia" w:eastAsiaTheme="minorEastAsia" w:cstheme="minorEastAsia"/>
          <w:b w:val="0"/>
          <w:bCs w:val="0"/>
          <w:kern w:val="0"/>
          <w:sz w:val="24"/>
          <w:szCs w:val="24"/>
        </w:rPr>
        <w:t>电子税务局办理的，将办理结果通过电子税务局反馈给纳税人。</w:t>
      </w:r>
      <w:r>
        <w:rPr>
          <w:rFonts w:hint="eastAsia" w:asciiTheme="minorEastAsia" w:hAnsiTheme="minorEastAsia" w:eastAsiaTheme="minorEastAsia" w:cstheme="minorEastAsia"/>
          <w:b w:val="0"/>
          <w:bCs w:val="0"/>
          <w:kern w:val="0"/>
          <w:sz w:val="24"/>
          <w:szCs w:val="24"/>
        </w:rPr>
        <w:br w:type="textWrapping"/>
      </w:r>
      <w:bookmarkEnd w:id="0"/>
      <w:r>
        <w:rPr>
          <w:rFonts w:hint="eastAsia" w:asciiTheme="minorEastAsia" w:hAnsiTheme="minorEastAsia" w:eastAsiaTheme="minorEastAsia" w:cstheme="minorEastAsia"/>
          <w:b/>
          <w:bCs/>
          <w:kern w:val="0"/>
          <w:sz w:val="24"/>
          <w:szCs w:val="24"/>
        </w:rPr>
        <w:t>  【联系电话】</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eastAsiaTheme="minorEastAsia" w:cstheme="minorEastAsia"/>
          <w:b w:val="0"/>
          <w:bCs/>
          <w:kern w:val="0"/>
          <w:sz w:val="24"/>
          <w:szCs w:val="24"/>
        </w:rPr>
        <w:t>  联系电话可在国家税务总局天津市税务局网站或拨打12366查询。</w:t>
      </w:r>
      <w:r>
        <w:rPr>
          <w:rFonts w:hint="eastAsia" w:asciiTheme="minorEastAsia" w:hAnsiTheme="minorEastAsia" w:eastAsiaTheme="minorEastAsia" w:cstheme="minorEastAsia"/>
          <w:b w:val="0"/>
          <w:bCs/>
          <w:kern w:val="0"/>
          <w:sz w:val="24"/>
          <w:szCs w:val="24"/>
        </w:rPr>
        <w:br w:type="textWrapping"/>
      </w: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b/>
          <w:bCs/>
          <w:kern w:val="0"/>
          <w:sz w:val="24"/>
          <w:szCs w:val="24"/>
        </w:rPr>
        <w:t> 【缴费人注意事项】</w:t>
      </w:r>
      <w:r>
        <w:rPr>
          <w:rFonts w:hint="eastAsia" w:asciiTheme="minorEastAsia" w:hAnsiTheme="minorEastAsia" w:eastAsiaTheme="minorEastAsia" w:cstheme="minorEastAsia"/>
          <w:b/>
          <w:bCs/>
          <w:kern w:val="0"/>
          <w:sz w:val="24"/>
          <w:szCs w:val="24"/>
        </w:rPr>
        <w:br w:type="textWrapping"/>
      </w:r>
      <w:r>
        <w:rPr>
          <w:rFonts w:hint="eastAsia" w:asciiTheme="minorEastAsia" w:hAnsiTheme="minorEastAsia" w:eastAsiaTheme="minorEastAsia" w:cstheme="minorEastAsia"/>
          <w:kern w:val="0"/>
          <w:sz w:val="24"/>
          <w:szCs w:val="24"/>
        </w:rPr>
        <w:t> </w:t>
      </w:r>
      <w:r>
        <w:rPr>
          <w:rFonts w:hint="eastAsia" w:asciiTheme="minorEastAsia" w:hAnsiTheme="minorEastAsia" w:eastAsiaTheme="minorEastAsia" w:cstheme="minorEastAsia"/>
          <w:b w:val="0"/>
          <w:bCs/>
          <w:kern w:val="0"/>
          <w:sz w:val="24"/>
          <w:szCs w:val="24"/>
        </w:rPr>
        <w:t> 1.缴费人对报送资料的真实性和合法性承担责任。</w:t>
      </w:r>
    </w:p>
    <w:p>
      <w:pPr>
        <w:pStyle w:val="6"/>
        <w:keepNext w:val="0"/>
        <w:keepLines w:val="0"/>
        <w:pageBreakBefore w:val="0"/>
        <w:kinsoku/>
        <w:wordWrap/>
        <w:overflowPunct/>
        <w:topLinePunct w:val="0"/>
        <w:autoSpaceDE/>
        <w:autoSpaceDN/>
        <w:bidi w:val="0"/>
        <w:spacing w:beforeAutospacing="0" w:afterAutospacing="0" w:line="360" w:lineRule="auto"/>
        <w:ind w:right="0" w:rightChars="0"/>
        <w:textAlignment w:val="auto"/>
        <w:outlineLvl w:val="9"/>
        <w:rPr>
          <w:rFonts w:hint="eastAsia" w:asciiTheme="minorEastAsia" w:hAnsiTheme="minorEastAsia" w:eastAsiaTheme="minorEastAsia" w:cstheme="minorEastAsia"/>
          <w:b w:val="0"/>
          <w:bCs/>
          <w:kern w:val="0"/>
          <w:sz w:val="24"/>
          <w:szCs w:val="24"/>
        </w:rPr>
      </w:pPr>
      <w:r>
        <w:rPr>
          <w:rFonts w:hint="eastAsia" w:asciiTheme="minorEastAsia" w:hAnsiTheme="minorEastAsia" w:cstheme="minorEastAsia"/>
          <w:b w:val="0"/>
          <w:bCs/>
          <w:kern w:val="0"/>
          <w:sz w:val="24"/>
          <w:szCs w:val="24"/>
          <w:lang w:val="en-US" w:eastAsia="zh-CN"/>
        </w:rPr>
        <w:t>2</w:t>
      </w:r>
      <w:r>
        <w:rPr>
          <w:rFonts w:hint="eastAsia" w:asciiTheme="minorEastAsia" w:hAnsiTheme="minorEastAsia" w:eastAsiaTheme="minorEastAsia" w:cstheme="minorEastAsia"/>
          <w:b w:val="0"/>
          <w:bCs/>
          <w:kern w:val="0"/>
          <w:sz w:val="24"/>
          <w:szCs w:val="24"/>
        </w:rPr>
        <w:t>.缴费人使用符合电子签名法规定条件的电子签名，与手写签名或者盖章具有同等法律效力。</w:t>
      </w:r>
    </w:p>
    <w:p>
      <w:pPr>
        <w:pStyle w:val="6"/>
        <w:keepNext w:val="0"/>
        <w:keepLines w:val="0"/>
        <w:pageBreakBefore w:val="0"/>
        <w:kinsoku/>
        <w:wordWrap/>
        <w:overflowPunct/>
        <w:topLinePunct w:val="0"/>
        <w:autoSpaceDE/>
        <w:autoSpaceDN/>
        <w:bidi w:val="0"/>
        <w:spacing w:beforeAutospacing="0" w:afterAutospacing="0" w:line="360" w:lineRule="auto"/>
        <w:ind w:right="0" w:rightChars="0"/>
        <w:textAlignment w:val="auto"/>
        <w:outlineLvl w:val="9"/>
        <w:rPr>
          <w:rFonts w:hint="eastAsia" w:asciiTheme="minorEastAsia" w:hAnsiTheme="minorEastAsia" w:eastAsiaTheme="minorEastAsia" w:cstheme="minorEastAsia"/>
          <w:b w:val="0"/>
          <w:bCs/>
          <w:kern w:val="0"/>
          <w:sz w:val="24"/>
          <w:szCs w:val="24"/>
        </w:rPr>
      </w:pPr>
      <w:r>
        <w:rPr>
          <w:rFonts w:hint="eastAsia" w:asciiTheme="minorEastAsia" w:hAnsiTheme="minorEastAsia" w:cstheme="minorEastAsia"/>
          <w:b w:val="0"/>
          <w:bCs/>
          <w:kern w:val="0"/>
          <w:sz w:val="24"/>
          <w:szCs w:val="24"/>
          <w:lang w:val="en-US" w:eastAsia="zh-CN"/>
        </w:rPr>
        <w:t>3</w:t>
      </w:r>
      <w:r>
        <w:rPr>
          <w:rFonts w:hint="eastAsia" w:asciiTheme="minorEastAsia" w:hAnsiTheme="minorEastAsia" w:eastAsiaTheme="minorEastAsia" w:cstheme="minorEastAsia"/>
          <w:b w:val="0"/>
          <w:bCs/>
          <w:kern w:val="0"/>
          <w:sz w:val="24"/>
          <w:szCs w:val="24"/>
        </w:rPr>
        <w:t>.中央石油开采企业及地方石油开采企业向企业所在地征收机关申报缴纳石油特别收益金。合资合作企业应当缴纳的石油特别收益金由合资合作的中方企业代扣代缴。</w:t>
      </w:r>
    </w:p>
    <w:p>
      <w:pPr>
        <w:pStyle w:val="6"/>
        <w:keepNext w:val="0"/>
        <w:keepLines w:val="0"/>
        <w:pageBreakBefore w:val="0"/>
        <w:kinsoku/>
        <w:wordWrap/>
        <w:overflowPunct/>
        <w:topLinePunct w:val="0"/>
        <w:autoSpaceDE/>
        <w:autoSpaceDN/>
        <w:bidi w:val="0"/>
        <w:spacing w:beforeAutospacing="0" w:afterAutospacing="0" w:line="360" w:lineRule="auto"/>
        <w:ind w:right="0" w:rightChars="0"/>
        <w:textAlignment w:val="auto"/>
        <w:outlineLvl w:val="9"/>
        <w:rPr>
          <w:rFonts w:hint="eastAsia" w:asciiTheme="minorEastAsia" w:hAnsiTheme="minorEastAsia" w:eastAsiaTheme="minorEastAsia" w:cstheme="minorEastAsia"/>
          <w:b w:val="0"/>
          <w:bCs/>
          <w:kern w:val="0"/>
          <w:sz w:val="24"/>
          <w:szCs w:val="24"/>
        </w:rPr>
      </w:pPr>
      <w:r>
        <w:rPr>
          <w:rFonts w:hint="eastAsia" w:asciiTheme="minorEastAsia" w:hAnsiTheme="minorEastAsia" w:cstheme="minorEastAsia"/>
          <w:b w:val="0"/>
          <w:bCs/>
          <w:kern w:val="0"/>
          <w:sz w:val="24"/>
          <w:szCs w:val="24"/>
          <w:lang w:val="en-US" w:eastAsia="zh-CN"/>
        </w:rPr>
        <w:t>4</w:t>
      </w:r>
      <w:r>
        <w:rPr>
          <w:rFonts w:hint="eastAsia" w:asciiTheme="minorEastAsia" w:hAnsiTheme="minorEastAsia" w:eastAsiaTheme="minorEastAsia" w:cstheme="minorEastAsia"/>
          <w:b w:val="0"/>
          <w:bCs/>
          <w:kern w:val="0"/>
          <w:sz w:val="24"/>
          <w:szCs w:val="24"/>
        </w:rPr>
        <w:t>.石油特别收益金实行 5 级超额累进从价定率计征，按月计算、按季申报， 按月缴纳。</w:t>
      </w:r>
    </w:p>
    <w:p>
      <w:pPr>
        <w:pStyle w:val="6"/>
        <w:keepNext w:val="0"/>
        <w:keepLines w:val="0"/>
        <w:pageBreakBefore w:val="0"/>
        <w:kinsoku/>
        <w:wordWrap/>
        <w:overflowPunct/>
        <w:topLinePunct w:val="0"/>
        <w:autoSpaceDE/>
        <w:autoSpaceDN/>
        <w:bidi w:val="0"/>
        <w:spacing w:beforeAutospacing="0" w:afterAutospacing="0" w:line="360" w:lineRule="auto"/>
        <w:ind w:right="0" w:rightChars="0"/>
        <w:textAlignment w:val="auto"/>
        <w:outlineLvl w:val="9"/>
        <w:rPr>
          <w:rFonts w:hint="eastAsia" w:asciiTheme="minorEastAsia" w:hAnsiTheme="minorEastAsia" w:eastAsiaTheme="minorEastAsia" w:cstheme="minorEastAsia"/>
          <w:b w:val="0"/>
          <w:bCs/>
          <w:kern w:val="0"/>
          <w:sz w:val="24"/>
          <w:szCs w:val="24"/>
        </w:rPr>
      </w:pPr>
      <w:r>
        <w:rPr>
          <w:rFonts w:hint="eastAsia" w:asciiTheme="minorEastAsia" w:hAnsiTheme="minorEastAsia" w:cstheme="minorEastAsia"/>
          <w:b w:val="0"/>
          <w:bCs/>
          <w:kern w:val="0"/>
          <w:sz w:val="24"/>
          <w:szCs w:val="24"/>
          <w:lang w:val="en-US" w:eastAsia="zh-CN"/>
        </w:rPr>
        <w:t>5</w:t>
      </w:r>
      <w:r>
        <w:rPr>
          <w:rFonts w:hint="eastAsia" w:asciiTheme="minorEastAsia" w:hAnsiTheme="minorEastAsia" w:eastAsiaTheme="minorEastAsia" w:cstheme="minorEastAsia"/>
          <w:b w:val="0"/>
          <w:bCs/>
          <w:kern w:val="0"/>
          <w:sz w:val="24"/>
          <w:szCs w:val="24"/>
        </w:rPr>
        <w:t>.石油特别收益金征收比率按石油开采企业销售原油的月加权平均价格确定。计算时，原油吨桶比按石油开采企业实际执行或挂靠油种的吨桶比计算；美元兑换人民币汇率以中国人民银行当月每日公布的中间价按月平均计算。</w:t>
      </w:r>
    </w:p>
    <w:p>
      <w:pPr>
        <w:keepNext w:val="0"/>
        <w:keepLines w:val="0"/>
        <w:pageBreakBefore w:val="0"/>
        <w:kinsoku/>
        <w:wordWrap/>
        <w:overflowPunct/>
        <w:topLinePunct w:val="0"/>
        <w:autoSpaceDE/>
        <w:autoSpaceDN/>
        <w:bidi w:val="0"/>
        <w:spacing w:beforeAutospacing="0" w:afterAutospacing="0" w:line="360" w:lineRule="auto"/>
        <w:ind w:left="0" w:leftChars="0" w:right="0" w:rightChars="0" w:firstLine="480" w:firstLineChars="200"/>
        <w:textAlignment w:val="auto"/>
        <w:outlineLvl w:val="9"/>
        <w:rPr>
          <w:rFonts w:hint="eastAsia" w:asciiTheme="minorEastAsia" w:hAnsiTheme="minorEastAsia" w:eastAsiaTheme="minorEastAsia" w:cstheme="minorEastAsia"/>
          <w:kern w:val="0"/>
          <w:sz w:val="24"/>
          <w:szCs w:val="24"/>
          <w:highlight w:val="none"/>
          <w:lang w:val="en-US" w:eastAsia="zh-CN"/>
        </w:rPr>
      </w:pP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b/>
          <w:bCs/>
          <w:kern w:val="0"/>
          <w:sz w:val="24"/>
          <w:szCs w:val="24"/>
        </w:rPr>
        <w:t>【设定依据】</w:t>
      </w:r>
      <w:r>
        <w:rPr>
          <w:rFonts w:hint="eastAsia" w:asciiTheme="minorEastAsia" w:hAnsiTheme="minorEastAsia" w:eastAsiaTheme="minorEastAsia" w:cstheme="minorEastAsia"/>
          <w:kern w:val="0"/>
          <w:sz w:val="24"/>
          <w:szCs w:val="24"/>
        </w:rPr>
        <w:br w:type="textWrapping"/>
      </w:r>
      <w:r>
        <w:rPr>
          <w:rFonts w:hint="eastAsia" w:asciiTheme="minorEastAsia" w:hAnsiTheme="minorEastAsia" w:cstheme="minorEastAsia"/>
          <w:kern w:val="0"/>
          <w:sz w:val="24"/>
          <w:szCs w:val="24"/>
          <w:lang w:val="en-US" w:eastAsia="zh-CN"/>
        </w:rPr>
        <w:t>1.</w:t>
      </w:r>
      <w:r>
        <w:rPr>
          <w:rFonts w:hint="eastAsia" w:asciiTheme="minorEastAsia" w:hAnsiTheme="minorEastAsia" w:eastAsiaTheme="minorEastAsia" w:cstheme="minorEastAsia"/>
          <w:kern w:val="0"/>
          <w:sz w:val="24"/>
          <w:szCs w:val="24"/>
          <w:highlight w:val="none"/>
        </w:rPr>
        <w:t>《国务院关于开征石油特别收益金的决定》（国发〔2006〕13 号）</w:t>
      </w:r>
      <w:r>
        <w:rPr>
          <w:rFonts w:hint="eastAsia" w:asciiTheme="minorEastAsia" w:hAnsiTheme="minorEastAsia" w:cstheme="minorEastAsia"/>
          <w:kern w:val="0"/>
          <w:sz w:val="24"/>
          <w:szCs w:val="24"/>
          <w:highlight w:val="none"/>
          <w:lang w:val="en-US" w:eastAsia="zh-CN"/>
        </w:rPr>
        <w:t>全文。</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00"/>
    <w:family w:val="auto"/>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F7A"/>
    <w:rsid w:val="00013005"/>
    <w:rsid w:val="00040F6A"/>
    <w:rsid w:val="0009109D"/>
    <w:rsid w:val="000A3C82"/>
    <w:rsid w:val="000B5E35"/>
    <w:rsid w:val="000C262B"/>
    <w:rsid w:val="000D7E7A"/>
    <w:rsid w:val="000E1279"/>
    <w:rsid w:val="00147C5C"/>
    <w:rsid w:val="001901E9"/>
    <w:rsid w:val="00192118"/>
    <w:rsid w:val="00192FBF"/>
    <w:rsid w:val="001B052F"/>
    <w:rsid w:val="001D648A"/>
    <w:rsid w:val="001F0A87"/>
    <w:rsid w:val="002221BA"/>
    <w:rsid w:val="00236D86"/>
    <w:rsid w:val="002853E4"/>
    <w:rsid w:val="00295A2A"/>
    <w:rsid w:val="002F7382"/>
    <w:rsid w:val="00326E95"/>
    <w:rsid w:val="003325E7"/>
    <w:rsid w:val="003C6487"/>
    <w:rsid w:val="003F359A"/>
    <w:rsid w:val="00424054"/>
    <w:rsid w:val="004252FB"/>
    <w:rsid w:val="00465152"/>
    <w:rsid w:val="004900F0"/>
    <w:rsid w:val="00493235"/>
    <w:rsid w:val="004A2299"/>
    <w:rsid w:val="004D4487"/>
    <w:rsid w:val="004D6098"/>
    <w:rsid w:val="004F3DE9"/>
    <w:rsid w:val="00530FD5"/>
    <w:rsid w:val="00543C54"/>
    <w:rsid w:val="00573139"/>
    <w:rsid w:val="00583B10"/>
    <w:rsid w:val="005B3D72"/>
    <w:rsid w:val="005C7148"/>
    <w:rsid w:val="005E0301"/>
    <w:rsid w:val="005E45E7"/>
    <w:rsid w:val="005F0908"/>
    <w:rsid w:val="005F4B36"/>
    <w:rsid w:val="00615C54"/>
    <w:rsid w:val="00620A33"/>
    <w:rsid w:val="00620E78"/>
    <w:rsid w:val="00643A93"/>
    <w:rsid w:val="006638A4"/>
    <w:rsid w:val="0068166E"/>
    <w:rsid w:val="00696736"/>
    <w:rsid w:val="006C3D64"/>
    <w:rsid w:val="006F06FA"/>
    <w:rsid w:val="00710060"/>
    <w:rsid w:val="00782F5C"/>
    <w:rsid w:val="007D4379"/>
    <w:rsid w:val="00804644"/>
    <w:rsid w:val="00827BF2"/>
    <w:rsid w:val="00834897"/>
    <w:rsid w:val="00854FB6"/>
    <w:rsid w:val="00873F5A"/>
    <w:rsid w:val="00890F93"/>
    <w:rsid w:val="008B2D37"/>
    <w:rsid w:val="008B6BE5"/>
    <w:rsid w:val="008D693E"/>
    <w:rsid w:val="008E7821"/>
    <w:rsid w:val="009156D7"/>
    <w:rsid w:val="00944C1C"/>
    <w:rsid w:val="009539EF"/>
    <w:rsid w:val="0098761C"/>
    <w:rsid w:val="009A503F"/>
    <w:rsid w:val="009C0B31"/>
    <w:rsid w:val="009E4A54"/>
    <w:rsid w:val="009E5F7A"/>
    <w:rsid w:val="00A04905"/>
    <w:rsid w:val="00AF10A7"/>
    <w:rsid w:val="00B170A6"/>
    <w:rsid w:val="00B5696D"/>
    <w:rsid w:val="00B75B8F"/>
    <w:rsid w:val="00B93E42"/>
    <w:rsid w:val="00BF37CC"/>
    <w:rsid w:val="00C03BBF"/>
    <w:rsid w:val="00C40249"/>
    <w:rsid w:val="00C43EC1"/>
    <w:rsid w:val="00CD52AC"/>
    <w:rsid w:val="00D62F5B"/>
    <w:rsid w:val="00DA4014"/>
    <w:rsid w:val="00DE6CD6"/>
    <w:rsid w:val="00DF6C47"/>
    <w:rsid w:val="00E33044"/>
    <w:rsid w:val="00E97ED0"/>
    <w:rsid w:val="00EE24CA"/>
    <w:rsid w:val="00EF3978"/>
    <w:rsid w:val="00EF6216"/>
    <w:rsid w:val="00F401AF"/>
    <w:rsid w:val="00F52171"/>
    <w:rsid w:val="0B314D49"/>
    <w:rsid w:val="16A920CB"/>
    <w:rsid w:val="379573C0"/>
    <w:rsid w:val="43B333F9"/>
    <w:rsid w:val="488A1F6B"/>
    <w:rsid w:val="515E52B2"/>
    <w:rsid w:val="568E69ED"/>
    <w:rsid w:val="6CB911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paragraph" w:styleId="2">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Hyperlink"/>
    <w:basedOn w:val="4"/>
    <w:semiHidden/>
    <w:unhideWhenUsed/>
    <w:qFormat/>
    <w:uiPriority w:val="99"/>
    <w:rPr>
      <w:color w:val="0000FF"/>
      <w:u w:val="single"/>
    </w:rPr>
  </w:style>
  <w:style w:type="paragraph" w:customStyle="1" w:styleId="6">
    <w:name w:val="【事项描】"/>
    <w:basedOn w:val="1"/>
    <w:qFormat/>
    <w:uiPriority w:val="99"/>
    <w:pPr>
      <w:adjustRightInd w:val="0"/>
      <w:snapToGrid w:val="0"/>
      <w:spacing w:line="360" w:lineRule="auto"/>
      <w:ind w:firstLine="482" w:firstLineChars="200"/>
    </w:pPr>
    <w:rPr>
      <w:rFonts w:ascii="宋体" w:hAnsi="宋体"/>
      <w:b/>
      <w:sz w:val="24"/>
      <w:szCs w:val="24"/>
    </w:rPr>
  </w:style>
  <w:style w:type="paragraph" w:customStyle="1" w:styleId="7">
    <w:name w:val="Table Paragraph"/>
    <w:basedOn w:val="1"/>
    <w:qFormat/>
    <w:uiPriority w:val="1"/>
    <w:rPr>
      <w:rFonts w:ascii="黑体" w:hAnsi="黑体" w:eastAsia="黑体" w:cs="黑体"/>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137</Words>
  <Characters>787</Characters>
  <Lines>6</Lines>
  <Paragraphs>1</Paragraphs>
  <TotalTime>2</TotalTime>
  <ScaleCrop>false</ScaleCrop>
  <LinksUpToDate>false</LinksUpToDate>
  <CharactersWithSpaces>923</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2019-06-11T06:14:00Z</dcterms:created>
  <dc:creator>赵驰</dc:creator>
  <cp:lastModifiedBy>捉水母的派大jun</cp:lastModifiedBy>
  <dcterms:modified xsi:type="dcterms:W3CDTF">2019-09-05T03:45:50Z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