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960" w:rsidRDefault="00A61C5A">
      <w:pPr>
        <w:pStyle w:val="ab"/>
        <w:ind w:firstLineChars="0" w:firstLine="0"/>
        <w:rPr>
          <w:rStyle w:val="2Char"/>
          <w:rFonts w:ascii="黑体" w:eastAsia="黑体" w:hAnsi="黑体" w:cs="Times New Roman"/>
          <w:b/>
          <w:bCs/>
          <w:kern w:val="44"/>
          <w:sz w:val="28"/>
          <w:szCs w:val="28"/>
        </w:rPr>
      </w:pPr>
      <w:r>
        <w:rPr>
          <w:rStyle w:val="2Char"/>
          <w:rFonts w:ascii="黑体" w:eastAsia="黑体" w:hAnsi="黑体" w:cs="黑体"/>
          <w:b/>
          <w:bCs/>
          <w:kern w:val="44"/>
          <w:sz w:val="28"/>
          <w:szCs w:val="28"/>
        </w:rPr>
        <w:t xml:space="preserve">1.5.9—032  </w:t>
      </w:r>
      <w:r>
        <w:rPr>
          <w:rStyle w:val="2Char"/>
          <w:rFonts w:ascii="黑体" w:eastAsia="黑体" w:hAnsi="黑体" w:cs="黑体" w:hint="eastAsia"/>
          <w:b/>
          <w:bCs/>
          <w:kern w:val="44"/>
          <w:sz w:val="28"/>
          <w:szCs w:val="28"/>
        </w:rPr>
        <w:t>合伙制创业投资企业单一投资基金核算方式报告</w:t>
      </w:r>
    </w:p>
    <w:p w:rsidR="008B1960" w:rsidRDefault="00A61C5A">
      <w:pPr>
        <w:pStyle w:val="ab"/>
        <w:ind w:firstLineChars="0" w:firstLine="0"/>
      </w:pPr>
      <w:r>
        <w:rPr>
          <w:rFonts w:hint="eastAsia"/>
        </w:rPr>
        <w:t>【事项名称】</w:t>
      </w:r>
    </w:p>
    <w:p w:rsidR="008B1960" w:rsidRDefault="00A61C5A">
      <w:pPr>
        <w:pStyle w:val="ab"/>
        <w:ind w:firstLineChars="0" w:firstLine="0"/>
        <w:rPr>
          <w:b w:val="0"/>
          <w:bCs w:val="0"/>
        </w:rPr>
      </w:pPr>
      <w:r>
        <w:rPr>
          <w:rFonts w:hint="eastAsia"/>
          <w:b w:val="0"/>
          <w:bCs w:val="0"/>
        </w:rPr>
        <w:t>合伙制创业投资企业单一投资基金核算方式报告</w:t>
      </w:r>
    </w:p>
    <w:p w:rsidR="008B1960" w:rsidRDefault="00A61C5A">
      <w:pPr>
        <w:pStyle w:val="ab"/>
        <w:ind w:firstLineChars="0" w:firstLine="0"/>
      </w:pPr>
      <w:r>
        <w:rPr>
          <w:rFonts w:hint="eastAsia"/>
        </w:rPr>
        <w:t>【事项描述</w:t>
      </w:r>
      <w:r>
        <w:t>(</w:t>
      </w:r>
      <w:r>
        <w:rPr>
          <w:rFonts w:hint="eastAsia"/>
        </w:rPr>
        <w:t>申请条件</w:t>
      </w:r>
      <w:r>
        <w:t>)</w:t>
      </w:r>
      <w:r>
        <w:rPr>
          <w:rFonts w:hint="eastAsia"/>
          <w:b w:val="0"/>
          <w:bCs w:val="0"/>
        </w:rPr>
        <w:t>】</w:t>
      </w:r>
    </w:p>
    <w:p w:rsidR="008B1960" w:rsidRDefault="00A61C5A">
      <w:pPr>
        <w:pStyle w:val="ad"/>
        <w:rPr>
          <w:rFonts w:cs="Times New Roman"/>
        </w:rPr>
      </w:pPr>
      <w:r>
        <w:rPr>
          <w:rFonts w:hint="eastAsia"/>
        </w:rPr>
        <w:t>符合《创业投资企业管理暂行办法》</w:t>
      </w:r>
      <w:r w:rsidR="00E0469F">
        <w:rPr>
          <w:rFonts w:cstheme="minorBidi" w:hint="eastAsia"/>
        </w:rPr>
        <w:t>（发展改革委等10部门令第39号）</w:t>
      </w:r>
      <w:r>
        <w:rPr>
          <w:rFonts w:hint="eastAsia"/>
        </w:rPr>
        <w:t>或者《私募投资基金监督管理暂行办法》</w:t>
      </w:r>
      <w:r w:rsidR="00E0469F">
        <w:rPr>
          <w:rFonts w:cstheme="minorBidi" w:hint="eastAsia"/>
        </w:rPr>
        <w:t>（证监会令第105号）</w:t>
      </w:r>
      <w:r>
        <w:rPr>
          <w:rFonts w:hint="eastAsia"/>
        </w:rPr>
        <w:t>有关规定完成备案且规范运作的合伙制创业投资企业（基金），可以选择按单一投资基金核算或者按创投企业年度所得整体核算两种方式之一，对其个人合伙人来源于创投企业的所得计算个人所得税应纳税额。上述合伙制创投企业选择按单一投资基金核算的，应当就其核算方式向主管税务机关报告备案。</w:t>
      </w:r>
    </w:p>
    <w:p w:rsidR="008B1960" w:rsidRDefault="00A61C5A">
      <w:pPr>
        <w:pStyle w:val="ad"/>
        <w:ind w:firstLineChars="0" w:firstLine="0"/>
        <w:rPr>
          <w:rFonts w:cs="Times New Roman"/>
          <w:b/>
          <w:bCs/>
        </w:rPr>
      </w:pPr>
      <w:r>
        <w:rPr>
          <w:rFonts w:hint="eastAsia"/>
          <w:b/>
          <w:bCs/>
        </w:rPr>
        <w:t>【办理资料】</w:t>
      </w:r>
    </w:p>
    <w:tbl>
      <w:tblPr>
        <w:tblW w:w="8163"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680"/>
        <w:gridCol w:w="4535"/>
        <w:gridCol w:w="680"/>
        <w:gridCol w:w="2268"/>
      </w:tblGrid>
      <w:tr w:rsidR="008B1960">
        <w:trPr>
          <w:trHeight w:val="783"/>
        </w:trPr>
        <w:tc>
          <w:tcPr>
            <w:tcW w:w="680" w:type="dxa"/>
            <w:shd w:val="clear" w:color="auto" w:fill="D9D9D9"/>
          </w:tcPr>
          <w:p w:rsidR="008B1960" w:rsidRDefault="008B1960">
            <w:pPr>
              <w:pStyle w:val="TableParagraph"/>
              <w:spacing w:before="11"/>
              <w:rPr>
                <w:rFonts w:cs="Times New Roman"/>
                <w:sz w:val="19"/>
                <w:szCs w:val="19"/>
              </w:rPr>
            </w:pPr>
          </w:p>
          <w:p w:rsidR="008B1960" w:rsidRDefault="00A61C5A">
            <w:pPr>
              <w:pStyle w:val="TableParagraph"/>
              <w:ind w:left="89" w:right="81"/>
              <w:jc w:val="center"/>
              <w:rPr>
                <w:rFonts w:cs="Times New Roman"/>
                <w:sz w:val="21"/>
                <w:szCs w:val="21"/>
              </w:rPr>
            </w:pPr>
            <w:r>
              <w:rPr>
                <w:rFonts w:hint="eastAsia"/>
                <w:sz w:val="21"/>
                <w:szCs w:val="21"/>
              </w:rPr>
              <w:t>序号</w:t>
            </w:r>
          </w:p>
        </w:tc>
        <w:tc>
          <w:tcPr>
            <w:tcW w:w="4535" w:type="dxa"/>
            <w:shd w:val="clear" w:color="auto" w:fill="D9D9D9"/>
          </w:tcPr>
          <w:p w:rsidR="008B1960" w:rsidRDefault="008B1960">
            <w:pPr>
              <w:pStyle w:val="TableParagraph"/>
              <w:spacing w:before="11"/>
              <w:rPr>
                <w:rFonts w:cs="Times New Roman"/>
                <w:sz w:val="19"/>
                <w:szCs w:val="19"/>
              </w:rPr>
            </w:pPr>
          </w:p>
          <w:p w:rsidR="008B1960" w:rsidRDefault="00A61C5A">
            <w:pPr>
              <w:pStyle w:val="TableParagraph"/>
              <w:ind w:left="3"/>
              <w:jc w:val="center"/>
              <w:rPr>
                <w:rFonts w:cs="Times New Roman"/>
                <w:sz w:val="21"/>
                <w:szCs w:val="21"/>
              </w:rPr>
            </w:pPr>
            <w:r>
              <w:rPr>
                <w:rFonts w:hint="eastAsia"/>
                <w:sz w:val="21"/>
                <w:szCs w:val="21"/>
              </w:rPr>
              <w:t>材料名称</w:t>
            </w:r>
          </w:p>
        </w:tc>
        <w:tc>
          <w:tcPr>
            <w:tcW w:w="680" w:type="dxa"/>
            <w:shd w:val="clear" w:color="auto" w:fill="D9D9D9"/>
          </w:tcPr>
          <w:p w:rsidR="008B1960" w:rsidRDefault="008B1960">
            <w:pPr>
              <w:pStyle w:val="TableParagraph"/>
              <w:spacing w:before="11"/>
              <w:rPr>
                <w:rFonts w:cs="Times New Roman"/>
                <w:sz w:val="19"/>
                <w:szCs w:val="19"/>
              </w:rPr>
            </w:pPr>
          </w:p>
          <w:p w:rsidR="008B1960" w:rsidRDefault="00A61C5A">
            <w:pPr>
              <w:pStyle w:val="TableParagraph"/>
              <w:ind w:left="130"/>
              <w:rPr>
                <w:rFonts w:cs="Times New Roman"/>
                <w:sz w:val="21"/>
                <w:szCs w:val="21"/>
              </w:rPr>
            </w:pPr>
            <w:r>
              <w:rPr>
                <w:rFonts w:hint="eastAsia"/>
                <w:sz w:val="21"/>
                <w:szCs w:val="21"/>
              </w:rPr>
              <w:t>数量</w:t>
            </w:r>
          </w:p>
        </w:tc>
        <w:tc>
          <w:tcPr>
            <w:tcW w:w="2268" w:type="dxa"/>
            <w:shd w:val="clear" w:color="auto" w:fill="D9D9D9"/>
          </w:tcPr>
          <w:p w:rsidR="008B1960" w:rsidRDefault="008B1960">
            <w:pPr>
              <w:pStyle w:val="TableParagraph"/>
              <w:spacing w:before="11"/>
              <w:rPr>
                <w:rFonts w:cs="Times New Roman"/>
                <w:sz w:val="19"/>
                <w:szCs w:val="19"/>
              </w:rPr>
            </w:pPr>
          </w:p>
          <w:p w:rsidR="008B1960" w:rsidRDefault="00A61C5A">
            <w:pPr>
              <w:pStyle w:val="TableParagraph"/>
              <w:ind w:left="139" w:right="131"/>
              <w:jc w:val="center"/>
              <w:rPr>
                <w:rFonts w:cs="Times New Roman"/>
                <w:sz w:val="21"/>
                <w:szCs w:val="21"/>
              </w:rPr>
            </w:pPr>
            <w:r>
              <w:rPr>
                <w:rFonts w:hint="eastAsia"/>
                <w:sz w:val="21"/>
                <w:szCs w:val="21"/>
              </w:rPr>
              <w:t>备注</w:t>
            </w:r>
          </w:p>
        </w:tc>
      </w:tr>
      <w:tr w:rsidR="008B1960">
        <w:trPr>
          <w:trHeight w:val="624"/>
        </w:trPr>
        <w:tc>
          <w:tcPr>
            <w:tcW w:w="680" w:type="dxa"/>
          </w:tcPr>
          <w:p w:rsidR="008B1960" w:rsidRDefault="008B1960">
            <w:pPr>
              <w:pStyle w:val="TableParagraph"/>
              <w:spacing w:before="3"/>
              <w:rPr>
                <w:rFonts w:cs="Times New Roman"/>
                <w:sz w:val="16"/>
                <w:szCs w:val="16"/>
              </w:rPr>
            </w:pPr>
          </w:p>
          <w:p w:rsidR="008B1960" w:rsidRDefault="00A61C5A">
            <w:pPr>
              <w:pStyle w:val="TableParagraph"/>
              <w:ind w:left="7"/>
              <w:jc w:val="center"/>
              <w:rPr>
                <w:rFonts w:ascii="Times New Roman" w:cs="Times New Roman"/>
                <w:sz w:val="18"/>
                <w:szCs w:val="18"/>
              </w:rPr>
            </w:pPr>
            <w:r>
              <w:rPr>
                <w:rFonts w:ascii="Times New Roman" w:cs="Times New Roman"/>
                <w:sz w:val="18"/>
                <w:szCs w:val="18"/>
              </w:rPr>
              <w:t>1</w:t>
            </w:r>
          </w:p>
        </w:tc>
        <w:tc>
          <w:tcPr>
            <w:tcW w:w="4535" w:type="dxa"/>
          </w:tcPr>
          <w:p w:rsidR="008B1960" w:rsidRDefault="008B1960">
            <w:pPr>
              <w:pStyle w:val="TableParagraph"/>
              <w:spacing w:before="4"/>
              <w:rPr>
                <w:rFonts w:cs="Times New Roman"/>
                <w:sz w:val="15"/>
                <w:szCs w:val="15"/>
              </w:rPr>
            </w:pPr>
          </w:p>
          <w:p w:rsidR="008B1960" w:rsidRDefault="00A61C5A">
            <w:pPr>
              <w:pStyle w:val="TableParagraph"/>
              <w:ind w:left="10"/>
              <w:jc w:val="center"/>
              <w:rPr>
                <w:rFonts w:cs="Times New Roman"/>
                <w:sz w:val="18"/>
                <w:szCs w:val="18"/>
              </w:rPr>
            </w:pPr>
            <w:r>
              <w:rPr>
                <w:rFonts w:hint="eastAsia"/>
                <w:sz w:val="18"/>
                <w:szCs w:val="18"/>
              </w:rPr>
              <w:t>《合伙制创业投资企业单一投资基金核算方式备案表》</w:t>
            </w:r>
          </w:p>
        </w:tc>
        <w:tc>
          <w:tcPr>
            <w:tcW w:w="680" w:type="dxa"/>
          </w:tcPr>
          <w:p w:rsidR="008B1960" w:rsidRDefault="008B1960">
            <w:pPr>
              <w:pStyle w:val="TableParagraph"/>
              <w:spacing w:before="4"/>
              <w:rPr>
                <w:rFonts w:cs="Times New Roman"/>
                <w:sz w:val="15"/>
                <w:szCs w:val="15"/>
              </w:rPr>
            </w:pPr>
          </w:p>
          <w:p w:rsidR="008B1960" w:rsidRDefault="00A61C5A">
            <w:pPr>
              <w:pStyle w:val="TableParagraph"/>
              <w:ind w:left="180"/>
              <w:rPr>
                <w:rFonts w:cs="Times New Roman"/>
                <w:sz w:val="18"/>
                <w:szCs w:val="18"/>
              </w:rPr>
            </w:pPr>
            <w:r>
              <w:rPr>
                <w:rFonts w:ascii="Times New Roman" w:eastAsia="Times New Roman" w:cs="Times New Roman"/>
                <w:sz w:val="18"/>
                <w:szCs w:val="18"/>
              </w:rPr>
              <w:t xml:space="preserve">2 </w:t>
            </w:r>
            <w:r>
              <w:rPr>
                <w:rFonts w:hint="eastAsia"/>
                <w:sz w:val="18"/>
                <w:szCs w:val="18"/>
              </w:rPr>
              <w:t>份</w:t>
            </w:r>
          </w:p>
        </w:tc>
        <w:tc>
          <w:tcPr>
            <w:tcW w:w="2268" w:type="dxa"/>
          </w:tcPr>
          <w:p w:rsidR="008B1960" w:rsidRDefault="008B1960">
            <w:pPr>
              <w:pStyle w:val="TableParagraph"/>
              <w:rPr>
                <w:rFonts w:ascii="Times New Roman" w:cs="Times New Roman"/>
              </w:rPr>
            </w:pPr>
          </w:p>
        </w:tc>
      </w:tr>
    </w:tbl>
    <w:p w:rsidR="008B1960" w:rsidRDefault="008B1960">
      <w:pPr>
        <w:pStyle w:val="ab"/>
        <w:ind w:firstLineChars="0" w:firstLine="0"/>
      </w:pPr>
    </w:p>
    <w:p w:rsidR="008B1960" w:rsidRDefault="003817AB">
      <w:pPr>
        <w:pStyle w:val="ab"/>
        <w:ind w:firstLineChars="0" w:firstLine="0"/>
      </w:pPr>
      <w:r w:rsidRPr="003817AB">
        <w:rPr>
          <w:rFonts w:cs="宋体"/>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5.png" o:spid="_x0000_s1026" type="#_x0000_t75" style="position:absolute;left:0;text-align:left;margin-left:90pt;margin-top:148.4pt;width:398.45pt;height:130.55pt;z-index:1;mso-position-horizontal-relative:page">
            <v:imagedata r:id="rId8" o:title=""/>
            <w10:wrap type="topAndBottom" anchorx="page"/>
          </v:shape>
        </w:pict>
      </w:r>
      <w:r w:rsidR="00A61C5A">
        <w:rPr>
          <w:rFonts w:hint="eastAsia"/>
        </w:rPr>
        <w:t>【办理地点</w:t>
      </w:r>
      <w:r w:rsidR="00A61C5A">
        <w:t>(</w:t>
      </w:r>
      <w:r w:rsidR="00A61C5A">
        <w:rPr>
          <w:rFonts w:hint="eastAsia"/>
        </w:rPr>
        <w:t>受理机构</w:t>
      </w:r>
      <w:r w:rsidR="00A61C5A">
        <w:t>)</w:t>
      </w:r>
      <w:r w:rsidR="00A61C5A">
        <w:rPr>
          <w:rFonts w:hint="eastAsia"/>
        </w:rPr>
        <w:t>】</w:t>
      </w:r>
    </w:p>
    <w:p w:rsidR="008B1960" w:rsidRDefault="00A61C5A">
      <w:pPr>
        <w:pStyle w:val="ad"/>
        <w:ind w:firstLineChars="0" w:firstLine="0"/>
        <w:rPr>
          <w:rFonts w:cs="Times New Roman"/>
        </w:rPr>
      </w:pPr>
      <w:r>
        <w:rPr>
          <w:rFonts w:hint="eastAsia"/>
        </w:rPr>
        <w:t>主管税务机关办税服务厅（场所）。</w:t>
      </w:r>
    </w:p>
    <w:p w:rsidR="008B1960" w:rsidRDefault="00A61C5A">
      <w:pPr>
        <w:pStyle w:val="ab"/>
        <w:ind w:firstLineChars="0" w:firstLine="0"/>
      </w:pPr>
      <w:r>
        <w:rPr>
          <w:rFonts w:hint="eastAsia"/>
        </w:rPr>
        <w:t>【收费标准】</w:t>
      </w:r>
    </w:p>
    <w:p w:rsidR="008B1960" w:rsidRDefault="00A61C5A">
      <w:pPr>
        <w:pStyle w:val="ad"/>
        <w:ind w:firstLineChars="0" w:firstLine="0"/>
        <w:rPr>
          <w:rFonts w:cs="Times New Roman"/>
        </w:rPr>
      </w:pPr>
      <w:r>
        <w:rPr>
          <w:rFonts w:hint="eastAsia"/>
        </w:rPr>
        <w:t>不收费</w:t>
      </w:r>
    </w:p>
    <w:p w:rsidR="008B1960" w:rsidRDefault="00A61C5A">
      <w:pPr>
        <w:spacing w:line="360" w:lineRule="auto"/>
        <w:rPr>
          <w:rFonts w:ascii="宋体" w:cs="Times New Roman"/>
          <w:b/>
          <w:bCs/>
          <w:sz w:val="24"/>
          <w:szCs w:val="24"/>
        </w:rPr>
      </w:pPr>
      <w:r>
        <w:rPr>
          <w:rFonts w:ascii="宋体" w:hAnsi="宋体" w:cs="宋体" w:hint="eastAsia"/>
          <w:b/>
          <w:bCs/>
          <w:sz w:val="24"/>
          <w:szCs w:val="24"/>
        </w:rPr>
        <w:t>【办事流程】</w:t>
      </w:r>
    </w:p>
    <w:p w:rsidR="008B1960" w:rsidRDefault="008B1960">
      <w:pPr>
        <w:spacing w:line="360" w:lineRule="auto"/>
        <w:rPr>
          <w:rFonts w:ascii="宋体" w:cs="Times New Roman"/>
          <w:b/>
          <w:bCs/>
          <w:sz w:val="24"/>
          <w:szCs w:val="24"/>
        </w:rPr>
      </w:pPr>
    </w:p>
    <w:p w:rsidR="008B1960" w:rsidRDefault="00A61C5A">
      <w:pPr>
        <w:pStyle w:val="ab"/>
        <w:ind w:firstLineChars="0" w:firstLine="0"/>
      </w:pPr>
      <w:r>
        <w:rPr>
          <w:rFonts w:hint="eastAsia"/>
        </w:rPr>
        <w:t>【办理时间】</w:t>
      </w:r>
    </w:p>
    <w:p w:rsidR="008B1960" w:rsidRDefault="00A61C5A">
      <w:pPr>
        <w:pStyle w:val="ad"/>
        <w:ind w:firstLineChars="0" w:firstLine="0"/>
        <w:rPr>
          <w:rFonts w:cs="Times New Roman"/>
        </w:rPr>
      </w:pPr>
      <w:r>
        <w:rPr>
          <w:rFonts w:hint="eastAsia"/>
        </w:rPr>
        <w:t>工作时间，具体可拨打</w:t>
      </w:r>
      <w:r>
        <w:t>12366</w:t>
      </w:r>
      <w:r>
        <w:rPr>
          <w:rFonts w:hint="eastAsia"/>
        </w:rPr>
        <w:t>查询。</w:t>
      </w:r>
    </w:p>
    <w:p w:rsidR="008B1960" w:rsidRDefault="00A61C5A">
      <w:pPr>
        <w:pStyle w:val="ab"/>
        <w:ind w:firstLineChars="0" w:firstLine="0"/>
      </w:pPr>
      <w:r>
        <w:rPr>
          <w:rFonts w:hint="eastAsia"/>
        </w:rPr>
        <w:t>【办理时限】</w:t>
      </w:r>
    </w:p>
    <w:p w:rsidR="008B1960" w:rsidRDefault="00A61C5A">
      <w:pPr>
        <w:pStyle w:val="ab"/>
        <w:ind w:firstLineChars="0" w:firstLine="0"/>
        <w:rPr>
          <w:b w:val="0"/>
          <w:bCs w:val="0"/>
        </w:rPr>
      </w:pPr>
      <w:r>
        <w:rPr>
          <w:rFonts w:hint="eastAsia"/>
          <w:b w:val="0"/>
          <w:bCs w:val="0"/>
        </w:rPr>
        <w:lastRenderedPageBreak/>
        <w:t>依纳税人需求，纳税人提供资料完整、准确，符合受理条件的，即时办结。</w:t>
      </w:r>
    </w:p>
    <w:p w:rsidR="008B1960" w:rsidRDefault="00A61C5A">
      <w:pPr>
        <w:pStyle w:val="ab"/>
        <w:ind w:firstLineChars="0" w:firstLine="0"/>
      </w:pPr>
      <w:r>
        <w:rPr>
          <w:rFonts w:hint="eastAsia"/>
        </w:rPr>
        <w:t>【办理结果】</w:t>
      </w:r>
      <w:r>
        <w:t xml:space="preserve"> </w:t>
      </w:r>
    </w:p>
    <w:p w:rsidR="008B1960" w:rsidRDefault="00A61C5A">
      <w:pPr>
        <w:spacing w:line="360" w:lineRule="auto"/>
        <w:rPr>
          <w:rFonts w:ascii="宋体" w:cs="Times New Roman"/>
          <w:sz w:val="24"/>
          <w:szCs w:val="24"/>
        </w:rPr>
      </w:pPr>
      <w:r>
        <w:rPr>
          <w:rFonts w:ascii="宋体" w:hAnsi="宋体" w:cs="宋体" w:hint="eastAsia"/>
          <w:sz w:val="24"/>
          <w:szCs w:val="24"/>
        </w:rPr>
        <w:t>办理结束后，在文书表单上加盖印章，一份返还纳税人、扣缴义务人。</w:t>
      </w:r>
    </w:p>
    <w:p w:rsidR="008B1960" w:rsidRDefault="00A61C5A">
      <w:pPr>
        <w:spacing w:line="360" w:lineRule="auto"/>
        <w:rPr>
          <w:rFonts w:ascii="宋体" w:cs="Times New Roman"/>
          <w:b/>
          <w:bCs/>
          <w:sz w:val="24"/>
          <w:szCs w:val="24"/>
        </w:rPr>
      </w:pPr>
      <w:r>
        <w:rPr>
          <w:rFonts w:ascii="宋体" w:hAnsi="宋体" w:cs="宋体" w:hint="eastAsia"/>
          <w:b/>
          <w:bCs/>
          <w:sz w:val="24"/>
          <w:szCs w:val="24"/>
        </w:rPr>
        <w:t>【联系电话】</w:t>
      </w:r>
    </w:p>
    <w:p w:rsidR="008B1960" w:rsidRDefault="00A61C5A">
      <w:pPr>
        <w:spacing w:line="360" w:lineRule="auto"/>
        <w:rPr>
          <w:rFonts w:ascii="宋体" w:cs="Times New Roman"/>
          <w:sz w:val="24"/>
          <w:szCs w:val="24"/>
        </w:rPr>
      </w:pPr>
      <w:r>
        <w:rPr>
          <w:rFonts w:ascii="宋体" w:hAnsi="宋体" w:cs="宋体" w:hint="eastAsia"/>
          <w:sz w:val="24"/>
          <w:szCs w:val="24"/>
        </w:rPr>
        <w:t>联系电话可在国家税务总局天津市税务局网站或拨打</w:t>
      </w:r>
      <w:r>
        <w:rPr>
          <w:rFonts w:ascii="宋体" w:hAnsi="宋体" w:cs="宋体"/>
          <w:sz w:val="24"/>
          <w:szCs w:val="24"/>
        </w:rPr>
        <w:t>12366</w:t>
      </w:r>
      <w:r>
        <w:rPr>
          <w:rFonts w:ascii="宋体" w:hAnsi="宋体" w:cs="宋体" w:hint="eastAsia"/>
          <w:sz w:val="24"/>
          <w:szCs w:val="24"/>
        </w:rPr>
        <w:t>查询。</w:t>
      </w:r>
    </w:p>
    <w:p w:rsidR="008B1960" w:rsidRDefault="00A61C5A">
      <w:pPr>
        <w:pStyle w:val="ab"/>
        <w:ind w:firstLineChars="0" w:firstLine="0"/>
      </w:pPr>
      <w:r>
        <w:rPr>
          <w:rFonts w:hint="eastAsia"/>
        </w:rPr>
        <w:t>【</w:t>
      </w:r>
      <w:r w:rsidR="002F1636" w:rsidRPr="002F1636">
        <w:rPr>
          <w:rFonts w:hint="eastAsia"/>
        </w:rPr>
        <w:t>扣缴义务人</w:t>
      </w:r>
      <w:r>
        <w:rPr>
          <w:rFonts w:hint="eastAsia"/>
        </w:rPr>
        <w:t>注意事项】</w:t>
      </w:r>
      <w:r>
        <w:t xml:space="preserve"> </w:t>
      </w:r>
    </w:p>
    <w:p w:rsidR="008B1960" w:rsidRDefault="00A61C5A" w:rsidP="00E0469F">
      <w:pPr>
        <w:pStyle w:val="ab"/>
        <w:ind w:firstLine="480"/>
        <w:rPr>
          <w:b w:val="0"/>
          <w:bCs w:val="0"/>
        </w:rPr>
      </w:pPr>
      <w:r>
        <w:rPr>
          <w:b w:val="0"/>
          <w:bCs w:val="0"/>
        </w:rPr>
        <w:t>1.</w:t>
      </w:r>
      <w:r>
        <w:rPr>
          <w:b w:val="0"/>
          <w:bCs w:val="0"/>
        </w:rPr>
        <w:tab/>
      </w:r>
      <w:r>
        <w:rPr>
          <w:rFonts w:hint="eastAsia"/>
          <w:b w:val="0"/>
          <w:bCs w:val="0"/>
        </w:rPr>
        <w:t>扣缴义务人对报送材料的真实性和合法性承担责任。</w:t>
      </w:r>
    </w:p>
    <w:p w:rsidR="008B1960" w:rsidRDefault="00A61C5A" w:rsidP="00E0469F">
      <w:pPr>
        <w:pStyle w:val="ab"/>
        <w:ind w:firstLine="480"/>
        <w:rPr>
          <w:b w:val="0"/>
          <w:bCs w:val="0"/>
        </w:rPr>
      </w:pPr>
      <w:r>
        <w:rPr>
          <w:rFonts w:hint="eastAsia"/>
          <w:b w:val="0"/>
          <w:bCs w:val="0"/>
        </w:rPr>
        <w:t>2</w:t>
      </w:r>
      <w:r>
        <w:rPr>
          <w:b w:val="0"/>
          <w:bCs w:val="0"/>
        </w:rPr>
        <w:t>.</w:t>
      </w:r>
      <w:r>
        <w:rPr>
          <w:b w:val="0"/>
          <w:bCs w:val="0"/>
        </w:rPr>
        <w:tab/>
      </w:r>
      <w:r>
        <w:rPr>
          <w:rFonts w:hint="eastAsia"/>
          <w:b w:val="0"/>
          <w:bCs w:val="0"/>
        </w:rPr>
        <w:t>创投企业选择按单一投资基金核算的，应当在按照《创业投资企业管理暂行办法》（发展改革委等</w:t>
      </w:r>
      <w:r>
        <w:rPr>
          <w:b w:val="0"/>
          <w:bCs w:val="0"/>
        </w:rPr>
        <w:t xml:space="preserve"> 10 </w:t>
      </w:r>
      <w:r>
        <w:rPr>
          <w:rFonts w:hint="eastAsia"/>
          <w:b w:val="0"/>
          <w:bCs w:val="0"/>
        </w:rPr>
        <w:t>部门令第</w:t>
      </w:r>
      <w:r>
        <w:rPr>
          <w:b w:val="0"/>
          <w:bCs w:val="0"/>
        </w:rPr>
        <w:t xml:space="preserve"> 39 </w:t>
      </w:r>
      <w:r>
        <w:rPr>
          <w:rFonts w:hint="eastAsia"/>
          <w:b w:val="0"/>
          <w:bCs w:val="0"/>
        </w:rPr>
        <w:t>号）或者《私募投资基金监督管理暂行办法》（证监会令第</w:t>
      </w:r>
      <w:r>
        <w:rPr>
          <w:b w:val="0"/>
          <w:bCs w:val="0"/>
        </w:rPr>
        <w:t xml:space="preserve"> 105 </w:t>
      </w:r>
      <w:r>
        <w:rPr>
          <w:rFonts w:hint="eastAsia"/>
          <w:b w:val="0"/>
          <w:bCs w:val="0"/>
        </w:rPr>
        <w:t>号）规定完成备案的</w:t>
      </w:r>
      <w:r>
        <w:rPr>
          <w:b w:val="0"/>
          <w:bCs w:val="0"/>
        </w:rPr>
        <w:t xml:space="preserve"> 30 </w:t>
      </w:r>
      <w:r>
        <w:rPr>
          <w:rFonts w:hint="eastAsia"/>
          <w:b w:val="0"/>
          <w:bCs w:val="0"/>
        </w:rPr>
        <w:t>日内，向主管税务机关进行核算方式备案；未按规定备案的，视同选择按创投企业年度所得整体核算。</w:t>
      </w:r>
    </w:p>
    <w:p w:rsidR="008B1960" w:rsidRDefault="00A61C5A" w:rsidP="00E0469F">
      <w:pPr>
        <w:pStyle w:val="ab"/>
        <w:ind w:firstLine="480"/>
        <w:rPr>
          <w:b w:val="0"/>
          <w:bCs w:val="0"/>
        </w:rPr>
      </w:pPr>
      <w:r>
        <w:rPr>
          <w:rFonts w:hint="eastAsia"/>
          <w:b w:val="0"/>
          <w:bCs w:val="0"/>
        </w:rPr>
        <w:t>3</w:t>
      </w:r>
      <w:r>
        <w:rPr>
          <w:b w:val="0"/>
          <w:bCs w:val="0"/>
        </w:rPr>
        <w:t>.</w:t>
      </w:r>
      <w:r>
        <w:rPr>
          <w:b w:val="0"/>
          <w:bCs w:val="0"/>
        </w:rPr>
        <w:tab/>
      </w:r>
      <w:r>
        <w:rPr>
          <w:rFonts w:hint="eastAsia"/>
          <w:b w:val="0"/>
          <w:bCs w:val="0"/>
        </w:rPr>
        <w:t>单一投资基金核算，是指单一投资基金（包括不以基金名义设立的创投企业）在一个纳税年度内从不同创业投资项目取得的股权转让所得和股息红利所得按下述方法分别核算纳税：</w:t>
      </w:r>
    </w:p>
    <w:p w:rsidR="008B1960" w:rsidRDefault="00A61C5A" w:rsidP="00E0469F">
      <w:pPr>
        <w:pStyle w:val="ab"/>
        <w:ind w:firstLine="480"/>
        <w:rPr>
          <w:b w:val="0"/>
          <w:bCs w:val="0"/>
        </w:rPr>
      </w:pPr>
      <w:r>
        <w:rPr>
          <w:rFonts w:hint="eastAsia"/>
          <w:b w:val="0"/>
          <w:bCs w:val="0"/>
        </w:rPr>
        <w:t>（</w:t>
      </w:r>
      <w:r>
        <w:rPr>
          <w:b w:val="0"/>
          <w:bCs w:val="0"/>
        </w:rPr>
        <w:t>1</w:t>
      </w:r>
      <w:r>
        <w:rPr>
          <w:rFonts w:hint="eastAsia"/>
          <w:b w:val="0"/>
          <w:bCs w:val="0"/>
        </w:rPr>
        <w:t>）</w:t>
      </w:r>
      <w:r>
        <w:rPr>
          <w:b w:val="0"/>
          <w:bCs w:val="0"/>
        </w:rPr>
        <w:tab/>
      </w:r>
      <w:r>
        <w:rPr>
          <w:rFonts w:hint="eastAsia"/>
          <w:b w:val="0"/>
          <w:bCs w:val="0"/>
        </w:rPr>
        <w:t>股权转让所得。单个投资项目的股权转让所得，按年度股权转让收入扣除对应股权原值和转让环节合理费用后的余额计算，股权原值和转让环节合理费用的确定方法，参照股权转让所得个人所得税有关政策规定执行；单一投资基金的股权转让所得，按一个纳税年度内不同投资项目的所得和损失相互抵减后的余额计算，余额大于或等于零的，即确认为该基金的年度股权转让所得；余额小于零的，该基金年度股权转让所得按零计算且不能跨年结转。</w:t>
      </w:r>
    </w:p>
    <w:p w:rsidR="008B1960" w:rsidRDefault="00A61C5A" w:rsidP="00E0469F">
      <w:pPr>
        <w:pStyle w:val="ab"/>
        <w:ind w:firstLine="480"/>
        <w:rPr>
          <w:b w:val="0"/>
          <w:bCs w:val="0"/>
        </w:rPr>
      </w:pPr>
      <w:r>
        <w:rPr>
          <w:rFonts w:hint="eastAsia"/>
          <w:b w:val="0"/>
          <w:bCs w:val="0"/>
        </w:rPr>
        <w:t>个人合伙人按照其应从基金年度股权转让所得中分得的份额计算其应纳税额，并由创投企业在次年</w:t>
      </w:r>
      <w:r>
        <w:rPr>
          <w:b w:val="0"/>
          <w:bCs w:val="0"/>
        </w:rPr>
        <w:t xml:space="preserve"> 3 </w:t>
      </w:r>
      <w:r>
        <w:rPr>
          <w:rFonts w:hint="eastAsia"/>
          <w:b w:val="0"/>
          <w:bCs w:val="0"/>
        </w:rPr>
        <w:t>月</w:t>
      </w:r>
      <w:r>
        <w:rPr>
          <w:b w:val="0"/>
          <w:bCs w:val="0"/>
        </w:rPr>
        <w:t xml:space="preserve"> 31 </w:t>
      </w:r>
      <w:r>
        <w:rPr>
          <w:rFonts w:hint="eastAsia"/>
          <w:b w:val="0"/>
          <w:bCs w:val="0"/>
        </w:rPr>
        <w:t>日前代扣代缴个人所得税。</w:t>
      </w:r>
    </w:p>
    <w:p w:rsidR="008B1960" w:rsidRDefault="00A61C5A" w:rsidP="00E0469F">
      <w:pPr>
        <w:pStyle w:val="ab"/>
        <w:ind w:firstLine="480"/>
        <w:rPr>
          <w:b w:val="0"/>
          <w:bCs w:val="0"/>
        </w:rPr>
      </w:pPr>
      <w:r>
        <w:rPr>
          <w:rFonts w:hint="eastAsia"/>
          <w:b w:val="0"/>
          <w:bCs w:val="0"/>
        </w:rPr>
        <w:t>（</w:t>
      </w:r>
      <w:r>
        <w:rPr>
          <w:b w:val="0"/>
          <w:bCs w:val="0"/>
        </w:rPr>
        <w:t>2</w:t>
      </w:r>
      <w:r>
        <w:rPr>
          <w:rFonts w:hint="eastAsia"/>
          <w:b w:val="0"/>
          <w:bCs w:val="0"/>
        </w:rPr>
        <w:t>）</w:t>
      </w:r>
      <w:r>
        <w:rPr>
          <w:b w:val="0"/>
          <w:bCs w:val="0"/>
        </w:rPr>
        <w:tab/>
      </w:r>
      <w:r>
        <w:rPr>
          <w:rFonts w:hint="eastAsia"/>
          <w:b w:val="0"/>
          <w:bCs w:val="0"/>
        </w:rPr>
        <w:t>股息红利所得。单一投资基金的股息红利所得，以其来源于所投资项目分配的股息、红利收入以及其他固定收益类证券等收入的全额计算。</w:t>
      </w:r>
    </w:p>
    <w:p w:rsidR="008B1960" w:rsidRDefault="00A61C5A" w:rsidP="00E0469F">
      <w:pPr>
        <w:pStyle w:val="ab"/>
        <w:ind w:firstLine="480"/>
        <w:rPr>
          <w:b w:val="0"/>
          <w:bCs w:val="0"/>
        </w:rPr>
      </w:pPr>
      <w:r>
        <w:rPr>
          <w:rFonts w:hint="eastAsia"/>
          <w:b w:val="0"/>
          <w:bCs w:val="0"/>
        </w:rPr>
        <w:t>个人合伙人按照其应从基金股息红利所得中分得的份额计算其应纳税额，并由创投企业按次代扣代缴个人所得税。</w:t>
      </w:r>
    </w:p>
    <w:p w:rsidR="008B1960" w:rsidRDefault="00A61C5A" w:rsidP="00E0469F">
      <w:pPr>
        <w:pStyle w:val="ab"/>
        <w:ind w:firstLine="480"/>
        <w:rPr>
          <w:b w:val="0"/>
          <w:bCs w:val="0"/>
        </w:rPr>
      </w:pPr>
      <w:r>
        <w:rPr>
          <w:rFonts w:hint="eastAsia"/>
          <w:b w:val="0"/>
          <w:bCs w:val="0"/>
        </w:rPr>
        <w:t>（</w:t>
      </w:r>
      <w:r>
        <w:rPr>
          <w:b w:val="0"/>
          <w:bCs w:val="0"/>
        </w:rPr>
        <w:t>3</w:t>
      </w:r>
      <w:r>
        <w:rPr>
          <w:rFonts w:hint="eastAsia"/>
          <w:b w:val="0"/>
          <w:bCs w:val="0"/>
        </w:rPr>
        <w:t>）</w:t>
      </w:r>
      <w:r>
        <w:rPr>
          <w:b w:val="0"/>
          <w:bCs w:val="0"/>
        </w:rPr>
        <w:tab/>
      </w:r>
      <w:r>
        <w:rPr>
          <w:rFonts w:hint="eastAsia"/>
          <w:b w:val="0"/>
          <w:bCs w:val="0"/>
        </w:rPr>
        <w:t>除前述可以扣除的成本、费用之外，单一投资基金发生的包括投资基金管理人的管理费和业绩报酬在内的其他支出，不得在核算时扣除。</w:t>
      </w:r>
    </w:p>
    <w:p w:rsidR="008B1960" w:rsidRDefault="00A61C5A" w:rsidP="00E0469F">
      <w:pPr>
        <w:pStyle w:val="ab"/>
        <w:ind w:firstLine="480"/>
        <w:rPr>
          <w:b w:val="0"/>
          <w:bCs w:val="0"/>
        </w:rPr>
      </w:pPr>
      <w:r>
        <w:rPr>
          <w:rFonts w:hint="eastAsia"/>
          <w:b w:val="0"/>
          <w:bCs w:val="0"/>
        </w:rPr>
        <w:t>4</w:t>
      </w:r>
      <w:r>
        <w:rPr>
          <w:b w:val="0"/>
          <w:bCs w:val="0"/>
        </w:rPr>
        <w:t>.</w:t>
      </w:r>
      <w:r>
        <w:rPr>
          <w:b w:val="0"/>
          <w:bCs w:val="0"/>
        </w:rPr>
        <w:tab/>
      </w:r>
      <w:r>
        <w:rPr>
          <w:rFonts w:hint="eastAsia"/>
          <w:b w:val="0"/>
          <w:bCs w:val="0"/>
        </w:rPr>
        <w:t>单一投资基金核算方法仅适用于计算创投企业个人合伙人的应纳税额。</w:t>
      </w:r>
    </w:p>
    <w:p w:rsidR="008B1960" w:rsidRDefault="00A61C5A" w:rsidP="00E0469F">
      <w:pPr>
        <w:pStyle w:val="ab"/>
        <w:ind w:firstLine="480"/>
        <w:rPr>
          <w:b w:val="0"/>
          <w:bCs w:val="0"/>
        </w:rPr>
      </w:pPr>
      <w:r>
        <w:rPr>
          <w:rFonts w:hint="eastAsia"/>
          <w:b w:val="0"/>
          <w:bCs w:val="0"/>
        </w:rPr>
        <w:t>5</w:t>
      </w:r>
      <w:r>
        <w:rPr>
          <w:b w:val="0"/>
          <w:bCs w:val="0"/>
        </w:rPr>
        <w:t>.</w:t>
      </w:r>
      <w:r>
        <w:rPr>
          <w:b w:val="0"/>
          <w:bCs w:val="0"/>
        </w:rPr>
        <w:tab/>
      </w:r>
      <w:r>
        <w:rPr>
          <w:rFonts w:hint="eastAsia"/>
          <w:b w:val="0"/>
          <w:bCs w:val="0"/>
        </w:rPr>
        <w:t>创投企业选择按单一投资基金核算的，其个人合伙人从该基金应分得的</w:t>
      </w:r>
      <w:r>
        <w:rPr>
          <w:rFonts w:hint="eastAsia"/>
          <w:b w:val="0"/>
          <w:bCs w:val="0"/>
        </w:rPr>
        <w:lastRenderedPageBreak/>
        <w:t>股权转让所得和股息红利所得，按照</w:t>
      </w:r>
      <w:r>
        <w:rPr>
          <w:b w:val="0"/>
          <w:bCs w:val="0"/>
        </w:rPr>
        <w:t xml:space="preserve"> 20%</w:t>
      </w:r>
      <w:r>
        <w:rPr>
          <w:rFonts w:hint="eastAsia"/>
          <w:b w:val="0"/>
          <w:bCs w:val="0"/>
        </w:rPr>
        <w:t>税率计算缴纳个人所得税。创投企业选择按年度所得整体核算的，其个人合伙人应从创投企业取得的所得，按照“经营所得”项目、</w:t>
      </w:r>
      <w:r>
        <w:rPr>
          <w:b w:val="0"/>
          <w:bCs w:val="0"/>
        </w:rPr>
        <w:t>5%—35%</w:t>
      </w:r>
      <w:r>
        <w:rPr>
          <w:rFonts w:hint="eastAsia"/>
          <w:b w:val="0"/>
          <w:bCs w:val="0"/>
        </w:rPr>
        <w:t>的超额累进税率计算缴纳个人所得税。</w:t>
      </w:r>
    </w:p>
    <w:p w:rsidR="008B1960" w:rsidRDefault="00A61C5A" w:rsidP="00E0469F">
      <w:pPr>
        <w:pStyle w:val="ab"/>
        <w:ind w:firstLine="480"/>
        <w:rPr>
          <w:b w:val="0"/>
          <w:bCs w:val="0"/>
        </w:rPr>
      </w:pPr>
      <w:r>
        <w:rPr>
          <w:rFonts w:hint="eastAsia"/>
          <w:b w:val="0"/>
          <w:bCs w:val="0"/>
        </w:rPr>
        <w:t>6</w:t>
      </w:r>
      <w:r>
        <w:rPr>
          <w:b w:val="0"/>
          <w:bCs w:val="0"/>
        </w:rPr>
        <w:t>.</w:t>
      </w:r>
      <w:r>
        <w:rPr>
          <w:b w:val="0"/>
          <w:bCs w:val="0"/>
        </w:rPr>
        <w:tab/>
      </w:r>
      <w:r>
        <w:rPr>
          <w:rFonts w:hint="eastAsia"/>
          <w:b w:val="0"/>
          <w:bCs w:val="0"/>
        </w:rPr>
        <w:t>创投企业选择按单一投资基金核算或按创投企业年度所得整体核算后，</w:t>
      </w:r>
      <w:r>
        <w:rPr>
          <w:b w:val="0"/>
          <w:bCs w:val="0"/>
        </w:rPr>
        <w:t>3</w:t>
      </w:r>
      <w:r>
        <w:rPr>
          <w:rFonts w:hint="eastAsia"/>
          <w:b w:val="0"/>
          <w:bCs w:val="0"/>
        </w:rPr>
        <w:t>年内不能变更。创投企业选择一种核算方式满</w:t>
      </w:r>
      <w:r>
        <w:rPr>
          <w:b w:val="0"/>
          <w:bCs w:val="0"/>
        </w:rPr>
        <w:t xml:space="preserve"> 3 </w:t>
      </w:r>
      <w:r>
        <w:rPr>
          <w:rFonts w:hint="eastAsia"/>
          <w:b w:val="0"/>
          <w:bCs w:val="0"/>
        </w:rPr>
        <w:t>年需要调整的，应当在满</w:t>
      </w:r>
      <w:r>
        <w:rPr>
          <w:b w:val="0"/>
          <w:bCs w:val="0"/>
        </w:rPr>
        <w:t xml:space="preserve"> 3 </w:t>
      </w:r>
      <w:r>
        <w:rPr>
          <w:rFonts w:hint="eastAsia"/>
          <w:b w:val="0"/>
          <w:bCs w:val="0"/>
        </w:rPr>
        <w:t>年的次年</w:t>
      </w:r>
      <w:r>
        <w:rPr>
          <w:b w:val="0"/>
          <w:bCs w:val="0"/>
        </w:rPr>
        <w:t xml:space="preserve"> 1 </w:t>
      </w:r>
      <w:r>
        <w:rPr>
          <w:rFonts w:hint="eastAsia"/>
          <w:b w:val="0"/>
          <w:bCs w:val="0"/>
        </w:rPr>
        <w:t>月</w:t>
      </w:r>
      <w:r>
        <w:rPr>
          <w:b w:val="0"/>
          <w:bCs w:val="0"/>
        </w:rPr>
        <w:t xml:space="preserve"> 31 </w:t>
      </w:r>
      <w:r>
        <w:rPr>
          <w:rFonts w:hint="eastAsia"/>
          <w:b w:val="0"/>
          <w:bCs w:val="0"/>
        </w:rPr>
        <w:t>日前，重新向主管税务机关备案。</w:t>
      </w:r>
    </w:p>
    <w:p w:rsidR="008B1960" w:rsidRDefault="00A61C5A">
      <w:pPr>
        <w:pStyle w:val="ab"/>
        <w:ind w:left="1" w:firstLineChars="0" w:firstLine="539"/>
        <w:rPr>
          <w:b w:val="0"/>
          <w:bCs w:val="0"/>
        </w:rPr>
      </w:pPr>
      <w:r>
        <w:rPr>
          <w:rFonts w:hint="eastAsia"/>
          <w:b w:val="0"/>
          <w:bCs w:val="0"/>
        </w:rPr>
        <w:t>7</w:t>
      </w:r>
      <w:r>
        <w:rPr>
          <w:b w:val="0"/>
          <w:bCs w:val="0"/>
        </w:rPr>
        <w:t>.</w:t>
      </w:r>
      <w:r>
        <w:rPr>
          <w:rFonts w:hint="eastAsia"/>
          <w:b w:val="0"/>
          <w:bCs w:val="0"/>
        </w:rPr>
        <w:t>选择按单一投资基金核算的合伙制创业投资企业按规定办理年度股权转让所得扣缴申报时，应在取得所得的次年</w:t>
      </w:r>
      <w:r>
        <w:rPr>
          <w:b w:val="0"/>
          <w:bCs w:val="0"/>
        </w:rPr>
        <w:t xml:space="preserve"> 3 </w:t>
      </w:r>
      <w:r>
        <w:rPr>
          <w:rFonts w:hint="eastAsia"/>
          <w:b w:val="0"/>
          <w:bCs w:val="0"/>
        </w:rPr>
        <w:t>月</w:t>
      </w:r>
      <w:r>
        <w:rPr>
          <w:b w:val="0"/>
          <w:bCs w:val="0"/>
        </w:rPr>
        <w:t xml:space="preserve"> 31 </w:t>
      </w:r>
      <w:r>
        <w:rPr>
          <w:rFonts w:hint="eastAsia"/>
          <w:b w:val="0"/>
          <w:bCs w:val="0"/>
        </w:rPr>
        <w:t>日前向主管税务机关报送《单一投资基金核算的合伙制创业投资企业个人所得税扣缴申报表》。</w:t>
      </w:r>
    </w:p>
    <w:p w:rsidR="008B1960" w:rsidRDefault="00A61C5A" w:rsidP="00E0469F">
      <w:pPr>
        <w:pStyle w:val="ab"/>
        <w:ind w:left="2" w:hangingChars="1" w:hanging="2"/>
      </w:pPr>
      <w:r>
        <w:rPr>
          <w:rFonts w:hint="eastAsia"/>
        </w:rPr>
        <w:t>【设定依据】</w:t>
      </w:r>
    </w:p>
    <w:p w:rsidR="008B1960" w:rsidRDefault="00A61C5A" w:rsidP="00E0469F">
      <w:pPr>
        <w:pStyle w:val="a4"/>
        <w:numPr>
          <w:ilvl w:val="0"/>
          <w:numId w:val="1"/>
        </w:numPr>
        <w:spacing w:before="167" w:line="372" w:lineRule="auto"/>
        <w:ind w:left="2" w:right="361" w:hangingChars="1" w:hanging="2"/>
      </w:pPr>
      <w:r>
        <w:rPr>
          <w:rFonts w:hint="eastAsia"/>
        </w:rPr>
        <w:t>《关于创业投资企业个人合伙人所得税政策问题的通知》（财税〔</w:t>
      </w:r>
      <w:r>
        <w:rPr>
          <w:rFonts w:ascii="Times New Roman" w:eastAsia="Times New Roman" w:cs="Times New Roman"/>
        </w:rPr>
        <w:t>2019</w:t>
      </w:r>
      <w:r>
        <w:rPr>
          <w:rFonts w:hint="eastAsia"/>
        </w:rPr>
        <w:t>〕</w:t>
      </w:r>
      <w:r>
        <w:rPr>
          <w:rFonts w:ascii="Times New Roman" w:eastAsia="Times New Roman" w:cs="Times New Roman"/>
        </w:rPr>
        <w:t xml:space="preserve">8 </w:t>
      </w:r>
      <w:r>
        <w:rPr>
          <w:rFonts w:hint="eastAsia"/>
        </w:rPr>
        <w:t>号）</w:t>
      </w:r>
    </w:p>
    <w:p w:rsidR="008B1960" w:rsidRDefault="00A61C5A" w:rsidP="008B1960">
      <w:pPr>
        <w:pStyle w:val="a4"/>
        <w:spacing w:before="167" w:line="372" w:lineRule="auto"/>
        <w:ind w:leftChars="-1" w:left="-2" w:right="361" w:firstLineChars="200" w:firstLine="480"/>
        <w:rPr>
          <w:rFonts w:cs="Times New Roman"/>
        </w:rPr>
      </w:pPr>
      <w:r>
        <w:rPr>
          <w:rFonts w:hint="eastAsia"/>
        </w:rPr>
        <w:t>第六条</w:t>
      </w:r>
      <w:r>
        <w:rPr>
          <w:rFonts w:hint="eastAsia"/>
          <w:lang w:val="en-US"/>
        </w:rPr>
        <w:t xml:space="preserve">  </w:t>
      </w:r>
      <w:bookmarkStart w:id="0" w:name="_GoBack"/>
      <w:bookmarkEnd w:id="0"/>
      <w:r>
        <w:rPr>
          <w:rFonts w:hint="eastAsia"/>
        </w:rPr>
        <w:t>创投企业选择按单一投资基金核算的，应当在按照本通知第一条规定完成备案的</w:t>
      </w:r>
      <w:r>
        <w:t>30</w:t>
      </w:r>
      <w:r>
        <w:rPr>
          <w:rFonts w:hint="eastAsia"/>
        </w:rPr>
        <w:t>日内，向主管税务机关进行核算方式备案；未按规定备案的，视同选择按创投企业年度所得整体核算。</w:t>
      </w:r>
      <w:r>
        <w:t>2019</w:t>
      </w:r>
      <w:r>
        <w:rPr>
          <w:rFonts w:hint="eastAsia"/>
        </w:rPr>
        <w:t>年</w:t>
      </w:r>
      <w:r>
        <w:t>1</w:t>
      </w:r>
      <w:r>
        <w:rPr>
          <w:rFonts w:hint="eastAsia"/>
        </w:rPr>
        <w:t>月</w:t>
      </w:r>
      <w:r>
        <w:t>1</w:t>
      </w:r>
      <w:r>
        <w:rPr>
          <w:rFonts w:hint="eastAsia"/>
        </w:rPr>
        <w:t>日前已经完成备案的创投企业，选择按单一投资基金核算的，应当在</w:t>
      </w:r>
      <w:r>
        <w:t>2019</w:t>
      </w:r>
      <w:r>
        <w:rPr>
          <w:rFonts w:hint="eastAsia"/>
        </w:rPr>
        <w:t>年</w:t>
      </w:r>
      <w:r>
        <w:t>3</w:t>
      </w:r>
      <w:r>
        <w:rPr>
          <w:rFonts w:hint="eastAsia"/>
        </w:rPr>
        <w:t>月</w:t>
      </w:r>
      <w:r>
        <w:t>1</w:t>
      </w:r>
      <w:r>
        <w:rPr>
          <w:rFonts w:hint="eastAsia"/>
        </w:rPr>
        <w:t>日前向主管税务机关进行核算方式备案。创投企业选择一种核算方式满</w:t>
      </w:r>
      <w:r>
        <w:t>3</w:t>
      </w:r>
      <w:r>
        <w:rPr>
          <w:rFonts w:hint="eastAsia"/>
        </w:rPr>
        <w:t>年需要调整的，应当在满</w:t>
      </w:r>
      <w:r>
        <w:t>3</w:t>
      </w:r>
      <w:r>
        <w:rPr>
          <w:rFonts w:hint="eastAsia"/>
        </w:rPr>
        <w:t>年的次年</w:t>
      </w:r>
      <w:r>
        <w:t>1</w:t>
      </w:r>
      <w:r>
        <w:rPr>
          <w:rFonts w:hint="eastAsia"/>
        </w:rPr>
        <w:t>月</w:t>
      </w:r>
      <w:r>
        <w:t>31</w:t>
      </w:r>
      <w:r>
        <w:rPr>
          <w:rFonts w:hint="eastAsia"/>
        </w:rPr>
        <w:t>日前，重新向主管税务机关备案。</w:t>
      </w:r>
    </w:p>
    <w:sectPr w:rsidR="008B1960" w:rsidSect="008B196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6637" w:rsidRDefault="00816637" w:rsidP="00E0469F">
      <w:r>
        <w:separator/>
      </w:r>
    </w:p>
  </w:endnote>
  <w:endnote w:type="continuationSeparator" w:id="1">
    <w:p w:rsidR="00816637" w:rsidRDefault="00816637" w:rsidP="00E046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6637" w:rsidRDefault="00816637" w:rsidP="00E0469F">
      <w:r>
        <w:separator/>
      </w:r>
    </w:p>
  </w:footnote>
  <w:footnote w:type="continuationSeparator" w:id="1">
    <w:p w:rsidR="00816637" w:rsidRDefault="00816637" w:rsidP="00E046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A9641D"/>
    <w:multiLevelType w:val="singleLevel"/>
    <w:tmpl w:val="64A9641D"/>
    <w:lvl w:ilvl="0">
      <w:start w:val="1"/>
      <w:numFmt w:val="decimal"/>
      <w:lvlText w:val="%1."/>
      <w:lvlJc w:val="left"/>
      <w:pPr>
        <w:tabs>
          <w:tab w:val="left"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7D91"/>
    <w:rsid w:val="00021972"/>
    <w:rsid w:val="000D4BE3"/>
    <w:rsid w:val="00115965"/>
    <w:rsid w:val="0018435D"/>
    <w:rsid w:val="00195B5D"/>
    <w:rsid w:val="002602E2"/>
    <w:rsid w:val="00282AEE"/>
    <w:rsid w:val="002913DE"/>
    <w:rsid w:val="002C6C28"/>
    <w:rsid w:val="002F1636"/>
    <w:rsid w:val="003418BC"/>
    <w:rsid w:val="003512C0"/>
    <w:rsid w:val="003817AB"/>
    <w:rsid w:val="00430546"/>
    <w:rsid w:val="004356B3"/>
    <w:rsid w:val="00457C25"/>
    <w:rsid w:val="00462F95"/>
    <w:rsid w:val="00655FB4"/>
    <w:rsid w:val="006605E9"/>
    <w:rsid w:val="00667D91"/>
    <w:rsid w:val="006B0268"/>
    <w:rsid w:val="0075147C"/>
    <w:rsid w:val="00761F8A"/>
    <w:rsid w:val="007A6FB2"/>
    <w:rsid w:val="007C3F6C"/>
    <w:rsid w:val="007C7297"/>
    <w:rsid w:val="008040BF"/>
    <w:rsid w:val="00816637"/>
    <w:rsid w:val="008562D3"/>
    <w:rsid w:val="008B1960"/>
    <w:rsid w:val="008B3016"/>
    <w:rsid w:val="00917F66"/>
    <w:rsid w:val="00940F25"/>
    <w:rsid w:val="00945603"/>
    <w:rsid w:val="00987F59"/>
    <w:rsid w:val="009E0497"/>
    <w:rsid w:val="00A01BA1"/>
    <w:rsid w:val="00A41B6C"/>
    <w:rsid w:val="00A61C5A"/>
    <w:rsid w:val="00A654CD"/>
    <w:rsid w:val="00A75517"/>
    <w:rsid w:val="00A809C2"/>
    <w:rsid w:val="00AC77DF"/>
    <w:rsid w:val="00B33AA7"/>
    <w:rsid w:val="00BB1E6C"/>
    <w:rsid w:val="00BB496C"/>
    <w:rsid w:val="00C16D4E"/>
    <w:rsid w:val="00C33320"/>
    <w:rsid w:val="00C36F35"/>
    <w:rsid w:val="00C81073"/>
    <w:rsid w:val="00C95D3A"/>
    <w:rsid w:val="00CC2876"/>
    <w:rsid w:val="00CC33F8"/>
    <w:rsid w:val="00D5331D"/>
    <w:rsid w:val="00D64931"/>
    <w:rsid w:val="00D67F39"/>
    <w:rsid w:val="00DF5FE9"/>
    <w:rsid w:val="00E0469F"/>
    <w:rsid w:val="00E13B1F"/>
    <w:rsid w:val="00E204EF"/>
    <w:rsid w:val="00E26A56"/>
    <w:rsid w:val="00E6454B"/>
    <w:rsid w:val="00EA31A6"/>
    <w:rsid w:val="00EC1139"/>
    <w:rsid w:val="00EC75B3"/>
    <w:rsid w:val="00ED39E0"/>
    <w:rsid w:val="00ED64E8"/>
    <w:rsid w:val="00F73CAB"/>
    <w:rsid w:val="08B97C1E"/>
    <w:rsid w:val="2A022A30"/>
    <w:rsid w:val="2F8229EF"/>
    <w:rsid w:val="30161EC5"/>
    <w:rsid w:val="34560B2E"/>
    <w:rsid w:val="3CB93FAA"/>
    <w:rsid w:val="43DC7F1D"/>
    <w:rsid w:val="4835012F"/>
    <w:rsid w:val="4AEE13A0"/>
    <w:rsid w:val="6DF938E4"/>
    <w:rsid w:val="6FCF6547"/>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nhideWhenUsed="0"/>
    <w:lsdException w:name="Body Text" w:semiHidden="0"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Document Map" w:unhideWhenUsed="0" w:qFormat="1"/>
    <w:lsdException w:name="Normal Table" w:qFormat="1"/>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960"/>
    <w:pPr>
      <w:widowControl w:val="0"/>
      <w:jc w:val="both"/>
    </w:pPr>
    <w:rPr>
      <w:rFonts w:ascii="Calibri" w:hAnsi="Calibri" w:cs="Calibri"/>
      <w:kern w:val="2"/>
      <w:sz w:val="21"/>
      <w:szCs w:val="21"/>
    </w:rPr>
  </w:style>
  <w:style w:type="paragraph" w:styleId="1">
    <w:name w:val="heading 1"/>
    <w:basedOn w:val="a"/>
    <w:next w:val="a"/>
    <w:link w:val="1Char"/>
    <w:uiPriority w:val="99"/>
    <w:qFormat/>
    <w:rsid w:val="008B1960"/>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rsid w:val="008B1960"/>
    <w:pPr>
      <w:keepNext/>
      <w:keepLines/>
      <w:spacing w:before="260" w:after="260" w:line="416" w:lineRule="auto"/>
      <w:outlineLvl w:val="1"/>
    </w:pPr>
    <w:rPr>
      <w:rFonts w:ascii="Cambria" w:hAnsi="Cambria" w:cs="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qFormat/>
    <w:rsid w:val="008B1960"/>
    <w:rPr>
      <w:rFonts w:ascii="宋体" w:cs="宋体"/>
      <w:sz w:val="18"/>
      <w:szCs w:val="18"/>
    </w:rPr>
  </w:style>
  <w:style w:type="paragraph" w:styleId="a4">
    <w:name w:val="Body Text"/>
    <w:basedOn w:val="a"/>
    <w:link w:val="Char0"/>
    <w:uiPriority w:val="99"/>
    <w:qFormat/>
    <w:rsid w:val="008B1960"/>
    <w:pPr>
      <w:autoSpaceDE w:val="0"/>
      <w:autoSpaceDN w:val="0"/>
      <w:ind w:left="702"/>
      <w:jc w:val="left"/>
    </w:pPr>
    <w:rPr>
      <w:rFonts w:ascii="宋体" w:hAnsi="宋体" w:cs="宋体"/>
      <w:kern w:val="0"/>
      <w:sz w:val="24"/>
      <w:szCs w:val="24"/>
      <w:lang w:val="zh-CN"/>
    </w:rPr>
  </w:style>
  <w:style w:type="paragraph" w:styleId="a5">
    <w:name w:val="Balloon Text"/>
    <w:basedOn w:val="a"/>
    <w:link w:val="Char1"/>
    <w:uiPriority w:val="99"/>
    <w:semiHidden/>
    <w:rsid w:val="008B1960"/>
    <w:rPr>
      <w:sz w:val="18"/>
      <w:szCs w:val="18"/>
    </w:rPr>
  </w:style>
  <w:style w:type="paragraph" w:styleId="a6">
    <w:name w:val="footer"/>
    <w:basedOn w:val="a"/>
    <w:link w:val="Char2"/>
    <w:uiPriority w:val="99"/>
    <w:semiHidden/>
    <w:qFormat/>
    <w:rsid w:val="008B1960"/>
    <w:pPr>
      <w:tabs>
        <w:tab w:val="center" w:pos="4153"/>
        <w:tab w:val="right" w:pos="8306"/>
      </w:tabs>
      <w:snapToGrid w:val="0"/>
      <w:jc w:val="left"/>
    </w:pPr>
    <w:rPr>
      <w:sz w:val="18"/>
      <w:szCs w:val="18"/>
    </w:rPr>
  </w:style>
  <w:style w:type="paragraph" w:styleId="a7">
    <w:name w:val="header"/>
    <w:basedOn w:val="a"/>
    <w:link w:val="Char3"/>
    <w:uiPriority w:val="99"/>
    <w:semiHidden/>
    <w:qFormat/>
    <w:rsid w:val="008B1960"/>
    <w:pPr>
      <w:pBdr>
        <w:bottom w:val="single" w:sz="6" w:space="1" w:color="auto"/>
      </w:pBdr>
      <w:tabs>
        <w:tab w:val="center" w:pos="4153"/>
        <w:tab w:val="right" w:pos="8306"/>
      </w:tabs>
      <w:snapToGrid w:val="0"/>
      <w:jc w:val="center"/>
    </w:pPr>
    <w:rPr>
      <w:sz w:val="18"/>
      <w:szCs w:val="18"/>
    </w:rPr>
  </w:style>
  <w:style w:type="character" w:customStyle="1" w:styleId="1Char">
    <w:name w:val="标题 1 Char"/>
    <w:basedOn w:val="a0"/>
    <w:link w:val="1"/>
    <w:uiPriority w:val="99"/>
    <w:locked/>
    <w:rsid w:val="008B1960"/>
    <w:rPr>
      <w:b/>
      <w:bCs/>
      <w:kern w:val="44"/>
      <w:sz w:val="44"/>
      <w:szCs w:val="44"/>
    </w:rPr>
  </w:style>
  <w:style w:type="character" w:customStyle="1" w:styleId="2Char">
    <w:name w:val="标题 2 Char"/>
    <w:basedOn w:val="a0"/>
    <w:link w:val="2"/>
    <w:uiPriority w:val="99"/>
    <w:locked/>
    <w:rsid w:val="008B1960"/>
    <w:rPr>
      <w:rFonts w:ascii="Cambria" w:eastAsia="宋体" w:hAnsi="Cambria" w:cs="Cambria"/>
      <w:b/>
      <w:bCs/>
      <w:sz w:val="32"/>
      <w:szCs w:val="32"/>
    </w:rPr>
  </w:style>
  <w:style w:type="character" w:customStyle="1" w:styleId="Char">
    <w:name w:val="文档结构图 Char"/>
    <w:basedOn w:val="a0"/>
    <w:link w:val="a3"/>
    <w:uiPriority w:val="99"/>
    <w:semiHidden/>
    <w:locked/>
    <w:rsid w:val="008B1960"/>
    <w:rPr>
      <w:rFonts w:ascii="宋体" w:eastAsia="宋体" w:cs="宋体"/>
      <w:sz w:val="18"/>
      <w:szCs w:val="18"/>
    </w:rPr>
  </w:style>
  <w:style w:type="character" w:customStyle="1" w:styleId="Char1">
    <w:name w:val="批注框文本 Char"/>
    <w:basedOn w:val="a0"/>
    <w:link w:val="a5"/>
    <w:uiPriority w:val="99"/>
    <w:semiHidden/>
    <w:locked/>
    <w:rsid w:val="008B1960"/>
    <w:rPr>
      <w:sz w:val="18"/>
      <w:szCs w:val="18"/>
    </w:rPr>
  </w:style>
  <w:style w:type="character" w:customStyle="1" w:styleId="Char2">
    <w:name w:val="页脚 Char"/>
    <w:basedOn w:val="a0"/>
    <w:link w:val="a6"/>
    <w:uiPriority w:val="99"/>
    <w:semiHidden/>
    <w:qFormat/>
    <w:locked/>
    <w:rsid w:val="008B1960"/>
    <w:rPr>
      <w:sz w:val="18"/>
      <w:szCs w:val="18"/>
    </w:rPr>
  </w:style>
  <w:style w:type="character" w:customStyle="1" w:styleId="Char3">
    <w:name w:val="页眉 Char"/>
    <w:basedOn w:val="a0"/>
    <w:link w:val="a7"/>
    <w:uiPriority w:val="99"/>
    <w:semiHidden/>
    <w:qFormat/>
    <w:locked/>
    <w:rsid w:val="008B1960"/>
    <w:rPr>
      <w:sz w:val="18"/>
      <w:szCs w:val="18"/>
    </w:rPr>
  </w:style>
  <w:style w:type="paragraph" w:customStyle="1" w:styleId="a8">
    <w:name w:val="需求正文"/>
    <w:basedOn w:val="a"/>
    <w:link w:val="Char4"/>
    <w:uiPriority w:val="99"/>
    <w:qFormat/>
    <w:rsid w:val="008B1960"/>
    <w:pPr>
      <w:ind w:firstLineChars="200" w:firstLine="420"/>
    </w:pPr>
    <w:rPr>
      <w:rFonts w:ascii="Arial" w:hAnsi="Arial" w:cs="Arial"/>
    </w:rPr>
  </w:style>
  <w:style w:type="character" w:customStyle="1" w:styleId="Char4">
    <w:name w:val="需求正文 Char"/>
    <w:basedOn w:val="a0"/>
    <w:link w:val="a8"/>
    <w:uiPriority w:val="99"/>
    <w:qFormat/>
    <w:locked/>
    <w:rsid w:val="008B1960"/>
    <w:rPr>
      <w:rFonts w:ascii="Arial" w:eastAsia="宋体" w:hAnsi="Arial" w:cs="Arial"/>
    </w:rPr>
  </w:style>
  <w:style w:type="paragraph" w:customStyle="1" w:styleId="a9">
    <w:name w:val="一级标题"/>
    <w:basedOn w:val="a"/>
    <w:link w:val="Char5"/>
    <w:uiPriority w:val="99"/>
    <w:qFormat/>
    <w:rsid w:val="008B1960"/>
    <w:pPr>
      <w:ind w:firstLineChars="200" w:firstLine="420"/>
      <w:outlineLvl w:val="2"/>
    </w:pPr>
    <w:rPr>
      <w:rFonts w:ascii="Arial" w:hAnsi="Arial" w:cs="Times New Roman"/>
      <w:b/>
      <w:bCs/>
      <w:kern w:val="0"/>
      <w:sz w:val="20"/>
      <w:szCs w:val="20"/>
      <w:lang/>
    </w:rPr>
  </w:style>
  <w:style w:type="paragraph" w:customStyle="1" w:styleId="aa">
    <w:name w:val="二级标题"/>
    <w:basedOn w:val="a"/>
    <w:uiPriority w:val="99"/>
    <w:rsid w:val="008B1960"/>
    <w:pPr>
      <w:ind w:firstLineChars="200" w:firstLine="420"/>
      <w:outlineLvl w:val="3"/>
    </w:pPr>
    <w:rPr>
      <w:rFonts w:ascii="Arial" w:hAnsi="Arial" w:cs="Arial"/>
      <w:kern w:val="0"/>
      <w:sz w:val="20"/>
      <w:szCs w:val="20"/>
    </w:rPr>
  </w:style>
  <w:style w:type="character" w:customStyle="1" w:styleId="Char5">
    <w:name w:val="一级标题 Char"/>
    <w:link w:val="a9"/>
    <w:uiPriority w:val="99"/>
    <w:qFormat/>
    <w:locked/>
    <w:rsid w:val="008B1960"/>
    <w:rPr>
      <w:rFonts w:ascii="Arial" w:eastAsia="宋体" w:hAnsi="Arial" w:cs="Arial"/>
      <w:b/>
      <w:bCs/>
      <w:kern w:val="0"/>
      <w:sz w:val="20"/>
      <w:szCs w:val="20"/>
    </w:rPr>
  </w:style>
  <w:style w:type="paragraph" w:customStyle="1" w:styleId="ab">
    <w:name w:val="【事项描】"/>
    <w:basedOn w:val="a"/>
    <w:link w:val="ac"/>
    <w:uiPriority w:val="99"/>
    <w:qFormat/>
    <w:rsid w:val="008B1960"/>
    <w:pPr>
      <w:adjustRightInd w:val="0"/>
      <w:snapToGrid w:val="0"/>
      <w:spacing w:line="360" w:lineRule="auto"/>
      <w:ind w:firstLineChars="200" w:firstLine="482"/>
    </w:pPr>
    <w:rPr>
      <w:rFonts w:ascii="宋体" w:hAnsi="宋体" w:cs="Times New Roman"/>
      <w:b/>
      <w:bCs/>
      <w:sz w:val="24"/>
      <w:szCs w:val="24"/>
    </w:rPr>
  </w:style>
  <w:style w:type="paragraph" w:customStyle="1" w:styleId="ad">
    <w:name w:val="正文正文"/>
    <w:basedOn w:val="a"/>
    <w:uiPriority w:val="99"/>
    <w:qFormat/>
    <w:rsid w:val="008B1960"/>
    <w:pPr>
      <w:adjustRightInd w:val="0"/>
      <w:snapToGrid w:val="0"/>
      <w:spacing w:line="360" w:lineRule="auto"/>
      <w:ind w:firstLineChars="200" w:firstLine="480"/>
    </w:pPr>
    <w:rPr>
      <w:rFonts w:ascii="宋体" w:hAnsi="宋体" w:cs="宋体"/>
      <w:sz w:val="24"/>
      <w:szCs w:val="24"/>
    </w:rPr>
  </w:style>
  <w:style w:type="character" w:customStyle="1" w:styleId="ac">
    <w:name w:val="【事项描】 字符"/>
    <w:link w:val="ab"/>
    <w:uiPriority w:val="99"/>
    <w:locked/>
    <w:rsid w:val="008B1960"/>
    <w:rPr>
      <w:rFonts w:ascii="宋体" w:eastAsia="宋体" w:hAnsi="宋体" w:cs="宋体"/>
      <w:b/>
      <w:bCs/>
      <w:kern w:val="2"/>
      <w:sz w:val="24"/>
      <w:szCs w:val="24"/>
      <w:lang w:val="en-US" w:eastAsia="zh-CN"/>
    </w:rPr>
  </w:style>
  <w:style w:type="character" w:customStyle="1" w:styleId="Char0">
    <w:name w:val="正文文本 Char"/>
    <w:basedOn w:val="a0"/>
    <w:link w:val="a4"/>
    <w:uiPriority w:val="99"/>
    <w:semiHidden/>
    <w:locked/>
    <w:rsid w:val="008B1960"/>
    <w:rPr>
      <w:rFonts w:ascii="Calibri" w:hAnsi="Calibri" w:cs="Calibri"/>
      <w:sz w:val="21"/>
      <w:szCs w:val="21"/>
    </w:rPr>
  </w:style>
  <w:style w:type="paragraph" w:styleId="ae">
    <w:name w:val="List Paragraph"/>
    <w:basedOn w:val="a"/>
    <w:uiPriority w:val="99"/>
    <w:qFormat/>
    <w:rsid w:val="008B1960"/>
    <w:pPr>
      <w:autoSpaceDE w:val="0"/>
      <w:autoSpaceDN w:val="0"/>
      <w:ind w:left="222" w:firstLine="480"/>
      <w:jc w:val="left"/>
    </w:pPr>
    <w:rPr>
      <w:rFonts w:ascii="宋体" w:hAnsi="宋体" w:cs="宋体"/>
      <w:kern w:val="0"/>
      <w:sz w:val="22"/>
      <w:szCs w:val="22"/>
      <w:lang w:val="zh-CN"/>
    </w:rPr>
  </w:style>
  <w:style w:type="paragraph" w:customStyle="1" w:styleId="TableParagraph">
    <w:name w:val="Table Paragraph"/>
    <w:basedOn w:val="a"/>
    <w:uiPriority w:val="99"/>
    <w:rsid w:val="008B1960"/>
    <w:pPr>
      <w:autoSpaceDE w:val="0"/>
      <w:autoSpaceDN w:val="0"/>
      <w:jc w:val="left"/>
    </w:pPr>
    <w:rPr>
      <w:rFonts w:ascii="黑体" w:eastAsia="黑体" w:hAnsi="黑体" w:cs="黑体"/>
      <w:kern w:val="0"/>
      <w:sz w:val="22"/>
      <w:szCs w:val="22"/>
      <w:lang w:val="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279</Words>
  <Characters>1591</Characters>
  <Application>Microsoft Office Word</Application>
  <DocSecurity>0</DocSecurity>
  <Lines>13</Lines>
  <Paragraphs>3</Paragraphs>
  <ScaleCrop>false</ScaleCrop>
  <Company>Lenovo</Company>
  <LinksUpToDate>false</LinksUpToDate>
  <CharactersWithSpaces>1867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姚琳</dc:creator>
  <cp:lastModifiedBy>孙乾</cp:lastModifiedBy>
  <cp:revision>20</cp:revision>
  <dcterms:created xsi:type="dcterms:W3CDTF">2018-09-14T06:05:00Z</dcterms:created>
  <dcterms:modified xsi:type="dcterms:W3CDTF">2019-10-25T09:12:00Z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