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rPr>
          <w:color w:val="000000"/>
        </w:rPr>
      </w:pPr>
      <w:bookmarkStart w:id="0" w:name="_GoBack"/>
      <w:bookmarkEnd w:id="0"/>
      <w:r>
        <w:rPr>
          <w:color w:val="000000"/>
        </w:rPr>
        <w:t> 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620"/>
        <w:gridCol w:w="1323"/>
        <w:gridCol w:w="1322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spacing w:line="360" w:lineRule="auto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  <w:sz w:val="28"/>
                <w:szCs w:val="28"/>
              </w:rPr>
              <w:t>现金流量表</w:t>
            </w:r>
          </w:p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5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                                                    会企03表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11265" w:type="dxa"/>
            <w:gridSpan w:val="3"/>
            <w:tcBorders>
              <w:top w:val="nil"/>
              <w:left w:val="nil"/>
              <w:bottom w:val="single" w:color="auto" w:sz="8" w:space="0"/>
              <w:right w:val="nil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编制单位：             </w:t>
            </w:r>
            <w:r>
              <w:rPr>
                <w:rFonts w:hint="eastAsia" w:ascii="宋体" w:hAnsi="宋体" w:cs="Arial"/>
                <w:color w:val="000000"/>
                <w:sz w:val="18"/>
                <w:szCs w:val="18"/>
                <w:u w:val="single"/>
              </w:rPr>
              <w:t>    </w:t>
            </w: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年</w:t>
            </w:r>
            <w:r>
              <w:rPr>
                <w:rFonts w:hint="eastAsia" w:ascii="宋体" w:hAnsi="宋体" w:cs="Arial"/>
                <w:color w:val="000000"/>
                <w:sz w:val="18"/>
                <w:szCs w:val="18"/>
                <w:u w:val="single"/>
              </w:rPr>
              <w:t xml:space="preserve">    </w:t>
            </w: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月           单位：元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项             目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本期金额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上期金额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一、经营活动产生的现金流量：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销售商品、提供劳务收到的现金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收到的税费返还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收到其他与经营活动有关的现金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18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经营活动现金流入小计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购买商品、接受劳务支付的现金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支付给职工以及为职工支付的现金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支付的各项税费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支付其他与经营活动有关的现金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18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经营活动现金流出小计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810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经营活动产生的现金流量净额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810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二、投资活动产生的现金流量：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收回投资收到的现金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取得投资收益收到的现金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处置固定资产、无形资产和其他长期资产收回的现金净额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处置子公司及其他营业单位收到的现金净额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收到其他与投资活动有关的现金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18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投资活动现金流入小计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购建固定资产、无形资产和其他长期资产支付的现金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投资支付的现金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取得子公司及其他营业单位支付的现金净额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支付其他与投资活动有关的现金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18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投资活动现金流出小计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810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投资活动产生的现金流量净额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810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三、筹资活动产生的现金流量：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吸收投资收到的现金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取得借款收到的现金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收到其他与筹资活动有关的现金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18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筹资活动现金流入小计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偿还债务支付的现金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分配股利、利润或偿付利息支付的现金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支付其他与筹资活动有关的现金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18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筹资活动现金流出小计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40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810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筹资活动产生的现金流量净额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810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四、汇率变动对现金及现金等价物的影响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五、现金及现金等价物净增加额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ind w:firstLine="40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加：期初现金及现金等价物余额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8620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sz w:val="18"/>
                <w:szCs w:val="18"/>
              </w:rPr>
              <w:t>六、期末现金及现金等价物余额</w:t>
            </w:r>
          </w:p>
        </w:tc>
        <w:tc>
          <w:tcPr>
            <w:tcW w:w="1323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  <w:tc>
          <w:tcPr>
            <w:tcW w:w="1322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>
            <w:pPr>
              <w:pStyle w:val="5"/>
              <w:widowControl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hint="eastAsia" w:ascii="宋体" w:hAnsi="宋体" w:cs="Arial"/>
                <w:color w:val="000000"/>
              </w:rPr>
              <w:t> </w:t>
            </w:r>
          </w:p>
        </w:tc>
      </w:tr>
    </w:tbl>
    <w:p>
      <w:pPr>
        <w:pStyle w:val="5"/>
        <w:rPr>
          <w:color w:val="000000"/>
        </w:rPr>
        <w:sectPr>
          <w:type w:val="continuous"/>
          <w:pgSz w:w="11906" w:h="16838"/>
          <w:pgMar w:top="1440" w:right="1797" w:bottom="1440" w:left="1797" w:header="851" w:footer="992" w:gutter="0"/>
          <w:cols w:space="720" w:num="1"/>
          <w:docGrid w:type="lines" w:linePitch="312" w:charSpace="0"/>
        </w:sectPr>
      </w:pPr>
      <w:r>
        <w:rPr>
          <w:color w:val="000000"/>
        </w:rPr>
        <w:t> </w:t>
      </w:r>
    </w:p>
    <w:p>
      <w:pPr>
        <w:pStyle w:val="5"/>
        <w:ind w:firstLine="422"/>
        <w:outlineLvl w:val="2"/>
        <w:rPr>
          <w:rFonts w:ascii="Arial" w:hAnsi="Arial" w:cs="Arial"/>
          <w:b/>
          <w:color w:val="000000"/>
        </w:rPr>
      </w:pPr>
      <w:r>
        <w:rPr>
          <w:rFonts w:hint="eastAsia" w:ascii="Arial" w:hAnsi="Arial" w:cs="Arial"/>
          <w:b/>
          <w:color w:val="000000"/>
        </w:rPr>
        <w:t>【表单说明】</w:t>
      </w:r>
    </w:p>
    <w:p>
      <w:pPr>
        <w:pStyle w:val="5"/>
        <w:ind w:firstLine="420"/>
      </w:pPr>
      <w:r>
        <w:rPr>
          <w:rFonts w:hint="eastAsia" w:ascii="Arial" w:hAnsi="Arial" w:cs="Arial"/>
          <w:color w:val="000000"/>
        </w:rPr>
        <w:t>无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0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670010"/>
    <w:multiLevelType w:val="multilevel"/>
    <w:tmpl w:val="13670010"/>
    <w:lvl w:ilvl="0" w:tentative="0">
      <w:start w:val="1"/>
      <w:numFmt w:val="bullet"/>
      <w:pStyle w:val="6"/>
      <w:lvlText w:val="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true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49F64C0"/>
    <w:rsid w:val="649F64C0"/>
    <w:rsid w:val="7ECE2D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标题 2_0"/>
    <w:basedOn w:val="5"/>
    <w:next w:val="5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kern w:val="2"/>
      <w:sz w:val="32"/>
      <w:szCs w:val="32"/>
    </w:rPr>
  </w:style>
  <w:style w:type="paragraph" w:customStyle="1" w:styleId="5">
    <w:name w:val="正文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6">
    <w:name w:val="四级标题"/>
    <w:basedOn w:val="7"/>
    <w:qFormat/>
    <w:uiPriority w:val="0"/>
    <w:pPr>
      <w:numPr>
        <w:ilvl w:val="0"/>
        <w:numId w:val="1"/>
      </w:numPr>
    </w:pPr>
    <w:rPr>
      <w:rFonts w:eastAsia="宋体" w:cs="Times New Roman"/>
      <w:kern w:val="2"/>
      <w:sz w:val="21"/>
    </w:rPr>
  </w:style>
  <w:style w:type="paragraph" w:customStyle="1" w:styleId="7">
    <w:name w:val="二级标题_0"/>
    <w:basedOn w:val="5"/>
    <w:qFormat/>
    <w:uiPriority w:val="0"/>
    <w:pPr>
      <w:ind w:firstLine="420"/>
      <w:outlineLvl w:val="3"/>
    </w:pPr>
    <w:rPr>
      <w:rFonts w:ascii="Arial" w:hAnsi="Arial" w:cs="Arial"/>
    </w:rPr>
  </w:style>
  <w:style w:type="paragraph" w:customStyle="1" w:styleId="8">
    <w:name w:val="需求正文_0"/>
    <w:basedOn w:val="9"/>
    <w:qFormat/>
    <w:uiPriority w:val="0"/>
    <w:pPr>
      <w:ind w:firstLine="420"/>
    </w:pPr>
    <w:rPr>
      <w:rFonts w:ascii="Arial" w:hAnsi="Arial" w:eastAsia="宋体"/>
      <w:kern w:val="2"/>
      <w:sz w:val="21"/>
    </w:rPr>
  </w:style>
  <w:style w:type="paragraph" w:customStyle="1" w:styleId="9">
    <w:name w:val="正文_1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  <w:style w:type="paragraph" w:customStyle="1" w:styleId="10">
    <w:name w:val="正文_0_0"/>
    <w:qFormat/>
    <w:uiPriority w:val="0"/>
    <w:rPr>
      <w:rFonts w:ascii="Times New Roman" w:hAnsi="Times New Roman" w:eastAsia="Times New Roman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2026-02-12T16:25:00Z</dcterms:created>
  <dc:creator>张烨</dc:creator>
  <cp:lastModifiedBy>user</cp:lastModifiedBy>
  <dcterms:modified xsi:type="dcterms:W3CDTF">2026-02-24T17:01:39Z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</Properties>
</file>