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rPr>
          <w:rFonts w:ascii="Arial" w:hAnsi="Arial" w:cs="Arial"/>
          <w:color w:val="000000"/>
        </w:rPr>
      </w:pPr>
      <w:bookmarkStart w:id="0" w:name="_GoBack"/>
      <w:bookmarkEnd w:id="0"/>
    </w:p>
    <w:p>
      <w:pPr>
        <w:pStyle w:val="11"/>
        <w:widowControl/>
        <w:spacing w:line="360" w:lineRule="auto"/>
        <w:jc w:val="center"/>
        <w:rPr>
          <w:rFonts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现金流量表</w:t>
      </w:r>
    </w:p>
    <w:p>
      <w:pPr>
        <w:pStyle w:val="11"/>
        <w:widowControl/>
        <w:spacing w:line="360" w:lineRule="auto"/>
        <w:jc w:val="center"/>
        <w:rPr>
          <w:rFonts w:ascii="Arial" w:hAnsi="Arial" w:cs="Arial"/>
          <w:color w:val="000000"/>
          <w:szCs w:val="20"/>
        </w:rPr>
      </w:pPr>
      <w:r>
        <w:rPr>
          <w:rFonts w:hint="eastAsia" w:ascii="宋体" w:hAnsi="宋体" w:cs="Arial"/>
          <w:color w:val="000000"/>
          <w:sz w:val="28"/>
          <w:szCs w:val="28"/>
        </w:rPr>
        <w:t>（适用执行企业会计准则的商业银行）</w:t>
      </w:r>
    </w:p>
    <w:p>
      <w:pPr>
        <w:pStyle w:val="12"/>
        <w:spacing w:line="360" w:lineRule="auto"/>
        <w:ind w:right="84"/>
        <w:jc w:val="right"/>
        <w:rPr>
          <w:rFonts w:ascii="宋体" w:hAnsi="宋体" w:cs="仿宋_GB2312"/>
          <w:kern w:val="2"/>
          <w:sz w:val="21"/>
          <w:szCs w:val="21"/>
        </w:rPr>
      </w:pPr>
      <w:r>
        <w:rPr>
          <w:rFonts w:hint="eastAsia" w:ascii="宋体" w:hAnsi="宋体" w:cs="仿宋_GB2312"/>
          <w:kern w:val="2"/>
          <w:sz w:val="21"/>
          <w:szCs w:val="21"/>
        </w:rPr>
        <w:t xml:space="preserve"> 会商银</w:t>
      </w:r>
      <w:r>
        <w:rPr>
          <w:rFonts w:ascii="宋体" w:hAnsi="宋体" w:cs="仿宋_GB2312"/>
          <w:kern w:val="2"/>
          <w:sz w:val="21"/>
          <w:szCs w:val="21"/>
        </w:rPr>
        <w:t>03</w:t>
      </w:r>
      <w:r>
        <w:rPr>
          <w:rFonts w:hint="eastAsia" w:ascii="宋体" w:hAnsi="宋体" w:cs="仿宋_GB2312"/>
          <w:kern w:val="2"/>
          <w:sz w:val="21"/>
          <w:szCs w:val="21"/>
        </w:rPr>
        <w:t>表</w:t>
      </w:r>
    </w:p>
    <w:p>
      <w:pPr>
        <w:pStyle w:val="12"/>
        <w:spacing w:line="360" w:lineRule="auto"/>
        <w:rPr>
          <w:rFonts w:ascii="宋体" w:hAnsi="宋体" w:cs="仿宋_GB2312"/>
          <w:kern w:val="2"/>
          <w:sz w:val="21"/>
          <w:szCs w:val="21"/>
        </w:rPr>
      </w:pPr>
      <w:r>
        <w:rPr>
          <w:rFonts w:hint="eastAsia" w:ascii="宋体" w:hAnsi="宋体" w:cs="仿宋_GB2312"/>
          <w:kern w:val="2"/>
          <w:sz w:val="21"/>
          <w:szCs w:val="21"/>
        </w:rPr>
        <w:t>编制单位：年月</w:t>
      </w:r>
      <w:r>
        <w:rPr>
          <w:rFonts w:ascii="宋体" w:hAnsi="宋体" w:cs="仿宋_GB2312"/>
          <w:kern w:val="2"/>
          <w:sz w:val="21"/>
          <w:szCs w:val="21"/>
        </w:rPr>
        <w:tab/>
      </w:r>
      <w:r>
        <w:rPr>
          <w:rFonts w:hint="eastAsia" w:ascii="宋体" w:hAnsi="宋体" w:cs="仿宋_GB2312"/>
          <w:kern w:val="2"/>
          <w:sz w:val="21"/>
          <w:szCs w:val="21"/>
        </w:rPr>
        <w:t xml:space="preserve">        单位：元</w:t>
      </w:r>
    </w:p>
    <w:tbl>
      <w:tblPr>
        <w:tblStyle w:val="2"/>
        <w:tblW w:w="0" w:type="auto"/>
        <w:tblInd w:w="-1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40"/>
        <w:gridCol w:w="1435"/>
        <w:gridCol w:w="14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jc w:val="center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项</w:t>
            </w:r>
            <w:r>
              <w:rPr>
                <w:rFonts w:ascii="宋体" w:hAnsi="宋体" w:cs="仿宋_GB2312"/>
                <w:kern w:val="2"/>
                <w:sz w:val="21"/>
                <w:szCs w:val="21"/>
              </w:rPr>
              <w:tab/>
            </w: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目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jc w:val="center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本期金额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jc w:val="center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上期金额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一、经营活动产生的现金流量：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客户存款和同业存放款项净增加额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向中央银行借款净增加额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向其他金融机构拆入资金净增加额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收取利息、手续费及佣金的现金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收到其他与经营活动有关的现金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经营活动现金流入小计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客户贷款及垫款净增加额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存放中央银行和同业款项净增加额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支付手续费及佣金的现金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支付给职工以及为职工支付的现金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支付的各项税费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支付其他与经营活动有关的现金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经营活动现金流出小计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经营活动产生的现金流量净额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二、投资活动产生的现金流量：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收回投资收到的现金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取得投资收益收到的现金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收到其他与投资活动有关的现金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投资活动现金流入小计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投资支付的现金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购建固定资产、无形资产和其他长期资产支付的现金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支付其他与投资活动有关的现金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投资活动现金流出小计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投资活动产生的现金流量净额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三、筹资活动产生的现金流量：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吸收投资收到的现金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发行债券收到的现金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收到其他与筹资活动有关的现金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筹资活动现金流入小计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偿还债务支付的现金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分配股利、利润或偿付利息支付的现金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支付其他与筹资活动有关的现金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筹资活动现金流出小计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筹资活动产生的现金流量净额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四、汇率变动对现金及现金等价物的影响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五、现金及现金等价物净增加额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加：期初现金及现金等价物余额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exact"/>
        </w:trPr>
        <w:tc>
          <w:tcPr>
            <w:tcW w:w="57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kern w:val="2"/>
                <w:sz w:val="21"/>
                <w:szCs w:val="21"/>
              </w:rPr>
              <w:t>六、期末现金及现金等价物余额</w:t>
            </w: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2"/>
              <w:ind w:firstLine="420"/>
              <w:rPr>
                <w:rFonts w:ascii="宋体" w:hAnsi="宋体" w:cs="仿宋_GB2312"/>
                <w:kern w:val="2"/>
                <w:sz w:val="21"/>
                <w:szCs w:val="21"/>
              </w:rPr>
            </w:pPr>
          </w:p>
        </w:tc>
      </w:tr>
    </w:tbl>
    <w:p>
      <w:pPr>
        <w:pStyle w:val="6"/>
        <w:ind w:left="0" w:leftChars="0" w:firstLine="0" w:firstLineChars="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【表单说明】</w:t>
      </w:r>
    </w:p>
    <w:p>
      <w:pPr>
        <w:pStyle w:val="11"/>
        <w:ind w:firstLine="420"/>
        <w:rPr>
          <w:rFonts w:ascii="Arial" w:hAnsi="Arial" w:cs="Arial"/>
          <w:color w:val="000000"/>
        </w:rPr>
      </w:pPr>
      <w:r>
        <w:rPr>
          <w:rFonts w:hint="eastAsia" w:ascii="Arial" w:hAnsi="Arial" w:cs="Arial"/>
          <w:color w:val="000000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0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670010"/>
    <w:multiLevelType w:val="multilevel"/>
    <w:tmpl w:val="13670010"/>
    <w:lvl w:ilvl="0" w:tentative="0">
      <w:start w:val="1"/>
      <w:numFmt w:val="bullet"/>
      <w:pStyle w:val="7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245F08"/>
    <w:rsid w:val="3E245F08"/>
    <w:rsid w:val="57D6F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2_0"/>
    <w:basedOn w:val="5"/>
    <w:next w:val="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2"/>
      <w:sz w:val="32"/>
      <w:szCs w:val="32"/>
    </w:rPr>
  </w:style>
  <w:style w:type="paragraph" w:customStyle="1" w:styleId="5">
    <w:name w:val="正文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6">
    <w:name w:val="一级标题_0"/>
    <w:basedOn w:val="5"/>
    <w:qFormat/>
    <w:uiPriority w:val="0"/>
    <w:pPr>
      <w:ind w:firstLine="420"/>
      <w:outlineLvl w:val="2"/>
    </w:pPr>
    <w:rPr>
      <w:rFonts w:ascii="Arial" w:hAnsi="Arial" w:cs="Arial"/>
      <w:b/>
    </w:rPr>
  </w:style>
  <w:style w:type="paragraph" w:customStyle="1" w:styleId="7">
    <w:name w:val="四级标题"/>
    <w:basedOn w:val="8"/>
    <w:qFormat/>
    <w:uiPriority w:val="0"/>
    <w:pPr>
      <w:numPr>
        <w:ilvl w:val="0"/>
        <w:numId w:val="1"/>
      </w:numPr>
    </w:pPr>
    <w:rPr>
      <w:rFonts w:eastAsia="宋体" w:cs="Times New Roman"/>
      <w:kern w:val="2"/>
      <w:sz w:val="21"/>
    </w:rPr>
  </w:style>
  <w:style w:type="paragraph" w:customStyle="1" w:styleId="8">
    <w:name w:val="二级标题_0"/>
    <w:basedOn w:val="5"/>
    <w:qFormat/>
    <w:uiPriority w:val="0"/>
    <w:pPr>
      <w:ind w:firstLine="420"/>
      <w:outlineLvl w:val="3"/>
    </w:pPr>
    <w:rPr>
      <w:rFonts w:ascii="Arial" w:hAnsi="Arial" w:cs="Arial"/>
    </w:rPr>
  </w:style>
  <w:style w:type="paragraph" w:customStyle="1" w:styleId="9">
    <w:name w:val="需求正文_0"/>
    <w:basedOn w:val="10"/>
    <w:qFormat/>
    <w:uiPriority w:val="0"/>
    <w:pPr>
      <w:ind w:firstLine="420"/>
    </w:pPr>
    <w:rPr>
      <w:rFonts w:ascii="Arial" w:hAnsi="Arial" w:eastAsia="宋体"/>
      <w:kern w:val="2"/>
      <w:sz w:val="21"/>
    </w:rPr>
  </w:style>
  <w:style w:type="paragraph" w:customStyle="1" w:styleId="10">
    <w:name w:val="正文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1">
    <w:name w:val="正文1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2026-02-13T09:03:00Z</dcterms:created>
  <dc:creator>张烨</dc:creator>
  <cp:lastModifiedBy>user</cp:lastModifiedBy>
  <dcterms:modified xsi:type="dcterms:W3CDTF">2026-02-24T17:03:35Z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