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spacing w:line="360" w:lineRule="auto"/>
        <w:jc w:val="center"/>
        <w:rPr>
          <w:rFonts w:ascii="宋体" w:hAnsi="宋体" w:cs="Arial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Arial"/>
          <w:color w:val="000000"/>
          <w:sz w:val="28"/>
          <w:szCs w:val="28"/>
        </w:rPr>
        <w:t>现金流量表</w:t>
      </w:r>
    </w:p>
    <w:p>
      <w:pPr>
        <w:pStyle w:val="12"/>
        <w:spacing w:line="360" w:lineRule="auto"/>
        <w:ind w:firstLine="7455"/>
        <w:rPr>
          <w:rFonts w:ascii="宋体" w:hAnsi="宋体" w:cs="仿宋_GB2312"/>
          <w:kern w:val="2"/>
          <w:sz w:val="21"/>
          <w:szCs w:val="21"/>
        </w:rPr>
      </w:pPr>
      <w:r>
        <w:rPr>
          <w:rFonts w:hint="eastAsia" w:ascii="宋体" w:hAnsi="宋体" w:cs="仿宋_GB2312"/>
          <w:kern w:val="2"/>
          <w:sz w:val="21"/>
          <w:szCs w:val="21"/>
        </w:rPr>
        <w:t>会保</w:t>
      </w:r>
      <w:r>
        <w:rPr>
          <w:rFonts w:ascii="宋体" w:hAnsi="宋体" w:cs="仿宋_GB2312"/>
          <w:kern w:val="2"/>
          <w:sz w:val="21"/>
          <w:szCs w:val="21"/>
        </w:rPr>
        <w:t>03</w:t>
      </w:r>
      <w:r>
        <w:rPr>
          <w:rFonts w:hint="eastAsia" w:ascii="宋体" w:hAnsi="宋体" w:cs="仿宋_GB2312"/>
          <w:kern w:val="2"/>
          <w:sz w:val="21"/>
          <w:szCs w:val="21"/>
        </w:rPr>
        <w:t>表</w:t>
      </w:r>
    </w:p>
    <w:p>
      <w:pPr>
        <w:pStyle w:val="12"/>
        <w:spacing w:line="360" w:lineRule="auto"/>
        <w:ind w:firstLine="420"/>
        <w:rPr>
          <w:rFonts w:ascii="宋体" w:hAnsi="宋体" w:cs="仿宋_GB2312"/>
          <w:kern w:val="2"/>
          <w:sz w:val="21"/>
          <w:szCs w:val="21"/>
        </w:rPr>
      </w:pPr>
      <w:r>
        <w:rPr>
          <w:rFonts w:hint="eastAsia" w:ascii="宋体" w:hAnsi="宋体" w:cs="仿宋_GB2312"/>
          <w:kern w:val="2"/>
          <w:sz w:val="21"/>
          <w:szCs w:val="21"/>
        </w:rPr>
        <w:t>编制单位：年月</w:t>
      </w:r>
      <w:r>
        <w:rPr>
          <w:rFonts w:ascii="宋体" w:hAnsi="宋体" w:cs="仿宋_GB2312"/>
          <w:kern w:val="2"/>
          <w:sz w:val="21"/>
          <w:szCs w:val="21"/>
        </w:rPr>
        <w:tab/>
      </w:r>
      <w:r>
        <w:rPr>
          <w:rFonts w:hint="eastAsia" w:ascii="宋体" w:hAnsi="宋体" w:cs="仿宋_GB2312"/>
          <w:kern w:val="2"/>
          <w:sz w:val="21"/>
          <w:szCs w:val="21"/>
        </w:rPr>
        <w:t xml:space="preserve">   单位：元</w:t>
      </w:r>
    </w:p>
    <w:tbl>
      <w:tblPr>
        <w:tblStyle w:val="2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5"/>
        <w:gridCol w:w="1260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exact"/>
        </w:trPr>
        <w:tc>
          <w:tcPr>
            <w:tcW w:w="6255" w:type="dxa"/>
          </w:tcPr>
          <w:p>
            <w:pPr>
              <w:pStyle w:val="12"/>
              <w:jc w:val="center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项</w:t>
            </w:r>
            <w:r>
              <w:rPr>
                <w:rFonts w:ascii="宋体" w:hAnsi="宋体" w:cs="仿宋_GB2312"/>
                <w:kern w:val="2"/>
                <w:sz w:val="21"/>
                <w:szCs w:val="21"/>
              </w:rPr>
              <w:tab/>
            </w: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目</w:t>
            </w:r>
          </w:p>
        </w:tc>
        <w:tc>
          <w:tcPr>
            <w:tcW w:w="1260" w:type="dxa"/>
          </w:tcPr>
          <w:p>
            <w:pPr>
              <w:pStyle w:val="12"/>
              <w:jc w:val="center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本期金额</w:t>
            </w:r>
          </w:p>
        </w:tc>
        <w:tc>
          <w:tcPr>
            <w:tcW w:w="1155" w:type="dxa"/>
          </w:tcPr>
          <w:p>
            <w:pPr>
              <w:pStyle w:val="12"/>
              <w:jc w:val="center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上期金额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一、经营活动产生的现金流量：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收到原保险合同保费取得的现金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收到再保业务现金净额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保户储金及投资款净增加额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收到其他与经营活动有关的现金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经营活动现金流入小计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支付原保险合同赔付款项的现金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支付手续费及佣金的现金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支付保单红利的现金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支付给职工以及为职工支付的现金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支付的各项税费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支付其他与经营活动有关的现金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经营活动现金流出小计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经营活动产生的现金流量净额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二、投资活动产生的现金流量：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收回投资收到的现金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取得投资收益收到的现金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收到其他与投资活动有关的现金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投资活动现金流入小计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投资支付的现金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质押贷款净增加额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购建固定资产、无形资产和其他长期资产支付的现金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支付其他与投资活动有关的现金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投资活动现金流出小计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投资活动产生的现金流量净额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三、筹资活动产生的现金流量：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吸收投资收到的现金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发行债券收到的现金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收到其他与筹资活动有关的现金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筹资活动现金流入小计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偿还债务支付的现金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分配股利、利润或偿付利息支付的现金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支付其他与筹资活动有关的现金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筹资活动现金流出小计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筹资活动产生的现金流量净额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四、汇率变动对现金及现金等价物的影响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五、现金及现金等价物净增加额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加：期初现金及现金等价物余额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62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六、期末现金及现金等价物余额</w:t>
            </w:r>
          </w:p>
        </w:tc>
        <w:tc>
          <w:tcPr>
            <w:tcW w:w="1260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155" w:type="dxa"/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</w:tbl>
    <w:p>
      <w:pPr>
        <w:pStyle w:val="6"/>
        <w:ind w:left="0" w:leftChars="0" w:firstLine="0" w:firstLineChar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【表单说明】</w:t>
      </w:r>
    </w:p>
    <w:p>
      <w:pPr>
        <w:pStyle w:val="11"/>
        <w:ind w:firstLine="420"/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7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40679"/>
    <w:rsid w:val="47440679"/>
    <w:rsid w:val="FBFFF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0"/>
    <w:basedOn w:val="5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5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一级标题_0"/>
    <w:basedOn w:val="5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7">
    <w:name w:val="四级标题"/>
    <w:basedOn w:val="8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8">
    <w:name w:val="二级标题_0"/>
    <w:basedOn w:val="5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9">
    <w:name w:val="需求正文_0"/>
    <w:basedOn w:val="10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10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">
    <w:name w:val="正文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2026-02-13T09:10:00Z</dcterms:created>
  <dc:creator>张烨</dc:creator>
  <cp:lastModifiedBy>user</cp:lastModifiedBy>
  <dcterms:modified xsi:type="dcterms:W3CDTF">2026-02-24T17:05:08Z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